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2DDA" w:rsidRPr="008B2DDA" w14:paraId="290EA3E6" w14:textId="77777777" w:rsidTr="00CF1711">
        <w:tc>
          <w:tcPr>
            <w:tcW w:w="4513" w:type="dxa"/>
            <w:tcBorders>
              <w:bottom w:val="single" w:sz="4" w:space="0" w:color="auto"/>
            </w:tcBorders>
            <w:tcMar>
              <w:bottom w:w="170" w:type="dxa"/>
            </w:tcMar>
          </w:tcPr>
          <w:p w14:paraId="1E4698F5" w14:textId="6A6F4599" w:rsidR="00924ACB" w:rsidRPr="008B2DDA" w:rsidRDefault="00924ACB" w:rsidP="008B2DDA"/>
        </w:tc>
        <w:tc>
          <w:tcPr>
            <w:tcW w:w="4337" w:type="dxa"/>
            <w:tcBorders>
              <w:bottom w:val="single" w:sz="4" w:space="0" w:color="auto"/>
            </w:tcBorders>
            <w:tcMar>
              <w:left w:w="0" w:type="dxa"/>
              <w:right w:w="0" w:type="dxa"/>
            </w:tcMar>
          </w:tcPr>
          <w:p w14:paraId="1566BA29" w14:textId="77777777" w:rsidR="00924ACB" w:rsidRPr="008B2DDA" w:rsidRDefault="00924ACB" w:rsidP="008B2DDA">
            <w:r w:rsidRPr="008B2DDA">
              <w:rPr>
                <w:noProof/>
                <w:lang w:val="en-US" w:eastAsia="en-US"/>
              </w:rPr>
              <w:drawing>
                <wp:inline distT="0" distB="0" distL="0" distR="0" wp14:anchorId="5375C2AB" wp14:editId="67B9EEA3">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100717E" w14:textId="77777777" w:rsidR="00924ACB" w:rsidRPr="008B2DDA" w:rsidRDefault="00924ACB" w:rsidP="008B2DDA">
            <w:pPr>
              <w:jc w:val="right"/>
            </w:pPr>
            <w:r w:rsidRPr="008B2DDA">
              <w:rPr>
                <w:b/>
                <w:sz w:val="40"/>
                <w:szCs w:val="40"/>
              </w:rPr>
              <w:t>F</w:t>
            </w:r>
          </w:p>
        </w:tc>
      </w:tr>
      <w:tr w:rsidR="008B2DDA" w:rsidRPr="008B2DDA" w14:paraId="27E84AB8" w14:textId="77777777" w:rsidTr="00CF1711">
        <w:trPr>
          <w:trHeight w:hRule="exact" w:val="340"/>
        </w:trPr>
        <w:tc>
          <w:tcPr>
            <w:tcW w:w="9356" w:type="dxa"/>
            <w:gridSpan w:val="3"/>
            <w:tcBorders>
              <w:top w:val="single" w:sz="4" w:space="0" w:color="auto"/>
            </w:tcBorders>
            <w:tcMar>
              <w:top w:w="170" w:type="dxa"/>
              <w:left w:w="0" w:type="dxa"/>
              <w:right w:w="0" w:type="dxa"/>
            </w:tcMar>
            <w:vAlign w:val="bottom"/>
          </w:tcPr>
          <w:p w14:paraId="31B28014" w14:textId="77777777" w:rsidR="00924ACB" w:rsidRPr="008B2DDA" w:rsidRDefault="00924ACB" w:rsidP="008B2DDA">
            <w:pPr>
              <w:jc w:val="right"/>
              <w:rPr>
                <w:rFonts w:ascii="Arial Black" w:hAnsi="Arial Black"/>
                <w:caps/>
                <w:sz w:val="15"/>
              </w:rPr>
            </w:pPr>
            <w:r w:rsidRPr="008B2DDA">
              <w:rPr>
                <w:rFonts w:ascii="Arial Black" w:hAnsi="Arial Black"/>
                <w:caps/>
                <w:sz w:val="15"/>
              </w:rPr>
              <w:t>LI/DC/</w:t>
            </w:r>
            <w:bookmarkStart w:id="0" w:name="Code"/>
            <w:bookmarkEnd w:id="0"/>
            <w:r w:rsidRPr="008B2DDA">
              <w:rPr>
                <w:rFonts w:ascii="Arial Black" w:hAnsi="Arial Black"/>
                <w:caps/>
                <w:sz w:val="15"/>
              </w:rPr>
              <w:t xml:space="preserve">7 </w:t>
            </w:r>
          </w:p>
        </w:tc>
      </w:tr>
      <w:tr w:rsidR="008B2DDA" w:rsidRPr="008B2DDA" w14:paraId="02610712" w14:textId="77777777" w:rsidTr="00CF1711">
        <w:trPr>
          <w:trHeight w:hRule="exact" w:val="170"/>
        </w:trPr>
        <w:tc>
          <w:tcPr>
            <w:tcW w:w="9356" w:type="dxa"/>
            <w:gridSpan w:val="3"/>
            <w:noWrap/>
            <w:tcMar>
              <w:left w:w="0" w:type="dxa"/>
              <w:right w:w="0" w:type="dxa"/>
            </w:tcMar>
            <w:vAlign w:val="bottom"/>
          </w:tcPr>
          <w:p w14:paraId="15874B50" w14:textId="77777777" w:rsidR="00924ACB" w:rsidRPr="008B2DDA" w:rsidRDefault="00924ACB" w:rsidP="008B2DDA">
            <w:pPr>
              <w:jc w:val="right"/>
              <w:rPr>
                <w:rFonts w:ascii="Arial Black" w:hAnsi="Arial Black"/>
                <w:caps/>
                <w:sz w:val="15"/>
              </w:rPr>
            </w:pPr>
            <w:r w:rsidRPr="008B2DDA">
              <w:rPr>
                <w:rFonts w:ascii="Arial Black" w:hAnsi="Arial Black"/>
                <w:caps/>
                <w:sz w:val="15"/>
              </w:rPr>
              <w:t xml:space="preserve">ORIGINAL : anglais </w:t>
            </w:r>
            <w:bookmarkStart w:id="1" w:name="Original"/>
            <w:bookmarkEnd w:id="1"/>
          </w:p>
        </w:tc>
      </w:tr>
      <w:tr w:rsidR="008B2DDA" w:rsidRPr="008B2DDA" w14:paraId="711D63E5" w14:textId="77777777" w:rsidTr="00CF1711">
        <w:trPr>
          <w:trHeight w:hRule="exact" w:val="198"/>
        </w:trPr>
        <w:tc>
          <w:tcPr>
            <w:tcW w:w="9356" w:type="dxa"/>
            <w:gridSpan w:val="3"/>
            <w:tcMar>
              <w:left w:w="0" w:type="dxa"/>
              <w:right w:w="0" w:type="dxa"/>
            </w:tcMar>
            <w:vAlign w:val="bottom"/>
          </w:tcPr>
          <w:p w14:paraId="5F58EA32" w14:textId="337DDB6F" w:rsidR="00924ACB" w:rsidRPr="008B2DDA" w:rsidRDefault="00924ACB" w:rsidP="00105194">
            <w:pPr>
              <w:jc w:val="right"/>
              <w:rPr>
                <w:rFonts w:ascii="Arial Black" w:hAnsi="Arial Black"/>
                <w:caps/>
                <w:sz w:val="15"/>
              </w:rPr>
            </w:pPr>
            <w:r w:rsidRPr="008B2DDA">
              <w:rPr>
                <w:rFonts w:ascii="Arial Black" w:hAnsi="Arial Black"/>
                <w:caps/>
                <w:sz w:val="15"/>
              </w:rPr>
              <w:t xml:space="preserve">DATE : </w:t>
            </w:r>
            <w:r w:rsidR="00105194">
              <w:rPr>
                <w:rFonts w:ascii="Arial Black" w:hAnsi="Arial Black"/>
                <w:caps/>
                <w:sz w:val="15"/>
              </w:rPr>
              <w:t>3</w:t>
            </w:r>
            <w:r w:rsidR="0002751B">
              <w:rPr>
                <w:rFonts w:ascii="Arial Black" w:hAnsi="Arial Black"/>
                <w:caps/>
                <w:sz w:val="15"/>
              </w:rPr>
              <w:t> </w:t>
            </w:r>
            <w:bookmarkStart w:id="2" w:name="Date"/>
            <w:bookmarkEnd w:id="2"/>
            <w:r w:rsidR="00247D89">
              <w:rPr>
                <w:rFonts w:ascii="Arial Black" w:hAnsi="Arial Black"/>
                <w:caps/>
                <w:sz w:val="15"/>
              </w:rPr>
              <w:t>mars</w:t>
            </w:r>
            <w:r w:rsidR="00247D89" w:rsidRPr="008B2DDA">
              <w:rPr>
                <w:rFonts w:ascii="Arial Black" w:hAnsi="Arial Black"/>
                <w:caps/>
                <w:sz w:val="15"/>
              </w:rPr>
              <w:t> </w:t>
            </w:r>
            <w:r w:rsidR="00A341C2" w:rsidRPr="008B2DDA">
              <w:rPr>
                <w:rFonts w:ascii="Arial Black" w:hAnsi="Arial Black"/>
                <w:caps/>
                <w:sz w:val="15"/>
              </w:rPr>
              <w:t>20</w:t>
            </w:r>
            <w:r w:rsidRPr="008B2DDA">
              <w:rPr>
                <w:rFonts w:ascii="Arial Black" w:hAnsi="Arial Black"/>
                <w:caps/>
                <w:sz w:val="15"/>
              </w:rPr>
              <w:t>15</w:t>
            </w:r>
          </w:p>
        </w:tc>
      </w:tr>
    </w:tbl>
    <w:p w14:paraId="0F8E2FF8" w14:textId="77777777" w:rsidR="007079A8" w:rsidRPr="008B2DDA" w:rsidRDefault="007079A8" w:rsidP="008B2DDA"/>
    <w:p w14:paraId="5CD30699" w14:textId="77777777" w:rsidR="007079A8" w:rsidRPr="008B2DDA" w:rsidRDefault="007079A8" w:rsidP="008B2DDA"/>
    <w:p w14:paraId="26B0FCB1" w14:textId="77777777" w:rsidR="007079A8" w:rsidRPr="008B2DDA" w:rsidRDefault="007079A8" w:rsidP="008B2DDA"/>
    <w:p w14:paraId="6EDAD55C" w14:textId="77777777" w:rsidR="007079A8" w:rsidRPr="008B2DDA" w:rsidRDefault="007079A8" w:rsidP="008B2DDA"/>
    <w:p w14:paraId="5C381A10" w14:textId="77777777" w:rsidR="007079A8" w:rsidRPr="008B2DDA" w:rsidRDefault="007079A8" w:rsidP="008B2DDA"/>
    <w:p w14:paraId="6F4CCA86" w14:textId="69D78D51" w:rsidR="007079A8" w:rsidRPr="008B2DDA" w:rsidRDefault="00924ACB" w:rsidP="008B2DDA">
      <w:pPr>
        <w:rPr>
          <w:b/>
          <w:bCs/>
          <w:sz w:val="28"/>
          <w:szCs w:val="28"/>
        </w:rPr>
      </w:pPr>
      <w:r w:rsidRPr="008B2DDA">
        <w:rPr>
          <w:b/>
          <w:sz w:val="28"/>
          <w:szCs w:val="28"/>
        </w:rPr>
        <w:t>Conférence diplomatique pour l</w:t>
      </w:r>
      <w:r w:rsidR="00A341C2" w:rsidRPr="008B2DDA">
        <w:rPr>
          <w:b/>
          <w:sz w:val="28"/>
          <w:szCs w:val="28"/>
        </w:rPr>
        <w:t>’</w:t>
      </w:r>
      <w:r w:rsidRPr="008B2DDA">
        <w:rPr>
          <w:b/>
          <w:sz w:val="28"/>
          <w:szCs w:val="28"/>
        </w:rPr>
        <w:t>adoption d</w:t>
      </w:r>
      <w:r w:rsidR="00A341C2" w:rsidRPr="008B2DDA">
        <w:rPr>
          <w:b/>
          <w:sz w:val="28"/>
          <w:szCs w:val="28"/>
        </w:rPr>
        <w:t>’</w:t>
      </w:r>
      <w:r w:rsidRPr="008B2DDA">
        <w:rPr>
          <w:b/>
          <w:sz w:val="28"/>
          <w:szCs w:val="28"/>
        </w:rPr>
        <w:t xml:space="preserve">un nouvel Acte </w:t>
      </w:r>
      <w:r w:rsidRPr="008B2DDA">
        <w:rPr>
          <w:b/>
          <w:sz w:val="28"/>
          <w:szCs w:val="28"/>
        </w:rPr>
        <w:br/>
        <w:t>de l</w:t>
      </w:r>
      <w:r w:rsidR="00A341C2" w:rsidRPr="008B2DDA">
        <w:rPr>
          <w:b/>
          <w:sz w:val="28"/>
          <w:szCs w:val="28"/>
        </w:rPr>
        <w:t>’</w:t>
      </w:r>
      <w:r w:rsidRPr="008B2DDA">
        <w:rPr>
          <w:b/>
          <w:sz w:val="28"/>
          <w:szCs w:val="28"/>
        </w:rPr>
        <w:t xml:space="preserve">Arrangement de Lisbonne concernant la protection </w:t>
      </w:r>
      <w:r w:rsidRPr="008B2DDA">
        <w:rPr>
          <w:b/>
          <w:sz w:val="28"/>
          <w:szCs w:val="28"/>
        </w:rPr>
        <w:br/>
        <w:t>des appellations d</w:t>
      </w:r>
      <w:r w:rsidR="00A341C2" w:rsidRPr="008B2DDA">
        <w:rPr>
          <w:b/>
          <w:sz w:val="28"/>
          <w:szCs w:val="28"/>
        </w:rPr>
        <w:t>’</w:t>
      </w:r>
      <w:r w:rsidRPr="008B2DDA">
        <w:rPr>
          <w:b/>
          <w:sz w:val="28"/>
          <w:szCs w:val="28"/>
        </w:rPr>
        <w:t>origine et leur enregistrement international</w:t>
      </w:r>
    </w:p>
    <w:p w14:paraId="70027A67" w14:textId="77777777" w:rsidR="007079A8" w:rsidRPr="008B2DDA" w:rsidRDefault="007079A8" w:rsidP="008B2DDA">
      <w:pPr>
        <w:rPr>
          <w:bCs/>
        </w:rPr>
      </w:pPr>
    </w:p>
    <w:p w14:paraId="2A1EA7D9" w14:textId="77777777" w:rsidR="007079A8" w:rsidRPr="008B2DDA" w:rsidRDefault="007079A8" w:rsidP="008B2DDA">
      <w:pPr>
        <w:rPr>
          <w:bCs/>
        </w:rPr>
      </w:pPr>
    </w:p>
    <w:p w14:paraId="7519EEFE" w14:textId="25153613" w:rsidR="007079A8" w:rsidRPr="008B2DDA" w:rsidRDefault="00924ACB" w:rsidP="008B2DDA">
      <w:pPr>
        <w:rPr>
          <w:b/>
          <w:bCs/>
          <w:sz w:val="24"/>
          <w:szCs w:val="24"/>
        </w:rPr>
      </w:pPr>
      <w:r w:rsidRPr="008B2DDA">
        <w:rPr>
          <w:b/>
          <w:bCs/>
          <w:sz w:val="24"/>
          <w:szCs w:val="24"/>
        </w:rPr>
        <w:t>Genève, 11</w:t>
      </w:r>
      <w:r w:rsidR="002C0DC4" w:rsidRPr="008B2DDA">
        <w:rPr>
          <w:b/>
          <w:bCs/>
          <w:sz w:val="24"/>
          <w:szCs w:val="24"/>
        </w:rPr>
        <w:t xml:space="preserve"> </w:t>
      </w:r>
      <w:r w:rsidR="007432B1" w:rsidRPr="008B2DDA">
        <w:rPr>
          <w:b/>
          <w:bCs/>
          <w:sz w:val="24"/>
          <w:szCs w:val="24"/>
        </w:rPr>
        <w:t>–</w:t>
      </w:r>
      <w:r w:rsidR="002C0DC4" w:rsidRPr="008B2DDA">
        <w:rPr>
          <w:b/>
          <w:bCs/>
          <w:sz w:val="24"/>
          <w:szCs w:val="24"/>
        </w:rPr>
        <w:t xml:space="preserve"> </w:t>
      </w:r>
      <w:r w:rsidRPr="008B2DDA">
        <w:rPr>
          <w:b/>
          <w:bCs/>
          <w:sz w:val="24"/>
          <w:szCs w:val="24"/>
        </w:rPr>
        <w:t>21 mai 2015</w:t>
      </w:r>
    </w:p>
    <w:p w14:paraId="7EF28B31" w14:textId="77777777" w:rsidR="007079A8" w:rsidRPr="008B2DDA" w:rsidRDefault="007079A8" w:rsidP="008B2DDA"/>
    <w:p w14:paraId="39D2DFFF" w14:textId="77777777" w:rsidR="007079A8" w:rsidRPr="008B2DDA" w:rsidRDefault="007079A8" w:rsidP="008B2DDA"/>
    <w:p w14:paraId="69E80397" w14:textId="77777777" w:rsidR="007079A8" w:rsidRPr="008B2DDA" w:rsidRDefault="007079A8" w:rsidP="008B2DDA"/>
    <w:p w14:paraId="04DE9C6A" w14:textId="35208C69" w:rsidR="007079A8" w:rsidRPr="008B2DDA" w:rsidRDefault="00F57CE2" w:rsidP="008B2DDA">
      <w:pPr>
        <w:rPr>
          <w:rStyle w:val="hps"/>
        </w:rPr>
      </w:pPr>
      <w:r w:rsidRPr="008B2DDA">
        <w:rPr>
          <w:rStyle w:val="hps"/>
        </w:rPr>
        <w:t>COMPILATION DES PROPOSITIONS DE MODIFICATION DE LA PROPOSITION DE BASE POUR LE NOUVEL ACTE DE L</w:t>
      </w:r>
      <w:r w:rsidR="00A341C2" w:rsidRPr="008B2DDA">
        <w:rPr>
          <w:rStyle w:val="hps"/>
        </w:rPr>
        <w:t>’</w:t>
      </w:r>
      <w:r w:rsidRPr="008B2DDA">
        <w:rPr>
          <w:rStyle w:val="hps"/>
        </w:rPr>
        <w:t>ARRANGEMENT DE LISBONNE SUR LES APPELLATIONS D</w:t>
      </w:r>
      <w:r w:rsidR="00A341C2" w:rsidRPr="008B2DDA">
        <w:rPr>
          <w:rStyle w:val="hps"/>
        </w:rPr>
        <w:t>’</w:t>
      </w:r>
      <w:r w:rsidRPr="008B2DDA">
        <w:rPr>
          <w:rStyle w:val="hps"/>
        </w:rPr>
        <w:t xml:space="preserve">ORIGINE ET LES INDICATIONS GÉOGRAPHIQUES SOUMISES PAR LES </w:t>
      </w:r>
      <w:r w:rsidR="00040478" w:rsidRPr="008B2DDA">
        <w:rPr>
          <w:rStyle w:val="hps"/>
        </w:rPr>
        <w:t>ÉTATS</w:t>
      </w:r>
      <w:r w:rsidRPr="008B2DDA">
        <w:rPr>
          <w:rStyle w:val="hps"/>
        </w:rPr>
        <w:t xml:space="preserve"> MEMBRES DE L</w:t>
      </w:r>
      <w:r w:rsidR="00A341C2" w:rsidRPr="008B2DDA">
        <w:rPr>
          <w:rStyle w:val="hps"/>
        </w:rPr>
        <w:t>’</w:t>
      </w:r>
      <w:r w:rsidRPr="008B2DDA">
        <w:rPr>
          <w:rStyle w:val="hps"/>
        </w:rPr>
        <w:t>OMPI</w:t>
      </w:r>
      <w:bookmarkStart w:id="3" w:name="_GoBack"/>
      <w:bookmarkEnd w:id="3"/>
    </w:p>
    <w:p w14:paraId="6B2338D7" w14:textId="77777777" w:rsidR="007079A8" w:rsidRPr="008B2DDA" w:rsidRDefault="007079A8" w:rsidP="008B2DDA"/>
    <w:p w14:paraId="414881FF" w14:textId="77777777" w:rsidR="007079A8" w:rsidRPr="008B2DDA" w:rsidRDefault="00924ACB" w:rsidP="008B2DDA">
      <w:pPr>
        <w:rPr>
          <w:i/>
          <w:iCs/>
        </w:rPr>
      </w:pPr>
      <w:r w:rsidRPr="008B2DDA">
        <w:rPr>
          <w:i/>
          <w:iCs/>
        </w:rPr>
        <w:t>Document établi par le Secrétariat</w:t>
      </w:r>
    </w:p>
    <w:p w14:paraId="15AFF113" w14:textId="77777777" w:rsidR="007079A8" w:rsidRPr="008B2DDA" w:rsidRDefault="007079A8" w:rsidP="008B2DDA"/>
    <w:p w14:paraId="19C02CCA" w14:textId="77777777" w:rsidR="007079A8" w:rsidRPr="008B2DDA" w:rsidRDefault="007079A8" w:rsidP="008B2DDA"/>
    <w:p w14:paraId="7C82EE69" w14:textId="77777777" w:rsidR="007079A8" w:rsidRPr="008B2DDA" w:rsidRDefault="007079A8" w:rsidP="008B2DDA"/>
    <w:p w14:paraId="7291502A" w14:textId="77777777" w:rsidR="00861355" w:rsidRPr="008B2DDA" w:rsidRDefault="00861355" w:rsidP="008B2DDA"/>
    <w:p w14:paraId="01C1F548" w14:textId="3D18420D" w:rsidR="00A341C2" w:rsidRPr="008B2DDA" w:rsidRDefault="0096589A" w:rsidP="00DF16E7">
      <w:pPr>
        <w:pStyle w:val="ONUMFS"/>
      </w:pPr>
      <w:r w:rsidRPr="008B2DDA">
        <w:t xml:space="preserve">Lors de sa réunion </w:t>
      </w:r>
      <w:r w:rsidR="00AE2B0E" w:rsidRPr="008B2DDA">
        <w:t>des</w:t>
      </w:r>
      <w:r w:rsidRPr="008B2DDA">
        <w:t xml:space="preserve"> 30</w:t>
      </w:r>
      <w:r w:rsidR="002C0DC4" w:rsidRPr="008B2DDA">
        <w:t xml:space="preserve"> et </w:t>
      </w:r>
      <w:r w:rsidR="00AE2B0E" w:rsidRPr="008B2DDA">
        <w:t>31 o</w:t>
      </w:r>
      <w:r w:rsidRPr="008B2DDA">
        <w:t>ctobre</w:t>
      </w:r>
      <w:r w:rsidR="00AE2B0E" w:rsidRPr="008B2DDA">
        <w:t> </w:t>
      </w:r>
      <w:r w:rsidRPr="008B2DDA">
        <w:t>2014</w:t>
      </w:r>
      <w:r w:rsidR="00884BA3" w:rsidRPr="008B2DDA">
        <w:t>, le c</w:t>
      </w:r>
      <w:r w:rsidR="00040478" w:rsidRPr="008B2DDA">
        <w:t xml:space="preserve">omité préparatoire de la </w:t>
      </w:r>
      <w:r w:rsidR="00DF16E7">
        <w:t>Conférence diplomatique pour l’adoption d’</w:t>
      </w:r>
      <w:r w:rsidR="00DF16E7" w:rsidRPr="00DF16E7">
        <w:t>un Arrangement de Lisbonn</w:t>
      </w:r>
      <w:r w:rsidR="00DF16E7">
        <w:t>e révisé sur les appellations d’</w:t>
      </w:r>
      <w:r w:rsidR="00DF16E7" w:rsidRPr="00DF16E7">
        <w:t xml:space="preserve">origine et les indications géographiques </w:t>
      </w:r>
      <w:r w:rsidR="00884BA3" w:rsidRPr="008B2DDA">
        <w:t>est</w:t>
      </w:r>
      <w:r w:rsidRPr="008B2DDA">
        <w:t xml:space="preserve"> convenu de fixer </w:t>
      </w:r>
      <w:r w:rsidR="00884BA3" w:rsidRPr="008B2DDA">
        <w:t>au</w:t>
      </w:r>
      <w:r w:rsidRPr="008B2DDA">
        <w:t xml:space="preserve"> 1</w:t>
      </w:r>
      <w:r w:rsidR="00884BA3" w:rsidRPr="008B2DDA">
        <w:rPr>
          <w:vertAlign w:val="superscript"/>
        </w:rPr>
        <w:t>er</w:t>
      </w:r>
      <w:r w:rsidR="00884BA3" w:rsidRPr="008B2DDA">
        <w:t> </w:t>
      </w:r>
      <w:r w:rsidR="00A341C2" w:rsidRPr="008B2DDA">
        <w:t>février 20</w:t>
      </w:r>
      <w:r w:rsidRPr="008B2DDA">
        <w:t xml:space="preserve">15 </w:t>
      </w:r>
      <w:r w:rsidR="00884BA3" w:rsidRPr="008B2DDA">
        <w:t>la date limite à laquelle</w:t>
      </w:r>
      <w:r w:rsidRPr="008B2DDA">
        <w:t xml:space="preserve"> tous les États membres de l</w:t>
      </w:r>
      <w:r w:rsidR="00A341C2" w:rsidRPr="008B2DDA">
        <w:t>’</w:t>
      </w:r>
      <w:r w:rsidRPr="008B2DDA">
        <w:t xml:space="preserve">OMPI </w:t>
      </w:r>
      <w:r w:rsidR="00E43680" w:rsidRPr="008B2DDA">
        <w:t>devraient avoir soumis</w:t>
      </w:r>
      <w:r w:rsidRPr="008B2DDA">
        <w:t xml:space="preserve"> </w:t>
      </w:r>
      <w:r w:rsidR="00884BA3" w:rsidRPr="008B2DDA">
        <w:t xml:space="preserve">par écrit </w:t>
      </w:r>
      <w:r w:rsidRPr="008B2DDA">
        <w:t xml:space="preserve">leurs propositions </w:t>
      </w:r>
      <w:r w:rsidR="00884BA3" w:rsidRPr="008B2DDA">
        <w:t>de modification de</w:t>
      </w:r>
      <w:r w:rsidRPr="008B2DDA">
        <w:t xml:space="preserve"> la proposition de base </w:t>
      </w:r>
      <w:r w:rsidR="00884BA3" w:rsidRPr="008B2DDA">
        <w:t>sur les questions</w:t>
      </w:r>
      <w:r w:rsidR="005E1BB4" w:rsidRPr="008B2DDA">
        <w:t xml:space="preserve"> que le Groupe de travail sur le développement du système de Lisbonne a indiquées comme étant en suspens</w:t>
      </w:r>
      <w:r w:rsidR="00DF16E7">
        <w:rPr>
          <w:rStyle w:val="FootnoteReference"/>
        </w:rPr>
        <w:footnoteReference w:customMarkFollows="1" w:id="2"/>
        <w:t>*</w:t>
      </w:r>
      <w:r w:rsidRPr="008B2DDA">
        <w:rPr>
          <w:rStyle w:val="FootnoteReference"/>
          <w:rFonts w:cs="Arial"/>
          <w:vertAlign w:val="baseline"/>
        </w:rPr>
        <w:t>.</w:t>
      </w:r>
      <w:r w:rsidR="00884BA3" w:rsidRPr="008B2DDA">
        <w:rPr>
          <w:rStyle w:val="FootnoteReference"/>
          <w:rFonts w:cs="Arial"/>
          <w:vertAlign w:val="baseline"/>
        </w:rPr>
        <w:t xml:space="preserve"> </w:t>
      </w:r>
      <w:r w:rsidRPr="008B2DDA">
        <w:t xml:space="preserve"> Le Secrétariat </w:t>
      </w:r>
      <w:r w:rsidR="00884BA3" w:rsidRPr="008B2DDA">
        <w:t>établira</w:t>
      </w:r>
      <w:r w:rsidR="00E43680" w:rsidRPr="008B2DDA">
        <w:t>it</w:t>
      </w:r>
      <w:r w:rsidR="00884BA3" w:rsidRPr="008B2DDA">
        <w:t xml:space="preserve"> une synthèse de</w:t>
      </w:r>
      <w:r w:rsidRPr="008B2DDA">
        <w:t xml:space="preserve"> ces </w:t>
      </w:r>
      <w:r w:rsidR="00884BA3" w:rsidRPr="008B2DDA">
        <w:t>communications</w:t>
      </w:r>
      <w:r w:rsidRPr="008B2DDA">
        <w:t xml:space="preserve"> et </w:t>
      </w:r>
      <w:r w:rsidR="00884BA3" w:rsidRPr="008B2DDA">
        <w:t>la transmettra</w:t>
      </w:r>
      <w:r w:rsidR="00E43680" w:rsidRPr="008B2DDA">
        <w:t>it</w:t>
      </w:r>
      <w:r w:rsidR="00884BA3" w:rsidRPr="008B2DDA">
        <w:t xml:space="preserve"> </w:t>
      </w:r>
      <w:r w:rsidRPr="008B2DDA">
        <w:t xml:space="preserve">à la </w:t>
      </w:r>
      <w:r w:rsidR="002C0DC4" w:rsidRPr="008B2DDA">
        <w:t>c</w:t>
      </w:r>
      <w:r w:rsidRPr="008B2DDA">
        <w:t>onférence diplomatique pour information (</w:t>
      </w:r>
      <w:r w:rsidR="002C0DC4" w:rsidRPr="008B2DDA">
        <w:t>voir le</w:t>
      </w:r>
      <w:r w:rsidR="00884BA3" w:rsidRPr="008B2DDA">
        <w:t> </w:t>
      </w:r>
      <w:r w:rsidR="002C0DC4" w:rsidRPr="008B2DDA">
        <w:t xml:space="preserve">paragraphe 11 du </w:t>
      </w:r>
      <w:r w:rsidR="005B20F9" w:rsidRPr="008B2DDA">
        <w:t>document LI</w:t>
      </w:r>
      <w:r w:rsidRPr="008B2DDA">
        <w:t>/R</w:t>
      </w:r>
      <w:r w:rsidR="005B20F9" w:rsidRPr="008B2DDA">
        <w:t>/PM</w:t>
      </w:r>
      <w:r w:rsidRPr="008B2DDA">
        <w:t>/6).</w:t>
      </w:r>
    </w:p>
    <w:p w14:paraId="37E9A703" w14:textId="6B62CDA3" w:rsidR="007079A8" w:rsidRPr="008B2DDA" w:rsidRDefault="0096589A" w:rsidP="008B2DDA">
      <w:pPr>
        <w:pStyle w:val="ONUMFS"/>
      </w:pPr>
      <w:r w:rsidRPr="008B2DDA">
        <w:t xml:space="preserve">Conformément à cette procédure, le présent document </w:t>
      </w:r>
      <w:r w:rsidR="00301212" w:rsidRPr="008B2DDA">
        <w:t>est une synthèse des</w:t>
      </w:r>
      <w:r w:rsidRPr="008B2DDA">
        <w:t xml:space="preserve"> </w:t>
      </w:r>
      <w:r w:rsidR="00301212" w:rsidRPr="008B2DDA">
        <w:t>propositions soumises par les</w:t>
      </w:r>
      <w:r w:rsidRPr="008B2DDA">
        <w:t xml:space="preserve"> États membres de l</w:t>
      </w:r>
      <w:r w:rsidR="00A341C2" w:rsidRPr="008B2DDA">
        <w:t>’</w:t>
      </w:r>
      <w:r w:rsidRPr="008B2DDA">
        <w:t>OMPI suivants</w:t>
      </w:r>
      <w:r w:rsidR="00884BA3" w:rsidRPr="008B2DDA">
        <w:t> </w:t>
      </w:r>
      <w:r w:rsidR="00F3011B" w:rsidRPr="008B2DDA">
        <w:t>:</w:t>
      </w:r>
    </w:p>
    <w:p w14:paraId="19B8F276" w14:textId="3A423536" w:rsidR="007079A8" w:rsidRPr="008B2DDA" w:rsidRDefault="00F3011B" w:rsidP="008B2DDA">
      <w:pPr>
        <w:tabs>
          <w:tab w:val="left" w:pos="2268"/>
        </w:tabs>
        <w:ind w:left="567"/>
      </w:pPr>
      <w:r w:rsidRPr="008B2DDA">
        <w:t>Annex</w:t>
      </w:r>
      <w:r w:rsidR="00355FAD" w:rsidRPr="008B2DDA">
        <w:t>e</w:t>
      </w:r>
      <w:r w:rsidR="00E26A2C" w:rsidRPr="008B2DDA">
        <w:t> </w:t>
      </w:r>
      <w:r w:rsidRPr="008B2DDA">
        <w:t>I</w:t>
      </w:r>
      <w:r w:rsidR="00355FAD" w:rsidRPr="008B2DDA">
        <w:t> </w:t>
      </w:r>
      <w:r w:rsidRPr="008B2DDA">
        <w:t>:</w:t>
      </w:r>
      <w:r w:rsidR="00E26A2C" w:rsidRPr="008B2DDA">
        <w:t xml:space="preserve"> </w:t>
      </w:r>
      <w:r w:rsidR="00DF16E7">
        <w:tab/>
      </w:r>
      <w:r w:rsidR="002C0DC4" w:rsidRPr="008B2DDA">
        <w:t>Algérie</w:t>
      </w:r>
    </w:p>
    <w:p w14:paraId="673A6092" w14:textId="36CD8D7D" w:rsidR="007079A8" w:rsidRPr="008B2DDA" w:rsidRDefault="00223D69" w:rsidP="008B2DDA">
      <w:pPr>
        <w:tabs>
          <w:tab w:val="left" w:pos="2268"/>
        </w:tabs>
        <w:ind w:left="567"/>
      </w:pPr>
      <w:r w:rsidRPr="008B2DDA">
        <w:t>Annex</w:t>
      </w:r>
      <w:r w:rsidR="00355FAD" w:rsidRPr="008B2DDA">
        <w:t>e</w:t>
      </w:r>
      <w:r w:rsidR="00E26A2C" w:rsidRPr="008B2DDA">
        <w:t> </w:t>
      </w:r>
      <w:r w:rsidRPr="008B2DDA">
        <w:t>II</w:t>
      </w:r>
      <w:r w:rsidR="00355FAD" w:rsidRPr="008B2DDA">
        <w:t> </w:t>
      </w:r>
      <w:r w:rsidRPr="008B2DDA">
        <w:t>:</w:t>
      </w:r>
      <w:r w:rsidR="00E26A2C" w:rsidRPr="008B2DDA">
        <w:t xml:space="preserve"> </w:t>
      </w:r>
      <w:r w:rsidR="00DF16E7">
        <w:tab/>
      </w:r>
      <w:r w:rsidR="00861355" w:rsidRPr="008B2DDA">
        <w:t>Chili</w:t>
      </w:r>
    </w:p>
    <w:p w14:paraId="4597BAB9" w14:textId="1F92114A" w:rsidR="007079A8" w:rsidRPr="008B2DDA" w:rsidRDefault="00F3011B" w:rsidP="008B2DDA">
      <w:pPr>
        <w:tabs>
          <w:tab w:val="left" w:pos="2268"/>
        </w:tabs>
        <w:ind w:left="567"/>
      </w:pPr>
      <w:r w:rsidRPr="008B2DDA">
        <w:t>Annex</w:t>
      </w:r>
      <w:r w:rsidR="00355FAD" w:rsidRPr="008B2DDA">
        <w:t>e</w:t>
      </w:r>
      <w:r w:rsidR="00E26A2C" w:rsidRPr="008B2DDA">
        <w:t> </w:t>
      </w:r>
      <w:r w:rsidRPr="008B2DDA">
        <w:t>II</w:t>
      </w:r>
      <w:r w:rsidR="00223D69" w:rsidRPr="008B2DDA">
        <w:t>I</w:t>
      </w:r>
      <w:r w:rsidR="00355FAD" w:rsidRPr="008B2DDA">
        <w:t> </w:t>
      </w:r>
      <w:r w:rsidRPr="008B2DDA">
        <w:t>:</w:t>
      </w:r>
      <w:r w:rsidR="00E26A2C" w:rsidRPr="008B2DDA">
        <w:t xml:space="preserve"> </w:t>
      </w:r>
      <w:r w:rsidR="00DF16E7">
        <w:tab/>
      </w:r>
      <w:r w:rsidR="002C0DC4" w:rsidRPr="008B2DDA">
        <w:t>Colombie</w:t>
      </w:r>
    </w:p>
    <w:p w14:paraId="68E32472" w14:textId="4B5BC60F" w:rsidR="007079A8" w:rsidRPr="008B2DDA" w:rsidRDefault="008C023F" w:rsidP="008B2DDA">
      <w:pPr>
        <w:tabs>
          <w:tab w:val="left" w:pos="2268"/>
        </w:tabs>
        <w:ind w:left="567"/>
      </w:pPr>
      <w:r w:rsidRPr="008B2DDA">
        <w:t>Annex</w:t>
      </w:r>
      <w:r w:rsidR="00355FAD" w:rsidRPr="008B2DDA">
        <w:t>e</w:t>
      </w:r>
      <w:r w:rsidR="00E26A2C" w:rsidRPr="008B2DDA">
        <w:t> </w:t>
      </w:r>
      <w:r w:rsidRPr="008B2DDA">
        <w:t>I</w:t>
      </w:r>
      <w:r w:rsidR="00223D69" w:rsidRPr="008B2DDA">
        <w:t>V</w:t>
      </w:r>
      <w:r w:rsidR="00355FAD" w:rsidRPr="008B2DDA">
        <w:t> </w:t>
      </w:r>
      <w:r w:rsidRPr="008B2DDA">
        <w:t>:</w:t>
      </w:r>
      <w:r w:rsidR="00E26A2C" w:rsidRPr="008B2DDA">
        <w:t xml:space="preserve"> </w:t>
      </w:r>
      <w:r w:rsidR="00DF16E7">
        <w:tab/>
      </w:r>
      <w:r w:rsidR="00861355" w:rsidRPr="008B2DDA">
        <w:t>Israël</w:t>
      </w:r>
    </w:p>
    <w:p w14:paraId="6CFA1010" w14:textId="74B806FF" w:rsidR="007079A8" w:rsidRPr="008B2DDA" w:rsidRDefault="002C0DC4" w:rsidP="008B2DDA">
      <w:pPr>
        <w:ind w:left="567"/>
      </w:pPr>
      <w:r w:rsidRPr="008B2DDA">
        <w:t xml:space="preserve">Annexe V : </w:t>
      </w:r>
      <w:r w:rsidRPr="008B2DDA">
        <w:tab/>
      </w:r>
      <w:r w:rsidR="00861355" w:rsidRPr="008B2DDA">
        <w:t>République de Corée</w:t>
      </w:r>
    </w:p>
    <w:p w14:paraId="5047302B" w14:textId="22AA4A3B" w:rsidR="007079A8" w:rsidRPr="008B2DDA" w:rsidRDefault="002C0DC4" w:rsidP="008B2DDA">
      <w:pPr>
        <w:ind w:left="567"/>
      </w:pPr>
      <w:r w:rsidRPr="008B2DDA">
        <w:t xml:space="preserve">Annexe VI : </w:t>
      </w:r>
      <w:r w:rsidRPr="008B2DDA">
        <w:tab/>
      </w:r>
      <w:r w:rsidR="00861355" w:rsidRPr="008B2DDA">
        <w:t>Fédération de Russie</w:t>
      </w:r>
    </w:p>
    <w:p w14:paraId="560FD349" w14:textId="3F6BC628" w:rsidR="007079A8" w:rsidRPr="008B2DDA" w:rsidRDefault="002C0DC4" w:rsidP="008B2DDA">
      <w:pPr>
        <w:ind w:left="567"/>
      </w:pPr>
      <w:r w:rsidRPr="008B2DDA">
        <w:t xml:space="preserve">Annexe VII : </w:t>
      </w:r>
      <w:r w:rsidRPr="008B2DDA">
        <w:tab/>
      </w:r>
      <w:r w:rsidR="00861355" w:rsidRPr="008B2DDA">
        <w:t>Thaïlande</w:t>
      </w:r>
    </w:p>
    <w:p w14:paraId="08635211" w14:textId="79EE81F6" w:rsidR="002C0DC4" w:rsidRPr="008B2DDA" w:rsidRDefault="002C0DC4" w:rsidP="008B2DDA">
      <w:pPr>
        <w:ind w:left="567"/>
      </w:pPr>
      <w:r w:rsidRPr="008B2DDA">
        <w:lastRenderedPageBreak/>
        <w:t xml:space="preserve">Annexe VIII : </w:t>
      </w:r>
      <w:r w:rsidRPr="008B2DDA">
        <w:tab/>
      </w:r>
      <w:r w:rsidR="00861355" w:rsidRPr="008B2DDA">
        <w:t>Togo</w:t>
      </w:r>
    </w:p>
    <w:p w14:paraId="4864564D" w14:textId="4DFCB3FA" w:rsidR="002C0DC4" w:rsidRPr="008B2DDA" w:rsidRDefault="002C0DC4" w:rsidP="008B2DDA">
      <w:pPr>
        <w:ind w:left="567"/>
      </w:pPr>
      <w:r w:rsidRPr="008B2DDA">
        <w:t xml:space="preserve">Annexe IX : </w:t>
      </w:r>
      <w:r w:rsidRPr="008B2DDA">
        <w:tab/>
      </w:r>
      <w:r w:rsidR="00861355" w:rsidRPr="008B2DDA">
        <w:t>Tunisie</w:t>
      </w:r>
    </w:p>
    <w:p w14:paraId="24646CBB" w14:textId="630AF78D" w:rsidR="002C0DC4" w:rsidRPr="008B2DDA" w:rsidRDefault="002C0DC4" w:rsidP="008B2DDA">
      <w:pPr>
        <w:ind w:left="567"/>
      </w:pPr>
      <w:r w:rsidRPr="008B2DDA">
        <w:t xml:space="preserve">Annexe X : </w:t>
      </w:r>
      <w:r w:rsidRPr="008B2DDA">
        <w:tab/>
        <w:t>États</w:t>
      </w:r>
      <w:r w:rsidR="00D67EA4" w:rsidRPr="008B2DDA">
        <w:noBreakHyphen/>
      </w:r>
      <w:r w:rsidRPr="008B2DDA">
        <w:t>Unis d’Amérique</w:t>
      </w:r>
    </w:p>
    <w:p w14:paraId="4BBD4D00" w14:textId="77777777" w:rsidR="00861355" w:rsidRPr="008B2DDA" w:rsidRDefault="00861355" w:rsidP="008B2DDA">
      <w:pPr>
        <w:pStyle w:val="Endofdocument-Annex"/>
      </w:pPr>
    </w:p>
    <w:p w14:paraId="383FC8A6" w14:textId="77777777" w:rsidR="00861355" w:rsidRPr="008B2DDA" w:rsidRDefault="00861355" w:rsidP="008B2DDA">
      <w:pPr>
        <w:pStyle w:val="Endofdocument-Annex"/>
      </w:pPr>
    </w:p>
    <w:p w14:paraId="0201655F" w14:textId="77777777" w:rsidR="00861355" w:rsidRPr="008B2DDA" w:rsidRDefault="00861355" w:rsidP="008B2DDA">
      <w:pPr>
        <w:pStyle w:val="Endofdocument-Annex"/>
      </w:pPr>
    </w:p>
    <w:p w14:paraId="3829866A" w14:textId="77777777" w:rsidR="007079A8" w:rsidRPr="008B2DDA" w:rsidRDefault="00355FAD" w:rsidP="008B2DDA">
      <w:pPr>
        <w:pStyle w:val="Endofdocument-Annex"/>
      </w:pPr>
      <w:r w:rsidRPr="008B2DDA">
        <w:t>[Les annexes suivent]</w:t>
      </w:r>
    </w:p>
    <w:p w14:paraId="2C1663C1" w14:textId="77777777" w:rsidR="007079A8" w:rsidRPr="008B2DDA" w:rsidRDefault="007079A8" w:rsidP="008B2DDA"/>
    <w:p w14:paraId="71FDB562" w14:textId="77777777" w:rsidR="00355FAD" w:rsidRPr="008B2DDA" w:rsidRDefault="00355FAD" w:rsidP="008B2DDA">
      <w:pPr>
        <w:jc w:val="center"/>
        <w:rPr>
          <w:b/>
        </w:rPr>
        <w:sectPr w:rsidR="00355FAD" w:rsidRPr="008B2DDA" w:rsidSect="00A341C2">
          <w:headerReference w:type="default" r:id="rId13"/>
          <w:footerReference w:type="first" r:id="rId14"/>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14:paraId="2F90DB51" w14:textId="306DB824" w:rsidR="00247D89" w:rsidRDefault="00247D89" w:rsidP="008B2DDA">
      <w:pPr>
        <w:jc w:val="center"/>
        <w:rPr>
          <w:b/>
        </w:rPr>
      </w:pPr>
      <w:r>
        <w:rPr>
          <w:b/>
        </w:rPr>
        <w:lastRenderedPageBreak/>
        <w:t>ALGÉRIE</w:t>
      </w:r>
    </w:p>
    <w:p w14:paraId="4B6658E9" w14:textId="77777777" w:rsidR="00247D89" w:rsidRDefault="00247D89" w:rsidP="008B2DDA">
      <w:pPr>
        <w:jc w:val="center"/>
        <w:rPr>
          <w:b/>
        </w:rPr>
      </w:pPr>
    </w:p>
    <w:p w14:paraId="4ACFF67E" w14:textId="060F7572" w:rsidR="00861355" w:rsidRPr="008B2DDA" w:rsidRDefault="00D67EA4" w:rsidP="008B2DDA">
      <w:pPr>
        <w:jc w:val="center"/>
        <w:rPr>
          <w:b/>
        </w:rPr>
      </w:pPr>
      <w:r w:rsidRPr="008B2DDA">
        <w:rPr>
          <w:b/>
        </w:rPr>
        <w:t xml:space="preserve">Résultats des réunions de coordination interministérielles </w:t>
      </w:r>
      <w:r w:rsidRPr="008B2DDA">
        <w:rPr>
          <w:b/>
        </w:rPr>
        <w:br/>
        <w:t>relatives au projet de texte révisé de l’Arrangement de Lisbonne</w:t>
      </w:r>
    </w:p>
    <w:p w14:paraId="27301077" w14:textId="77777777" w:rsidR="00861355" w:rsidRPr="008B2DDA" w:rsidRDefault="00861355" w:rsidP="008B2DDA">
      <w:pPr>
        <w:jc w:val="center"/>
        <w:rPr>
          <w:b/>
        </w:rPr>
      </w:pPr>
    </w:p>
    <w:p w14:paraId="79F46178" w14:textId="47D2302F" w:rsidR="00861355" w:rsidRPr="008B2DDA" w:rsidRDefault="00D67EA4" w:rsidP="008B2DDA">
      <w:pPr>
        <w:jc w:val="center"/>
        <w:rPr>
          <w:b/>
        </w:rPr>
      </w:pPr>
      <w:r w:rsidRPr="008B2DDA">
        <w:rPr>
          <w:b/>
        </w:rPr>
        <w:t>Résumé des positions/observations/propositions d’amendements</w:t>
      </w:r>
    </w:p>
    <w:p w14:paraId="2F4C3A4C" w14:textId="77777777" w:rsidR="00861355" w:rsidRPr="008B2DDA" w:rsidRDefault="00861355" w:rsidP="008B2DDA">
      <w:pPr>
        <w:jc w:val="center"/>
        <w:rPr>
          <w:b/>
        </w:rPr>
      </w:pPr>
    </w:p>
    <w:p w14:paraId="1A653946" w14:textId="77777777" w:rsidR="00861355" w:rsidRPr="008B2DDA" w:rsidRDefault="00861355" w:rsidP="008B2DDA">
      <w:pPr>
        <w:jc w:val="center"/>
        <w:rPr>
          <w:b/>
        </w:rPr>
      </w:pPr>
    </w:p>
    <w:tbl>
      <w:tblPr>
        <w:tblStyle w:val="TableGrid"/>
        <w:tblW w:w="0" w:type="auto"/>
        <w:tblLook w:val="04A0" w:firstRow="1" w:lastRow="0" w:firstColumn="1" w:lastColumn="0" w:noHBand="0" w:noVBand="1"/>
      </w:tblPr>
      <w:tblGrid>
        <w:gridCol w:w="1507"/>
        <w:gridCol w:w="3944"/>
        <w:gridCol w:w="3890"/>
      </w:tblGrid>
      <w:tr w:rsidR="008B2DDA" w:rsidRPr="008B2DDA" w14:paraId="635C0F97" w14:textId="77777777" w:rsidTr="00AB2EF0">
        <w:trPr>
          <w:cantSplit/>
          <w:tblHeader/>
        </w:trPr>
        <w:tc>
          <w:tcPr>
            <w:tcW w:w="1488" w:type="dxa"/>
            <w:tcBorders>
              <w:top w:val="single" w:sz="12" w:space="0" w:color="auto"/>
              <w:left w:val="single" w:sz="12" w:space="0" w:color="auto"/>
              <w:bottom w:val="single" w:sz="12" w:space="0" w:color="auto"/>
              <w:right w:val="single" w:sz="12" w:space="0" w:color="auto"/>
            </w:tcBorders>
          </w:tcPr>
          <w:p w14:paraId="3852E6BB" w14:textId="77777777" w:rsidR="00861355" w:rsidRPr="008B2DDA" w:rsidRDefault="00861355" w:rsidP="008B2DDA">
            <w:pPr>
              <w:jc w:val="center"/>
            </w:pPr>
          </w:p>
          <w:p w14:paraId="5F6A6587" w14:textId="77777777" w:rsidR="00861355" w:rsidRPr="008B2DDA" w:rsidRDefault="00861355" w:rsidP="008B2DDA">
            <w:pPr>
              <w:jc w:val="center"/>
            </w:pPr>
            <w:r w:rsidRPr="008B2DDA">
              <w:rPr>
                <w:b/>
              </w:rPr>
              <w:t>Article/règle</w:t>
            </w:r>
          </w:p>
          <w:p w14:paraId="0FC5E4D5" w14:textId="77777777" w:rsidR="00861355" w:rsidRPr="008B2DDA" w:rsidRDefault="00861355" w:rsidP="008B2DDA">
            <w:pPr>
              <w:jc w:val="center"/>
            </w:pPr>
          </w:p>
        </w:tc>
        <w:tc>
          <w:tcPr>
            <w:tcW w:w="3944" w:type="dxa"/>
            <w:tcBorders>
              <w:top w:val="single" w:sz="12" w:space="0" w:color="auto"/>
              <w:left w:val="single" w:sz="12" w:space="0" w:color="auto"/>
              <w:bottom w:val="single" w:sz="12" w:space="0" w:color="auto"/>
              <w:right w:val="single" w:sz="12" w:space="0" w:color="auto"/>
            </w:tcBorders>
          </w:tcPr>
          <w:p w14:paraId="35E86B5D" w14:textId="77777777" w:rsidR="00861355" w:rsidRPr="008B2DDA" w:rsidRDefault="00861355" w:rsidP="008B2DDA">
            <w:pPr>
              <w:jc w:val="center"/>
            </w:pPr>
          </w:p>
          <w:p w14:paraId="306B9A2A" w14:textId="77777777" w:rsidR="00861355" w:rsidRPr="008B2DDA" w:rsidRDefault="00861355" w:rsidP="008B2DDA">
            <w:pPr>
              <w:jc w:val="center"/>
              <w:rPr>
                <w:b/>
              </w:rPr>
            </w:pPr>
            <w:r w:rsidRPr="008B2DDA">
              <w:rPr>
                <w:b/>
              </w:rPr>
              <w:t>Rédaction actuelle</w:t>
            </w:r>
          </w:p>
        </w:tc>
        <w:tc>
          <w:tcPr>
            <w:tcW w:w="3890" w:type="dxa"/>
            <w:tcBorders>
              <w:top w:val="single" w:sz="12" w:space="0" w:color="auto"/>
              <w:left w:val="single" w:sz="12" w:space="0" w:color="auto"/>
              <w:bottom w:val="single" w:sz="12" w:space="0" w:color="auto"/>
              <w:right w:val="single" w:sz="12" w:space="0" w:color="auto"/>
            </w:tcBorders>
          </w:tcPr>
          <w:p w14:paraId="2B060CC2" w14:textId="77777777" w:rsidR="00861355" w:rsidRPr="008B2DDA" w:rsidRDefault="00861355" w:rsidP="008B2DDA">
            <w:pPr>
              <w:jc w:val="center"/>
            </w:pPr>
          </w:p>
          <w:p w14:paraId="22243D9A" w14:textId="77777777" w:rsidR="00861355" w:rsidRPr="008B2DDA" w:rsidRDefault="00861355" w:rsidP="008B2DDA">
            <w:pPr>
              <w:jc w:val="center"/>
              <w:rPr>
                <w:b/>
              </w:rPr>
            </w:pPr>
            <w:r w:rsidRPr="008B2DDA">
              <w:rPr>
                <w:b/>
              </w:rPr>
              <w:t>Rédaction proposée</w:t>
            </w:r>
          </w:p>
        </w:tc>
      </w:tr>
      <w:tr w:rsidR="008B2DDA" w:rsidRPr="008B2DDA" w14:paraId="3E39843E" w14:textId="77777777" w:rsidTr="00AB2EF0">
        <w:trPr>
          <w:cantSplit/>
        </w:trPr>
        <w:tc>
          <w:tcPr>
            <w:tcW w:w="1488" w:type="dxa"/>
            <w:tcBorders>
              <w:top w:val="single" w:sz="12" w:space="0" w:color="auto"/>
            </w:tcBorders>
            <w:vAlign w:val="center"/>
          </w:tcPr>
          <w:p w14:paraId="5DCEFB1B" w14:textId="77777777" w:rsidR="00861355" w:rsidRPr="008B2DDA" w:rsidRDefault="00861355" w:rsidP="008B2DDA">
            <w:pPr>
              <w:pStyle w:val="Style2"/>
              <w:widowControl/>
              <w:spacing w:before="48" w:line="240" w:lineRule="auto"/>
              <w:rPr>
                <w:rStyle w:val="FontStyle45"/>
                <w:sz w:val="18"/>
                <w:szCs w:val="18"/>
                <w:lang w:val="fr-FR"/>
              </w:rPr>
            </w:pPr>
            <w:r w:rsidRPr="008B2DDA">
              <w:rPr>
                <w:rStyle w:val="FontStyle45"/>
                <w:sz w:val="18"/>
                <w:szCs w:val="18"/>
                <w:lang w:val="fr-FR"/>
              </w:rPr>
              <w:t xml:space="preserve">Article 2  </w:t>
            </w:r>
            <w:r w:rsidRPr="008B2DDA">
              <w:rPr>
                <w:rStyle w:val="FontStyle45"/>
                <w:sz w:val="18"/>
                <w:szCs w:val="18"/>
                <w:lang w:val="fr-FR"/>
              </w:rPr>
              <w:br/>
              <w:t>Objet</w:t>
            </w:r>
          </w:p>
          <w:p w14:paraId="6884202F" w14:textId="77777777" w:rsidR="00861355" w:rsidRPr="008B2DDA" w:rsidRDefault="00861355" w:rsidP="008B2DDA">
            <w:pPr>
              <w:jc w:val="center"/>
              <w:rPr>
                <w:rStyle w:val="FontStyle45"/>
                <w:rFonts w:eastAsiaTheme="minorEastAsia"/>
                <w:sz w:val="18"/>
                <w:szCs w:val="18"/>
                <w:lang w:eastAsia="en-US"/>
              </w:rPr>
            </w:pPr>
          </w:p>
        </w:tc>
        <w:tc>
          <w:tcPr>
            <w:tcW w:w="3944" w:type="dxa"/>
            <w:tcBorders>
              <w:top w:val="single" w:sz="12" w:space="0" w:color="auto"/>
            </w:tcBorders>
          </w:tcPr>
          <w:p w14:paraId="2FD3A210" w14:textId="77777777" w:rsidR="00861355" w:rsidRPr="008B2DDA" w:rsidRDefault="00861355" w:rsidP="008B2DDA">
            <w:pPr>
              <w:pStyle w:val="Style15"/>
              <w:widowControl/>
              <w:tabs>
                <w:tab w:val="left" w:pos="134"/>
              </w:tabs>
              <w:spacing w:line="240" w:lineRule="auto"/>
              <w:rPr>
                <w:rStyle w:val="FontStyle45"/>
                <w:sz w:val="18"/>
                <w:szCs w:val="18"/>
                <w:lang w:val="fr-FR" w:eastAsia="fr-FR"/>
              </w:rPr>
            </w:pPr>
          </w:p>
          <w:p w14:paraId="64FD045F" w14:textId="77777777" w:rsidR="00861355" w:rsidRPr="008B2DDA" w:rsidRDefault="00861355" w:rsidP="008B2DDA">
            <w:pPr>
              <w:tabs>
                <w:tab w:val="left" w:pos="548"/>
              </w:tabs>
              <w:rPr>
                <w:rStyle w:val="FontStyle45"/>
                <w:sz w:val="18"/>
                <w:szCs w:val="18"/>
                <w:lang w:eastAsia="fr-FR"/>
              </w:rPr>
            </w:pPr>
            <w:r w:rsidRPr="008B2DDA">
              <w:rPr>
                <w:rStyle w:val="FontStyle45"/>
                <w:sz w:val="18"/>
                <w:szCs w:val="18"/>
                <w:lang w:eastAsia="fr-FR"/>
              </w:rPr>
              <w:t>i)</w:t>
            </w:r>
            <w:r w:rsidRPr="008B2DDA">
              <w:rPr>
                <w:rStyle w:val="FontStyle45"/>
                <w:sz w:val="18"/>
                <w:szCs w:val="18"/>
                <w:lang w:eastAsia="fr-FR"/>
              </w:rPr>
              <w:tab/>
              <w:t>toute dénomination protégée dans la partie contractante d’origine, constituée du nom d’une aire géographique ou comprenant ce nom, ou constituée d’une autre dénomination connue comme faisant référence à cette aire ou comprenant cette dénomination,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w:t>
            </w:r>
            <w:r w:rsidRPr="008B2DDA">
              <w:rPr>
                <w:rStyle w:val="FontStyle43"/>
                <w:sz w:val="18"/>
                <w:szCs w:val="18"/>
                <w:lang w:eastAsia="fr-FR"/>
              </w:rPr>
              <w:br/>
            </w:r>
            <w:r w:rsidRPr="008B2DDA">
              <w:rPr>
                <w:rStyle w:val="FontStyle45"/>
                <w:sz w:val="18"/>
                <w:szCs w:val="18"/>
                <w:lang w:eastAsia="fr-FR"/>
              </w:rPr>
              <w:t>et</w:t>
            </w:r>
          </w:p>
          <w:p w14:paraId="599D9211" w14:textId="77777777" w:rsidR="00861355" w:rsidRPr="008B2DDA" w:rsidRDefault="00861355" w:rsidP="008B2DDA">
            <w:pPr>
              <w:tabs>
                <w:tab w:val="left" w:pos="578"/>
              </w:tabs>
              <w:rPr>
                <w:rStyle w:val="FontStyle45"/>
                <w:sz w:val="18"/>
                <w:szCs w:val="18"/>
                <w:lang w:eastAsia="fr-FR"/>
              </w:rPr>
            </w:pPr>
            <w:r w:rsidRPr="008B2DDA">
              <w:rPr>
                <w:rStyle w:val="FontStyle45"/>
                <w:sz w:val="18"/>
                <w:szCs w:val="18"/>
                <w:lang w:eastAsia="fr-FR"/>
              </w:rPr>
              <w:t>ii)</w:t>
            </w:r>
            <w:r w:rsidRPr="008B2DDA">
              <w:rPr>
                <w:rStyle w:val="FontStyle45"/>
                <w:sz w:val="18"/>
                <w:szCs w:val="18"/>
                <w:lang w:eastAsia="fr-FR"/>
              </w:rPr>
              <w:tab/>
              <w:t>toute indication protégée dans la partie contractante d’origine, constituée du nom d’une aire géographique ou comprenant ce nom, ou constituée d’une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14:paraId="0CF9830D" w14:textId="77777777" w:rsidR="00861355" w:rsidRPr="008B2DDA" w:rsidRDefault="00861355" w:rsidP="008B2DDA">
            <w:pPr>
              <w:rPr>
                <w:sz w:val="18"/>
                <w:szCs w:val="18"/>
              </w:rPr>
            </w:pPr>
          </w:p>
        </w:tc>
        <w:tc>
          <w:tcPr>
            <w:tcW w:w="3890" w:type="dxa"/>
            <w:tcBorders>
              <w:top w:val="single" w:sz="12" w:space="0" w:color="auto"/>
            </w:tcBorders>
          </w:tcPr>
          <w:p w14:paraId="5B253A46" w14:textId="77777777" w:rsidR="00861355" w:rsidRPr="008B2DDA" w:rsidRDefault="00861355" w:rsidP="008B2DDA">
            <w:pPr>
              <w:rPr>
                <w:sz w:val="18"/>
                <w:szCs w:val="18"/>
              </w:rPr>
            </w:pPr>
          </w:p>
        </w:tc>
      </w:tr>
      <w:tr w:rsidR="008B2DDA" w:rsidRPr="008B2DDA" w14:paraId="69AD4762" w14:textId="77777777" w:rsidTr="00AB2EF0">
        <w:trPr>
          <w:cantSplit/>
        </w:trPr>
        <w:tc>
          <w:tcPr>
            <w:tcW w:w="1488" w:type="dxa"/>
            <w:vAlign w:val="center"/>
          </w:tcPr>
          <w:p w14:paraId="3F931F2E" w14:textId="77777777" w:rsidR="00861355" w:rsidRPr="008B2DDA" w:rsidRDefault="00861355" w:rsidP="008B2DDA">
            <w:pPr>
              <w:pStyle w:val="Style14"/>
              <w:widowControl/>
              <w:spacing w:before="154" w:line="240" w:lineRule="auto"/>
              <w:jc w:val="center"/>
              <w:rPr>
                <w:rStyle w:val="FontStyle45"/>
                <w:sz w:val="18"/>
                <w:szCs w:val="18"/>
                <w:lang w:val="fr-FR"/>
              </w:rPr>
            </w:pPr>
            <w:r w:rsidRPr="008B2DDA">
              <w:rPr>
                <w:rStyle w:val="FontStyle45"/>
                <w:sz w:val="18"/>
                <w:szCs w:val="18"/>
                <w:lang w:val="fr-FR"/>
              </w:rPr>
              <w:t>Article 3 Administration compétente</w:t>
            </w:r>
          </w:p>
          <w:p w14:paraId="0A200DB1" w14:textId="77777777" w:rsidR="00861355" w:rsidRPr="008B2DDA" w:rsidRDefault="00861355" w:rsidP="008B2DDA">
            <w:pPr>
              <w:jc w:val="center"/>
              <w:rPr>
                <w:sz w:val="18"/>
                <w:szCs w:val="18"/>
              </w:rPr>
            </w:pPr>
          </w:p>
        </w:tc>
        <w:tc>
          <w:tcPr>
            <w:tcW w:w="3944" w:type="dxa"/>
          </w:tcPr>
          <w:p w14:paraId="0AB9FAF3" w14:textId="77777777" w:rsidR="00861355" w:rsidRPr="008B2DDA" w:rsidRDefault="00861355" w:rsidP="008B2DDA">
            <w:pPr>
              <w:rPr>
                <w:rStyle w:val="FontStyle45"/>
                <w:sz w:val="18"/>
                <w:szCs w:val="18"/>
                <w:lang w:eastAsia="fr-FR"/>
              </w:rPr>
            </w:pPr>
          </w:p>
          <w:p w14:paraId="1BDCDFDF" w14:textId="77777777" w:rsidR="00861355" w:rsidRPr="008B2DDA" w:rsidRDefault="00861355" w:rsidP="008B2DDA">
            <w:pPr>
              <w:rPr>
                <w:rStyle w:val="FontStyle45"/>
                <w:sz w:val="18"/>
                <w:szCs w:val="18"/>
                <w:lang w:eastAsia="fr-FR"/>
              </w:rPr>
            </w:pPr>
            <w:r w:rsidRPr="008B2DDA">
              <w:rPr>
                <w:rStyle w:val="FontStyle45"/>
                <w:sz w:val="18"/>
                <w:szCs w:val="18"/>
                <w:lang w:eastAsia="fr-FR"/>
              </w:rPr>
              <w:t>Chaque partie contractante désigne une entité chargée de l’administration du présent Acte sur son territoire et des communications avec le Bureau international prévues par le présent Acte et son règlement d’exécution.  Elle notifie le nom et les coordonnées de l’administration compétente au Bureau international, comme précisé dans le règlement d’exécution.</w:t>
            </w:r>
          </w:p>
          <w:p w14:paraId="03852C35" w14:textId="77777777" w:rsidR="00861355" w:rsidRPr="008B2DDA" w:rsidRDefault="00861355" w:rsidP="008B2DDA">
            <w:pPr>
              <w:rPr>
                <w:sz w:val="18"/>
                <w:szCs w:val="18"/>
              </w:rPr>
            </w:pPr>
          </w:p>
        </w:tc>
        <w:tc>
          <w:tcPr>
            <w:tcW w:w="3890" w:type="dxa"/>
          </w:tcPr>
          <w:p w14:paraId="26FD9797" w14:textId="77777777" w:rsidR="00861355" w:rsidRPr="008B2DDA" w:rsidRDefault="00861355" w:rsidP="008B2DDA">
            <w:pPr>
              <w:rPr>
                <w:sz w:val="18"/>
                <w:szCs w:val="18"/>
              </w:rPr>
            </w:pPr>
          </w:p>
        </w:tc>
      </w:tr>
      <w:tr w:rsidR="008B2DDA" w:rsidRPr="008B2DDA" w14:paraId="25C2147F" w14:textId="77777777" w:rsidTr="00AB2EF0">
        <w:trPr>
          <w:cantSplit/>
        </w:trPr>
        <w:tc>
          <w:tcPr>
            <w:tcW w:w="1488" w:type="dxa"/>
            <w:vAlign w:val="center"/>
          </w:tcPr>
          <w:p w14:paraId="3798580A"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 xml:space="preserve">Article 5  </w:t>
            </w:r>
            <w:r w:rsidRPr="008B2DDA">
              <w:rPr>
                <w:rStyle w:val="FontStyle45"/>
                <w:sz w:val="18"/>
                <w:szCs w:val="18"/>
                <w:lang w:val="fr-FR" w:eastAsia="fr-FR"/>
              </w:rPr>
              <w:t>Demande</w:t>
            </w:r>
          </w:p>
          <w:p w14:paraId="6A763E83" w14:textId="77777777" w:rsidR="00861355" w:rsidRPr="008B2DDA" w:rsidRDefault="00861355" w:rsidP="008B2DDA">
            <w:pPr>
              <w:jc w:val="center"/>
              <w:rPr>
                <w:sz w:val="18"/>
                <w:szCs w:val="18"/>
              </w:rPr>
            </w:pPr>
          </w:p>
        </w:tc>
        <w:tc>
          <w:tcPr>
            <w:tcW w:w="3944" w:type="dxa"/>
          </w:tcPr>
          <w:p w14:paraId="55492159" w14:textId="77777777" w:rsidR="00861355" w:rsidRPr="008B2DDA" w:rsidRDefault="00861355" w:rsidP="008B2DDA">
            <w:pPr>
              <w:pStyle w:val="Style14"/>
              <w:widowControl/>
              <w:spacing w:line="240" w:lineRule="auto"/>
              <w:rPr>
                <w:rStyle w:val="FontStyle46"/>
                <w:i w:val="0"/>
                <w:sz w:val="18"/>
                <w:szCs w:val="18"/>
                <w:lang w:val="fr-FR" w:eastAsia="fr-FR"/>
              </w:rPr>
            </w:pPr>
          </w:p>
          <w:p w14:paraId="7191338A" w14:textId="77777777" w:rsidR="00861355" w:rsidRPr="008B2DDA" w:rsidRDefault="00861355" w:rsidP="008B2DDA">
            <w:pPr>
              <w:pStyle w:val="Style14"/>
              <w:widowControl/>
              <w:spacing w:line="240" w:lineRule="auto"/>
              <w:jc w:val="left"/>
              <w:rPr>
                <w:rStyle w:val="FontStyle45"/>
                <w:sz w:val="18"/>
                <w:szCs w:val="18"/>
                <w:lang w:val="fr-FR" w:eastAsia="fr-FR"/>
              </w:rPr>
            </w:pPr>
            <w:r w:rsidRPr="008B2DDA">
              <w:rPr>
                <w:rStyle w:val="FontStyle46"/>
                <w:sz w:val="18"/>
                <w:szCs w:val="18"/>
                <w:lang w:val="fr-FR" w:eastAsia="fr-FR"/>
              </w:rPr>
              <w:t>2)</w:t>
            </w:r>
            <w:r w:rsidRPr="008B2DDA">
              <w:rPr>
                <w:rStyle w:val="FontStyle46"/>
                <w:sz w:val="18"/>
                <w:szCs w:val="18"/>
                <w:lang w:val="fr-FR" w:eastAsia="fr-FR"/>
              </w:rPr>
              <w:tab/>
              <w:t xml:space="preserve">[Demande déposée par l’administration compétente]  </w:t>
            </w:r>
            <w:r w:rsidRPr="008B2DDA">
              <w:rPr>
                <w:rStyle w:val="FontStyle45"/>
                <w:sz w:val="18"/>
                <w:szCs w:val="18"/>
                <w:lang w:val="fr-FR" w:eastAsia="fr-FR"/>
              </w:rPr>
              <w:t>Sous réserve de l’alinéa 3), la demande d’enregistrement international d’une appellation d’origine ou d’une indication géographique est déposée par l’administration compétente au nom :</w:t>
            </w:r>
          </w:p>
          <w:p w14:paraId="6A7317A9" w14:textId="77777777" w:rsidR="00861355" w:rsidRPr="008B2DDA" w:rsidRDefault="00861355" w:rsidP="008B2DDA">
            <w:pPr>
              <w:pStyle w:val="Style2"/>
              <w:widowControl/>
              <w:spacing w:before="10" w:line="240" w:lineRule="auto"/>
              <w:ind w:left="307"/>
              <w:jc w:val="left"/>
              <w:rPr>
                <w:rStyle w:val="FontStyle45"/>
                <w:sz w:val="18"/>
                <w:szCs w:val="18"/>
                <w:lang w:val="fr-FR" w:eastAsia="fr-FR"/>
              </w:rPr>
            </w:pPr>
            <w:r w:rsidRPr="008B2DDA">
              <w:rPr>
                <w:rStyle w:val="FontStyle45"/>
                <w:sz w:val="18"/>
                <w:szCs w:val="18"/>
                <w:lang w:val="fr-FR" w:eastAsia="fr-FR"/>
              </w:rPr>
              <w:t>i)</w:t>
            </w:r>
            <w:r w:rsidRPr="008B2DDA">
              <w:rPr>
                <w:rStyle w:val="FontStyle45"/>
                <w:sz w:val="18"/>
                <w:szCs w:val="18"/>
                <w:lang w:val="fr-FR" w:eastAsia="fr-FR"/>
              </w:rPr>
              <w:tab/>
              <w:t>des bénéficiaires;  ou</w:t>
            </w:r>
          </w:p>
          <w:p w14:paraId="5C5FA933" w14:textId="77777777" w:rsidR="00861355" w:rsidRPr="008B2DDA" w:rsidRDefault="00861355" w:rsidP="008B2DDA">
            <w:pPr>
              <w:pStyle w:val="Style2"/>
              <w:widowControl/>
              <w:spacing w:before="10" w:line="240" w:lineRule="auto"/>
              <w:ind w:firstLine="307"/>
              <w:jc w:val="left"/>
              <w:rPr>
                <w:rStyle w:val="FontStyle45"/>
                <w:sz w:val="18"/>
                <w:szCs w:val="18"/>
                <w:u w:val="single"/>
                <w:lang w:val="fr-FR" w:eastAsia="fr-FR"/>
              </w:rPr>
            </w:pPr>
            <w:r w:rsidRPr="008B2DDA">
              <w:rPr>
                <w:rStyle w:val="FontStyle45"/>
                <w:sz w:val="18"/>
                <w:szCs w:val="18"/>
                <w:lang w:val="fr-FR" w:eastAsia="fr-FR"/>
              </w:rPr>
              <w:t>ii)</w:t>
            </w:r>
            <w:r w:rsidRPr="008B2DDA">
              <w:rPr>
                <w:rStyle w:val="FontStyle45"/>
                <w:sz w:val="18"/>
                <w:szCs w:val="18"/>
                <w:lang w:val="fr-FR" w:eastAsia="fr-FR"/>
              </w:rPr>
              <w:tab/>
              <w:t>d’une personne morale habilitée à revendiquer les droits des bénéficiaires ou d’autres droits relatifs à l’appellation d’origine ou à l’indication géographique, telle que, par exemple, une fédération ou une association qui représente les bénéficiaires, ou un groupe de producteurs les représentant quelle que soit sa composition ou la forme juridique sous laquelle elle se présente.</w:t>
            </w:r>
          </w:p>
          <w:p w14:paraId="5CEAFE90" w14:textId="77777777" w:rsidR="00861355" w:rsidRPr="008B2DDA" w:rsidRDefault="00861355" w:rsidP="008B2DDA">
            <w:pPr>
              <w:pStyle w:val="Style14"/>
              <w:widowControl/>
              <w:spacing w:line="240" w:lineRule="auto"/>
              <w:rPr>
                <w:sz w:val="18"/>
                <w:szCs w:val="18"/>
                <w:lang w:val="fr-FR"/>
              </w:rPr>
            </w:pPr>
          </w:p>
        </w:tc>
        <w:tc>
          <w:tcPr>
            <w:tcW w:w="3890" w:type="dxa"/>
          </w:tcPr>
          <w:p w14:paraId="3E34CFE0" w14:textId="77777777" w:rsidR="00861355" w:rsidRPr="008B2DDA" w:rsidRDefault="00861355" w:rsidP="008B2DDA">
            <w:pPr>
              <w:pStyle w:val="Style34"/>
              <w:widowControl/>
              <w:tabs>
                <w:tab w:val="left" w:pos="1517"/>
              </w:tabs>
              <w:spacing w:before="10" w:line="240" w:lineRule="auto"/>
              <w:rPr>
                <w:rStyle w:val="FontStyle46"/>
                <w:i w:val="0"/>
                <w:sz w:val="18"/>
                <w:szCs w:val="18"/>
                <w:lang w:val="fr-FR" w:eastAsia="fr-FR"/>
              </w:rPr>
            </w:pPr>
          </w:p>
          <w:p w14:paraId="0B179DFE" w14:textId="77777777" w:rsidR="00861355" w:rsidRPr="008B2DDA" w:rsidRDefault="00861355" w:rsidP="008B2DDA">
            <w:pPr>
              <w:pStyle w:val="Style34"/>
              <w:widowControl/>
              <w:tabs>
                <w:tab w:val="left" w:pos="1335"/>
              </w:tabs>
              <w:spacing w:before="10" w:line="240" w:lineRule="auto"/>
              <w:jc w:val="left"/>
              <w:rPr>
                <w:sz w:val="18"/>
                <w:szCs w:val="18"/>
                <w:lang w:val="fr-FR" w:eastAsia="fr-FR"/>
              </w:rPr>
            </w:pPr>
            <w:r w:rsidRPr="008B2DDA">
              <w:rPr>
                <w:rStyle w:val="FontStyle46"/>
                <w:b/>
                <w:sz w:val="18"/>
                <w:szCs w:val="18"/>
                <w:u w:val="single"/>
                <w:lang w:val="fr-FR" w:eastAsia="fr-FR"/>
              </w:rPr>
              <w:t>Proposition</w:t>
            </w:r>
            <w:r w:rsidRPr="008B2DDA">
              <w:rPr>
                <w:rStyle w:val="FontStyle46"/>
                <w:sz w:val="18"/>
                <w:szCs w:val="18"/>
                <w:lang w:val="fr-FR" w:eastAsia="fr-FR"/>
              </w:rPr>
              <w:t xml:space="preserve"> : </w:t>
            </w:r>
            <w:r w:rsidRPr="008B2DDA">
              <w:rPr>
                <w:rStyle w:val="FontStyle46"/>
                <w:sz w:val="18"/>
                <w:szCs w:val="18"/>
                <w:lang w:val="fr-FR" w:eastAsia="fr-FR"/>
              </w:rPr>
              <w:tab/>
              <w:t xml:space="preserve">[Demande déposée par l’administration compétente]  </w:t>
            </w:r>
            <w:r w:rsidRPr="008B2DDA">
              <w:rPr>
                <w:rStyle w:val="FontStyle45"/>
                <w:sz w:val="18"/>
                <w:szCs w:val="18"/>
                <w:lang w:val="fr-FR" w:eastAsia="fr-FR"/>
              </w:rPr>
              <w:t xml:space="preserve">Sous réserve de l’alinéa 3), la demande d’enregistrement international d’une appellation d’origine ou d’une </w:t>
            </w:r>
            <w:r w:rsidRPr="008B2DDA">
              <w:rPr>
                <w:sz w:val="18"/>
                <w:szCs w:val="18"/>
                <w:lang w:val="fr-FR" w:eastAsia="fr-FR"/>
              </w:rPr>
              <w:t>indication géographique est déposée par l’administration compétente au nom :</w:t>
            </w:r>
          </w:p>
          <w:p w14:paraId="2414D60B" w14:textId="77777777" w:rsidR="00861355" w:rsidRPr="008B2DDA" w:rsidRDefault="00861355" w:rsidP="008B2DDA">
            <w:pPr>
              <w:tabs>
                <w:tab w:val="left" w:pos="627"/>
              </w:tabs>
              <w:autoSpaceDE w:val="0"/>
              <w:autoSpaceDN w:val="0"/>
              <w:adjustRightInd w:val="0"/>
              <w:spacing w:before="10"/>
              <w:ind w:firstLine="343"/>
              <w:rPr>
                <w:rFonts w:eastAsiaTheme="minorEastAsia"/>
                <w:sz w:val="18"/>
                <w:szCs w:val="18"/>
                <w:lang w:eastAsia="fr-FR"/>
              </w:rPr>
            </w:pPr>
            <w:r w:rsidRPr="008B2DDA">
              <w:rPr>
                <w:rFonts w:eastAsiaTheme="minorEastAsia"/>
                <w:sz w:val="18"/>
                <w:szCs w:val="18"/>
                <w:lang w:eastAsia="fr-FR"/>
              </w:rPr>
              <w:t>i)</w:t>
            </w:r>
            <w:r w:rsidRPr="008B2DDA">
              <w:rPr>
                <w:rFonts w:eastAsiaTheme="minorEastAsia"/>
                <w:sz w:val="18"/>
                <w:szCs w:val="18"/>
                <w:lang w:eastAsia="fr-FR"/>
              </w:rPr>
              <w:tab/>
              <w:t>des bénéficiaires;  ou</w:t>
            </w:r>
          </w:p>
          <w:p w14:paraId="4E642363" w14:textId="77777777" w:rsidR="00861355" w:rsidRPr="008B2DDA" w:rsidRDefault="00861355" w:rsidP="008B2DDA">
            <w:pPr>
              <w:tabs>
                <w:tab w:val="left" w:pos="627"/>
              </w:tabs>
              <w:autoSpaceDE w:val="0"/>
              <w:autoSpaceDN w:val="0"/>
              <w:adjustRightInd w:val="0"/>
              <w:spacing w:before="10"/>
              <w:ind w:firstLine="343"/>
              <w:rPr>
                <w:rFonts w:eastAsiaTheme="minorEastAsia"/>
                <w:sz w:val="18"/>
                <w:szCs w:val="18"/>
                <w:lang w:eastAsia="fr-FR"/>
              </w:rPr>
            </w:pPr>
            <w:r w:rsidRPr="008B2DDA">
              <w:rPr>
                <w:rFonts w:eastAsiaTheme="minorEastAsia"/>
                <w:sz w:val="18"/>
                <w:szCs w:val="18"/>
                <w:lang w:eastAsia="fr-FR"/>
              </w:rPr>
              <w:t>ii)</w:t>
            </w:r>
            <w:r w:rsidRPr="008B2DDA">
              <w:rPr>
                <w:rFonts w:eastAsiaTheme="minorEastAsia"/>
                <w:sz w:val="18"/>
                <w:szCs w:val="18"/>
                <w:lang w:eastAsia="fr-FR"/>
              </w:rPr>
              <w:tab/>
              <w:t>d’une personne habilitée</w:t>
            </w:r>
            <w:r w:rsidRPr="008B2DDA">
              <w:rPr>
                <w:rFonts w:eastAsiaTheme="minorEastAsia"/>
                <w:b/>
                <w:sz w:val="18"/>
                <w:szCs w:val="18"/>
                <w:lang w:eastAsia="fr-FR"/>
              </w:rPr>
              <w:t>, selon la législation nationale,</w:t>
            </w:r>
            <w:r w:rsidRPr="008B2DDA">
              <w:rPr>
                <w:rFonts w:eastAsiaTheme="minorEastAsia"/>
                <w:sz w:val="18"/>
                <w:szCs w:val="18"/>
                <w:lang w:eastAsia="fr-FR"/>
              </w:rPr>
              <w:t xml:space="preserve"> à revendiquer […] à l’indication géographique</w:t>
            </w:r>
            <w:r w:rsidRPr="008B2DDA">
              <w:rPr>
                <w:rFonts w:eastAsiaTheme="minorEastAsia"/>
                <w:strike/>
                <w:sz w:val="18"/>
                <w:szCs w:val="18"/>
                <w:lang w:eastAsia="fr-FR"/>
              </w:rPr>
              <w:t>,</w:t>
            </w:r>
            <w:r w:rsidRPr="008B2DDA">
              <w:rPr>
                <w:rStyle w:val="FontStyle45"/>
                <w:strike/>
                <w:sz w:val="18"/>
                <w:szCs w:val="18"/>
                <w:lang w:eastAsia="fr-FR"/>
              </w:rPr>
              <w:t xml:space="preserve"> telle que, par exemple, une fédération ou une association qui représente les bénéficiaires, ou un groupe de producteurs les représentant quelle que soit sa composition ou la forme juridique sous laquelle elle se présente</w:t>
            </w:r>
            <w:r w:rsidRPr="008B2DDA">
              <w:rPr>
                <w:rStyle w:val="FontStyle45"/>
                <w:sz w:val="18"/>
                <w:szCs w:val="18"/>
                <w:lang w:eastAsia="fr-FR"/>
              </w:rPr>
              <w:t>.</w:t>
            </w:r>
          </w:p>
          <w:p w14:paraId="72AE5A10" w14:textId="77777777" w:rsidR="00861355" w:rsidRPr="008B2DDA" w:rsidRDefault="00861355" w:rsidP="008B2DDA">
            <w:pPr>
              <w:rPr>
                <w:sz w:val="18"/>
                <w:szCs w:val="18"/>
              </w:rPr>
            </w:pPr>
          </w:p>
        </w:tc>
      </w:tr>
      <w:tr w:rsidR="008B2DDA" w:rsidRPr="008B2DDA" w14:paraId="78EAAA04" w14:textId="77777777" w:rsidTr="00AB2EF0">
        <w:trPr>
          <w:cantSplit/>
        </w:trPr>
        <w:tc>
          <w:tcPr>
            <w:tcW w:w="1488" w:type="dxa"/>
            <w:vAlign w:val="center"/>
          </w:tcPr>
          <w:p w14:paraId="21990935"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 xml:space="preserve">Article 5  </w:t>
            </w:r>
            <w:r w:rsidRPr="008B2DDA">
              <w:rPr>
                <w:rStyle w:val="FontStyle45"/>
                <w:sz w:val="18"/>
                <w:szCs w:val="18"/>
                <w:lang w:val="fr-FR" w:eastAsia="fr-FR"/>
              </w:rPr>
              <w:t>Demande</w:t>
            </w:r>
          </w:p>
          <w:p w14:paraId="0702EB28" w14:textId="77777777" w:rsidR="00861355" w:rsidRPr="008B2DDA" w:rsidRDefault="00861355" w:rsidP="008B2DDA">
            <w:pPr>
              <w:pStyle w:val="Style2"/>
              <w:widowControl/>
              <w:spacing w:before="48" w:line="240" w:lineRule="auto"/>
              <w:rPr>
                <w:sz w:val="18"/>
                <w:szCs w:val="18"/>
                <w:lang w:val="fr-FR"/>
              </w:rPr>
            </w:pPr>
          </w:p>
        </w:tc>
        <w:tc>
          <w:tcPr>
            <w:tcW w:w="3944" w:type="dxa"/>
          </w:tcPr>
          <w:p w14:paraId="16041A27" w14:textId="77777777" w:rsidR="00861355" w:rsidRPr="008B2DDA" w:rsidRDefault="00861355" w:rsidP="008B2DDA">
            <w:pPr>
              <w:pStyle w:val="Style21"/>
              <w:widowControl/>
              <w:spacing w:before="10" w:line="240" w:lineRule="auto"/>
              <w:ind w:firstLine="0"/>
              <w:jc w:val="left"/>
              <w:rPr>
                <w:rStyle w:val="FontStyle46"/>
                <w:i w:val="0"/>
                <w:sz w:val="18"/>
                <w:szCs w:val="18"/>
                <w:lang w:val="fr-FR" w:eastAsia="fr-FR"/>
              </w:rPr>
            </w:pPr>
          </w:p>
          <w:p w14:paraId="366BFB9F" w14:textId="77777777" w:rsidR="00861355" w:rsidRPr="008B2DDA" w:rsidRDefault="00861355" w:rsidP="008B2DDA">
            <w:pPr>
              <w:pStyle w:val="Style21"/>
              <w:widowControl/>
              <w:tabs>
                <w:tab w:val="left" w:pos="264"/>
                <w:tab w:val="left" w:pos="426"/>
              </w:tabs>
              <w:spacing w:before="10" w:line="240" w:lineRule="auto"/>
              <w:ind w:firstLine="0"/>
              <w:jc w:val="left"/>
              <w:rPr>
                <w:rStyle w:val="FontStyle45"/>
                <w:sz w:val="18"/>
                <w:szCs w:val="18"/>
                <w:lang w:val="fr-FR" w:eastAsia="fr-FR"/>
              </w:rPr>
            </w:pPr>
            <w:r w:rsidRPr="008B2DDA">
              <w:rPr>
                <w:rStyle w:val="FontStyle46"/>
                <w:sz w:val="18"/>
                <w:szCs w:val="18"/>
                <w:lang w:val="fr-FR" w:eastAsia="fr-FR"/>
              </w:rPr>
              <w:t>[4)</w:t>
            </w:r>
            <w:r w:rsidRPr="008B2DDA">
              <w:rPr>
                <w:rStyle w:val="FontStyle46"/>
                <w:sz w:val="18"/>
                <w:szCs w:val="18"/>
                <w:lang w:val="fr-FR" w:eastAsia="fr-FR"/>
              </w:rPr>
              <w:tab/>
            </w:r>
            <w:r w:rsidRPr="008B2DDA">
              <w:rPr>
                <w:rStyle w:val="FontStyle46"/>
                <w:sz w:val="18"/>
                <w:szCs w:val="18"/>
                <w:lang w:val="fr-FR" w:eastAsia="fr-FR"/>
              </w:rPr>
              <w:tab/>
              <w:t>[Possibilité de demande conjointe dans le cas d’une aire géographique transfrontalière]</w:t>
            </w:r>
            <w:r w:rsidRPr="008B2DDA">
              <w:rPr>
                <w:rStyle w:val="FontStyle46"/>
                <w:sz w:val="18"/>
                <w:szCs w:val="18"/>
                <w:lang w:val="fr-FR"/>
              </w:rPr>
              <w:t xml:space="preserve"> </w:t>
            </w:r>
            <w:r w:rsidRPr="008B2DDA">
              <w:rPr>
                <w:rStyle w:val="FontStyle46"/>
                <w:sz w:val="18"/>
                <w:szCs w:val="18"/>
                <w:lang w:val="fr-FR"/>
              </w:rPr>
              <w:br/>
            </w:r>
            <w:r w:rsidRPr="008B2DDA">
              <w:rPr>
                <w:rStyle w:val="FontStyle45"/>
                <w:sz w:val="18"/>
                <w:szCs w:val="18"/>
                <w:lang w:val="fr-FR" w:eastAsia="fr-FR"/>
              </w:rPr>
              <w:t xml:space="preserve">a) </w:t>
            </w:r>
            <w:r w:rsidRPr="008B2DDA">
              <w:rPr>
                <w:rStyle w:val="FontStyle45"/>
                <w:sz w:val="18"/>
                <w:szCs w:val="18"/>
                <w:lang w:val="fr-FR" w:eastAsia="fr-FR"/>
              </w:rPr>
              <w:tab/>
              <w:t>Dans le cas d’une aire géographique d’origine qui consiste en une aire géographique transfrontalière, les parties contractantes adjacentes peuvent convenir d’agir comme une unique partie contractante d’origine en déposant une demande conjointement, par l’intermédiaire d’une administration compétente désignée en commun.</w:t>
            </w:r>
          </w:p>
          <w:p w14:paraId="67A0D81A" w14:textId="77777777" w:rsidR="00861355" w:rsidRPr="008B2DDA" w:rsidRDefault="00861355" w:rsidP="008B2DDA">
            <w:pPr>
              <w:pStyle w:val="Style21"/>
              <w:widowControl/>
              <w:tabs>
                <w:tab w:val="left" w:pos="707"/>
              </w:tabs>
              <w:spacing w:before="10" w:line="240" w:lineRule="auto"/>
              <w:ind w:firstLine="342"/>
              <w:jc w:val="left"/>
              <w:rPr>
                <w:rStyle w:val="FontStyle45"/>
                <w:sz w:val="18"/>
                <w:szCs w:val="18"/>
                <w:lang w:val="fr-FR" w:eastAsia="fr-FR"/>
              </w:rPr>
            </w:pPr>
            <w:r w:rsidRPr="008B2DDA">
              <w:rPr>
                <w:rStyle w:val="FontStyle45"/>
                <w:sz w:val="18"/>
                <w:szCs w:val="18"/>
                <w:lang w:val="fr-FR" w:eastAsia="fr-FR"/>
              </w:rPr>
              <w:t>b)</w:t>
            </w:r>
            <w:r w:rsidRPr="008B2DDA">
              <w:rPr>
                <w:rStyle w:val="FontStyle45"/>
                <w:sz w:val="18"/>
                <w:szCs w:val="18"/>
                <w:lang w:val="fr-FR" w:eastAsia="fr-FR"/>
              </w:rPr>
              <w:tab/>
              <w:t>Cette demande peut également être déposée par les bénéficiaires ou une personne morale visée à l’alinéa 2.ii), étant entendu que toutes les parties contractantes adjacentes doivent avoir fait la déclaration visée à l’alinéa 3)b).]</w:t>
            </w:r>
          </w:p>
          <w:p w14:paraId="208F5961" w14:textId="77777777" w:rsidR="00861355" w:rsidRPr="008B2DDA" w:rsidRDefault="00861355" w:rsidP="008B2DDA">
            <w:pPr>
              <w:rPr>
                <w:sz w:val="18"/>
                <w:szCs w:val="18"/>
              </w:rPr>
            </w:pPr>
          </w:p>
        </w:tc>
        <w:tc>
          <w:tcPr>
            <w:tcW w:w="3890" w:type="dxa"/>
          </w:tcPr>
          <w:p w14:paraId="3664A259" w14:textId="77777777" w:rsidR="00861355" w:rsidRPr="008B2DDA" w:rsidRDefault="00861355" w:rsidP="008B2DDA">
            <w:pPr>
              <w:pStyle w:val="Style21"/>
              <w:widowControl/>
              <w:spacing w:before="10" w:line="240" w:lineRule="auto"/>
              <w:ind w:firstLine="0"/>
              <w:jc w:val="left"/>
              <w:rPr>
                <w:rStyle w:val="FontStyle46"/>
                <w:i w:val="0"/>
                <w:sz w:val="18"/>
                <w:szCs w:val="18"/>
                <w:lang w:val="fr-FR" w:eastAsia="fr-FR"/>
              </w:rPr>
            </w:pPr>
          </w:p>
          <w:p w14:paraId="4DB50E71" w14:textId="77777777" w:rsidR="00861355" w:rsidRPr="008B2DDA" w:rsidRDefault="00861355" w:rsidP="008B2DDA">
            <w:pPr>
              <w:pStyle w:val="Style21"/>
              <w:widowControl/>
              <w:tabs>
                <w:tab w:val="left" w:pos="255"/>
                <w:tab w:val="left" w:pos="1389"/>
              </w:tabs>
              <w:spacing w:before="10" w:line="240" w:lineRule="auto"/>
              <w:ind w:firstLine="0"/>
              <w:jc w:val="left"/>
              <w:rPr>
                <w:rStyle w:val="FontStyle45"/>
                <w:strike/>
                <w:sz w:val="18"/>
                <w:szCs w:val="18"/>
                <w:lang w:val="fr-FR" w:eastAsia="fr-FR"/>
              </w:rPr>
            </w:pPr>
            <w:r w:rsidRPr="008B2DDA">
              <w:rPr>
                <w:rStyle w:val="FontStyle46"/>
                <w:sz w:val="18"/>
                <w:szCs w:val="18"/>
                <w:u w:val="single"/>
                <w:lang w:val="fr-FR" w:eastAsia="fr-FR"/>
              </w:rPr>
              <w:t>Suppression</w:t>
            </w:r>
            <w:r w:rsidRPr="008B2DDA">
              <w:rPr>
                <w:rStyle w:val="FontStyle46"/>
                <w:sz w:val="18"/>
                <w:szCs w:val="18"/>
                <w:lang w:val="fr-FR" w:eastAsia="fr-FR"/>
              </w:rPr>
              <w:t xml:space="preserve"> : </w:t>
            </w:r>
            <w:r w:rsidRPr="008B2DDA">
              <w:rPr>
                <w:rStyle w:val="FontStyle46"/>
                <w:strike/>
                <w:sz w:val="18"/>
                <w:szCs w:val="18"/>
                <w:lang w:val="fr-FR" w:eastAsia="fr-FR"/>
              </w:rPr>
              <w:t>[4)</w:t>
            </w:r>
            <w:r w:rsidRPr="008B2DDA">
              <w:rPr>
                <w:rStyle w:val="FontStyle46"/>
                <w:strike/>
                <w:sz w:val="18"/>
                <w:szCs w:val="18"/>
                <w:lang w:val="fr-FR" w:eastAsia="fr-FR"/>
              </w:rPr>
              <w:tab/>
              <w:t xml:space="preserve">[Possibilité de demande conjointe dans le cas d’une aire géographique transfrontalière] </w:t>
            </w:r>
            <w:r w:rsidRPr="008B2DDA">
              <w:rPr>
                <w:rStyle w:val="FontStyle45"/>
                <w:strike/>
                <w:sz w:val="18"/>
                <w:szCs w:val="18"/>
                <w:lang w:val="fr-FR" w:eastAsia="fr-FR"/>
              </w:rPr>
              <w:t>a)</w:t>
            </w:r>
            <w:r w:rsidRPr="008B2DDA">
              <w:rPr>
                <w:rStyle w:val="FontStyle45"/>
                <w:strike/>
                <w:sz w:val="18"/>
                <w:szCs w:val="18"/>
                <w:lang w:val="fr-FR" w:eastAsia="fr-FR"/>
              </w:rPr>
              <w:tab/>
              <w:t>Dans le cas d’une aire géographique d’origine qui consiste en une aire géographique transfrontalière, les parties contractantes adjacentes peuvent convenir d’agir comme une unique partie contractante d’origine en déposant une demande conjointement, par l’intermédiaire d’une administration compétente désignée en commun.</w:t>
            </w:r>
          </w:p>
          <w:p w14:paraId="35F7E449" w14:textId="77777777" w:rsidR="00861355" w:rsidRPr="008B2DDA" w:rsidRDefault="00861355" w:rsidP="008B2DDA">
            <w:pPr>
              <w:pStyle w:val="Style21"/>
              <w:widowControl/>
              <w:tabs>
                <w:tab w:val="left" w:pos="669"/>
              </w:tabs>
              <w:spacing w:before="10" w:line="240" w:lineRule="auto"/>
              <w:ind w:firstLine="342"/>
              <w:jc w:val="left"/>
              <w:rPr>
                <w:rStyle w:val="FontStyle45"/>
                <w:sz w:val="18"/>
                <w:szCs w:val="18"/>
                <w:lang w:val="fr-FR" w:eastAsia="fr-FR"/>
              </w:rPr>
            </w:pPr>
            <w:r w:rsidRPr="008B2DDA">
              <w:rPr>
                <w:rStyle w:val="FontStyle45"/>
                <w:strike/>
                <w:sz w:val="18"/>
                <w:szCs w:val="18"/>
                <w:lang w:val="fr-FR" w:eastAsia="fr-FR"/>
              </w:rPr>
              <w:t>b)</w:t>
            </w:r>
            <w:r w:rsidRPr="008B2DDA">
              <w:rPr>
                <w:rStyle w:val="FontStyle45"/>
                <w:strike/>
                <w:sz w:val="18"/>
                <w:szCs w:val="18"/>
                <w:lang w:val="fr-FR" w:eastAsia="fr-FR"/>
              </w:rPr>
              <w:tab/>
              <w:t>Cette demande peut également être déposée par les bénéficiaires ou une personne morale visée à l’alinéa 2.ii), étant entendu que toutes les parties contractantes adjacentes doivent avoir fait la déclaration visée à l’alinéa 3)b).]</w:t>
            </w:r>
          </w:p>
          <w:p w14:paraId="01FD9931" w14:textId="77777777" w:rsidR="00861355" w:rsidRPr="008B2DDA" w:rsidRDefault="00861355" w:rsidP="008B2DDA">
            <w:pPr>
              <w:rPr>
                <w:sz w:val="18"/>
                <w:szCs w:val="18"/>
              </w:rPr>
            </w:pPr>
          </w:p>
        </w:tc>
      </w:tr>
      <w:tr w:rsidR="008B2DDA" w:rsidRPr="008B2DDA" w14:paraId="37D98107" w14:textId="77777777" w:rsidTr="00AB2EF0">
        <w:trPr>
          <w:cantSplit/>
        </w:trPr>
        <w:tc>
          <w:tcPr>
            <w:tcW w:w="1488" w:type="dxa"/>
            <w:vAlign w:val="center"/>
          </w:tcPr>
          <w:p w14:paraId="5D8944A7"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 xml:space="preserve">Article 7  </w:t>
            </w:r>
            <w:r w:rsidRPr="008B2DDA">
              <w:rPr>
                <w:rStyle w:val="FontStyle45"/>
                <w:sz w:val="18"/>
                <w:szCs w:val="18"/>
                <w:lang w:val="fr-FR"/>
              </w:rPr>
              <w:br/>
              <w:t>Taxes</w:t>
            </w:r>
          </w:p>
          <w:p w14:paraId="761BAC7B" w14:textId="77777777" w:rsidR="00861355" w:rsidRPr="008B2DDA" w:rsidRDefault="00861355" w:rsidP="008B2DDA">
            <w:pPr>
              <w:jc w:val="center"/>
              <w:rPr>
                <w:sz w:val="18"/>
                <w:szCs w:val="18"/>
              </w:rPr>
            </w:pPr>
          </w:p>
        </w:tc>
        <w:tc>
          <w:tcPr>
            <w:tcW w:w="3944" w:type="dxa"/>
          </w:tcPr>
          <w:p w14:paraId="1EB4E784" w14:textId="77777777" w:rsidR="00861355" w:rsidRPr="008B2DDA" w:rsidRDefault="00861355" w:rsidP="008B2DDA">
            <w:pPr>
              <w:rPr>
                <w:rStyle w:val="FontStyle45"/>
                <w:sz w:val="18"/>
                <w:szCs w:val="18"/>
                <w:lang w:eastAsia="fr-FR"/>
              </w:rPr>
            </w:pPr>
          </w:p>
          <w:p w14:paraId="1D227E1C" w14:textId="77777777" w:rsidR="00861355" w:rsidRPr="008B2DDA" w:rsidRDefault="00861355" w:rsidP="008B2DDA">
            <w:pPr>
              <w:rPr>
                <w:rStyle w:val="FontStyle45"/>
                <w:sz w:val="18"/>
                <w:szCs w:val="18"/>
                <w:u w:val="single"/>
                <w:lang w:eastAsia="fr-FR"/>
              </w:rPr>
            </w:pPr>
            <w:r w:rsidRPr="008B2DDA">
              <w:rPr>
                <w:rStyle w:val="FontStyle45"/>
                <w:sz w:val="18"/>
                <w:szCs w:val="18"/>
                <w:u w:val="single"/>
                <w:lang w:eastAsia="fr-FR"/>
              </w:rPr>
              <w:t>VARIANTE A</w:t>
            </w:r>
          </w:p>
          <w:p w14:paraId="4F4CB2C4" w14:textId="77777777" w:rsidR="00861355" w:rsidRPr="008B2DDA" w:rsidRDefault="00861355" w:rsidP="008B2DDA">
            <w:pPr>
              <w:rPr>
                <w:rStyle w:val="FontStyle45"/>
                <w:sz w:val="18"/>
                <w:szCs w:val="18"/>
                <w:lang w:eastAsia="fr-FR"/>
              </w:rPr>
            </w:pPr>
          </w:p>
          <w:p w14:paraId="4C72E4B1" w14:textId="77777777" w:rsidR="00861355" w:rsidRPr="008B2DDA" w:rsidRDefault="00861355" w:rsidP="008B2DDA">
            <w:pPr>
              <w:rPr>
                <w:rStyle w:val="FontStyle45"/>
                <w:sz w:val="18"/>
                <w:szCs w:val="18"/>
                <w:lang w:eastAsia="fr-FR"/>
              </w:rPr>
            </w:pPr>
            <w:r w:rsidRPr="008B2DDA">
              <w:rPr>
                <w:rStyle w:val="FontStyle46"/>
                <w:sz w:val="18"/>
                <w:szCs w:val="18"/>
                <w:lang w:eastAsia="fr-FR"/>
              </w:rPr>
              <w:t>3)</w:t>
            </w:r>
            <w:r w:rsidRPr="008B2DDA">
              <w:rPr>
                <w:rStyle w:val="FontStyle46"/>
                <w:sz w:val="18"/>
                <w:szCs w:val="18"/>
                <w:lang w:eastAsia="fr-FR"/>
              </w:rPr>
              <w:tab/>
              <w:t xml:space="preserve">[Taxe de maintien en vigueur]  </w:t>
            </w:r>
            <w:r w:rsidRPr="008B2DDA">
              <w:rPr>
                <w:rStyle w:val="FontStyle45"/>
                <w:sz w:val="18"/>
                <w:szCs w:val="18"/>
                <w:lang w:eastAsia="fr-FR"/>
              </w:rPr>
              <w:t>L’Assemblée établit une taxe à payer pour le maintien en vigueur de chaque enregistrement international, d’un montant déterminé par la mesure dans laquelle les recettes provenant des sources mentionnées à l’article 24.3)i) et iii) à v) ne suffisent pas à couvrir les dépenses de l’Union particulière.</w:t>
            </w:r>
          </w:p>
          <w:p w14:paraId="6EBC2BD2" w14:textId="77777777" w:rsidR="00861355" w:rsidRPr="008B2DDA" w:rsidRDefault="00861355" w:rsidP="008B2DDA">
            <w:pPr>
              <w:rPr>
                <w:rStyle w:val="FontStyle45"/>
                <w:sz w:val="18"/>
                <w:szCs w:val="18"/>
                <w:lang w:eastAsia="fr-FR"/>
              </w:rPr>
            </w:pPr>
          </w:p>
          <w:p w14:paraId="43EA091B" w14:textId="77777777" w:rsidR="00861355" w:rsidRPr="008B2DDA" w:rsidRDefault="00861355" w:rsidP="008B2DDA">
            <w:pPr>
              <w:rPr>
                <w:rStyle w:val="FontStyle45"/>
                <w:sz w:val="18"/>
                <w:szCs w:val="18"/>
                <w:lang w:eastAsia="fr-FR"/>
              </w:rPr>
            </w:pPr>
            <w:r w:rsidRPr="008B2DDA">
              <w:rPr>
                <w:rStyle w:val="FontStyle45"/>
                <w:sz w:val="18"/>
                <w:szCs w:val="18"/>
                <w:u w:val="single"/>
                <w:lang w:eastAsia="fr-FR"/>
              </w:rPr>
              <w:t>VARIANTE B</w:t>
            </w:r>
          </w:p>
          <w:p w14:paraId="046C275B" w14:textId="77777777" w:rsidR="00861355" w:rsidRPr="008B2DDA" w:rsidRDefault="00861355" w:rsidP="008B2DDA">
            <w:pPr>
              <w:rPr>
                <w:rStyle w:val="FontStyle45"/>
                <w:sz w:val="18"/>
                <w:szCs w:val="18"/>
                <w:lang w:eastAsia="fr-FR"/>
              </w:rPr>
            </w:pPr>
          </w:p>
          <w:p w14:paraId="442E79AB" w14:textId="77777777" w:rsidR="00861355" w:rsidRPr="008B2DDA" w:rsidRDefault="00861355" w:rsidP="008B2DDA">
            <w:pPr>
              <w:rPr>
                <w:rStyle w:val="FontStyle45"/>
                <w:sz w:val="18"/>
                <w:szCs w:val="18"/>
                <w:lang w:eastAsia="fr-FR"/>
              </w:rPr>
            </w:pPr>
            <w:r w:rsidRPr="008B2DDA">
              <w:rPr>
                <w:rStyle w:val="FontStyle45"/>
                <w:sz w:val="18"/>
                <w:szCs w:val="18"/>
                <w:lang w:eastAsia="fr-FR"/>
              </w:rPr>
              <w:t>3)</w:t>
            </w:r>
            <w:r w:rsidRPr="008B2DDA">
              <w:rPr>
                <w:rStyle w:val="FontStyle45"/>
                <w:sz w:val="18"/>
                <w:szCs w:val="18"/>
                <w:lang w:eastAsia="fr-FR"/>
              </w:rPr>
              <w:tab/>
            </w:r>
            <w:r w:rsidRPr="008B2DDA">
              <w:rPr>
                <w:rStyle w:val="FontStyle45"/>
                <w:i/>
                <w:sz w:val="18"/>
                <w:szCs w:val="18"/>
                <w:lang w:eastAsia="fr-FR"/>
              </w:rPr>
              <w:t>[Taxe</w:t>
            </w:r>
            <w:r w:rsidRPr="008B2DDA">
              <w:rPr>
                <w:rStyle w:val="FontStyle45"/>
                <w:sz w:val="18"/>
                <w:szCs w:val="18"/>
                <w:lang w:eastAsia="fr-FR"/>
              </w:rPr>
              <w:t xml:space="preserve"> </w:t>
            </w:r>
            <w:r w:rsidRPr="008B2DDA">
              <w:rPr>
                <w:rStyle w:val="FontStyle46"/>
                <w:sz w:val="18"/>
                <w:szCs w:val="18"/>
                <w:lang w:eastAsia="fr-FR"/>
              </w:rPr>
              <w:t xml:space="preserve">de maintien en vigueur]  </w:t>
            </w:r>
            <w:r w:rsidRPr="008B2DDA">
              <w:rPr>
                <w:rStyle w:val="FontStyle45"/>
                <w:sz w:val="18"/>
                <w:szCs w:val="18"/>
                <w:lang w:eastAsia="fr-FR"/>
              </w:rPr>
              <w:t>L’Assemblée peut établir une taxe à payer pour le maintien en vigueur de chaque enregistrement international, dans la mesure où les recettes provenant des sources mentionnées à l’article 24.3)i) et iii) à v) ne suffisent pas à couvrir les dépenses de l’Union particulière.</w:t>
            </w:r>
          </w:p>
          <w:p w14:paraId="45FE6405" w14:textId="77777777" w:rsidR="00861355" w:rsidRPr="008B2DDA" w:rsidRDefault="00861355" w:rsidP="008B2DDA">
            <w:pPr>
              <w:rPr>
                <w:rStyle w:val="FontStyle45"/>
                <w:sz w:val="18"/>
                <w:szCs w:val="18"/>
                <w:lang w:eastAsia="fr-FR"/>
              </w:rPr>
            </w:pPr>
          </w:p>
          <w:p w14:paraId="4B4FF7EC" w14:textId="77777777" w:rsidR="00861355" w:rsidRPr="008B2DDA" w:rsidRDefault="00861355" w:rsidP="008B2DDA">
            <w:pPr>
              <w:rPr>
                <w:rStyle w:val="FontStyle45"/>
                <w:sz w:val="18"/>
                <w:szCs w:val="18"/>
                <w:lang w:eastAsia="fr-FR"/>
              </w:rPr>
            </w:pPr>
            <w:r w:rsidRPr="008B2DDA">
              <w:rPr>
                <w:rStyle w:val="FontStyle45"/>
                <w:sz w:val="18"/>
                <w:szCs w:val="18"/>
                <w:u w:val="single"/>
                <w:lang w:eastAsia="fr-FR"/>
              </w:rPr>
              <w:t>VARIANTE C</w:t>
            </w:r>
          </w:p>
          <w:p w14:paraId="55E6E5FC" w14:textId="77777777" w:rsidR="00861355" w:rsidRPr="008B2DDA" w:rsidRDefault="00861355" w:rsidP="008B2DDA">
            <w:pPr>
              <w:rPr>
                <w:rStyle w:val="FontStyle45"/>
                <w:sz w:val="18"/>
                <w:szCs w:val="18"/>
                <w:lang w:eastAsia="fr-FR"/>
              </w:rPr>
            </w:pPr>
          </w:p>
          <w:p w14:paraId="1611D8CE" w14:textId="77777777" w:rsidR="00861355" w:rsidRPr="008B2DDA" w:rsidRDefault="00861355" w:rsidP="008B2DDA">
            <w:pPr>
              <w:rPr>
                <w:rStyle w:val="FontStyle45"/>
                <w:sz w:val="18"/>
                <w:szCs w:val="18"/>
                <w:lang w:eastAsia="fr-FR"/>
              </w:rPr>
            </w:pPr>
            <w:r w:rsidRPr="008B2DDA">
              <w:rPr>
                <w:rStyle w:val="FontStyle45"/>
                <w:sz w:val="18"/>
                <w:szCs w:val="18"/>
                <w:lang w:eastAsia="fr-FR"/>
              </w:rPr>
              <w:t>Aucune disposition sur les taxes de maintien en vigueur.</w:t>
            </w:r>
          </w:p>
          <w:p w14:paraId="45B70BA9" w14:textId="77777777" w:rsidR="00861355" w:rsidRPr="008B2DDA" w:rsidRDefault="00861355" w:rsidP="008B2DDA">
            <w:pPr>
              <w:rPr>
                <w:sz w:val="18"/>
                <w:szCs w:val="18"/>
              </w:rPr>
            </w:pPr>
          </w:p>
          <w:p w14:paraId="1A472E69" w14:textId="77777777" w:rsidR="00861355" w:rsidRPr="008B2DDA" w:rsidRDefault="00861355" w:rsidP="008B2DDA">
            <w:pPr>
              <w:rPr>
                <w:rStyle w:val="FontStyle45"/>
                <w:sz w:val="18"/>
                <w:szCs w:val="18"/>
                <w:lang w:eastAsia="fr-FR"/>
              </w:rPr>
            </w:pPr>
            <w:r w:rsidRPr="008B2DDA">
              <w:rPr>
                <w:rStyle w:val="FontStyle46"/>
                <w:sz w:val="18"/>
                <w:szCs w:val="18"/>
                <w:lang w:eastAsia="fr-FR"/>
              </w:rPr>
              <w:t>4)</w:t>
            </w:r>
            <w:r w:rsidRPr="008B2DDA">
              <w:rPr>
                <w:rStyle w:val="FontStyle46"/>
                <w:sz w:val="18"/>
                <w:szCs w:val="18"/>
                <w:lang w:eastAsia="fr-FR"/>
              </w:rPr>
              <w:tab/>
              <w:t xml:space="preserve">[Réduction des taxes]  </w:t>
            </w:r>
            <w:r w:rsidRPr="008B2DDA">
              <w:rPr>
                <w:rStyle w:val="FontStyle45"/>
                <w:sz w:val="18"/>
                <w:szCs w:val="18"/>
                <w:lang w:eastAsia="fr-FR"/>
              </w:rPr>
              <w:t xml:space="preserve">Un régime de taxes réduites est établi par l’Assemblée à l’égard de </w:t>
            </w:r>
            <w:r w:rsidRPr="008B2DDA">
              <w:rPr>
                <w:rStyle w:val="FontStyle45"/>
                <w:sz w:val="18"/>
                <w:szCs w:val="18"/>
                <w:u w:val="single"/>
                <w:lang w:eastAsia="fr-FR"/>
              </w:rPr>
              <w:t xml:space="preserve">certains </w:t>
            </w:r>
            <w:r w:rsidRPr="008B2DDA">
              <w:rPr>
                <w:rStyle w:val="FontStyle45"/>
                <w:sz w:val="18"/>
                <w:szCs w:val="18"/>
                <w:lang w:eastAsia="fr-FR"/>
              </w:rPr>
              <w:t>enregistrements internationaux d’appellations d’origine et à l’égard de certains enregistrements internationaux d’indications géographiques, notamment ceux pour lesquels la partie contractante d’origine est un pays en développement ou un pays figurant parmi les moins avancés.</w:t>
            </w:r>
          </w:p>
          <w:p w14:paraId="37CC27B8" w14:textId="77777777" w:rsidR="00861355" w:rsidRPr="008B2DDA" w:rsidRDefault="00861355" w:rsidP="008B2DDA">
            <w:pPr>
              <w:rPr>
                <w:sz w:val="18"/>
                <w:szCs w:val="18"/>
              </w:rPr>
            </w:pPr>
          </w:p>
        </w:tc>
        <w:tc>
          <w:tcPr>
            <w:tcW w:w="3890" w:type="dxa"/>
          </w:tcPr>
          <w:p w14:paraId="2E1C92D0" w14:textId="77777777" w:rsidR="00861355" w:rsidRPr="008B2DDA" w:rsidRDefault="00861355" w:rsidP="008B2DDA">
            <w:pPr>
              <w:rPr>
                <w:sz w:val="18"/>
                <w:szCs w:val="18"/>
              </w:rPr>
            </w:pPr>
          </w:p>
          <w:p w14:paraId="19390EA8" w14:textId="77777777" w:rsidR="00861355" w:rsidRPr="008B2DDA" w:rsidRDefault="00861355" w:rsidP="008B2DDA">
            <w:pPr>
              <w:rPr>
                <w:sz w:val="18"/>
                <w:szCs w:val="18"/>
              </w:rPr>
            </w:pPr>
          </w:p>
          <w:p w14:paraId="3CF3F562" w14:textId="77777777" w:rsidR="00861355" w:rsidRPr="008B2DDA" w:rsidRDefault="00861355" w:rsidP="008B2DDA">
            <w:pPr>
              <w:rPr>
                <w:sz w:val="18"/>
                <w:szCs w:val="18"/>
              </w:rPr>
            </w:pPr>
          </w:p>
          <w:p w14:paraId="76198CD6" w14:textId="77777777" w:rsidR="00861355" w:rsidRPr="008B2DDA" w:rsidRDefault="00861355" w:rsidP="008B2DDA">
            <w:pPr>
              <w:rPr>
                <w:sz w:val="18"/>
                <w:szCs w:val="18"/>
              </w:rPr>
            </w:pPr>
          </w:p>
          <w:p w14:paraId="4D3CDE95" w14:textId="77777777" w:rsidR="00861355" w:rsidRPr="008B2DDA" w:rsidRDefault="00861355" w:rsidP="008B2DDA">
            <w:pPr>
              <w:rPr>
                <w:sz w:val="18"/>
                <w:szCs w:val="18"/>
              </w:rPr>
            </w:pPr>
          </w:p>
          <w:p w14:paraId="3333E940" w14:textId="77777777" w:rsidR="00861355" w:rsidRPr="008B2DDA" w:rsidRDefault="00861355" w:rsidP="008B2DDA">
            <w:pPr>
              <w:rPr>
                <w:sz w:val="18"/>
                <w:szCs w:val="18"/>
              </w:rPr>
            </w:pPr>
          </w:p>
          <w:p w14:paraId="6987FE09" w14:textId="77777777" w:rsidR="00861355" w:rsidRPr="008B2DDA" w:rsidRDefault="00861355" w:rsidP="008B2DDA">
            <w:pPr>
              <w:rPr>
                <w:sz w:val="18"/>
                <w:szCs w:val="18"/>
              </w:rPr>
            </w:pPr>
          </w:p>
          <w:p w14:paraId="21298B8B" w14:textId="77777777" w:rsidR="00861355" w:rsidRPr="008B2DDA" w:rsidRDefault="00861355" w:rsidP="008B2DDA">
            <w:pPr>
              <w:rPr>
                <w:sz w:val="18"/>
                <w:szCs w:val="18"/>
              </w:rPr>
            </w:pPr>
          </w:p>
          <w:p w14:paraId="51DB1907" w14:textId="77777777" w:rsidR="00861355" w:rsidRPr="008B2DDA" w:rsidRDefault="00861355" w:rsidP="008B2DDA">
            <w:pPr>
              <w:rPr>
                <w:sz w:val="18"/>
                <w:szCs w:val="18"/>
              </w:rPr>
            </w:pPr>
          </w:p>
          <w:p w14:paraId="5D5C10F6" w14:textId="77777777" w:rsidR="00861355" w:rsidRPr="008B2DDA" w:rsidRDefault="00861355" w:rsidP="008B2DDA">
            <w:pPr>
              <w:rPr>
                <w:sz w:val="18"/>
                <w:szCs w:val="18"/>
              </w:rPr>
            </w:pPr>
          </w:p>
          <w:p w14:paraId="30038B07" w14:textId="77777777" w:rsidR="00861355" w:rsidRPr="008B2DDA" w:rsidRDefault="00861355" w:rsidP="008B2DDA">
            <w:pPr>
              <w:rPr>
                <w:sz w:val="18"/>
                <w:szCs w:val="18"/>
              </w:rPr>
            </w:pPr>
          </w:p>
          <w:p w14:paraId="12F96755" w14:textId="77777777" w:rsidR="00861355" w:rsidRPr="008B2DDA" w:rsidRDefault="00861355" w:rsidP="008B2DDA">
            <w:pPr>
              <w:rPr>
                <w:sz w:val="18"/>
                <w:szCs w:val="18"/>
              </w:rPr>
            </w:pPr>
          </w:p>
          <w:p w14:paraId="04FDEEEA" w14:textId="77777777" w:rsidR="00861355" w:rsidRPr="008B2DDA" w:rsidRDefault="00861355" w:rsidP="008B2DDA">
            <w:pPr>
              <w:rPr>
                <w:sz w:val="18"/>
                <w:szCs w:val="18"/>
              </w:rPr>
            </w:pPr>
          </w:p>
          <w:p w14:paraId="1CC341FB" w14:textId="77777777" w:rsidR="00861355" w:rsidRPr="008B2DDA" w:rsidRDefault="00861355" w:rsidP="008B2DDA">
            <w:pPr>
              <w:rPr>
                <w:sz w:val="18"/>
                <w:szCs w:val="18"/>
              </w:rPr>
            </w:pPr>
          </w:p>
          <w:p w14:paraId="09C6EBCA" w14:textId="77777777" w:rsidR="00861355" w:rsidRPr="008B2DDA" w:rsidRDefault="00861355" w:rsidP="008B2DDA">
            <w:pPr>
              <w:rPr>
                <w:sz w:val="18"/>
                <w:szCs w:val="18"/>
              </w:rPr>
            </w:pPr>
          </w:p>
          <w:p w14:paraId="2F50614D" w14:textId="77777777" w:rsidR="00861355" w:rsidRPr="008B2DDA" w:rsidRDefault="00861355" w:rsidP="008B2DDA">
            <w:pPr>
              <w:rPr>
                <w:sz w:val="18"/>
                <w:szCs w:val="18"/>
              </w:rPr>
            </w:pPr>
          </w:p>
          <w:p w14:paraId="39B1944D" w14:textId="77777777" w:rsidR="00861355" w:rsidRPr="008B2DDA" w:rsidRDefault="00861355" w:rsidP="008B2DDA">
            <w:pPr>
              <w:rPr>
                <w:sz w:val="18"/>
                <w:szCs w:val="18"/>
              </w:rPr>
            </w:pPr>
          </w:p>
          <w:p w14:paraId="6C9312D4" w14:textId="77777777" w:rsidR="00861355" w:rsidRPr="008B2DDA" w:rsidRDefault="00861355" w:rsidP="008B2DDA">
            <w:pPr>
              <w:rPr>
                <w:sz w:val="18"/>
                <w:szCs w:val="18"/>
              </w:rPr>
            </w:pPr>
          </w:p>
          <w:p w14:paraId="61464C72" w14:textId="77777777" w:rsidR="00861355" w:rsidRPr="008B2DDA" w:rsidRDefault="00861355" w:rsidP="008B2DDA">
            <w:pPr>
              <w:rPr>
                <w:sz w:val="18"/>
                <w:szCs w:val="18"/>
              </w:rPr>
            </w:pPr>
          </w:p>
          <w:p w14:paraId="60EF8DF3" w14:textId="77777777" w:rsidR="00861355" w:rsidRPr="008B2DDA" w:rsidRDefault="00861355" w:rsidP="008B2DDA">
            <w:pPr>
              <w:rPr>
                <w:sz w:val="18"/>
                <w:szCs w:val="18"/>
              </w:rPr>
            </w:pPr>
          </w:p>
          <w:p w14:paraId="612589A1" w14:textId="77777777" w:rsidR="00861355" w:rsidRPr="008B2DDA" w:rsidRDefault="00861355" w:rsidP="008B2DDA">
            <w:pPr>
              <w:rPr>
                <w:sz w:val="18"/>
                <w:szCs w:val="18"/>
              </w:rPr>
            </w:pPr>
          </w:p>
          <w:p w14:paraId="781DC3F8" w14:textId="77777777" w:rsidR="00861355" w:rsidRPr="008B2DDA" w:rsidRDefault="00861355" w:rsidP="008B2DDA">
            <w:pPr>
              <w:rPr>
                <w:sz w:val="18"/>
                <w:szCs w:val="18"/>
              </w:rPr>
            </w:pPr>
          </w:p>
          <w:p w14:paraId="28F4032C" w14:textId="77777777" w:rsidR="00861355" w:rsidRPr="008B2DDA" w:rsidRDefault="00861355" w:rsidP="008B2DDA">
            <w:pPr>
              <w:rPr>
                <w:sz w:val="18"/>
                <w:szCs w:val="18"/>
              </w:rPr>
            </w:pPr>
          </w:p>
          <w:p w14:paraId="342A6F0D" w14:textId="77777777" w:rsidR="00861355" w:rsidRPr="008B2DDA" w:rsidRDefault="00861355" w:rsidP="008B2DDA">
            <w:pPr>
              <w:rPr>
                <w:sz w:val="18"/>
                <w:szCs w:val="18"/>
              </w:rPr>
            </w:pPr>
          </w:p>
          <w:p w14:paraId="5AF304D0" w14:textId="77777777" w:rsidR="00861355" w:rsidRPr="008B2DDA" w:rsidRDefault="00861355" w:rsidP="008B2DDA">
            <w:pPr>
              <w:rPr>
                <w:sz w:val="18"/>
                <w:szCs w:val="18"/>
              </w:rPr>
            </w:pPr>
          </w:p>
          <w:p w14:paraId="380C7728" w14:textId="77777777" w:rsidR="00861355" w:rsidRPr="008B2DDA" w:rsidRDefault="00861355" w:rsidP="008B2DDA">
            <w:pPr>
              <w:rPr>
                <w:rStyle w:val="FontStyle46"/>
                <w:i w:val="0"/>
                <w:sz w:val="18"/>
                <w:szCs w:val="18"/>
                <w:lang w:eastAsia="fr-FR"/>
              </w:rPr>
            </w:pPr>
          </w:p>
          <w:p w14:paraId="5143F9F8" w14:textId="77777777" w:rsidR="00861355" w:rsidRPr="008B2DDA" w:rsidRDefault="00861355" w:rsidP="008B2DDA">
            <w:pPr>
              <w:rPr>
                <w:sz w:val="18"/>
                <w:szCs w:val="18"/>
              </w:rPr>
            </w:pPr>
            <w:r w:rsidRPr="008B2DDA">
              <w:rPr>
                <w:rStyle w:val="FontStyle46"/>
                <w:sz w:val="18"/>
                <w:szCs w:val="18"/>
                <w:lang w:eastAsia="fr-FR"/>
              </w:rPr>
              <w:t>4)</w:t>
            </w:r>
            <w:r w:rsidRPr="008B2DDA">
              <w:rPr>
                <w:rStyle w:val="FontStyle46"/>
                <w:sz w:val="18"/>
                <w:szCs w:val="18"/>
                <w:lang w:eastAsia="fr-FR"/>
              </w:rPr>
              <w:tab/>
              <w:t xml:space="preserve">[Réduction des taxes]  </w:t>
            </w:r>
            <w:r w:rsidRPr="008B2DDA">
              <w:rPr>
                <w:rStyle w:val="FontStyle45"/>
                <w:sz w:val="18"/>
                <w:szCs w:val="18"/>
                <w:lang w:eastAsia="fr-FR"/>
              </w:rPr>
              <w:t xml:space="preserve">Un régime de taxes réduites est établi par l’Assemblée à l’égard de </w:t>
            </w:r>
            <w:r w:rsidRPr="008B2DDA">
              <w:rPr>
                <w:rStyle w:val="FontStyle45"/>
                <w:strike/>
                <w:sz w:val="18"/>
                <w:szCs w:val="18"/>
                <w:u w:val="single"/>
                <w:lang w:eastAsia="fr-FR"/>
              </w:rPr>
              <w:t>certains</w:t>
            </w:r>
            <w:r w:rsidRPr="008B2DDA">
              <w:rPr>
                <w:rStyle w:val="FontStyle45"/>
                <w:sz w:val="18"/>
                <w:szCs w:val="18"/>
                <w:u w:val="single"/>
                <w:lang w:eastAsia="fr-FR"/>
              </w:rPr>
              <w:t xml:space="preserve"> </w:t>
            </w:r>
            <w:r w:rsidRPr="008B2DDA">
              <w:rPr>
                <w:rStyle w:val="FontStyle45"/>
                <w:sz w:val="18"/>
                <w:szCs w:val="18"/>
                <w:lang w:eastAsia="fr-FR"/>
              </w:rPr>
              <w:t>enregistrements internationaux d’appellations d’origine et à l’égard de certains enregistrements internationaux d’indications géographiques, notamment ceux pour lesquels la partie contractante d’origine est un pays en développement ou un pays figurant parmi les moins avancés.</w:t>
            </w:r>
          </w:p>
        </w:tc>
      </w:tr>
      <w:tr w:rsidR="008B2DDA" w:rsidRPr="008B2DDA" w14:paraId="7236D10A" w14:textId="77777777" w:rsidTr="00AB2EF0">
        <w:trPr>
          <w:cantSplit/>
        </w:trPr>
        <w:tc>
          <w:tcPr>
            <w:tcW w:w="1488" w:type="dxa"/>
            <w:vAlign w:val="center"/>
          </w:tcPr>
          <w:p w14:paraId="2E37AC88" w14:textId="77777777" w:rsidR="00861355" w:rsidRPr="008B2DDA" w:rsidRDefault="00861355" w:rsidP="008B2DDA">
            <w:pPr>
              <w:pStyle w:val="Style2"/>
              <w:widowControl/>
              <w:spacing w:before="48" w:line="240" w:lineRule="auto"/>
              <w:rPr>
                <w:rStyle w:val="FontStyle45"/>
                <w:sz w:val="18"/>
                <w:szCs w:val="18"/>
              </w:rPr>
            </w:pPr>
            <w:r w:rsidRPr="008B2DDA">
              <w:rPr>
                <w:rStyle w:val="FontStyle45"/>
                <w:sz w:val="18"/>
                <w:szCs w:val="18"/>
              </w:rPr>
              <w:lastRenderedPageBreak/>
              <w:t xml:space="preserve">Article 7  </w:t>
            </w:r>
            <w:r w:rsidRPr="008B2DDA">
              <w:rPr>
                <w:rStyle w:val="FontStyle45"/>
                <w:sz w:val="18"/>
                <w:szCs w:val="18"/>
              </w:rPr>
              <w:br/>
              <w:t>Taxes</w:t>
            </w:r>
          </w:p>
          <w:p w14:paraId="28E29FB8" w14:textId="77777777" w:rsidR="00861355" w:rsidRPr="008B2DDA" w:rsidRDefault="00861355" w:rsidP="008B2DDA">
            <w:pPr>
              <w:jc w:val="center"/>
              <w:rPr>
                <w:rStyle w:val="FontStyle45"/>
                <w:rFonts w:eastAsiaTheme="minorEastAsia"/>
                <w:sz w:val="18"/>
                <w:szCs w:val="18"/>
                <w:lang w:eastAsia="en-US"/>
              </w:rPr>
            </w:pPr>
          </w:p>
        </w:tc>
        <w:tc>
          <w:tcPr>
            <w:tcW w:w="3944" w:type="dxa"/>
          </w:tcPr>
          <w:p w14:paraId="1916262B" w14:textId="77777777" w:rsidR="00861355" w:rsidRPr="008B2DDA" w:rsidRDefault="00861355" w:rsidP="008B2DDA">
            <w:pPr>
              <w:rPr>
                <w:rStyle w:val="FontStyle45"/>
                <w:sz w:val="18"/>
                <w:szCs w:val="18"/>
                <w:lang w:eastAsia="fr-FR"/>
              </w:rPr>
            </w:pPr>
          </w:p>
          <w:p w14:paraId="01C30EAD" w14:textId="2C09D727" w:rsidR="00861355" w:rsidRPr="008B2DDA" w:rsidRDefault="00861355" w:rsidP="008B2DDA">
            <w:pPr>
              <w:autoSpaceDE w:val="0"/>
              <w:autoSpaceDN w:val="0"/>
              <w:adjustRightInd w:val="0"/>
              <w:ind w:firstLine="29"/>
              <w:rPr>
                <w:rFonts w:eastAsiaTheme="minorEastAsia"/>
                <w:i/>
                <w:sz w:val="18"/>
                <w:szCs w:val="18"/>
                <w:lang w:eastAsia="fr-FR"/>
              </w:rPr>
            </w:pPr>
            <w:r w:rsidRPr="008B2DDA">
              <w:rPr>
                <w:rFonts w:eastAsiaTheme="minorEastAsia"/>
                <w:sz w:val="18"/>
                <w:szCs w:val="18"/>
                <w:lang w:eastAsia="fr-FR"/>
              </w:rPr>
              <w:t>5)</w:t>
            </w:r>
            <w:r w:rsidRPr="008B2DDA">
              <w:rPr>
                <w:rFonts w:eastAsiaTheme="minorEastAsia"/>
                <w:sz w:val="18"/>
                <w:szCs w:val="18"/>
                <w:lang w:eastAsia="fr-FR"/>
              </w:rPr>
              <w:tab/>
            </w:r>
            <w:r w:rsidRPr="008B2DDA">
              <w:rPr>
                <w:rFonts w:eastAsiaTheme="minorEastAsia"/>
                <w:i/>
                <w:sz w:val="18"/>
                <w:szCs w:val="18"/>
                <w:lang w:eastAsia="fr-FR"/>
              </w:rPr>
              <w:t>[Taxe individuelle] (règle 8</w:t>
            </w:r>
            <w:r w:rsidR="00D67EA4" w:rsidRPr="008B2DDA">
              <w:rPr>
                <w:rFonts w:eastAsiaTheme="minorEastAsia"/>
                <w:i/>
                <w:sz w:val="18"/>
                <w:szCs w:val="18"/>
                <w:lang w:eastAsia="fr-FR"/>
              </w:rPr>
              <w:noBreakHyphen/>
            </w:r>
            <w:r w:rsidRPr="008B2DDA">
              <w:rPr>
                <w:rFonts w:eastAsiaTheme="minorEastAsia"/>
                <w:i/>
                <w:sz w:val="18"/>
                <w:szCs w:val="18"/>
                <w:lang w:eastAsia="fr-FR"/>
              </w:rPr>
              <w:t>3)</w:t>
            </w:r>
          </w:p>
          <w:p w14:paraId="3316A82A" w14:textId="77777777" w:rsidR="00861355" w:rsidRPr="008B2DDA" w:rsidRDefault="00861355" w:rsidP="008B2DDA">
            <w:pPr>
              <w:autoSpaceDE w:val="0"/>
              <w:autoSpaceDN w:val="0"/>
              <w:adjustRightInd w:val="0"/>
              <w:ind w:firstLine="29"/>
              <w:rPr>
                <w:rFonts w:eastAsiaTheme="minorEastAsia"/>
                <w:sz w:val="18"/>
                <w:szCs w:val="18"/>
                <w:lang w:eastAsia="fr-FR"/>
              </w:rPr>
            </w:pPr>
          </w:p>
          <w:p w14:paraId="073E1846" w14:textId="77777777" w:rsidR="00861355" w:rsidRPr="008B2DDA" w:rsidRDefault="00861355" w:rsidP="008B2DDA">
            <w:pPr>
              <w:autoSpaceDE w:val="0"/>
              <w:autoSpaceDN w:val="0"/>
              <w:adjustRightInd w:val="0"/>
              <w:ind w:firstLine="29"/>
              <w:rPr>
                <w:rFonts w:eastAsiaTheme="minorEastAsia"/>
                <w:sz w:val="18"/>
                <w:szCs w:val="18"/>
                <w:u w:val="single"/>
                <w:lang w:eastAsia="fr-FR"/>
              </w:rPr>
            </w:pPr>
            <w:r w:rsidRPr="008B2DDA">
              <w:rPr>
                <w:rFonts w:eastAsiaTheme="minorEastAsia"/>
                <w:sz w:val="18"/>
                <w:szCs w:val="18"/>
                <w:u w:val="single"/>
                <w:lang w:eastAsia="fr-FR"/>
              </w:rPr>
              <w:t>VARIANTE A</w:t>
            </w:r>
          </w:p>
          <w:p w14:paraId="7435E4B5" w14:textId="77777777" w:rsidR="00861355" w:rsidRPr="008B2DDA" w:rsidRDefault="00861355" w:rsidP="008B2DDA">
            <w:pPr>
              <w:autoSpaceDE w:val="0"/>
              <w:autoSpaceDN w:val="0"/>
              <w:adjustRightInd w:val="0"/>
              <w:rPr>
                <w:rFonts w:eastAsiaTheme="minorEastAsia"/>
                <w:sz w:val="18"/>
                <w:szCs w:val="18"/>
                <w:lang w:eastAsia="fr-FR"/>
              </w:rPr>
            </w:pPr>
          </w:p>
          <w:p w14:paraId="5293E532" w14:textId="77777777" w:rsidR="00861355" w:rsidRPr="008B2DDA" w:rsidRDefault="00861355" w:rsidP="008B2DDA">
            <w:pPr>
              <w:tabs>
                <w:tab w:val="left" w:pos="416"/>
              </w:tabs>
              <w:autoSpaceDE w:val="0"/>
              <w:autoSpaceDN w:val="0"/>
              <w:adjustRightInd w:val="0"/>
              <w:rPr>
                <w:rFonts w:eastAsiaTheme="minorEastAsia"/>
                <w:sz w:val="18"/>
                <w:szCs w:val="18"/>
                <w:lang w:eastAsia="fr-FR"/>
              </w:rPr>
            </w:pPr>
            <w:r w:rsidRPr="008B2DDA">
              <w:rPr>
                <w:rFonts w:eastAsiaTheme="minorEastAsia"/>
                <w:sz w:val="18"/>
                <w:szCs w:val="18"/>
                <w:lang w:eastAsia="fr-FR"/>
              </w:rPr>
              <w:t>a)</w:t>
            </w:r>
            <w:r w:rsidRPr="008B2DDA">
              <w:rPr>
                <w:rFonts w:eastAsiaTheme="minorEastAsia"/>
                <w:sz w:val="18"/>
                <w:szCs w:val="18"/>
                <w:lang w:eastAsia="fr-FR"/>
              </w:rPr>
              <w:tab/>
              <w:t>Toute partie contractante peut, dans une déclaration, notifier au Directeur général que la protection découlant de l’enregistrement ne s’étend à elle que si une taxe est acquittée pour couvrir le coût de l’examen quant au fond de l’enregistrement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  En outre, la partie contractante peut, dans une déclaration, notifier au Directeur général que la protection résultant de l’enregistrement international est subordonnée à des conditions de maintien en vigueur ou de renouvellement et au paiement de taxes.</w:t>
            </w:r>
          </w:p>
          <w:p w14:paraId="0ECC894E" w14:textId="732F4BA5" w:rsidR="00861355" w:rsidRPr="008B2DDA" w:rsidRDefault="00861355" w:rsidP="008B2DDA">
            <w:pPr>
              <w:tabs>
                <w:tab w:val="left" w:pos="416"/>
              </w:tabs>
              <w:autoSpaceDE w:val="0"/>
              <w:autoSpaceDN w:val="0"/>
              <w:adjustRightInd w:val="0"/>
              <w:rPr>
                <w:rFonts w:eastAsiaTheme="minorEastAsia"/>
                <w:sz w:val="18"/>
                <w:szCs w:val="18"/>
                <w:lang w:eastAsia="fr-FR"/>
              </w:rPr>
            </w:pPr>
            <w:r w:rsidRPr="008B2DDA">
              <w:rPr>
                <w:rFonts w:eastAsiaTheme="minorEastAsia"/>
                <w:sz w:val="18"/>
                <w:szCs w:val="18"/>
                <w:lang w:eastAsia="fr-FR"/>
              </w:rPr>
              <w:t>b)</w:t>
            </w:r>
            <w:r w:rsidRPr="008B2DDA">
              <w:rPr>
                <w:rFonts w:eastAsiaTheme="minorEastAsia"/>
                <w:sz w:val="18"/>
                <w:szCs w:val="18"/>
                <w:lang w:eastAsia="fr-FR"/>
              </w:rPr>
              <w:tab/>
              <w:t>Le non</w:t>
            </w:r>
            <w:r w:rsidR="00D67EA4" w:rsidRPr="008B2DDA">
              <w:rPr>
                <w:rFonts w:eastAsiaTheme="minorEastAsia"/>
                <w:sz w:val="18"/>
                <w:szCs w:val="18"/>
                <w:lang w:eastAsia="fr-FR"/>
              </w:rPr>
              <w:noBreakHyphen/>
            </w:r>
            <w:r w:rsidRPr="008B2DDA">
              <w:rPr>
                <w:rFonts w:eastAsiaTheme="minorEastAsia"/>
                <w:sz w:val="18"/>
                <w:szCs w:val="18"/>
                <w:lang w:eastAsia="fr-FR"/>
              </w:rPr>
              <w:t>paiement d’une taxe individuelle a pour effet qu’il est renoncé à la protection à l’égard de la partie contractante exigeant la taxe.</w:t>
            </w:r>
          </w:p>
          <w:p w14:paraId="57BC3C84" w14:textId="77777777" w:rsidR="00861355" w:rsidRPr="008B2DDA" w:rsidRDefault="00861355" w:rsidP="008B2DDA">
            <w:pPr>
              <w:tabs>
                <w:tab w:val="left" w:pos="416"/>
              </w:tabs>
              <w:autoSpaceDE w:val="0"/>
              <w:autoSpaceDN w:val="0"/>
              <w:adjustRightInd w:val="0"/>
              <w:rPr>
                <w:rFonts w:eastAsiaTheme="minorEastAsia"/>
                <w:sz w:val="18"/>
                <w:szCs w:val="18"/>
                <w:lang w:eastAsia="fr-FR"/>
              </w:rPr>
            </w:pPr>
          </w:p>
          <w:p w14:paraId="6B6A8338" w14:textId="77777777" w:rsidR="00861355" w:rsidRPr="008B2DDA" w:rsidRDefault="00861355" w:rsidP="008B2DDA">
            <w:pPr>
              <w:tabs>
                <w:tab w:val="left" w:pos="416"/>
              </w:tabs>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B</w:t>
            </w:r>
          </w:p>
          <w:p w14:paraId="7038F16E" w14:textId="77777777" w:rsidR="00861355" w:rsidRPr="008B2DDA" w:rsidRDefault="00861355" w:rsidP="008B2DDA">
            <w:pPr>
              <w:tabs>
                <w:tab w:val="left" w:pos="416"/>
              </w:tabs>
              <w:autoSpaceDE w:val="0"/>
              <w:autoSpaceDN w:val="0"/>
              <w:adjustRightInd w:val="0"/>
              <w:ind w:firstLine="58"/>
              <w:rPr>
                <w:rFonts w:eastAsiaTheme="minorEastAsia"/>
                <w:sz w:val="18"/>
                <w:szCs w:val="18"/>
                <w:lang w:eastAsia="fr-FR"/>
              </w:rPr>
            </w:pPr>
          </w:p>
          <w:p w14:paraId="5392ECFD" w14:textId="77777777" w:rsidR="00861355" w:rsidRPr="008B2DDA" w:rsidRDefault="00861355" w:rsidP="008B2DDA">
            <w:pPr>
              <w:tabs>
                <w:tab w:val="left" w:pos="416"/>
              </w:tabs>
              <w:autoSpaceDE w:val="0"/>
              <w:autoSpaceDN w:val="0"/>
              <w:adjustRightInd w:val="0"/>
              <w:rPr>
                <w:rFonts w:eastAsiaTheme="minorEastAsia"/>
                <w:sz w:val="18"/>
                <w:szCs w:val="18"/>
                <w:lang w:eastAsia="fr-FR"/>
              </w:rPr>
            </w:pPr>
            <w:r w:rsidRPr="008B2DDA">
              <w:rPr>
                <w:rFonts w:eastAsiaTheme="minorEastAsia"/>
                <w:sz w:val="18"/>
                <w:szCs w:val="18"/>
                <w:lang w:eastAsia="fr-FR"/>
              </w:rPr>
              <w:t>a)</w:t>
            </w:r>
            <w:r w:rsidRPr="008B2DDA">
              <w:rPr>
                <w:rFonts w:eastAsiaTheme="minorEastAsia"/>
                <w:sz w:val="18"/>
                <w:szCs w:val="18"/>
                <w:lang w:eastAsia="fr-FR"/>
              </w:rPr>
              <w:tab/>
              <w:t>L’Assemblée peut prévoir la possibilité pour les parties contractantes d’adopter des taxes individuelles afin de couvrir les coûts de l’examen quant au fond des enregistrements internationaux.</w:t>
            </w:r>
          </w:p>
          <w:p w14:paraId="469A92A2" w14:textId="5D5D3ACC" w:rsidR="00861355" w:rsidRPr="008B2DDA" w:rsidRDefault="00861355" w:rsidP="008B2DDA">
            <w:pPr>
              <w:tabs>
                <w:tab w:val="left" w:pos="416"/>
              </w:tabs>
              <w:rPr>
                <w:rFonts w:eastAsiaTheme="minorEastAsia"/>
                <w:sz w:val="18"/>
                <w:szCs w:val="18"/>
                <w:lang w:eastAsia="fr-FR"/>
              </w:rPr>
            </w:pPr>
            <w:r w:rsidRPr="008B2DDA">
              <w:rPr>
                <w:rFonts w:eastAsiaTheme="minorEastAsia"/>
                <w:sz w:val="18"/>
                <w:szCs w:val="18"/>
                <w:lang w:eastAsia="fr-FR"/>
              </w:rPr>
              <w:t>b)</w:t>
            </w:r>
            <w:r w:rsidRPr="008B2DDA">
              <w:rPr>
                <w:rFonts w:eastAsiaTheme="minorEastAsia"/>
                <w:sz w:val="18"/>
                <w:szCs w:val="18"/>
                <w:lang w:eastAsia="fr-FR"/>
              </w:rPr>
              <w:tab/>
              <w:t>Le non</w:t>
            </w:r>
            <w:r w:rsidR="00D67EA4" w:rsidRPr="008B2DDA">
              <w:rPr>
                <w:rFonts w:eastAsiaTheme="minorEastAsia"/>
                <w:sz w:val="18"/>
                <w:szCs w:val="18"/>
                <w:lang w:eastAsia="fr-FR"/>
              </w:rPr>
              <w:noBreakHyphen/>
            </w:r>
            <w:r w:rsidRPr="008B2DDA">
              <w:rPr>
                <w:rFonts w:eastAsiaTheme="minorEastAsia"/>
                <w:sz w:val="18"/>
                <w:szCs w:val="18"/>
                <w:lang w:eastAsia="fr-FR"/>
              </w:rPr>
              <w:t>paiement d’une taxe individuelle a pour effet qu’il est renoncé à la protection à l’égard de la partie contractante exigeant la taxe.</w:t>
            </w:r>
          </w:p>
          <w:p w14:paraId="32F819D5" w14:textId="77777777" w:rsidR="00861355" w:rsidRPr="008B2DDA" w:rsidRDefault="00861355" w:rsidP="008B2DDA">
            <w:pPr>
              <w:rPr>
                <w:rStyle w:val="FontStyle45"/>
                <w:sz w:val="18"/>
                <w:szCs w:val="18"/>
                <w:lang w:eastAsia="fr-FR"/>
              </w:rPr>
            </w:pPr>
          </w:p>
        </w:tc>
        <w:tc>
          <w:tcPr>
            <w:tcW w:w="3890" w:type="dxa"/>
          </w:tcPr>
          <w:p w14:paraId="7303D711" w14:textId="77777777" w:rsidR="00861355" w:rsidRPr="008B2DDA" w:rsidRDefault="00861355" w:rsidP="008B2DDA">
            <w:pPr>
              <w:autoSpaceDE w:val="0"/>
              <w:autoSpaceDN w:val="0"/>
              <w:adjustRightInd w:val="0"/>
              <w:rPr>
                <w:rFonts w:eastAsiaTheme="minorEastAsia"/>
                <w:sz w:val="18"/>
                <w:szCs w:val="18"/>
                <w:lang w:eastAsia="fr-FR"/>
              </w:rPr>
            </w:pPr>
          </w:p>
          <w:p w14:paraId="755EAD72" w14:textId="77777777" w:rsidR="00861355" w:rsidRPr="008B2DDA" w:rsidRDefault="00861355" w:rsidP="008B2DDA">
            <w:pPr>
              <w:autoSpaceDE w:val="0"/>
              <w:autoSpaceDN w:val="0"/>
              <w:adjustRightInd w:val="0"/>
              <w:rPr>
                <w:rFonts w:eastAsiaTheme="minorEastAsia"/>
                <w:sz w:val="18"/>
                <w:szCs w:val="18"/>
                <w:lang w:eastAsia="fr-FR"/>
              </w:rPr>
            </w:pPr>
          </w:p>
          <w:p w14:paraId="4C30DB6F" w14:textId="77777777" w:rsidR="00861355" w:rsidRPr="008B2DDA" w:rsidRDefault="00861355" w:rsidP="008B2DDA">
            <w:pPr>
              <w:autoSpaceDE w:val="0"/>
              <w:autoSpaceDN w:val="0"/>
              <w:adjustRightInd w:val="0"/>
              <w:rPr>
                <w:rFonts w:eastAsiaTheme="minorEastAsia"/>
                <w:sz w:val="18"/>
                <w:szCs w:val="18"/>
                <w:lang w:eastAsia="fr-FR"/>
              </w:rPr>
            </w:pPr>
          </w:p>
          <w:p w14:paraId="095F1642" w14:textId="77777777" w:rsidR="00861355" w:rsidRPr="008B2DDA" w:rsidRDefault="00861355" w:rsidP="008B2DDA">
            <w:pPr>
              <w:autoSpaceDE w:val="0"/>
              <w:autoSpaceDN w:val="0"/>
              <w:adjustRightInd w:val="0"/>
              <w:rPr>
                <w:rFonts w:eastAsiaTheme="minorEastAsia"/>
                <w:sz w:val="18"/>
                <w:szCs w:val="18"/>
                <w:lang w:eastAsia="fr-FR"/>
              </w:rPr>
            </w:pPr>
          </w:p>
          <w:p w14:paraId="1FE588CB" w14:textId="77777777" w:rsidR="00861355" w:rsidRPr="008B2DDA" w:rsidRDefault="00861355" w:rsidP="008B2DDA">
            <w:pPr>
              <w:autoSpaceDE w:val="0"/>
              <w:autoSpaceDN w:val="0"/>
              <w:adjustRightInd w:val="0"/>
              <w:rPr>
                <w:rFonts w:eastAsiaTheme="minorEastAsia"/>
                <w:sz w:val="18"/>
                <w:szCs w:val="18"/>
                <w:lang w:eastAsia="fr-FR"/>
              </w:rPr>
            </w:pPr>
          </w:p>
          <w:p w14:paraId="43BD8AAB" w14:textId="77777777" w:rsidR="00861355" w:rsidRPr="008B2DDA" w:rsidRDefault="00861355" w:rsidP="008B2DDA">
            <w:pPr>
              <w:tabs>
                <w:tab w:val="left" w:pos="482"/>
              </w:tabs>
              <w:autoSpaceDE w:val="0"/>
              <w:autoSpaceDN w:val="0"/>
              <w:adjustRightInd w:val="0"/>
              <w:rPr>
                <w:rFonts w:eastAsiaTheme="minorEastAsia"/>
                <w:sz w:val="18"/>
                <w:szCs w:val="18"/>
                <w:lang w:eastAsia="fr-FR"/>
              </w:rPr>
            </w:pPr>
            <w:r w:rsidRPr="008B2DDA">
              <w:rPr>
                <w:rFonts w:eastAsiaTheme="minorEastAsia"/>
                <w:sz w:val="18"/>
                <w:szCs w:val="18"/>
                <w:lang w:eastAsia="fr-FR"/>
              </w:rPr>
              <w:t>a)</w:t>
            </w:r>
            <w:r w:rsidRPr="008B2DDA">
              <w:rPr>
                <w:rFonts w:eastAsiaTheme="minorEastAsia"/>
                <w:sz w:val="18"/>
                <w:szCs w:val="18"/>
                <w:lang w:eastAsia="fr-FR"/>
              </w:rPr>
              <w:tab/>
              <w:t xml:space="preserve">Toute partie contractante peut, dans une déclaration, notifier au Directeur général que la protection découlant de l’enregistrement international ne s’étend à elle que si une taxe est acquittée pour couvrir le coût de l’examen quant au fond de l’enregistrement international.  Le montant de cette taxe individuelle est indiqué dans la déclaration et peut être modifié dans des déclarations ultérieures.  </w:t>
            </w:r>
            <w:r w:rsidRPr="008B2DDA">
              <w:rPr>
                <w:rFonts w:eastAsiaTheme="minorEastAsia"/>
                <w:strike/>
                <w:sz w:val="18"/>
                <w:szCs w:val="18"/>
                <w:lang w:eastAsia="fr-FR"/>
              </w:rPr>
              <w:t xml:space="preserve">Ce montant ne peut pas dépasser le montant équivalant à celui exigé en vertu de la législation nationale ou régionale de la partie contractante, déduction faite des économies découlant de la procédure internationale.  </w:t>
            </w:r>
            <w:r w:rsidRPr="008B2DDA">
              <w:rPr>
                <w:rFonts w:eastAsiaTheme="minorEastAsia"/>
                <w:sz w:val="18"/>
                <w:szCs w:val="18"/>
                <w:lang w:eastAsia="fr-FR"/>
              </w:rPr>
              <w:t>En outre, la partie contractante peut, dans une déclaration, notifier au Directeur général que la protection résultant de l’enregistrement international est subordonnée à des conditions de maintien en vigueur ou de renouvellement et au paiement de taxes.</w:t>
            </w:r>
          </w:p>
          <w:p w14:paraId="597DA16E" w14:textId="77777777" w:rsidR="00861355" w:rsidRPr="008B2DDA" w:rsidRDefault="00861355" w:rsidP="008B2DDA">
            <w:pPr>
              <w:tabs>
                <w:tab w:val="left" w:pos="482"/>
              </w:tabs>
              <w:rPr>
                <w:rFonts w:eastAsiaTheme="minorEastAsia"/>
                <w:sz w:val="18"/>
                <w:szCs w:val="18"/>
                <w:lang w:eastAsia="fr-FR"/>
              </w:rPr>
            </w:pPr>
          </w:p>
          <w:p w14:paraId="43A6D499" w14:textId="534DEB6A" w:rsidR="00861355" w:rsidRPr="008B2DDA" w:rsidRDefault="00861355" w:rsidP="008B2DDA">
            <w:pPr>
              <w:tabs>
                <w:tab w:val="left" w:pos="482"/>
              </w:tabs>
              <w:rPr>
                <w:sz w:val="18"/>
                <w:szCs w:val="18"/>
              </w:rPr>
            </w:pPr>
            <w:r w:rsidRPr="008B2DDA">
              <w:rPr>
                <w:rFonts w:eastAsiaTheme="minorEastAsia"/>
                <w:sz w:val="18"/>
                <w:szCs w:val="18"/>
                <w:lang w:eastAsia="fr-FR"/>
              </w:rPr>
              <w:t>b)</w:t>
            </w:r>
            <w:r w:rsidRPr="008B2DDA">
              <w:rPr>
                <w:rFonts w:eastAsiaTheme="minorEastAsia"/>
                <w:sz w:val="18"/>
                <w:szCs w:val="18"/>
                <w:lang w:eastAsia="fr-FR"/>
              </w:rPr>
              <w:tab/>
              <w:t>Le non</w:t>
            </w:r>
            <w:r w:rsidR="00D67EA4" w:rsidRPr="008B2DDA">
              <w:rPr>
                <w:rFonts w:eastAsiaTheme="minorEastAsia"/>
                <w:sz w:val="18"/>
                <w:szCs w:val="18"/>
                <w:lang w:eastAsia="fr-FR"/>
              </w:rPr>
              <w:noBreakHyphen/>
            </w:r>
            <w:r w:rsidRPr="008B2DDA">
              <w:rPr>
                <w:rFonts w:eastAsiaTheme="minorEastAsia"/>
                <w:sz w:val="18"/>
                <w:szCs w:val="18"/>
                <w:lang w:eastAsia="fr-FR"/>
              </w:rPr>
              <w:t>paiement d’une taxe individuelle a pour effet qu’il est renoncé à la protection à l’égard de la partie contractante exigeant la taxe.</w:t>
            </w:r>
          </w:p>
        </w:tc>
      </w:tr>
      <w:tr w:rsidR="008B2DDA" w:rsidRPr="008B2DDA" w14:paraId="68FBE656" w14:textId="77777777" w:rsidTr="00AB2EF0">
        <w:trPr>
          <w:cantSplit/>
        </w:trPr>
        <w:tc>
          <w:tcPr>
            <w:tcW w:w="1488" w:type="dxa"/>
            <w:vAlign w:val="center"/>
          </w:tcPr>
          <w:p w14:paraId="3BFE5635"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 xml:space="preserve">Article 8  </w:t>
            </w:r>
            <w:r w:rsidRPr="008B2DDA">
              <w:rPr>
                <w:rStyle w:val="FontStyle45"/>
                <w:sz w:val="18"/>
                <w:szCs w:val="18"/>
                <w:lang w:val="fr-FR"/>
              </w:rPr>
              <w:br/>
              <w:t>Durée de validité des enregistrements internationaux</w:t>
            </w:r>
          </w:p>
          <w:p w14:paraId="273E068C" w14:textId="77777777" w:rsidR="00861355" w:rsidRPr="008B2DDA" w:rsidRDefault="00861355" w:rsidP="008B2DDA">
            <w:pPr>
              <w:jc w:val="center"/>
              <w:rPr>
                <w:sz w:val="18"/>
                <w:szCs w:val="18"/>
              </w:rPr>
            </w:pPr>
          </w:p>
        </w:tc>
        <w:tc>
          <w:tcPr>
            <w:tcW w:w="3944" w:type="dxa"/>
          </w:tcPr>
          <w:p w14:paraId="118DF3CA" w14:textId="77777777" w:rsidR="00861355" w:rsidRPr="008B2DDA" w:rsidRDefault="00861355" w:rsidP="008B2DDA">
            <w:pPr>
              <w:rPr>
                <w:rStyle w:val="FontStyle45"/>
                <w:sz w:val="18"/>
                <w:szCs w:val="18"/>
                <w:lang w:eastAsia="fr-FR"/>
              </w:rPr>
            </w:pPr>
          </w:p>
          <w:p w14:paraId="0DCE5870" w14:textId="77777777" w:rsidR="00861355" w:rsidRPr="008B2DDA" w:rsidRDefault="00861355" w:rsidP="008B2DDA">
            <w:pPr>
              <w:rPr>
                <w:rStyle w:val="FontStyle45"/>
                <w:sz w:val="18"/>
                <w:szCs w:val="18"/>
                <w:lang w:eastAsia="fr-FR"/>
              </w:rPr>
            </w:pPr>
            <w:r w:rsidRPr="008B2DDA">
              <w:rPr>
                <w:rStyle w:val="FontStyle46"/>
                <w:sz w:val="18"/>
                <w:szCs w:val="18"/>
                <w:lang w:eastAsia="fr-FR"/>
              </w:rPr>
              <w:t>2)</w:t>
            </w:r>
            <w:r w:rsidRPr="008B2DDA">
              <w:rPr>
                <w:rStyle w:val="FontStyle46"/>
                <w:sz w:val="18"/>
                <w:szCs w:val="18"/>
                <w:lang w:eastAsia="fr-FR"/>
              </w:rPr>
              <w:tab/>
              <w:t xml:space="preserve">[Radiation]  </w:t>
            </w:r>
            <w:r w:rsidRPr="008B2DDA">
              <w:rPr>
                <w:rStyle w:val="FontStyle45"/>
                <w:sz w:val="18"/>
                <w:szCs w:val="18"/>
                <w:lang w:eastAsia="fr-FR"/>
              </w:rPr>
              <w:t>a) L’administration compétente de la partie contractante d’origine, ou, dans le cas visé à l’article 5.3), les bénéficiaires ou la personne morale visée à l’article 5.2</w:t>
            </w:r>
            <w:proofErr w:type="gramStart"/>
            <w:r w:rsidRPr="008B2DDA">
              <w:rPr>
                <w:rStyle w:val="FontStyle45"/>
                <w:sz w:val="18"/>
                <w:szCs w:val="18"/>
                <w:lang w:eastAsia="fr-FR"/>
              </w:rPr>
              <w:t>)ii</w:t>
            </w:r>
            <w:proofErr w:type="gramEnd"/>
            <w:r w:rsidRPr="008B2DDA">
              <w:rPr>
                <w:rStyle w:val="FontStyle45"/>
                <w:sz w:val="18"/>
                <w:szCs w:val="18"/>
                <w:lang w:eastAsia="fr-FR"/>
              </w:rPr>
              <w:t>) ou l’administration compétente de la partie contractante d’origine, peuvent en tout temps demander au Bureau international la radiation de l’enregistrement international concerné.</w:t>
            </w:r>
          </w:p>
          <w:p w14:paraId="4023822D" w14:textId="77777777" w:rsidR="00861355" w:rsidRPr="008B2DDA" w:rsidRDefault="00861355" w:rsidP="008B2DDA">
            <w:pPr>
              <w:tabs>
                <w:tab w:val="left" w:pos="424"/>
              </w:tabs>
              <w:autoSpaceDE w:val="0"/>
              <w:autoSpaceDN w:val="0"/>
              <w:adjustRightInd w:val="0"/>
              <w:rPr>
                <w:rFonts w:eastAsiaTheme="minorEastAsia"/>
                <w:sz w:val="18"/>
                <w:szCs w:val="18"/>
                <w:lang w:eastAsia="fr-FR"/>
              </w:rPr>
            </w:pPr>
            <w:r w:rsidRPr="008B2DDA">
              <w:rPr>
                <w:rFonts w:eastAsiaTheme="minorEastAsia"/>
                <w:sz w:val="18"/>
                <w:szCs w:val="18"/>
                <w:lang w:eastAsia="fr-FR"/>
              </w:rPr>
              <w:t>b)</w:t>
            </w:r>
            <w:r w:rsidRPr="008B2DDA">
              <w:rPr>
                <w:rFonts w:eastAsiaTheme="minorEastAsia"/>
                <w:sz w:val="18"/>
                <w:szCs w:val="18"/>
                <w:lang w:eastAsia="fr-FR"/>
              </w:rPr>
              <w:tab/>
              <w:t>Dans le cas où la dénomination constituant une appellation d’origine enregistrée ou l’indication constituant une indication géographique n’est plus protégée dans la partie contractante d’origine, l’administration compétente de la partie contractante d’origine demande la radiation de l’enregistrement international.</w:t>
            </w:r>
          </w:p>
          <w:p w14:paraId="2D45C8BF" w14:textId="77777777" w:rsidR="00861355" w:rsidRPr="008B2DDA" w:rsidRDefault="00861355" w:rsidP="008B2DDA">
            <w:pPr>
              <w:autoSpaceDE w:val="0"/>
              <w:autoSpaceDN w:val="0"/>
              <w:adjustRightInd w:val="0"/>
              <w:rPr>
                <w:rStyle w:val="FontStyle45"/>
                <w:sz w:val="18"/>
                <w:szCs w:val="18"/>
                <w:lang w:eastAsia="fr-FR"/>
              </w:rPr>
            </w:pPr>
          </w:p>
        </w:tc>
        <w:tc>
          <w:tcPr>
            <w:tcW w:w="3890" w:type="dxa"/>
          </w:tcPr>
          <w:p w14:paraId="69331D67" w14:textId="77777777" w:rsidR="00861355" w:rsidRPr="008B2DDA" w:rsidRDefault="00861355" w:rsidP="008B2DDA">
            <w:pPr>
              <w:rPr>
                <w:sz w:val="18"/>
                <w:szCs w:val="18"/>
              </w:rPr>
            </w:pPr>
          </w:p>
        </w:tc>
      </w:tr>
      <w:tr w:rsidR="008B2DDA" w:rsidRPr="008B2DDA" w14:paraId="622A3C40" w14:textId="77777777" w:rsidTr="00AB2EF0">
        <w:trPr>
          <w:cantSplit/>
        </w:trPr>
        <w:tc>
          <w:tcPr>
            <w:tcW w:w="1488" w:type="dxa"/>
            <w:vAlign w:val="center"/>
          </w:tcPr>
          <w:p w14:paraId="22C05CFE" w14:textId="77777777" w:rsidR="00861355" w:rsidRPr="008B2DDA" w:rsidRDefault="00861355" w:rsidP="008B2DDA">
            <w:pPr>
              <w:pStyle w:val="Style2"/>
              <w:keepNext/>
              <w:keepLines/>
              <w:widowControl/>
              <w:spacing w:before="48" w:line="240" w:lineRule="auto"/>
              <w:rPr>
                <w:rStyle w:val="FontStyle45"/>
                <w:sz w:val="18"/>
                <w:szCs w:val="18"/>
                <w:lang w:val="fr-FR" w:eastAsia="fr-FR"/>
              </w:rPr>
            </w:pPr>
            <w:r w:rsidRPr="008B2DDA">
              <w:rPr>
                <w:rStyle w:val="FontStyle45"/>
                <w:sz w:val="18"/>
                <w:szCs w:val="18"/>
                <w:lang w:val="fr-FR"/>
              </w:rPr>
              <w:lastRenderedPageBreak/>
              <w:t>Article 9  Engagement à protéger</w:t>
            </w:r>
          </w:p>
          <w:p w14:paraId="48BC3764" w14:textId="77777777" w:rsidR="00861355" w:rsidRPr="008B2DDA" w:rsidRDefault="00861355" w:rsidP="008B2DDA">
            <w:pPr>
              <w:keepNext/>
              <w:keepLines/>
              <w:jc w:val="center"/>
              <w:rPr>
                <w:sz w:val="18"/>
                <w:szCs w:val="18"/>
              </w:rPr>
            </w:pPr>
          </w:p>
        </w:tc>
        <w:tc>
          <w:tcPr>
            <w:tcW w:w="3944" w:type="dxa"/>
          </w:tcPr>
          <w:p w14:paraId="77A5DD3A" w14:textId="77777777" w:rsidR="00861355" w:rsidRPr="008B2DDA" w:rsidRDefault="00861355" w:rsidP="008B2DDA">
            <w:pPr>
              <w:keepNext/>
              <w:keepLines/>
              <w:rPr>
                <w:rStyle w:val="FontStyle45"/>
                <w:sz w:val="18"/>
                <w:szCs w:val="18"/>
                <w:lang w:eastAsia="fr-FR"/>
              </w:rPr>
            </w:pPr>
          </w:p>
          <w:p w14:paraId="3124FB79" w14:textId="77777777" w:rsidR="00861355" w:rsidRPr="008B2DDA" w:rsidRDefault="00861355" w:rsidP="008B2DDA">
            <w:pPr>
              <w:keepNext/>
              <w:keepLines/>
              <w:rPr>
                <w:rStyle w:val="FontStyle45"/>
                <w:sz w:val="18"/>
                <w:szCs w:val="18"/>
                <w:lang w:eastAsia="fr-FR"/>
              </w:rPr>
            </w:pPr>
            <w:r w:rsidRPr="008B2DDA">
              <w:rPr>
                <w:rStyle w:val="FontStyle45"/>
                <w:sz w:val="18"/>
                <w:szCs w:val="18"/>
                <w:lang w:eastAsia="fr-FR"/>
              </w:rPr>
              <w:t>Chaque partie contractante protège sur son territoire les appellations d’origine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à l’égard de son territoire et étant entendu que les parties contractantes qui ne font pas de distinction dans leur législation nationale ou régionale entre les appellations d’origine et les indications géographiques ne sont pas tenues de prévoir une telle distinction dans leur législation nationale ou régionale.</w:t>
            </w:r>
          </w:p>
          <w:p w14:paraId="72D01F1B" w14:textId="77777777" w:rsidR="00861355" w:rsidRPr="008B2DDA" w:rsidRDefault="00861355" w:rsidP="008B2DDA">
            <w:pPr>
              <w:keepNext/>
              <w:keepLines/>
              <w:rPr>
                <w:rStyle w:val="FontStyle45"/>
                <w:sz w:val="18"/>
                <w:szCs w:val="18"/>
                <w:lang w:eastAsia="fr-FR"/>
              </w:rPr>
            </w:pPr>
          </w:p>
        </w:tc>
        <w:tc>
          <w:tcPr>
            <w:tcW w:w="3890" w:type="dxa"/>
          </w:tcPr>
          <w:p w14:paraId="354639F5" w14:textId="77777777" w:rsidR="00861355" w:rsidRPr="008B2DDA" w:rsidRDefault="00861355" w:rsidP="008B2DDA">
            <w:pPr>
              <w:keepNext/>
              <w:keepLines/>
              <w:rPr>
                <w:sz w:val="18"/>
                <w:szCs w:val="18"/>
              </w:rPr>
            </w:pPr>
          </w:p>
        </w:tc>
      </w:tr>
      <w:tr w:rsidR="008B2DDA" w:rsidRPr="008B2DDA" w14:paraId="429C725E" w14:textId="77777777" w:rsidTr="00AB2EF0">
        <w:trPr>
          <w:cantSplit/>
        </w:trPr>
        <w:tc>
          <w:tcPr>
            <w:tcW w:w="1488" w:type="dxa"/>
            <w:vAlign w:val="center"/>
          </w:tcPr>
          <w:p w14:paraId="095651B3"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10  Protection découlant des lois des parties contractantes ou d’autres instruments</w:t>
            </w:r>
          </w:p>
          <w:p w14:paraId="4F88E976" w14:textId="77777777" w:rsidR="00861355" w:rsidRPr="008B2DDA" w:rsidRDefault="00861355" w:rsidP="008B2DDA">
            <w:pPr>
              <w:jc w:val="center"/>
              <w:rPr>
                <w:sz w:val="18"/>
                <w:szCs w:val="18"/>
              </w:rPr>
            </w:pPr>
          </w:p>
        </w:tc>
        <w:tc>
          <w:tcPr>
            <w:tcW w:w="3944" w:type="dxa"/>
          </w:tcPr>
          <w:p w14:paraId="52713EDD" w14:textId="77777777" w:rsidR="00861355" w:rsidRPr="008B2DDA" w:rsidRDefault="00861355" w:rsidP="008B2DDA">
            <w:pPr>
              <w:rPr>
                <w:rStyle w:val="FontStyle45"/>
                <w:sz w:val="18"/>
                <w:szCs w:val="18"/>
                <w:lang w:eastAsia="fr-FR"/>
              </w:rPr>
            </w:pPr>
          </w:p>
          <w:p w14:paraId="5D858CCF" w14:textId="77777777" w:rsidR="00861355" w:rsidRPr="008B2DDA" w:rsidRDefault="00861355" w:rsidP="008B2DDA">
            <w:pPr>
              <w:tabs>
                <w:tab w:val="left" w:pos="0"/>
              </w:tabs>
              <w:autoSpaceDE w:val="0"/>
              <w:autoSpaceDN w:val="0"/>
              <w:adjustRightInd w:val="0"/>
              <w:rPr>
                <w:rFonts w:eastAsiaTheme="minorEastAsia"/>
                <w:sz w:val="18"/>
                <w:szCs w:val="18"/>
                <w:lang w:eastAsia="fr-FR"/>
              </w:rPr>
            </w:pPr>
            <w:r w:rsidRPr="008B2DDA">
              <w:rPr>
                <w:rFonts w:eastAsiaTheme="minorEastAsia"/>
                <w:sz w:val="18"/>
                <w:szCs w:val="18"/>
              </w:rPr>
              <w:t>1)</w:t>
            </w:r>
            <w:r w:rsidRPr="008B2DDA">
              <w:rPr>
                <w:rFonts w:eastAsiaTheme="minorEastAsia"/>
                <w:sz w:val="18"/>
                <w:szCs w:val="18"/>
              </w:rPr>
              <w:tab/>
            </w:r>
            <w:r w:rsidRPr="008B2DDA">
              <w:rPr>
                <w:rFonts w:eastAsiaTheme="minorEastAsia"/>
                <w:i/>
                <w:iCs/>
                <w:sz w:val="18"/>
                <w:szCs w:val="18"/>
              </w:rPr>
              <w:t>[Forme de la protection juridique]</w:t>
            </w:r>
            <w:r w:rsidRPr="008B2DDA">
              <w:rPr>
                <w:rFonts w:eastAsiaTheme="minorEastAsia"/>
                <w:iCs/>
                <w:sz w:val="18"/>
                <w:szCs w:val="18"/>
              </w:rPr>
              <w:t xml:space="preserve">  </w:t>
            </w:r>
            <w:r w:rsidRPr="008B2DDA">
              <w:rPr>
                <w:rFonts w:eastAsiaTheme="minorEastAsia"/>
                <w:sz w:val="18"/>
                <w:szCs w:val="18"/>
                <w:lang w:eastAsia="fr-FR"/>
              </w:rPr>
              <w:t>Chaque partie […] satisfasse aux exigences de fond du présent Acte.</w:t>
            </w:r>
          </w:p>
          <w:p w14:paraId="6777C9F2" w14:textId="77777777" w:rsidR="00861355" w:rsidRPr="008B2DDA" w:rsidRDefault="00861355" w:rsidP="008B2DDA">
            <w:pPr>
              <w:tabs>
                <w:tab w:val="left" w:pos="0"/>
              </w:tabs>
              <w:autoSpaceDE w:val="0"/>
              <w:autoSpaceDN w:val="0"/>
              <w:adjustRightInd w:val="0"/>
              <w:jc w:val="both"/>
              <w:rPr>
                <w:rFonts w:eastAsiaTheme="minorEastAsia"/>
                <w:sz w:val="18"/>
                <w:szCs w:val="18"/>
                <w:lang w:eastAsia="fr-FR"/>
              </w:rPr>
            </w:pPr>
          </w:p>
          <w:p w14:paraId="798B4691" w14:textId="77777777" w:rsidR="00861355" w:rsidRPr="008B2DDA" w:rsidRDefault="00861355" w:rsidP="008B2DDA">
            <w:pPr>
              <w:tabs>
                <w:tab w:val="left" w:pos="0"/>
              </w:tabs>
              <w:autoSpaceDE w:val="0"/>
              <w:autoSpaceDN w:val="0"/>
              <w:adjustRightInd w:val="0"/>
              <w:ind w:left="19" w:hanging="19"/>
              <w:rPr>
                <w:rFonts w:eastAsiaTheme="minorEastAsia"/>
                <w:sz w:val="18"/>
                <w:szCs w:val="18"/>
                <w:lang w:eastAsia="fr-FR"/>
              </w:rPr>
            </w:pPr>
            <w:r w:rsidRPr="008B2DDA">
              <w:rPr>
                <w:rFonts w:eastAsiaTheme="minorEastAsia"/>
                <w:iCs/>
                <w:spacing w:val="30"/>
                <w:sz w:val="18"/>
                <w:szCs w:val="18"/>
              </w:rPr>
              <w:t>2)</w:t>
            </w:r>
            <w:r w:rsidRPr="008B2DDA">
              <w:rPr>
                <w:rFonts w:eastAsiaTheme="minorEastAsia"/>
                <w:iCs/>
                <w:sz w:val="18"/>
                <w:szCs w:val="18"/>
              </w:rPr>
              <w:tab/>
            </w:r>
            <w:r w:rsidRPr="008B2DDA">
              <w:rPr>
                <w:rFonts w:eastAsiaTheme="minorEastAsia"/>
                <w:i/>
                <w:iCs/>
                <w:sz w:val="18"/>
                <w:szCs w:val="18"/>
              </w:rPr>
              <w:t xml:space="preserve">[Protection en vertu d’autres instruments]  </w:t>
            </w:r>
            <w:r w:rsidRPr="008B2DDA">
              <w:rPr>
                <w:rFonts w:eastAsiaTheme="minorEastAsia"/>
                <w:sz w:val="18"/>
                <w:szCs w:val="18"/>
              </w:rPr>
              <w:t xml:space="preserve">Les dispositions du présent Acte </w:t>
            </w:r>
            <w:r w:rsidRPr="008B2DDA">
              <w:rPr>
                <w:rFonts w:eastAsiaTheme="minorEastAsia"/>
                <w:sz w:val="18"/>
                <w:szCs w:val="18"/>
                <w:lang w:eastAsia="fr-FR"/>
              </w:rPr>
              <w:t xml:space="preserve">n’affectent </w:t>
            </w:r>
            <w:r w:rsidRPr="008B2DDA">
              <w:rPr>
                <w:rFonts w:eastAsiaTheme="minorEastAsia"/>
                <w:sz w:val="18"/>
                <w:szCs w:val="18"/>
                <w:lang w:eastAsia="fr-FR"/>
              </w:rPr>
              <w:tab/>
              <w:t>[…] en vertu de sa législation nationale ou régionale, ou en vertu d’autres instruments internationaux.</w:t>
            </w:r>
          </w:p>
          <w:p w14:paraId="6F1F19F7" w14:textId="77777777" w:rsidR="00861355" w:rsidRPr="008B2DDA" w:rsidRDefault="00861355" w:rsidP="008B2DDA">
            <w:pPr>
              <w:tabs>
                <w:tab w:val="left" w:pos="0"/>
              </w:tabs>
              <w:autoSpaceDE w:val="0"/>
              <w:autoSpaceDN w:val="0"/>
              <w:adjustRightInd w:val="0"/>
              <w:ind w:left="19" w:hanging="19"/>
              <w:rPr>
                <w:rStyle w:val="FontStyle45"/>
                <w:sz w:val="18"/>
                <w:szCs w:val="18"/>
                <w:lang w:eastAsia="fr-FR"/>
              </w:rPr>
            </w:pPr>
          </w:p>
        </w:tc>
        <w:tc>
          <w:tcPr>
            <w:tcW w:w="3890" w:type="dxa"/>
          </w:tcPr>
          <w:p w14:paraId="17340B26" w14:textId="77777777" w:rsidR="00861355" w:rsidRPr="008B2DDA" w:rsidRDefault="00861355" w:rsidP="008B2DDA">
            <w:pPr>
              <w:rPr>
                <w:sz w:val="18"/>
                <w:szCs w:val="18"/>
              </w:rPr>
            </w:pPr>
          </w:p>
        </w:tc>
      </w:tr>
      <w:tr w:rsidR="008B2DDA" w:rsidRPr="008B2DDA" w14:paraId="44147F1A" w14:textId="77777777" w:rsidTr="00AB2EF0">
        <w:trPr>
          <w:cantSplit/>
        </w:trPr>
        <w:tc>
          <w:tcPr>
            <w:tcW w:w="1488" w:type="dxa"/>
            <w:vAlign w:val="center"/>
          </w:tcPr>
          <w:p w14:paraId="06DC5785"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11  Protection à l’égard des appellations d’origine et indications géographiques enregistrées</w:t>
            </w:r>
          </w:p>
          <w:p w14:paraId="4E1634D9" w14:textId="77777777" w:rsidR="00861355" w:rsidRPr="008B2DDA" w:rsidRDefault="00861355" w:rsidP="008B2DDA">
            <w:pPr>
              <w:jc w:val="center"/>
              <w:rPr>
                <w:sz w:val="18"/>
                <w:szCs w:val="18"/>
              </w:rPr>
            </w:pPr>
          </w:p>
        </w:tc>
        <w:tc>
          <w:tcPr>
            <w:tcW w:w="3944" w:type="dxa"/>
          </w:tcPr>
          <w:p w14:paraId="44F65720" w14:textId="77777777" w:rsidR="00861355" w:rsidRPr="008B2DDA" w:rsidRDefault="00861355" w:rsidP="008B2DDA">
            <w:pPr>
              <w:rPr>
                <w:rStyle w:val="FontStyle45"/>
                <w:sz w:val="18"/>
                <w:szCs w:val="18"/>
                <w:lang w:eastAsia="fr-FR"/>
              </w:rPr>
            </w:pPr>
          </w:p>
          <w:p w14:paraId="39794EDA" w14:textId="77777777" w:rsidR="00861355" w:rsidRPr="008B2DDA" w:rsidRDefault="00861355" w:rsidP="008B2DDA">
            <w:pPr>
              <w:tabs>
                <w:tab w:val="left" w:pos="0"/>
              </w:tabs>
              <w:autoSpaceDE w:val="0"/>
              <w:autoSpaceDN w:val="0"/>
              <w:adjustRightInd w:val="0"/>
              <w:rPr>
                <w:rFonts w:eastAsiaTheme="minorEastAsia"/>
                <w:sz w:val="18"/>
                <w:szCs w:val="18"/>
                <w:lang w:eastAsia="fr-FR"/>
              </w:rPr>
            </w:pPr>
            <w:r w:rsidRPr="008B2DDA">
              <w:rPr>
                <w:rFonts w:eastAsiaTheme="minorEastAsia"/>
                <w:sz w:val="18"/>
                <w:szCs w:val="18"/>
                <w:lang w:eastAsia="fr-FR"/>
              </w:rPr>
              <w:t>1)</w:t>
            </w:r>
            <w:r w:rsidRPr="008B2DDA">
              <w:rPr>
                <w:rFonts w:eastAsiaTheme="minorEastAsia"/>
                <w:sz w:val="18"/>
                <w:szCs w:val="18"/>
                <w:lang w:eastAsia="fr-FR"/>
              </w:rPr>
              <w:tab/>
            </w:r>
            <w:r w:rsidRPr="008B2DDA">
              <w:rPr>
                <w:rFonts w:eastAsiaTheme="minorEastAsia"/>
                <w:i/>
                <w:iCs/>
                <w:sz w:val="18"/>
                <w:szCs w:val="18"/>
                <w:lang w:eastAsia="fr-FR"/>
              </w:rPr>
              <w:t xml:space="preserve">[Contenu de la protection]  </w:t>
            </w:r>
            <w:r w:rsidRPr="008B2DDA">
              <w:rPr>
                <w:rFonts w:eastAsiaTheme="minorEastAsia"/>
                <w:sz w:val="18"/>
                <w:szCs w:val="18"/>
                <w:lang w:eastAsia="fr-FR"/>
              </w:rPr>
              <w:t>Sous réserve des dispositions du présent Acte, chaque partie contractante accorde à une appellation d’origine enregistrée, ou à une indication géographique enregistrée, une protection contre :</w:t>
            </w:r>
          </w:p>
          <w:p w14:paraId="7DD2CE11" w14:textId="77777777" w:rsidR="00861355" w:rsidRPr="008B2DDA" w:rsidRDefault="00861355" w:rsidP="008B2DDA">
            <w:pPr>
              <w:autoSpaceDE w:val="0"/>
              <w:autoSpaceDN w:val="0"/>
              <w:adjustRightInd w:val="0"/>
              <w:spacing w:before="10"/>
              <w:rPr>
                <w:rFonts w:eastAsiaTheme="minorEastAsia"/>
                <w:sz w:val="18"/>
                <w:szCs w:val="18"/>
                <w:lang w:eastAsia="fr-FR"/>
              </w:rPr>
            </w:pPr>
            <w:r w:rsidRPr="008B2DDA">
              <w:rPr>
                <w:rFonts w:eastAsiaTheme="minorEastAsia"/>
                <w:sz w:val="18"/>
                <w:szCs w:val="18"/>
                <w:lang w:eastAsia="fr-FR"/>
              </w:rPr>
              <w:t>a)</w:t>
            </w:r>
            <w:r w:rsidRPr="008B2DDA">
              <w:rPr>
                <w:rFonts w:eastAsiaTheme="minorEastAsia"/>
                <w:sz w:val="18"/>
                <w:szCs w:val="18"/>
                <w:lang w:eastAsia="fr-FR"/>
              </w:rPr>
              <w:tab/>
              <w:t>toute utilisation de l’appellation d’origine ou de l’indication géographique</w:t>
            </w:r>
          </w:p>
          <w:p w14:paraId="1B387051" w14:textId="77777777" w:rsidR="00861355" w:rsidRPr="008B2DDA" w:rsidRDefault="00861355" w:rsidP="008B2DDA">
            <w:pPr>
              <w:tabs>
                <w:tab w:val="left" w:pos="0"/>
                <w:tab w:val="left" w:pos="852"/>
              </w:tabs>
              <w:autoSpaceDE w:val="0"/>
              <w:autoSpaceDN w:val="0"/>
              <w:adjustRightInd w:val="0"/>
              <w:ind w:firstLine="522"/>
              <w:rPr>
                <w:rFonts w:eastAsiaTheme="minorEastAsia"/>
                <w:sz w:val="18"/>
                <w:szCs w:val="18"/>
                <w:lang w:eastAsia="fr-FR"/>
              </w:rPr>
            </w:pPr>
            <w:r w:rsidRPr="008B2DDA">
              <w:rPr>
                <w:rFonts w:eastAsiaTheme="minorEastAsia"/>
                <w:sz w:val="18"/>
                <w:szCs w:val="18"/>
                <w:lang w:eastAsia="fr-FR"/>
              </w:rPr>
              <w:t>i)</w:t>
            </w:r>
            <w:r w:rsidRPr="008B2DDA">
              <w:rPr>
                <w:rFonts w:eastAsiaTheme="minorEastAsia"/>
                <w:sz w:val="18"/>
                <w:szCs w:val="18"/>
                <w:lang w:eastAsia="fr-FR"/>
              </w:rPr>
              <w:tab/>
              <w:t>à l’égard de produits du même type que ceux auxquels […] autres conditions requises pour utiliser l’appellation d’origine ou l’indication géographique;  ou</w:t>
            </w:r>
          </w:p>
          <w:p w14:paraId="5F399CEE" w14:textId="77777777" w:rsidR="00861355" w:rsidRPr="008B2DDA" w:rsidRDefault="00861355" w:rsidP="008B2DDA">
            <w:pPr>
              <w:tabs>
                <w:tab w:val="left" w:pos="0"/>
              </w:tabs>
              <w:autoSpaceDE w:val="0"/>
              <w:autoSpaceDN w:val="0"/>
              <w:adjustRightInd w:val="0"/>
              <w:spacing w:before="10"/>
              <w:ind w:firstLine="522"/>
              <w:rPr>
                <w:rFonts w:eastAsiaTheme="minorEastAsia"/>
                <w:sz w:val="18"/>
                <w:szCs w:val="18"/>
              </w:rPr>
            </w:pPr>
          </w:p>
          <w:p w14:paraId="40463791" w14:textId="77777777" w:rsidR="00861355" w:rsidRPr="008B2DDA" w:rsidRDefault="00861355" w:rsidP="008B2DDA">
            <w:pPr>
              <w:tabs>
                <w:tab w:val="left" w:pos="0"/>
              </w:tabs>
              <w:autoSpaceDE w:val="0"/>
              <w:autoSpaceDN w:val="0"/>
              <w:adjustRightInd w:val="0"/>
              <w:spacing w:before="10"/>
              <w:ind w:firstLine="522"/>
              <w:rPr>
                <w:rFonts w:eastAsiaTheme="minorEastAsia"/>
                <w:sz w:val="18"/>
                <w:szCs w:val="18"/>
                <w:u w:val="single"/>
              </w:rPr>
            </w:pPr>
            <w:r w:rsidRPr="008B2DDA">
              <w:rPr>
                <w:rFonts w:eastAsiaTheme="minorEastAsia"/>
                <w:sz w:val="18"/>
                <w:szCs w:val="18"/>
                <w:u w:val="single"/>
              </w:rPr>
              <w:t>VARIANTE A</w:t>
            </w:r>
          </w:p>
          <w:p w14:paraId="60CE9F19" w14:textId="77777777" w:rsidR="00861355" w:rsidRPr="008B2DDA" w:rsidRDefault="00861355" w:rsidP="008B2DDA">
            <w:pPr>
              <w:tabs>
                <w:tab w:val="left" w:pos="0"/>
              </w:tabs>
              <w:autoSpaceDE w:val="0"/>
              <w:autoSpaceDN w:val="0"/>
              <w:adjustRightInd w:val="0"/>
              <w:spacing w:before="10"/>
              <w:ind w:firstLine="522"/>
              <w:rPr>
                <w:rFonts w:eastAsiaTheme="minorEastAsia"/>
                <w:sz w:val="18"/>
                <w:szCs w:val="18"/>
              </w:rPr>
            </w:pPr>
          </w:p>
          <w:p w14:paraId="71BA71B9" w14:textId="7E2FDF34" w:rsidR="00861355" w:rsidRPr="008B2DDA" w:rsidRDefault="00861355" w:rsidP="008B2DDA">
            <w:pPr>
              <w:tabs>
                <w:tab w:val="left" w:pos="0"/>
                <w:tab w:val="left" w:pos="873"/>
              </w:tabs>
              <w:autoSpaceDE w:val="0"/>
              <w:autoSpaceDN w:val="0"/>
              <w:adjustRightInd w:val="0"/>
              <w:spacing w:before="10"/>
              <w:ind w:firstLine="522"/>
              <w:rPr>
                <w:rStyle w:val="FontStyle45"/>
                <w:sz w:val="18"/>
                <w:szCs w:val="18"/>
                <w:lang w:eastAsia="fr-FR"/>
              </w:rPr>
            </w:pPr>
            <w:r w:rsidRPr="008B2DDA">
              <w:rPr>
                <w:rFonts w:eastAsiaTheme="minorEastAsia"/>
                <w:sz w:val="18"/>
                <w:szCs w:val="18"/>
              </w:rPr>
              <w:t>ii)</w:t>
            </w:r>
            <w:r w:rsidRPr="008B2DDA">
              <w:rPr>
                <w:rFonts w:eastAsiaTheme="minorEastAsia"/>
                <w:sz w:val="18"/>
                <w:szCs w:val="18"/>
              </w:rPr>
              <w:tab/>
            </w:r>
            <w:r w:rsidRPr="008B2DDA">
              <w:rPr>
                <w:rStyle w:val="FontStyle45"/>
                <w:sz w:val="18"/>
                <w:szCs w:val="18"/>
                <w:lang w:eastAsia="fr-FR"/>
              </w:rPr>
              <w:t>qui constituerait une usurpation, une imitation ou une évocation de celle</w:t>
            </w:r>
            <w:r w:rsidR="00D67EA4" w:rsidRPr="008B2DDA">
              <w:rPr>
                <w:rStyle w:val="FontStyle45"/>
                <w:sz w:val="18"/>
                <w:szCs w:val="18"/>
                <w:lang w:eastAsia="fr-FR"/>
              </w:rPr>
              <w:noBreakHyphen/>
            </w:r>
            <w:r w:rsidRPr="008B2DDA">
              <w:rPr>
                <w:rStyle w:val="FontStyle45"/>
                <w:sz w:val="18"/>
                <w:szCs w:val="18"/>
                <w:lang w:eastAsia="fr-FR"/>
              </w:rPr>
              <w:t>ci;  ou</w:t>
            </w:r>
          </w:p>
          <w:p w14:paraId="18A9B8C6" w14:textId="77777777" w:rsidR="00861355" w:rsidRPr="008B2DDA" w:rsidRDefault="00861355" w:rsidP="008B2DDA">
            <w:pPr>
              <w:tabs>
                <w:tab w:val="left" w:pos="0"/>
                <w:tab w:val="left" w:pos="873"/>
              </w:tabs>
              <w:autoSpaceDE w:val="0"/>
              <w:autoSpaceDN w:val="0"/>
              <w:adjustRightInd w:val="0"/>
              <w:spacing w:before="10"/>
              <w:ind w:firstLine="522"/>
              <w:rPr>
                <w:rStyle w:val="FontStyle45"/>
                <w:sz w:val="18"/>
                <w:szCs w:val="18"/>
                <w:lang w:eastAsia="fr-FR"/>
              </w:rPr>
            </w:pPr>
            <w:r w:rsidRPr="008B2DDA">
              <w:rPr>
                <w:rStyle w:val="FontStyle45"/>
                <w:sz w:val="18"/>
                <w:szCs w:val="18"/>
                <w:lang w:eastAsia="fr-FR"/>
              </w:rPr>
              <w:t>iii)</w:t>
            </w:r>
            <w:r w:rsidRPr="008B2DDA">
              <w:rPr>
                <w:rFonts w:eastAsiaTheme="minorEastAsia"/>
                <w:sz w:val="18"/>
                <w:szCs w:val="18"/>
              </w:rPr>
              <w:tab/>
            </w:r>
            <w:r w:rsidRPr="008B2DDA">
              <w:rPr>
                <w:rStyle w:val="FontStyle45"/>
                <w:sz w:val="18"/>
                <w:szCs w:val="18"/>
                <w:lang w:eastAsia="fr-FR"/>
              </w:rPr>
              <w:t>qui porterait préjudice à sa notoriété ou tirerait indûment avantage de sa notoriété,</w:t>
            </w:r>
          </w:p>
          <w:p w14:paraId="4222536E" w14:textId="77777777" w:rsidR="00861355" w:rsidRPr="008B2DDA" w:rsidRDefault="00861355" w:rsidP="008B2DDA">
            <w:pPr>
              <w:tabs>
                <w:tab w:val="left" w:pos="0"/>
              </w:tabs>
              <w:autoSpaceDE w:val="0"/>
              <w:autoSpaceDN w:val="0"/>
              <w:adjustRightInd w:val="0"/>
              <w:spacing w:before="10"/>
              <w:ind w:firstLine="522"/>
              <w:rPr>
                <w:rStyle w:val="FontStyle45"/>
                <w:sz w:val="18"/>
                <w:szCs w:val="18"/>
                <w:lang w:eastAsia="fr-FR"/>
              </w:rPr>
            </w:pPr>
          </w:p>
          <w:p w14:paraId="39E77216" w14:textId="77777777" w:rsidR="00861355" w:rsidRPr="008B2DDA" w:rsidRDefault="00861355" w:rsidP="008B2DDA">
            <w:pPr>
              <w:tabs>
                <w:tab w:val="left" w:pos="0"/>
              </w:tabs>
              <w:autoSpaceDE w:val="0"/>
              <w:autoSpaceDN w:val="0"/>
              <w:adjustRightInd w:val="0"/>
              <w:spacing w:before="10"/>
              <w:ind w:firstLine="522"/>
              <w:rPr>
                <w:rStyle w:val="FontStyle45"/>
                <w:sz w:val="18"/>
                <w:szCs w:val="18"/>
                <w:lang w:eastAsia="fr-FR"/>
              </w:rPr>
            </w:pPr>
            <w:r w:rsidRPr="008B2DDA">
              <w:rPr>
                <w:rStyle w:val="FontStyle45"/>
                <w:sz w:val="18"/>
                <w:szCs w:val="18"/>
                <w:u w:val="single"/>
                <w:lang w:eastAsia="fr-FR"/>
              </w:rPr>
              <w:t>VARIANTE B</w:t>
            </w:r>
          </w:p>
          <w:p w14:paraId="7F1088A2" w14:textId="77777777" w:rsidR="00861355" w:rsidRPr="008B2DDA" w:rsidRDefault="00861355" w:rsidP="008B2DDA">
            <w:pPr>
              <w:tabs>
                <w:tab w:val="left" w:pos="0"/>
              </w:tabs>
              <w:autoSpaceDE w:val="0"/>
              <w:autoSpaceDN w:val="0"/>
              <w:adjustRightInd w:val="0"/>
              <w:spacing w:before="10"/>
              <w:ind w:firstLine="522"/>
              <w:rPr>
                <w:rStyle w:val="FontStyle45"/>
                <w:sz w:val="18"/>
                <w:szCs w:val="18"/>
                <w:lang w:eastAsia="fr-FR"/>
              </w:rPr>
            </w:pPr>
          </w:p>
          <w:p w14:paraId="3856BC78" w14:textId="77777777" w:rsidR="00861355" w:rsidRPr="008B2DDA" w:rsidRDefault="00861355" w:rsidP="008B2DDA">
            <w:pPr>
              <w:tabs>
                <w:tab w:val="left" w:pos="0"/>
                <w:tab w:val="left" w:pos="852"/>
              </w:tabs>
              <w:autoSpaceDE w:val="0"/>
              <w:autoSpaceDN w:val="0"/>
              <w:adjustRightInd w:val="0"/>
              <w:spacing w:before="10"/>
              <w:ind w:firstLine="522"/>
              <w:rPr>
                <w:rStyle w:val="FontStyle45"/>
                <w:sz w:val="18"/>
                <w:szCs w:val="18"/>
                <w:lang w:eastAsia="fr-FR"/>
              </w:rPr>
            </w:pPr>
            <w:r w:rsidRPr="008B2DDA">
              <w:rPr>
                <w:rStyle w:val="FontStyle45"/>
                <w:sz w:val="18"/>
                <w:szCs w:val="18"/>
                <w:lang w:eastAsia="fr-FR"/>
              </w:rPr>
              <w:t>ii)</w:t>
            </w:r>
            <w:r w:rsidRPr="008B2DDA">
              <w:rPr>
                <w:rStyle w:val="FontStyle45"/>
                <w:sz w:val="18"/>
                <w:szCs w:val="18"/>
                <w:lang w:eastAsia="fr-FR"/>
              </w:rPr>
              <w:tab/>
              <w:t>à l’égard de produits qui ne sont pas du même type […] et les bénéficiaires et risque de nuire aux intérêts des bénéficiaires,</w:t>
            </w:r>
          </w:p>
          <w:p w14:paraId="728906C1" w14:textId="77777777" w:rsidR="00861355" w:rsidRPr="008B2DDA" w:rsidRDefault="00861355" w:rsidP="008B2DDA">
            <w:pPr>
              <w:tabs>
                <w:tab w:val="left" w:pos="0"/>
              </w:tabs>
              <w:autoSpaceDE w:val="0"/>
              <w:autoSpaceDN w:val="0"/>
              <w:adjustRightInd w:val="0"/>
              <w:spacing w:before="10"/>
              <w:rPr>
                <w:rStyle w:val="FontStyle45"/>
                <w:sz w:val="18"/>
                <w:szCs w:val="18"/>
                <w:lang w:eastAsia="fr-FR"/>
              </w:rPr>
            </w:pPr>
          </w:p>
        </w:tc>
        <w:tc>
          <w:tcPr>
            <w:tcW w:w="3890" w:type="dxa"/>
          </w:tcPr>
          <w:p w14:paraId="0DD51F0A" w14:textId="77777777" w:rsidR="00861355" w:rsidRPr="008B2DDA" w:rsidRDefault="00861355" w:rsidP="008B2DDA">
            <w:pPr>
              <w:rPr>
                <w:sz w:val="18"/>
                <w:szCs w:val="18"/>
              </w:rPr>
            </w:pPr>
          </w:p>
        </w:tc>
      </w:tr>
      <w:tr w:rsidR="008B2DDA" w:rsidRPr="008B2DDA" w14:paraId="7EACD6F7" w14:textId="77777777" w:rsidTr="00AB2EF0">
        <w:trPr>
          <w:cantSplit/>
        </w:trPr>
        <w:tc>
          <w:tcPr>
            <w:tcW w:w="1488" w:type="dxa"/>
            <w:vAlign w:val="center"/>
          </w:tcPr>
          <w:p w14:paraId="615CD253"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Article 11  Protection à l’égard des appellations d’origine et indications géographiques enregistrées</w:t>
            </w:r>
          </w:p>
          <w:p w14:paraId="40FD97BD" w14:textId="77777777" w:rsidR="00861355" w:rsidRPr="008B2DDA" w:rsidRDefault="00861355" w:rsidP="008B2DDA">
            <w:pPr>
              <w:jc w:val="center"/>
              <w:rPr>
                <w:sz w:val="18"/>
                <w:szCs w:val="18"/>
              </w:rPr>
            </w:pPr>
          </w:p>
        </w:tc>
        <w:tc>
          <w:tcPr>
            <w:tcW w:w="3944" w:type="dxa"/>
          </w:tcPr>
          <w:p w14:paraId="5BB3027A" w14:textId="77777777" w:rsidR="00861355" w:rsidRPr="008B2DDA" w:rsidRDefault="00861355" w:rsidP="008B2DDA">
            <w:pPr>
              <w:tabs>
                <w:tab w:val="left" w:pos="0"/>
              </w:tabs>
              <w:autoSpaceDE w:val="0"/>
              <w:autoSpaceDN w:val="0"/>
              <w:adjustRightInd w:val="0"/>
              <w:spacing w:before="10"/>
              <w:rPr>
                <w:rFonts w:eastAsiaTheme="minorEastAsia"/>
                <w:iCs/>
                <w:spacing w:val="30"/>
                <w:sz w:val="18"/>
                <w:szCs w:val="18"/>
              </w:rPr>
            </w:pPr>
          </w:p>
          <w:p w14:paraId="7D72F3D5" w14:textId="77777777" w:rsidR="00861355" w:rsidRPr="008B2DDA" w:rsidRDefault="00861355" w:rsidP="008B2DDA">
            <w:pPr>
              <w:tabs>
                <w:tab w:val="left" w:pos="0"/>
              </w:tabs>
              <w:autoSpaceDE w:val="0"/>
              <w:autoSpaceDN w:val="0"/>
              <w:adjustRightInd w:val="0"/>
              <w:spacing w:before="10"/>
              <w:rPr>
                <w:rFonts w:eastAsiaTheme="minorEastAsia"/>
                <w:iCs/>
                <w:sz w:val="18"/>
                <w:szCs w:val="18"/>
              </w:rPr>
            </w:pPr>
            <w:r w:rsidRPr="008B2DDA">
              <w:rPr>
                <w:rFonts w:eastAsiaTheme="minorEastAsia"/>
                <w:iCs/>
                <w:spacing w:val="30"/>
                <w:sz w:val="18"/>
                <w:szCs w:val="18"/>
              </w:rPr>
              <w:t>3)</w:t>
            </w:r>
            <w:r w:rsidRPr="008B2DDA">
              <w:rPr>
                <w:rFonts w:eastAsiaTheme="minorEastAsia"/>
                <w:iCs/>
                <w:sz w:val="18"/>
                <w:szCs w:val="18"/>
              </w:rPr>
              <w:tab/>
            </w:r>
            <w:r w:rsidRPr="008B2DDA">
              <w:rPr>
                <w:rFonts w:eastAsiaTheme="minorEastAsia"/>
                <w:i/>
                <w:iCs/>
                <w:sz w:val="18"/>
                <w:szCs w:val="18"/>
              </w:rPr>
              <w:t>[Déclaration concernant le contenu de la protection]</w:t>
            </w:r>
          </w:p>
          <w:p w14:paraId="3E0139B3" w14:textId="77777777" w:rsidR="00861355" w:rsidRPr="008B2DDA" w:rsidRDefault="00861355" w:rsidP="008B2DDA">
            <w:pPr>
              <w:tabs>
                <w:tab w:val="left" w:pos="0"/>
              </w:tabs>
              <w:autoSpaceDE w:val="0"/>
              <w:autoSpaceDN w:val="0"/>
              <w:adjustRightInd w:val="0"/>
              <w:spacing w:before="10"/>
              <w:rPr>
                <w:rFonts w:eastAsiaTheme="minorEastAsia"/>
                <w:iCs/>
                <w:sz w:val="18"/>
                <w:szCs w:val="18"/>
              </w:rPr>
            </w:pPr>
          </w:p>
          <w:p w14:paraId="500F63AA" w14:textId="77777777" w:rsidR="00861355" w:rsidRPr="008B2DDA" w:rsidRDefault="00861355" w:rsidP="008B2DDA">
            <w:pPr>
              <w:tabs>
                <w:tab w:val="left" w:pos="0"/>
              </w:tabs>
              <w:autoSpaceDE w:val="0"/>
              <w:autoSpaceDN w:val="0"/>
              <w:adjustRightInd w:val="0"/>
              <w:spacing w:before="10"/>
              <w:rPr>
                <w:rFonts w:eastAsiaTheme="minorEastAsia"/>
                <w:sz w:val="18"/>
                <w:szCs w:val="18"/>
                <w:u w:val="single"/>
              </w:rPr>
            </w:pPr>
            <w:r w:rsidRPr="008B2DDA">
              <w:rPr>
                <w:rFonts w:eastAsiaTheme="minorEastAsia"/>
                <w:iCs/>
                <w:sz w:val="18"/>
                <w:szCs w:val="18"/>
                <w:u w:val="single"/>
              </w:rPr>
              <w:t>VARIANTE A</w:t>
            </w:r>
          </w:p>
          <w:p w14:paraId="796F5037" w14:textId="77777777" w:rsidR="00861355" w:rsidRPr="008B2DDA" w:rsidRDefault="00861355" w:rsidP="008B2DDA">
            <w:pPr>
              <w:autoSpaceDE w:val="0"/>
              <w:autoSpaceDN w:val="0"/>
              <w:adjustRightInd w:val="0"/>
              <w:spacing w:before="202"/>
              <w:rPr>
                <w:rFonts w:eastAsiaTheme="minorEastAsia"/>
                <w:sz w:val="18"/>
                <w:szCs w:val="18"/>
                <w:lang w:eastAsia="fr-FR"/>
              </w:rPr>
            </w:pPr>
            <w:r w:rsidRPr="008B2DDA">
              <w:rPr>
                <w:rFonts w:eastAsiaTheme="minorEastAsia"/>
                <w:sz w:val="18"/>
                <w:szCs w:val="18"/>
                <w:lang w:eastAsia="fr-FR"/>
              </w:rPr>
              <w:t>Tout État ou organisation intergouvernementale</w:t>
            </w:r>
          </w:p>
          <w:p w14:paraId="3E65378E" w14:textId="77777777" w:rsidR="00861355" w:rsidRPr="008B2DDA" w:rsidRDefault="00861355" w:rsidP="008B2DDA">
            <w:pPr>
              <w:tabs>
                <w:tab w:val="left" w:leader="dot" w:pos="1622"/>
                <w:tab w:val="left" w:leader="hyphen" w:pos="1910"/>
                <w:tab w:val="left" w:leader="dot" w:pos="2266"/>
                <w:tab w:val="left" w:leader="dot" w:pos="2899"/>
              </w:tabs>
              <w:autoSpaceDE w:val="0"/>
              <w:autoSpaceDN w:val="0"/>
              <w:adjustRightInd w:val="0"/>
              <w:rPr>
                <w:rFonts w:eastAsiaTheme="minorEastAsia"/>
                <w:sz w:val="18"/>
                <w:szCs w:val="18"/>
                <w:lang w:eastAsia="fr-FR"/>
              </w:rPr>
            </w:pPr>
            <w:r w:rsidRPr="008B2DDA">
              <w:rPr>
                <w:rFonts w:eastAsiaTheme="minorEastAsia"/>
                <w:sz w:val="18"/>
                <w:szCs w:val="18"/>
                <w:lang w:eastAsia="fr-FR"/>
              </w:rPr>
              <w:t>peut déclarer, […] si cette utilisation est de nature à indiquer ou suggérer un lien entre ces produits et les bénéficiaires et risque de nuire aux intérêts des bénéficiaires.</w:t>
            </w:r>
          </w:p>
          <w:p w14:paraId="4C1119E1" w14:textId="77777777" w:rsidR="00861355" w:rsidRPr="008B2DDA" w:rsidRDefault="00861355" w:rsidP="008B2DDA">
            <w:pPr>
              <w:tabs>
                <w:tab w:val="left" w:leader="dot" w:pos="1622"/>
                <w:tab w:val="left" w:leader="hyphen" w:pos="1910"/>
                <w:tab w:val="left" w:leader="dot" w:pos="2266"/>
                <w:tab w:val="left" w:leader="dot" w:pos="2899"/>
              </w:tabs>
              <w:autoSpaceDE w:val="0"/>
              <w:autoSpaceDN w:val="0"/>
              <w:adjustRightInd w:val="0"/>
              <w:rPr>
                <w:rFonts w:eastAsiaTheme="minorEastAsia"/>
                <w:sz w:val="18"/>
                <w:szCs w:val="18"/>
                <w:lang w:eastAsia="fr-FR"/>
              </w:rPr>
            </w:pPr>
          </w:p>
          <w:p w14:paraId="471A97AB" w14:textId="77777777" w:rsidR="00861355" w:rsidRPr="008B2DDA" w:rsidRDefault="00861355" w:rsidP="008B2DDA">
            <w:pPr>
              <w:tabs>
                <w:tab w:val="left" w:leader="dot" w:pos="1622"/>
                <w:tab w:val="left" w:leader="hyphen" w:pos="1910"/>
                <w:tab w:val="left" w:leader="dot" w:pos="2266"/>
                <w:tab w:val="left" w:leader="dot" w:pos="2899"/>
              </w:tabs>
              <w:autoSpaceDE w:val="0"/>
              <w:autoSpaceDN w:val="0"/>
              <w:adjustRightInd w:val="0"/>
              <w:rPr>
                <w:rFonts w:eastAsiaTheme="minorEastAsia"/>
                <w:sz w:val="18"/>
                <w:szCs w:val="18"/>
                <w:lang w:eastAsia="fr-FR"/>
              </w:rPr>
            </w:pPr>
            <w:r w:rsidRPr="008B2DDA">
              <w:rPr>
                <w:rFonts w:eastAsiaTheme="minorEastAsia"/>
                <w:sz w:val="18"/>
                <w:szCs w:val="18"/>
                <w:u w:val="single"/>
                <w:lang w:eastAsia="fr-FR"/>
              </w:rPr>
              <w:t>VARIANTE B</w:t>
            </w:r>
          </w:p>
          <w:p w14:paraId="6239472C" w14:textId="77777777" w:rsidR="00861355" w:rsidRPr="008B2DDA" w:rsidRDefault="00861355" w:rsidP="008B2DDA">
            <w:pPr>
              <w:autoSpaceDE w:val="0"/>
              <w:autoSpaceDN w:val="0"/>
              <w:adjustRightInd w:val="0"/>
              <w:spacing w:before="202"/>
              <w:rPr>
                <w:rFonts w:eastAsiaTheme="minorEastAsia"/>
                <w:sz w:val="18"/>
                <w:szCs w:val="18"/>
                <w:lang w:eastAsia="fr-FR"/>
              </w:rPr>
            </w:pPr>
            <w:r w:rsidRPr="008B2DDA">
              <w:rPr>
                <w:rFonts w:eastAsiaTheme="minorEastAsia"/>
                <w:sz w:val="18"/>
                <w:szCs w:val="18"/>
                <w:lang w:eastAsia="fr-FR"/>
              </w:rPr>
              <w:t>Tout État ou organisation intergouvernementale</w:t>
            </w:r>
          </w:p>
          <w:p w14:paraId="4A6C4AD6" w14:textId="77777777" w:rsidR="00861355" w:rsidRPr="008B2DDA" w:rsidRDefault="00861355" w:rsidP="008B2DDA">
            <w:pPr>
              <w:tabs>
                <w:tab w:val="left" w:leader="hyphen" w:pos="3178"/>
              </w:tabs>
              <w:autoSpaceDE w:val="0"/>
              <w:autoSpaceDN w:val="0"/>
              <w:adjustRightInd w:val="0"/>
              <w:rPr>
                <w:rFonts w:eastAsiaTheme="minorEastAsia"/>
                <w:sz w:val="18"/>
                <w:szCs w:val="18"/>
                <w:lang w:eastAsia="fr-FR"/>
              </w:rPr>
            </w:pPr>
            <w:r w:rsidRPr="008B2DDA">
              <w:rPr>
                <w:rFonts w:eastAsiaTheme="minorEastAsia"/>
                <w:sz w:val="18"/>
                <w:szCs w:val="18"/>
                <w:lang w:eastAsia="fr-FR"/>
              </w:rPr>
              <w:t>peut déclarer, […] un lien entre ces produits et les bénéficiaires et risque de nuire aux Intérêts des bénéficiaires.</w:t>
            </w:r>
          </w:p>
          <w:p w14:paraId="377FC424" w14:textId="77777777" w:rsidR="00861355" w:rsidRPr="008B2DDA" w:rsidRDefault="00861355" w:rsidP="008B2DDA">
            <w:pPr>
              <w:tabs>
                <w:tab w:val="left" w:leader="hyphen" w:pos="3178"/>
              </w:tabs>
              <w:autoSpaceDE w:val="0"/>
              <w:autoSpaceDN w:val="0"/>
              <w:adjustRightInd w:val="0"/>
              <w:rPr>
                <w:rFonts w:eastAsiaTheme="minorEastAsia"/>
                <w:sz w:val="18"/>
                <w:szCs w:val="18"/>
                <w:lang w:eastAsia="fr-FR"/>
              </w:rPr>
            </w:pPr>
          </w:p>
          <w:p w14:paraId="3B946F19" w14:textId="77777777" w:rsidR="00861355" w:rsidRPr="008B2DDA" w:rsidRDefault="00861355" w:rsidP="008B2DDA">
            <w:pPr>
              <w:tabs>
                <w:tab w:val="left" w:leader="hyphen" w:pos="3178"/>
              </w:tabs>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C</w:t>
            </w:r>
          </w:p>
          <w:p w14:paraId="4876D9A3" w14:textId="77777777" w:rsidR="00861355" w:rsidRPr="008B2DDA" w:rsidRDefault="00861355" w:rsidP="008B2DDA">
            <w:pPr>
              <w:tabs>
                <w:tab w:val="left" w:leader="dot" w:pos="1507"/>
              </w:tabs>
              <w:autoSpaceDE w:val="0"/>
              <w:autoSpaceDN w:val="0"/>
              <w:adjustRightInd w:val="0"/>
              <w:spacing w:before="182"/>
              <w:rPr>
                <w:rFonts w:eastAsiaTheme="minorEastAsia"/>
                <w:sz w:val="18"/>
                <w:szCs w:val="18"/>
                <w:lang w:eastAsia="fr-FR"/>
              </w:rPr>
            </w:pPr>
            <w:r w:rsidRPr="008B2DDA">
              <w:rPr>
                <w:rFonts w:eastAsiaTheme="minorEastAsia"/>
                <w:sz w:val="18"/>
                <w:szCs w:val="18"/>
                <w:lang w:eastAsia="fr-FR"/>
              </w:rPr>
              <w:t>Tout État ou organisation intergouvernementale peut déclarer, lors du dépôt de son instrument de ratification ou d’adhésion, que, en lieu et place de la protection établie à l’alinéa 1)a)ii) et iii), il accordera […], si cette utilisation :</w:t>
            </w:r>
          </w:p>
          <w:p w14:paraId="12882DF7" w14:textId="77777777" w:rsidR="00861355" w:rsidRPr="008B2DDA" w:rsidRDefault="00861355" w:rsidP="0002751B">
            <w:pPr>
              <w:widowControl w:val="0"/>
              <w:tabs>
                <w:tab w:val="left" w:pos="0"/>
                <w:tab w:val="left" w:pos="761"/>
              </w:tabs>
              <w:autoSpaceDE w:val="0"/>
              <w:autoSpaceDN w:val="0"/>
              <w:adjustRightInd w:val="0"/>
              <w:ind w:firstLine="342"/>
              <w:rPr>
                <w:rFonts w:eastAsiaTheme="minorEastAsia"/>
                <w:sz w:val="18"/>
                <w:szCs w:val="18"/>
                <w:lang w:eastAsia="fr-FR"/>
              </w:rPr>
            </w:pPr>
            <w:r w:rsidRPr="008B2DDA">
              <w:rPr>
                <w:rFonts w:eastAsiaTheme="minorEastAsia"/>
                <w:sz w:val="18"/>
                <w:szCs w:val="18"/>
                <w:lang w:eastAsia="fr-FR"/>
              </w:rPr>
              <w:t>i)</w:t>
            </w:r>
            <w:r w:rsidRPr="008B2DDA">
              <w:rPr>
                <w:rFonts w:eastAsiaTheme="minorEastAsia"/>
                <w:sz w:val="18"/>
                <w:szCs w:val="18"/>
                <w:lang w:eastAsia="fr-FR"/>
              </w:rPr>
              <w:tab/>
              <w:t>est de nature à indiquer un lien entre ces produits et les bénéficiaires de l’appellation d’origine ou de l’indication géographique et risque de nuire à leurs intérêts;</w:t>
            </w:r>
          </w:p>
          <w:p w14:paraId="0D5817DA" w14:textId="77777777" w:rsidR="00861355" w:rsidRPr="008B2DDA" w:rsidRDefault="00861355" w:rsidP="0002751B">
            <w:pPr>
              <w:widowControl w:val="0"/>
              <w:tabs>
                <w:tab w:val="left" w:pos="0"/>
                <w:tab w:val="left" w:pos="761"/>
              </w:tabs>
              <w:autoSpaceDE w:val="0"/>
              <w:autoSpaceDN w:val="0"/>
              <w:adjustRightInd w:val="0"/>
              <w:ind w:firstLine="342"/>
              <w:rPr>
                <w:rFonts w:eastAsiaTheme="minorEastAsia"/>
                <w:sz w:val="18"/>
                <w:szCs w:val="18"/>
                <w:lang w:eastAsia="fr-FR"/>
              </w:rPr>
            </w:pPr>
            <w:r w:rsidRPr="008B2DDA">
              <w:rPr>
                <w:rFonts w:eastAsiaTheme="minorEastAsia"/>
                <w:sz w:val="18"/>
                <w:szCs w:val="18"/>
                <w:lang w:eastAsia="fr-FR"/>
              </w:rPr>
              <w:t>ii)</w:t>
            </w:r>
            <w:r w:rsidRPr="008B2DDA">
              <w:rPr>
                <w:rFonts w:eastAsiaTheme="minorEastAsia"/>
                <w:sz w:val="18"/>
                <w:szCs w:val="18"/>
                <w:lang w:eastAsia="fr-FR"/>
              </w:rPr>
              <w:tab/>
              <w:t>risque de porter atteinte au caractère distinctif de l’appellation d’origine ou de l’indication géographique ou de l’affaiblir de manière déloyale;  ou</w:t>
            </w:r>
          </w:p>
          <w:p w14:paraId="0797C5BD" w14:textId="77777777" w:rsidR="00861355" w:rsidRPr="008B2DDA" w:rsidRDefault="00861355" w:rsidP="0002751B">
            <w:pPr>
              <w:widowControl w:val="0"/>
              <w:tabs>
                <w:tab w:val="left" w:pos="0"/>
                <w:tab w:val="left" w:pos="761"/>
              </w:tabs>
              <w:autoSpaceDE w:val="0"/>
              <w:autoSpaceDN w:val="0"/>
              <w:adjustRightInd w:val="0"/>
              <w:ind w:firstLine="342"/>
              <w:rPr>
                <w:rFonts w:eastAsiaTheme="minorEastAsia"/>
                <w:sz w:val="18"/>
                <w:szCs w:val="18"/>
                <w:lang w:eastAsia="fr-FR"/>
              </w:rPr>
            </w:pPr>
            <w:r w:rsidRPr="008B2DDA">
              <w:rPr>
                <w:rFonts w:eastAsiaTheme="minorEastAsia"/>
                <w:sz w:val="18"/>
                <w:szCs w:val="18"/>
                <w:lang w:eastAsia="fr-FR"/>
              </w:rPr>
              <w:t>iii)</w:t>
            </w:r>
            <w:r w:rsidRPr="008B2DDA">
              <w:rPr>
                <w:rFonts w:eastAsiaTheme="minorEastAsia"/>
                <w:sz w:val="18"/>
                <w:szCs w:val="18"/>
                <w:lang w:eastAsia="fr-FR"/>
              </w:rPr>
              <w:tab/>
              <w:t>bénéficierait indûment du caractère distinctif de l’appellation d’origine ou de l’indication géographique.</w:t>
            </w:r>
          </w:p>
          <w:p w14:paraId="64899855" w14:textId="77777777" w:rsidR="00861355" w:rsidRPr="008B2DDA" w:rsidRDefault="00861355" w:rsidP="008B2DDA">
            <w:pPr>
              <w:widowControl w:val="0"/>
              <w:tabs>
                <w:tab w:val="left" w:pos="0"/>
              </w:tabs>
              <w:autoSpaceDE w:val="0"/>
              <w:autoSpaceDN w:val="0"/>
              <w:adjustRightInd w:val="0"/>
              <w:ind w:firstLine="342"/>
              <w:rPr>
                <w:rFonts w:eastAsiaTheme="minorEastAsia"/>
                <w:sz w:val="18"/>
                <w:szCs w:val="18"/>
                <w:lang w:eastAsia="fr-FR"/>
              </w:rPr>
            </w:pPr>
          </w:p>
          <w:p w14:paraId="0DA5E952" w14:textId="77777777" w:rsidR="00861355" w:rsidRPr="008B2DDA" w:rsidRDefault="00861355" w:rsidP="008B2DDA">
            <w:pPr>
              <w:widowControl w:val="0"/>
              <w:tabs>
                <w:tab w:val="left" w:pos="0"/>
              </w:tabs>
              <w:autoSpaceDE w:val="0"/>
              <w:autoSpaceDN w:val="0"/>
              <w:adjustRightInd w:val="0"/>
              <w:ind w:hanging="18"/>
              <w:rPr>
                <w:rFonts w:eastAsiaTheme="minorEastAsia"/>
                <w:sz w:val="18"/>
                <w:szCs w:val="18"/>
                <w:u w:val="single"/>
                <w:lang w:eastAsia="fr-FR"/>
              </w:rPr>
            </w:pPr>
            <w:r w:rsidRPr="008B2DDA">
              <w:rPr>
                <w:rFonts w:eastAsiaTheme="minorEastAsia"/>
                <w:sz w:val="18"/>
                <w:szCs w:val="18"/>
                <w:u w:val="single"/>
                <w:lang w:eastAsia="fr-FR"/>
              </w:rPr>
              <w:t>VARIANTE D</w:t>
            </w:r>
          </w:p>
          <w:p w14:paraId="30F4AC9B" w14:textId="77777777" w:rsidR="00861355" w:rsidRPr="008B2DDA" w:rsidRDefault="00861355" w:rsidP="008B2DDA">
            <w:pPr>
              <w:autoSpaceDE w:val="0"/>
              <w:autoSpaceDN w:val="0"/>
              <w:adjustRightInd w:val="0"/>
              <w:spacing w:before="202"/>
              <w:rPr>
                <w:rFonts w:eastAsiaTheme="minorEastAsia"/>
                <w:sz w:val="18"/>
                <w:szCs w:val="18"/>
                <w:lang w:eastAsia="fr-FR"/>
              </w:rPr>
            </w:pPr>
            <w:r w:rsidRPr="008B2DDA">
              <w:rPr>
                <w:rFonts w:eastAsiaTheme="minorEastAsia"/>
                <w:sz w:val="18"/>
                <w:szCs w:val="18"/>
                <w:lang w:eastAsia="fr-FR"/>
              </w:rPr>
              <w:t>Tout État ou organisation intergouvernementale</w:t>
            </w:r>
          </w:p>
          <w:p w14:paraId="358E8A87" w14:textId="77777777" w:rsidR="00861355" w:rsidRPr="008B2DDA" w:rsidRDefault="00861355" w:rsidP="008B2DDA">
            <w:pPr>
              <w:tabs>
                <w:tab w:val="left" w:leader="hyphen" w:pos="1987"/>
                <w:tab w:val="left" w:leader="dot" w:pos="3091"/>
                <w:tab w:val="left" w:leader="hyphen" w:pos="3792"/>
              </w:tabs>
              <w:autoSpaceDE w:val="0"/>
              <w:autoSpaceDN w:val="0"/>
              <w:adjustRightInd w:val="0"/>
              <w:spacing w:before="29"/>
              <w:rPr>
                <w:rFonts w:eastAsiaTheme="minorEastAsia"/>
                <w:sz w:val="18"/>
                <w:szCs w:val="18"/>
                <w:lang w:eastAsia="fr-FR"/>
              </w:rPr>
            </w:pPr>
            <w:r w:rsidRPr="008B2DDA">
              <w:rPr>
                <w:rFonts w:eastAsiaTheme="minorEastAsia"/>
                <w:sz w:val="18"/>
                <w:szCs w:val="18"/>
                <w:lang w:eastAsia="fr-FR"/>
              </w:rPr>
              <w:t xml:space="preserve">peut déclarer, lors […] est de nature à indiquer ou suggérer un lien entre ces produits et les bénéficiaires et </w:t>
            </w:r>
            <w:r w:rsidRPr="008B2DDA">
              <w:rPr>
                <w:rStyle w:val="FontStyle45"/>
                <w:sz w:val="18"/>
                <w:szCs w:val="18"/>
                <w:lang w:eastAsia="fr-FR"/>
              </w:rPr>
              <w:t>risque de nuire aux intérêts des bénéficiaires.</w:t>
            </w:r>
          </w:p>
          <w:p w14:paraId="38653D2D" w14:textId="77777777" w:rsidR="00861355" w:rsidRPr="008B2DDA" w:rsidRDefault="00861355" w:rsidP="008B2DDA">
            <w:pPr>
              <w:tabs>
                <w:tab w:val="left" w:leader="dot" w:pos="1622"/>
                <w:tab w:val="left" w:leader="hyphen" w:pos="1910"/>
                <w:tab w:val="left" w:leader="dot" w:pos="2266"/>
                <w:tab w:val="left" w:leader="dot" w:pos="2899"/>
              </w:tabs>
              <w:autoSpaceDE w:val="0"/>
              <w:autoSpaceDN w:val="0"/>
              <w:adjustRightInd w:val="0"/>
              <w:rPr>
                <w:rStyle w:val="FontStyle45"/>
                <w:sz w:val="18"/>
                <w:szCs w:val="18"/>
                <w:lang w:eastAsia="fr-FR"/>
              </w:rPr>
            </w:pPr>
          </w:p>
        </w:tc>
        <w:tc>
          <w:tcPr>
            <w:tcW w:w="3890" w:type="dxa"/>
          </w:tcPr>
          <w:p w14:paraId="1EE8C2EA" w14:textId="77777777" w:rsidR="00861355" w:rsidRPr="008B2DDA" w:rsidRDefault="00861355" w:rsidP="008B2DDA">
            <w:pPr>
              <w:rPr>
                <w:sz w:val="18"/>
                <w:szCs w:val="18"/>
              </w:rPr>
            </w:pPr>
          </w:p>
          <w:p w14:paraId="628A3D22" w14:textId="77777777" w:rsidR="00861355" w:rsidRPr="008B2DDA" w:rsidRDefault="00861355" w:rsidP="008B2DDA">
            <w:pPr>
              <w:tabs>
                <w:tab w:val="left" w:leader="hyphen" w:pos="3178"/>
              </w:tabs>
              <w:autoSpaceDE w:val="0"/>
              <w:autoSpaceDN w:val="0"/>
              <w:adjustRightInd w:val="0"/>
              <w:rPr>
                <w:rFonts w:eastAsiaTheme="minorEastAsia"/>
                <w:sz w:val="18"/>
                <w:szCs w:val="18"/>
                <w:u w:val="single"/>
                <w:lang w:eastAsia="fr-FR"/>
              </w:rPr>
            </w:pPr>
          </w:p>
          <w:p w14:paraId="6C582F0B" w14:textId="77777777" w:rsidR="00861355" w:rsidRPr="008B2DDA" w:rsidRDefault="00861355" w:rsidP="008B2DDA">
            <w:pPr>
              <w:tabs>
                <w:tab w:val="left" w:leader="hyphen" w:pos="3178"/>
              </w:tabs>
              <w:autoSpaceDE w:val="0"/>
              <w:autoSpaceDN w:val="0"/>
              <w:adjustRightInd w:val="0"/>
              <w:rPr>
                <w:rFonts w:eastAsiaTheme="minorEastAsia"/>
                <w:sz w:val="18"/>
                <w:szCs w:val="18"/>
                <w:u w:val="single"/>
                <w:lang w:eastAsia="fr-FR"/>
              </w:rPr>
            </w:pPr>
          </w:p>
          <w:p w14:paraId="0E11B634" w14:textId="77777777" w:rsidR="00861355" w:rsidRDefault="00861355" w:rsidP="008B2DDA">
            <w:pPr>
              <w:tabs>
                <w:tab w:val="left" w:leader="hyphen" w:pos="3178"/>
              </w:tabs>
              <w:autoSpaceDE w:val="0"/>
              <w:autoSpaceDN w:val="0"/>
              <w:adjustRightInd w:val="0"/>
              <w:rPr>
                <w:rFonts w:eastAsiaTheme="minorEastAsia"/>
                <w:sz w:val="18"/>
                <w:szCs w:val="18"/>
                <w:u w:val="single"/>
                <w:lang w:eastAsia="fr-FR"/>
              </w:rPr>
            </w:pPr>
          </w:p>
          <w:p w14:paraId="5F243CD4"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0C3E792B"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53BB2C87"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4EA822F0"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2351409C"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7F2857F7"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49C3A0E1"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70FFC535"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1F3D6A8E"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122D9D6F"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7AFD689D"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66A33F33"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1FBC8496"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1E37280A"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4507CE4A"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5781D1BC" w14:textId="77777777" w:rsidR="0002751B" w:rsidRDefault="0002751B" w:rsidP="008B2DDA">
            <w:pPr>
              <w:tabs>
                <w:tab w:val="left" w:leader="hyphen" w:pos="3178"/>
              </w:tabs>
              <w:autoSpaceDE w:val="0"/>
              <w:autoSpaceDN w:val="0"/>
              <w:adjustRightInd w:val="0"/>
              <w:rPr>
                <w:rFonts w:eastAsiaTheme="minorEastAsia"/>
                <w:sz w:val="18"/>
                <w:szCs w:val="18"/>
                <w:u w:val="single"/>
                <w:lang w:eastAsia="fr-FR"/>
              </w:rPr>
            </w:pPr>
          </w:p>
          <w:p w14:paraId="2A5805DF" w14:textId="77777777" w:rsidR="0002751B" w:rsidRPr="008B2DDA" w:rsidRDefault="0002751B" w:rsidP="008B2DDA">
            <w:pPr>
              <w:tabs>
                <w:tab w:val="left" w:leader="hyphen" w:pos="3178"/>
              </w:tabs>
              <w:autoSpaceDE w:val="0"/>
              <w:autoSpaceDN w:val="0"/>
              <w:adjustRightInd w:val="0"/>
              <w:rPr>
                <w:rFonts w:eastAsiaTheme="minorEastAsia"/>
                <w:sz w:val="18"/>
                <w:szCs w:val="18"/>
                <w:u w:val="single"/>
                <w:lang w:eastAsia="fr-FR"/>
              </w:rPr>
            </w:pPr>
          </w:p>
          <w:p w14:paraId="5887B072" w14:textId="77777777" w:rsidR="00861355" w:rsidRPr="008B2DDA" w:rsidRDefault="00861355" w:rsidP="008B2DDA">
            <w:pPr>
              <w:tabs>
                <w:tab w:val="left" w:leader="hyphen" w:pos="3178"/>
              </w:tabs>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C</w:t>
            </w:r>
          </w:p>
          <w:p w14:paraId="6888F129" w14:textId="77777777" w:rsidR="00861355" w:rsidRPr="008B2DDA" w:rsidRDefault="00861355" w:rsidP="008B2DDA">
            <w:pPr>
              <w:tabs>
                <w:tab w:val="left" w:leader="dot" w:pos="1901"/>
              </w:tabs>
              <w:autoSpaceDE w:val="0"/>
              <w:autoSpaceDN w:val="0"/>
              <w:adjustRightInd w:val="0"/>
              <w:spacing w:before="192"/>
              <w:rPr>
                <w:rFonts w:eastAsiaTheme="minorEastAsia"/>
                <w:sz w:val="18"/>
                <w:szCs w:val="18"/>
                <w:lang w:eastAsia="fr-FR"/>
              </w:rPr>
            </w:pPr>
            <w:r w:rsidRPr="008B2DDA">
              <w:rPr>
                <w:rFonts w:eastAsiaTheme="minorEastAsia"/>
                <w:sz w:val="18"/>
                <w:szCs w:val="18"/>
                <w:lang w:eastAsia="fr-FR"/>
              </w:rPr>
              <w:t>“Tout État […] de la protection établie à l’alinéa 1)a)ii) et iii), il accordera à l’appellation d’origine enregistrée […] géographique s’applique, si cette utilisation :</w:t>
            </w:r>
          </w:p>
          <w:p w14:paraId="68989360" w14:textId="77777777" w:rsidR="00861355" w:rsidRPr="008B2DDA" w:rsidRDefault="00861355" w:rsidP="008B2DDA">
            <w:pPr>
              <w:widowControl w:val="0"/>
              <w:tabs>
                <w:tab w:val="left" w:pos="905"/>
              </w:tabs>
              <w:autoSpaceDE w:val="0"/>
              <w:autoSpaceDN w:val="0"/>
              <w:adjustRightInd w:val="0"/>
              <w:ind w:right="10" w:firstLine="522"/>
              <w:rPr>
                <w:rFonts w:eastAsiaTheme="minorEastAsia"/>
                <w:sz w:val="18"/>
                <w:szCs w:val="18"/>
                <w:lang w:eastAsia="fr-FR"/>
              </w:rPr>
            </w:pPr>
            <w:r w:rsidRPr="008B2DDA">
              <w:rPr>
                <w:rFonts w:eastAsiaTheme="minorEastAsia"/>
                <w:sz w:val="18"/>
                <w:szCs w:val="18"/>
                <w:lang w:eastAsia="fr-FR"/>
              </w:rPr>
              <w:t>i)</w:t>
            </w:r>
            <w:r w:rsidRPr="008B2DDA">
              <w:rPr>
                <w:rFonts w:eastAsiaTheme="minorEastAsia"/>
                <w:sz w:val="18"/>
                <w:szCs w:val="18"/>
                <w:lang w:eastAsia="fr-FR"/>
              </w:rPr>
              <w:tab/>
              <w:t>est de nature à indiquer un lien entre ces produits et les bénéficiaires de l’appellation d’origine ou de l’indication géographique et risque de nuire à leurs intérêts;</w:t>
            </w:r>
          </w:p>
          <w:p w14:paraId="405AAFC7" w14:textId="77777777" w:rsidR="00861355" w:rsidRPr="008B2DDA" w:rsidRDefault="00861355" w:rsidP="008B2DDA">
            <w:pPr>
              <w:widowControl w:val="0"/>
              <w:tabs>
                <w:tab w:val="left" w:pos="905"/>
              </w:tabs>
              <w:autoSpaceDE w:val="0"/>
              <w:autoSpaceDN w:val="0"/>
              <w:adjustRightInd w:val="0"/>
              <w:spacing w:before="10"/>
              <w:ind w:right="10" w:firstLine="522"/>
              <w:rPr>
                <w:rFonts w:eastAsiaTheme="minorEastAsia"/>
                <w:sz w:val="18"/>
                <w:szCs w:val="18"/>
                <w:lang w:eastAsia="fr-FR"/>
              </w:rPr>
            </w:pPr>
            <w:r w:rsidRPr="008B2DDA">
              <w:rPr>
                <w:rFonts w:eastAsiaTheme="minorEastAsia"/>
                <w:sz w:val="18"/>
                <w:szCs w:val="18"/>
                <w:lang w:eastAsia="fr-FR"/>
              </w:rPr>
              <w:t>ii)</w:t>
            </w:r>
            <w:r w:rsidRPr="008B2DDA">
              <w:rPr>
                <w:rFonts w:eastAsiaTheme="minorEastAsia"/>
                <w:sz w:val="18"/>
                <w:szCs w:val="18"/>
                <w:lang w:eastAsia="fr-FR"/>
              </w:rPr>
              <w:tab/>
              <w:t>risque de porter atteinte au caractère distinctif de l’appellation d’origine ou de l’indication géographique ou de l’affaiblir de manière déloyale;  ou</w:t>
            </w:r>
          </w:p>
          <w:p w14:paraId="72164054" w14:textId="77777777" w:rsidR="00861355" w:rsidRPr="008B2DDA" w:rsidRDefault="00861355" w:rsidP="008B2DDA">
            <w:pPr>
              <w:widowControl w:val="0"/>
              <w:tabs>
                <w:tab w:val="left" w:pos="905"/>
              </w:tabs>
              <w:autoSpaceDE w:val="0"/>
              <w:autoSpaceDN w:val="0"/>
              <w:adjustRightInd w:val="0"/>
              <w:spacing w:before="10"/>
              <w:ind w:right="19" w:firstLine="522"/>
              <w:rPr>
                <w:rFonts w:eastAsiaTheme="minorEastAsia"/>
                <w:sz w:val="18"/>
                <w:szCs w:val="18"/>
                <w:lang w:eastAsia="fr-FR"/>
              </w:rPr>
            </w:pPr>
            <w:r w:rsidRPr="008B2DDA">
              <w:rPr>
                <w:rFonts w:eastAsiaTheme="minorEastAsia"/>
                <w:sz w:val="18"/>
                <w:szCs w:val="18"/>
                <w:lang w:eastAsia="fr-FR"/>
              </w:rPr>
              <w:t>iii)</w:t>
            </w:r>
            <w:r w:rsidRPr="008B2DDA">
              <w:rPr>
                <w:rFonts w:eastAsiaTheme="minorEastAsia"/>
                <w:sz w:val="18"/>
                <w:szCs w:val="18"/>
                <w:lang w:eastAsia="fr-FR"/>
              </w:rPr>
              <w:tab/>
              <w:t>bénéficierait indûment du caractère distinctif de l’appellation d’origine ou de l’indication géographique.”</w:t>
            </w:r>
          </w:p>
          <w:p w14:paraId="5AAECAF4" w14:textId="77777777" w:rsidR="00861355" w:rsidRPr="008B2DDA" w:rsidRDefault="00861355" w:rsidP="008B2DDA">
            <w:pPr>
              <w:rPr>
                <w:sz w:val="18"/>
                <w:szCs w:val="18"/>
              </w:rPr>
            </w:pPr>
          </w:p>
        </w:tc>
      </w:tr>
      <w:tr w:rsidR="008B2DDA" w:rsidRPr="008B2DDA" w14:paraId="5CC36123" w14:textId="77777777" w:rsidTr="00AB2EF0">
        <w:trPr>
          <w:cantSplit/>
        </w:trPr>
        <w:tc>
          <w:tcPr>
            <w:tcW w:w="1488" w:type="dxa"/>
            <w:vAlign w:val="center"/>
          </w:tcPr>
          <w:p w14:paraId="47BFCA40"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Article 12  Protection pour éviter de devenir générique</w:t>
            </w:r>
          </w:p>
          <w:p w14:paraId="23BED14B" w14:textId="77777777" w:rsidR="00861355" w:rsidRPr="008B2DDA" w:rsidRDefault="00861355" w:rsidP="008B2DDA">
            <w:pPr>
              <w:jc w:val="center"/>
              <w:rPr>
                <w:sz w:val="18"/>
                <w:szCs w:val="18"/>
              </w:rPr>
            </w:pPr>
          </w:p>
        </w:tc>
        <w:tc>
          <w:tcPr>
            <w:tcW w:w="3944" w:type="dxa"/>
          </w:tcPr>
          <w:p w14:paraId="6A6FEE21" w14:textId="77777777" w:rsidR="00861355" w:rsidRPr="008B2DDA" w:rsidRDefault="00861355" w:rsidP="008B2DDA">
            <w:pPr>
              <w:rPr>
                <w:sz w:val="18"/>
                <w:szCs w:val="18"/>
              </w:rPr>
            </w:pPr>
          </w:p>
          <w:p w14:paraId="630F578E" w14:textId="77777777" w:rsidR="00861355" w:rsidRPr="008B2DDA" w:rsidRDefault="00861355" w:rsidP="008B2DDA">
            <w:pPr>
              <w:rPr>
                <w:rStyle w:val="FontStyle45"/>
                <w:sz w:val="18"/>
                <w:szCs w:val="18"/>
                <w:lang w:eastAsia="fr-FR"/>
              </w:rPr>
            </w:pPr>
            <w:r w:rsidRPr="008B2DDA">
              <w:rPr>
                <w:rStyle w:val="FontStyle45"/>
                <w:sz w:val="18"/>
                <w:szCs w:val="18"/>
                <w:lang w:eastAsia="fr-FR"/>
              </w:rPr>
              <w:t>Sous réserve des dispositions du présent Acte, les appellations d’origine enregistrées et les indications géographiques enregistrées ne peuvent pas [être considérées comme étant devenues] devenir génériques tant que [la dénomination constituant] l’appellation d’origine, ou [l’indication constituant] l’indication géographique, est protégée dans la partie contractante d’origine [et que les exigences de la législation nationale ou régionale dans la partie contractante concernée en matière d’utilisation, de maintien en vigueur et de renouvellement sont observées].</w:t>
            </w:r>
          </w:p>
          <w:p w14:paraId="5E9ECE2E" w14:textId="77777777" w:rsidR="00861355" w:rsidRPr="008B2DDA" w:rsidRDefault="00861355" w:rsidP="008B2DDA">
            <w:pPr>
              <w:rPr>
                <w:sz w:val="18"/>
                <w:szCs w:val="18"/>
              </w:rPr>
            </w:pPr>
          </w:p>
        </w:tc>
        <w:tc>
          <w:tcPr>
            <w:tcW w:w="3890" w:type="dxa"/>
          </w:tcPr>
          <w:p w14:paraId="0D58B49F" w14:textId="77777777" w:rsidR="00861355" w:rsidRPr="008B2DDA" w:rsidRDefault="00861355" w:rsidP="008B2DDA">
            <w:pPr>
              <w:rPr>
                <w:sz w:val="18"/>
                <w:szCs w:val="18"/>
              </w:rPr>
            </w:pPr>
          </w:p>
          <w:p w14:paraId="1F15FF8C" w14:textId="77777777" w:rsidR="00861355" w:rsidRPr="008B2DDA" w:rsidRDefault="00861355" w:rsidP="008B2DDA">
            <w:pPr>
              <w:autoSpaceDE w:val="0"/>
              <w:autoSpaceDN w:val="0"/>
              <w:adjustRightInd w:val="0"/>
              <w:ind w:right="58" w:firstLine="19"/>
              <w:rPr>
                <w:rFonts w:eastAsiaTheme="minorEastAsia"/>
                <w:sz w:val="18"/>
                <w:szCs w:val="18"/>
                <w:lang w:eastAsia="fr-FR"/>
              </w:rPr>
            </w:pPr>
            <w:r w:rsidRPr="008B2DDA">
              <w:rPr>
                <w:rFonts w:eastAsiaTheme="minorEastAsia"/>
                <w:sz w:val="18"/>
                <w:szCs w:val="18"/>
              </w:rPr>
              <w:t xml:space="preserve">“Sous réserve des dispositions du présent Acte, les appellations d’origine enregistrées et les indications géographiques enregistrées ne peuvent pas </w:t>
            </w:r>
            <w:r w:rsidRPr="008B2DDA">
              <w:rPr>
                <w:rFonts w:eastAsiaTheme="minorEastAsia"/>
                <w:strike/>
                <w:sz w:val="18"/>
                <w:szCs w:val="18"/>
              </w:rPr>
              <w:t>[être considérées comme étant devenues]</w:t>
            </w:r>
            <w:r w:rsidRPr="008B2DDA">
              <w:rPr>
                <w:rFonts w:eastAsiaTheme="minorEastAsia"/>
                <w:sz w:val="18"/>
                <w:szCs w:val="18"/>
              </w:rPr>
              <w:t xml:space="preserve"> devenir génériques tant que </w:t>
            </w:r>
            <w:r w:rsidRPr="008B2DDA">
              <w:rPr>
                <w:rFonts w:eastAsiaTheme="minorEastAsia"/>
                <w:strike/>
                <w:sz w:val="18"/>
                <w:szCs w:val="18"/>
              </w:rPr>
              <w:t xml:space="preserve">[la dénomination constituant] </w:t>
            </w:r>
            <w:r w:rsidRPr="008B2DDA">
              <w:rPr>
                <w:rFonts w:eastAsiaTheme="minorEastAsia"/>
                <w:sz w:val="18"/>
                <w:szCs w:val="18"/>
              </w:rPr>
              <w:t xml:space="preserve">l’appellation </w:t>
            </w:r>
            <w:r w:rsidRPr="008B2DDA">
              <w:rPr>
                <w:rFonts w:eastAsiaTheme="minorEastAsia"/>
                <w:sz w:val="18"/>
                <w:szCs w:val="18"/>
                <w:lang w:eastAsia="fr-FR"/>
              </w:rPr>
              <w:t xml:space="preserve">d’origine, ou </w:t>
            </w:r>
            <w:r w:rsidRPr="008B2DDA">
              <w:rPr>
                <w:rFonts w:eastAsiaTheme="minorEastAsia"/>
                <w:strike/>
                <w:sz w:val="18"/>
                <w:szCs w:val="18"/>
                <w:lang w:eastAsia="fr-FR"/>
              </w:rPr>
              <w:t xml:space="preserve">[l’indication constituant] </w:t>
            </w:r>
            <w:r w:rsidRPr="008B2DDA">
              <w:rPr>
                <w:rFonts w:eastAsiaTheme="minorEastAsia"/>
                <w:sz w:val="18"/>
                <w:szCs w:val="18"/>
                <w:lang w:eastAsia="fr-FR"/>
              </w:rPr>
              <w:t>l’indication géographique, est protégée dans la partie contractante d’origine</w:t>
            </w:r>
            <w:r w:rsidRPr="008B2DDA">
              <w:rPr>
                <w:rFonts w:eastAsiaTheme="minorEastAsia"/>
                <w:b/>
                <w:sz w:val="18"/>
                <w:szCs w:val="18"/>
                <w:lang w:eastAsia="fr-FR"/>
              </w:rPr>
              <w:t xml:space="preserve"> et que les exigences de la législation nationale ou régionale dans la partie contractante concernée en matière d’utilisation, de maintien en vigueur et de renouvellement sont observées</w:t>
            </w:r>
            <w:r w:rsidRPr="008B2DDA">
              <w:rPr>
                <w:rFonts w:eastAsiaTheme="minorEastAsia"/>
                <w:sz w:val="18"/>
                <w:szCs w:val="18"/>
                <w:lang w:eastAsia="fr-FR"/>
              </w:rPr>
              <w:t>.</w:t>
            </w:r>
            <w:r w:rsidRPr="008B2DDA">
              <w:rPr>
                <w:sz w:val="18"/>
                <w:szCs w:val="18"/>
              </w:rPr>
              <w:t>”</w:t>
            </w:r>
          </w:p>
          <w:p w14:paraId="29F951C9" w14:textId="77777777" w:rsidR="00861355" w:rsidRPr="008B2DDA" w:rsidRDefault="00861355" w:rsidP="008B2DDA">
            <w:pPr>
              <w:rPr>
                <w:sz w:val="18"/>
                <w:szCs w:val="18"/>
              </w:rPr>
            </w:pPr>
          </w:p>
        </w:tc>
      </w:tr>
      <w:tr w:rsidR="008B2DDA" w:rsidRPr="008B2DDA" w14:paraId="6909382E" w14:textId="77777777" w:rsidTr="00AB2EF0">
        <w:trPr>
          <w:cantSplit/>
        </w:trPr>
        <w:tc>
          <w:tcPr>
            <w:tcW w:w="1488" w:type="dxa"/>
            <w:vAlign w:val="center"/>
          </w:tcPr>
          <w:p w14:paraId="4E7262BE"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13 Garanties à l’égard d’autres droits</w:t>
            </w:r>
          </w:p>
          <w:p w14:paraId="1542E380" w14:textId="77777777" w:rsidR="00861355" w:rsidRPr="008B2DDA" w:rsidRDefault="00861355" w:rsidP="008B2DDA">
            <w:pPr>
              <w:pStyle w:val="Style2"/>
              <w:widowControl/>
              <w:spacing w:before="48" w:line="240" w:lineRule="auto"/>
              <w:rPr>
                <w:sz w:val="18"/>
                <w:szCs w:val="18"/>
                <w:lang w:val="fr-FR"/>
              </w:rPr>
            </w:pPr>
          </w:p>
        </w:tc>
        <w:tc>
          <w:tcPr>
            <w:tcW w:w="3944" w:type="dxa"/>
          </w:tcPr>
          <w:p w14:paraId="421E5C1F" w14:textId="77777777" w:rsidR="00861355" w:rsidRPr="008B2DDA" w:rsidRDefault="00861355" w:rsidP="008B2DDA">
            <w:pPr>
              <w:rPr>
                <w:sz w:val="18"/>
                <w:szCs w:val="18"/>
              </w:rPr>
            </w:pPr>
          </w:p>
          <w:p w14:paraId="21C0FB10" w14:textId="77777777" w:rsidR="00861355" w:rsidRPr="008B2DDA" w:rsidRDefault="00861355" w:rsidP="008B2DDA">
            <w:pPr>
              <w:autoSpaceDE w:val="0"/>
              <w:autoSpaceDN w:val="0"/>
              <w:adjustRightInd w:val="0"/>
              <w:ind w:firstLine="10"/>
              <w:rPr>
                <w:rFonts w:eastAsiaTheme="minorEastAsia"/>
                <w:sz w:val="18"/>
                <w:szCs w:val="18"/>
              </w:rPr>
            </w:pPr>
            <w:r w:rsidRPr="008B2DDA">
              <w:rPr>
                <w:rFonts w:eastAsiaTheme="minorEastAsia"/>
                <w:sz w:val="18"/>
                <w:szCs w:val="18"/>
              </w:rPr>
              <w:t>1)</w:t>
            </w:r>
            <w:r w:rsidRPr="008B2DDA">
              <w:rPr>
                <w:rFonts w:eastAsiaTheme="minorEastAsia"/>
                <w:sz w:val="18"/>
                <w:szCs w:val="18"/>
              </w:rPr>
              <w:tab/>
            </w:r>
            <w:r w:rsidRPr="008B2DDA">
              <w:rPr>
                <w:rFonts w:eastAsiaTheme="minorEastAsia"/>
                <w:i/>
                <w:iCs/>
                <w:sz w:val="18"/>
                <w:szCs w:val="18"/>
              </w:rPr>
              <w:t xml:space="preserve">[Droits antérieurs sur des marques]  </w:t>
            </w:r>
            <w:r w:rsidRPr="008B2DDA">
              <w:rPr>
                <w:rFonts w:eastAsiaTheme="minorEastAsia"/>
                <w:sz w:val="18"/>
                <w:szCs w:val="18"/>
              </w:rPr>
              <w:t>Sans préjudice des articles 15 et 19, lorsqu’une</w:t>
            </w:r>
          </w:p>
          <w:p w14:paraId="036C5A93" w14:textId="77777777" w:rsidR="00861355" w:rsidRPr="008B2DDA" w:rsidRDefault="00861355" w:rsidP="008B2DDA">
            <w:pPr>
              <w:tabs>
                <w:tab w:val="left" w:leader="hyphen" w:pos="2122"/>
              </w:tabs>
              <w:autoSpaceDE w:val="0"/>
              <w:autoSpaceDN w:val="0"/>
              <w:adjustRightInd w:val="0"/>
              <w:rPr>
                <w:rFonts w:eastAsiaTheme="minorEastAsia"/>
                <w:sz w:val="18"/>
                <w:szCs w:val="18"/>
                <w:lang w:eastAsia="fr-FR"/>
              </w:rPr>
            </w:pPr>
            <w:r w:rsidRPr="008B2DDA">
              <w:rPr>
                <w:rFonts w:eastAsiaTheme="minorEastAsia"/>
                <w:sz w:val="18"/>
                <w:szCs w:val="18"/>
                <w:lang w:eastAsia="fr-FR"/>
              </w:rPr>
              <w:t>appellation […] ou acquise par un usage de bonne foi, dans une partie contractante,</w:t>
            </w:r>
          </w:p>
          <w:p w14:paraId="6EDB70FF" w14:textId="77777777" w:rsidR="00861355" w:rsidRPr="008B2DDA" w:rsidRDefault="00861355" w:rsidP="008B2DDA">
            <w:pPr>
              <w:tabs>
                <w:tab w:val="left" w:leader="hyphen" w:pos="2122"/>
              </w:tabs>
              <w:autoSpaceDE w:val="0"/>
              <w:autoSpaceDN w:val="0"/>
              <w:adjustRightInd w:val="0"/>
              <w:rPr>
                <w:rFonts w:eastAsiaTheme="minorEastAsia"/>
                <w:sz w:val="18"/>
                <w:szCs w:val="18"/>
                <w:lang w:eastAsia="fr-FR"/>
              </w:rPr>
            </w:pPr>
          </w:p>
          <w:p w14:paraId="738ADE4B"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A</w:t>
            </w:r>
          </w:p>
          <w:p w14:paraId="317EE699" w14:textId="77777777" w:rsidR="00861355" w:rsidRPr="008B2DDA" w:rsidRDefault="00861355" w:rsidP="008B2DDA">
            <w:pPr>
              <w:autoSpaceDE w:val="0"/>
              <w:autoSpaceDN w:val="0"/>
              <w:adjustRightInd w:val="0"/>
              <w:rPr>
                <w:rFonts w:eastAsiaTheme="minorEastAsia"/>
                <w:sz w:val="18"/>
                <w:szCs w:val="18"/>
                <w:lang w:eastAsia="fr-FR"/>
              </w:rPr>
            </w:pPr>
          </w:p>
          <w:p w14:paraId="6C613F17"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sz w:val="18"/>
                <w:szCs w:val="18"/>
                <w:lang w:eastAsia="fr-FR"/>
              </w:rPr>
              <w:t>la protection de cette appellation d’origine ou de cette indication géographique […] et à condition que le public ne soit pas induit en erreur.</w:t>
            </w:r>
          </w:p>
          <w:p w14:paraId="69BE4871" w14:textId="77777777" w:rsidR="00861355" w:rsidRPr="008B2DDA" w:rsidRDefault="00861355" w:rsidP="008B2DDA">
            <w:pPr>
              <w:autoSpaceDE w:val="0"/>
              <w:autoSpaceDN w:val="0"/>
              <w:adjustRightInd w:val="0"/>
              <w:rPr>
                <w:rFonts w:eastAsiaTheme="minorEastAsia"/>
                <w:sz w:val="18"/>
                <w:szCs w:val="18"/>
                <w:lang w:eastAsia="fr-FR"/>
              </w:rPr>
            </w:pPr>
          </w:p>
          <w:p w14:paraId="43EE1741"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B</w:t>
            </w:r>
          </w:p>
          <w:p w14:paraId="1FFEEA4A" w14:textId="77777777" w:rsidR="00861355" w:rsidRPr="008B2DDA" w:rsidRDefault="00861355" w:rsidP="008B2DDA">
            <w:pPr>
              <w:rPr>
                <w:rFonts w:eastAsiaTheme="minorEastAsia"/>
                <w:sz w:val="18"/>
                <w:szCs w:val="18"/>
                <w:lang w:eastAsia="fr-FR"/>
              </w:rPr>
            </w:pPr>
          </w:p>
          <w:p w14:paraId="116ECBEA" w14:textId="77777777" w:rsidR="00861355" w:rsidRPr="008B2DDA" w:rsidRDefault="00861355" w:rsidP="008B2DDA">
            <w:pPr>
              <w:rPr>
                <w:rFonts w:eastAsiaTheme="minorEastAsia"/>
                <w:sz w:val="18"/>
                <w:szCs w:val="18"/>
                <w:lang w:eastAsia="fr-FR"/>
              </w:rPr>
            </w:pPr>
            <w:r w:rsidRPr="008B2DDA">
              <w:rPr>
                <w:rFonts w:eastAsiaTheme="minorEastAsia"/>
                <w:sz w:val="18"/>
                <w:szCs w:val="18"/>
                <w:lang w:eastAsia="fr-FR"/>
              </w:rPr>
              <w:t>la protection de cette appellation d’origine ou de cette indication géographique dans cette partie contractante est subordonnée aux droits conférés par la marque antérieure en vertu de la législation nationale ou régionale ainsi qu’à toute exception applicable à ces droits.</w:t>
            </w:r>
          </w:p>
          <w:p w14:paraId="629177DE" w14:textId="77777777" w:rsidR="00861355" w:rsidRPr="008B2DDA" w:rsidRDefault="00861355" w:rsidP="008B2DDA">
            <w:pPr>
              <w:rPr>
                <w:sz w:val="18"/>
                <w:szCs w:val="18"/>
              </w:rPr>
            </w:pPr>
          </w:p>
        </w:tc>
        <w:tc>
          <w:tcPr>
            <w:tcW w:w="3890" w:type="dxa"/>
          </w:tcPr>
          <w:p w14:paraId="01B071C5" w14:textId="77777777" w:rsidR="00861355" w:rsidRPr="008B2DDA" w:rsidRDefault="00861355" w:rsidP="008B2DDA">
            <w:pPr>
              <w:rPr>
                <w:sz w:val="18"/>
                <w:szCs w:val="18"/>
              </w:rPr>
            </w:pPr>
          </w:p>
        </w:tc>
      </w:tr>
      <w:tr w:rsidR="008B2DDA" w:rsidRPr="008B2DDA" w14:paraId="163E3F6D" w14:textId="77777777" w:rsidTr="00AB2EF0">
        <w:trPr>
          <w:cantSplit/>
        </w:trPr>
        <w:tc>
          <w:tcPr>
            <w:tcW w:w="1488" w:type="dxa"/>
            <w:vAlign w:val="center"/>
          </w:tcPr>
          <w:p w14:paraId="21BD1D99" w14:textId="77777777" w:rsidR="00861355" w:rsidRPr="008B2DDA" w:rsidRDefault="00861355" w:rsidP="008B2DDA">
            <w:pPr>
              <w:pStyle w:val="Style2"/>
              <w:widowControl/>
              <w:spacing w:before="48" w:line="240" w:lineRule="auto"/>
              <w:rPr>
                <w:rStyle w:val="FontStyle45"/>
                <w:sz w:val="18"/>
                <w:szCs w:val="18"/>
                <w:lang w:val="fr-FR"/>
              </w:rPr>
            </w:pPr>
          </w:p>
          <w:p w14:paraId="6F253BBD"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14 Procédures destinées à faire respecter les droits et moyens de recours</w:t>
            </w:r>
          </w:p>
          <w:p w14:paraId="0271B49B" w14:textId="77777777" w:rsidR="00861355" w:rsidRPr="008B2DDA" w:rsidRDefault="00861355" w:rsidP="008B2DDA">
            <w:pPr>
              <w:jc w:val="center"/>
              <w:rPr>
                <w:sz w:val="18"/>
                <w:szCs w:val="18"/>
              </w:rPr>
            </w:pPr>
          </w:p>
          <w:p w14:paraId="5F2A43FF" w14:textId="77777777" w:rsidR="00861355" w:rsidRPr="008B2DDA" w:rsidRDefault="00861355" w:rsidP="008B2DDA">
            <w:pPr>
              <w:jc w:val="center"/>
              <w:rPr>
                <w:sz w:val="18"/>
                <w:szCs w:val="18"/>
              </w:rPr>
            </w:pPr>
          </w:p>
        </w:tc>
        <w:tc>
          <w:tcPr>
            <w:tcW w:w="3944" w:type="dxa"/>
          </w:tcPr>
          <w:p w14:paraId="737F757D" w14:textId="77777777" w:rsidR="00861355" w:rsidRPr="008B2DDA" w:rsidRDefault="00861355" w:rsidP="008B2DDA">
            <w:pPr>
              <w:rPr>
                <w:sz w:val="18"/>
                <w:szCs w:val="18"/>
              </w:rPr>
            </w:pPr>
          </w:p>
          <w:p w14:paraId="7BCB23CF" w14:textId="77777777" w:rsidR="00861355" w:rsidRPr="008B2DDA" w:rsidRDefault="00861355" w:rsidP="008B2DDA">
            <w:pPr>
              <w:tabs>
                <w:tab w:val="left" w:leader="dot" w:pos="2362"/>
                <w:tab w:val="left" w:leader="hyphen" w:pos="2832"/>
              </w:tabs>
              <w:autoSpaceDE w:val="0"/>
              <w:autoSpaceDN w:val="0"/>
              <w:adjustRightInd w:val="0"/>
              <w:rPr>
                <w:sz w:val="18"/>
                <w:szCs w:val="18"/>
              </w:rPr>
            </w:pPr>
            <w:r w:rsidRPr="008B2DDA">
              <w:rPr>
                <w:rFonts w:eastAsiaTheme="minorEastAsia"/>
                <w:sz w:val="18"/>
                <w:szCs w:val="18"/>
                <w:lang w:eastAsia="fr-FR"/>
              </w:rPr>
              <w:t>Chaque partie […] intéressée, personne physique ou morale, publique ou privée, selon son système et sa pratique juridiques.</w:t>
            </w:r>
          </w:p>
        </w:tc>
        <w:tc>
          <w:tcPr>
            <w:tcW w:w="3890" w:type="dxa"/>
          </w:tcPr>
          <w:p w14:paraId="3B29AF84" w14:textId="77777777" w:rsidR="00861355" w:rsidRPr="008B2DDA" w:rsidRDefault="00861355" w:rsidP="008B2DDA">
            <w:pPr>
              <w:rPr>
                <w:sz w:val="18"/>
                <w:szCs w:val="18"/>
              </w:rPr>
            </w:pPr>
          </w:p>
          <w:p w14:paraId="493F2369" w14:textId="77777777" w:rsidR="00861355" w:rsidRPr="008B2DDA" w:rsidRDefault="00861355" w:rsidP="008B2DDA">
            <w:pPr>
              <w:tabs>
                <w:tab w:val="left" w:leader="dot" w:pos="1930"/>
              </w:tabs>
              <w:autoSpaceDE w:val="0"/>
              <w:autoSpaceDN w:val="0"/>
              <w:adjustRightInd w:val="0"/>
              <w:rPr>
                <w:sz w:val="18"/>
                <w:szCs w:val="18"/>
              </w:rPr>
            </w:pPr>
            <w:r w:rsidRPr="008B2DDA">
              <w:rPr>
                <w:rFonts w:eastAsiaTheme="minorEastAsia"/>
                <w:sz w:val="18"/>
                <w:szCs w:val="18"/>
              </w:rPr>
              <w:t xml:space="preserve">“Chaque partie […] intéressée, personne </w:t>
            </w:r>
            <w:r w:rsidRPr="008B2DDA">
              <w:rPr>
                <w:rFonts w:eastAsiaTheme="minorEastAsia"/>
                <w:sz w:val="18"/>
                <w:szCs w:val="18"/>
                <w:lang w:eastAsia="fr-FR"/>
              </w:rPr>
              <w:t>physique ou morale, publique ou privée, selon son système et sa pratique juridiques</w:t>
            </w:r>
            <w:r w:rsidRPr="008B2DDA">
              <w:rPr>
                <w:rFonts w:eastAsiaTheme="minorEastAsia"/>
                <w:b/>
                <w:sz w:val="18"/>
                <w:szCs w:val="18"/>
                <w:lang w:eastAsia="fr-FR"/>
              </w:rPr>
              <w:t xml:space="preserve"> et sa législation nationale</w:t>
            </w:r>
            <w:r w:rsidRPr="008B2DDA">
              <w:rPr>
                <w:rFonts w:eastAsiaTheme="minorEastAsia"/>
                <w:sz w:val="18"/>
                <w:szCs w:val="18"/>
                <w:lang w:eastAsia="fr-FR"/>
              </w:rPr>
              <w:t>.”</w:t>
            </w:r>
          </w:p>
        </w:tc>
      </w:tr>
      <w:tr w:rsidR="008B2DDA" w:rsidRPr="008B2DDA" w14:paraId="55ABF9AC" w14:textId="77777777" w:rsidTr="00AB2EF0">
        <w:trPr>
          <w:cantSplit/>
        </w:trPr>
        <w:tc>
          <w:tcPr>
            <w:tcW w:w="1488" w:type="dxa"/>
            <w:vAlign w:val="center"/>
          </w:tcPr>
          <w:p w14:paraId="6D13E8A0"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 xml:space="preserve">Article 15 </w:t>
            </w:r>
            <w:r w:rsidRPr="008B2DDA">
              <w:rPr>
                <w:rStyle w:val="FontStyle45"/>
                <w:sz w:val="18"/>
                <w:szCs w:val="18"/>
                <w:lang w:val="fr-FR"/>
              </w:rPr>
              <w:br/>
              <w:t>Refus</w:t>
            </w:r>
          </w:p>
          <w:p w14:paraId="2FD02C86" w14:textId="77777777" w:rsidR="00861355" w:rsidRPr="008B2DDA" w:rsidRDefault="00861355" w:rsidP="008B2DDA">
            <w:pPr>
              <w:jc w:val="center"/>
              <w:rPr>
                <w:sz w:val="18"/>
                <w:szCs w:val="18"/>
              </w:rPr>
            </w:pPr>
          </w:p>
        </w:tc>
        <w:tc>
          <w:tcPr>
            <w:tcW w:w="3944" w:type="dxa"/>
          </w:tcPr>
          <w:p w14:paraId="6048E7D2" w14:textId="77777777" w:rsidR="00861355" w:rsidRPr="008B2DDA" w:rsidRDefault="00861355" w:rsidP="008B2DDA">
            <w:pPr>
              <w:autoSpaceDE w:val="0"/>
              <w:autoSpaceDN w:val="0"/>
              <w:adjustRightInd w:val="0"/>
              <w:ind w:hanging="18"/>
              <w:rPr>
                <w:rFonts w:eastAsiaTheme="minorEastAsia"/>
                <w:sz w:val="18"/>
                <w:szCs w:val="18"/>
                <w:lang w:eastAsia="fr-FR"/>
              </w:rPr>
            </w:pPr>
          </w:p>
          <w:p w14:paraId="548CFC3C" w14:textId="667C2CD9" w:rsidR="00861355" w:rsidRPr="008B2DDA" w:rsidRDefault="00861355" w:rsidP="0099664D">
            <w:pPr>
              <w:autoSpaceDE w:val="0"/>
              <w:autoSpaceDN w:val="0"/>
              <w:adjustRightInd w:val="0"/>
              <w:ind w:hanging="18"/>
              <w:rPr>
                <w:rFonts w:eastAsiaTheme="minorEastAsia"/>
                <w:sz w:val="18"/>
                <w:szCs w:val="18"/>
                <w:lang w:eastAsia="fr-FR"/>
              </w:rPr>
            </w:pPr>
            <w:r w:rsidRPr="008B2DDA">
              <w:rPr>
                <w:rFonts w:eastAsiaTheme="minorEastAsia"/>
                <w:sz w:val="18"/>
                <w:szCs w:val="18"/>
                <w:lang w:eastAsia="fr-FR"/>
              </w:rPr>
              <w:t>1)</w:t>
            </w:r>
            <w:r w:rsidRPr="008B2DDA">
              <w:rPr>
                <w:rFonts w:eastAsiaTheme="minorEastAsia"/>
                <w:sz w:val="18"/>
                <w:szCs w:val="18"/>
                <w:lang w:eastAsia="fr-FR"/>
              </w:rPr>
              <w:tab/>
            </w:r>
            <w:r w:rsidRPr="008B2DDA">
              <w:rPr>
                <w:rFonts w:eastAsiaTheme="minorEastAsia"/>
                <w:i/>
                <w:iCs/>
                <w:sz w:val="18"/>
                <w:szCs w:val="18"/>
                <w:lang w:eastAsia="fr-FR"/>
              </w:rPr>
              <w:t xml:space="preserve">[Refus des effets de l’enregistrement international]  </w:t>
            </w:r>
            <w:r w:rsidRPr="008B2DDA">
              <w:rPr>
                <w:rFonts w:eastAsiaTheme="minorEastAsia"/>
                <w:sz w:val="18"/>
                <w:szCs w:val="18"/>
                <w:lang w:eastAsia="fr-FR"/>
              </w:rPr>
              <w:t xml:space="preserve">a) Dans le délai prévu par le règlement d’exécution, </w:t>
            </w:r>
            <w:r w:rsidR="00247D89">
              <w:rPr>
                <w:rFonts w:eastAsiaTheme="minorEastAsia"/>
                <w:sz w:val="18"/>
                <w:szCs w:val="18"/>
                <w:lang w:eastAsia="fr-FR"/>
              </w:rPr>
              <w:t xml:space="preserve">le refus de </w:t>
            </w:r>
            <w:r w:rsidRPr="008B2DDA">
              <w:rPr>
                <w:rFonts w:eastAsiaTheme="minorEastAsia"/>
                <w:sz w:val="18"/>
                <w:szCs w:val="18"/>
                <w:lang w:eastAsia="fr-FR"/>
              </w:rPr>
              <w:t>l’administration compétente […</w:t>
            </w:r>
            <w:proofErr w:type="gramStart"/>
            <w:r w:rsidRPr="008B2DDA">
              <w:rPr>
                <w:rFonts w:eastAsiaTheme="minorEastAsia"/>
                <w:sz w:val="18"/>
                <w:szCs w:val="18"/>
                <w:lang w:eastAsia="fr-FR"/>
              </w:rPr>
              <w:t>]peut</w:t>
            </w:r>
            <w:proofErr w:type="gramEnd"/>
            <w:r w:rsidRPr="008B2DDA">
              <w:rPr>
                <w:rFonts w:eastAsiaTheme="minorEastAsia"/>
                <w:sz w:val="18"/>
                <w:szCs w:val="18"/>
                <w:lang w:eastAsia="fr-FR"/>
              </w:rPr>
              <w:t xml:space="preserve"> être</w:t>
            </w:r>
            <w:r w:rsidR="00247D89">
              <w:rPr>
                <w:rFonts w:eastAsiaTheme="minorEastAsia"/>
                <w:sz w:val="18"/>
                <w:szCs w:val="18"/>
                <w:lang w:eastAsia="fr-FR"/>
              </w:rPr>
              <w:t xml:space="preserve"> </w:t>
            </w:r>
            <w:r w:rsidRPr="008B2DDA">
              <w:rPr>
                <w:rFonts w:eastAsiaTheme="minorEastAsia"/>
                <w:sz w:val="18"/>
                <w:szCs w:val="18"/>
                <w:lang w:eastAsia="fr-FR"/>
              </w:rPr>
              <w:t>déposé par l’administration compétente d’office, si sa législation le permet, ou à la demande d’une partie intéressée.</w:t>
            </w:r>
          </w:p>
          <w:p w14:paraId="3FB570E6" w14:textId="77777777" w:rsidR="00861355" w:rsidRPr="008B2DDA" w:rsidRDefault="00861355" w:rsidP="008B2DDA">
            <w:pPr>
              <w:rPr>
                <w:sz w:val="18"/>
                <w:szCs w:val="18"/>
              </w:rPr>
            </w:pPr>
          </w:p>
        </w:tc>
        <w:tc>
          <w:tcPr>
            <w:tcW w:w="3890" w:type="dxa"/>
          </w:tcPr>
          <w:p w14:paraId="2EB8FEFF" w14:textId="77777777" w:rsidR="00861355" w:rsidRPr="008B2DDA" w:rsidRDefault="00861355" w:rsidP="008B2DDA">
            <w:pPr>
              <w:rPr>
                <w:sz w:val="18"/>
                <w:szCs w:val="18"/>
              </w:rPr>
            </w:pPr>
          </w:p>
          <w:p w14:paraId="0A1B5581" w14:textId="77777777" w:rsidR="00861355" w:rsidRPr="008B2DDA" w:rsidRDefault="00861355" w:rsidP="008B2DDA">
            <w:pPr>
              <w:rPr>
                <w:sz w:val="18"/>
                <w:szCs w:val="18"/>
              </w:rPr>
            </w:pPr>
          </w:p>
        </w:tc>
      </w:tr>
      <w:tr w:rsidR="008B2DDA" w:rsidRPr="008B2DDA" w14:paraId="2A0A7DF9" w14:textId="77777777" w:rsidTr="00AB2EF0">
        <w:trPr>
          <w:cantSplit/>
        </w:trPr>
        <w:tc>
          <w:tcPr>
            <w:tcW w:w="1488" w:type="dxa"/>
            <w:vAlign w:val="center"/>
          </w:tcPr>
          <w:p w14:paraId="41962416"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 xml:space="preserve">Article 16 </w:t>
            </w:r>
            <w:r w:rsidRPr="008B2DDA">
              <w:rPr>
                <w:rStyle w:val="FontStyle45"/>
                <w:sz w:val="18"/>
                <w:szCs w:val="18"/>
                <w:lang w:val="fr-FR"/>
              </w:rPr>
              <w:br/>
              <w:t>Retrait de refus</w:t>
            </w:r>
          </w:p>
          <w:p w14:paraId="37F32959" w14:textId="77777777" w:rsidR="00861355" w:rsidRPr="008B2DDA" w:rsidRDefault="00861355" w:rsidP="008B2DDA">
            <w:pPr>
              <w:pStyle w:val="Style2"/>
              <w:widowControl/>
              <w:spacing w:before="48" w:line="240" w:lineRule="auto"/>
              <w:rPr>
                <w:sz w:val="18"/>
                <w:szCs w:val="18"/>
                <w:lang w:val="fr-FR"/>
              </w:rPr>
            </w:pPr>
          </w:p>
        </w:tc>
        <w:tc>
          <w:tcPr>
            <w:tcW w:w="3944" w:type="dxa"/>
          </w:tcPr>
          <w:p w14:paraId="06860E82" w14:textId="77777777" w:rsidR="00861355" w:rsidRPr="008B2DDA" w:rsidRDefault="00861355" w:rsidP="008B2DDA">
            <w:pPr>
              <w:rPr>
                <w:sz w:val="18"/>
                <w:szCs w:val="18"/>
              </w:rPr>
            </w:pPr>
          </w:p>
          <w:p w14:paraId="5FE7362A" w14:textId="77777777" w:rsidR="00861355" w:rsidRPr="008B2DDA" w:rsidRDefault="00861355" w:rsidP="008B2DDA">
            <w:pPr>
              <w:autoSpaceDE w:val="0"/>
              <w:autoSpaceDN w:val="0"/>
              <w:adjustRightInd w:val="0"/>
              <w:ind w:hanging="18"/>
              <w:rPr>
                <w:rFonts w:eastAsiaTheme="minorEastAsia"/>
                <w:sz w:val="18"/>
                <w:szCs w:val="18"/>
                <w:lang w:eastAsia="fr-FR"/>
              </w:rPr>
            </w:pPr>
            <w:r w:rsidRPr="008B2DDA">
              <w:rPr>
                <w:rFonts w:eastAsiaTheme="minorEastAsia"/>
                <w:sz w:val="18"/>
                <w:szCs w:val="18"/>
                <w:lang w:eastAsia="fr-FR"/>
              </w:rPr>
              <w:t>1)</w:t>
            </w:r>
            <w:r w:rsidRPr="008B2DDA">
              <w:rPr>
                <w:rFonts w:eastAsiaTheme="minorEastAsia"/>
                <w:sz w:val="18"/>
                <w:szCs w:val="18"/>
                <w:lang w:eastAsia="fr-FR"/>
              </w:rPr>
              <w:tab/>
            </w:r>
            <w:r w:rsidRPr="008B2DDA">
              <w:rPr>
                <w:rFonts w:eastAsiaTheme="minorEastAsia"/>
                <w:i/>
                <w:iCs/>
                <w:sz w:val="18"/>
                <w:szCs w:val="18"/>
                <w:lang w:eastAsia="fr-FR"/>
              </w:rPr>
              <w:t xml:space="preserve">[Procédures de retrait des refus]  </w:t>
            </w:r>
            <w:r w:rsidRPr="008B2DDA">
              <w:rPr>
                <w:rFonts w:eastAsiaTheme="minorEastAsia"/>
                <w:sz w:val="18"/>
                <w:szCs w:val="18"/>
                <w:lang w:eastAsia="fr-FR"/>
              </w:rPr>
              <w:t>Un refus peut être retiré conformément aux procédures prescrites dans le règlement d’exécution.  Le retrait est inscrit au registre international.</w:t>
            </w:r>
          </w:p>
          <w:p w14:paraId="4415D827" w14:textId="77777777" w:rsidR="00861355" w:rsidRPr="008B2DDA" w:rsidRDefault="00861355" w:rsidP="008B2DDA">
            <w:pPr>
              <w:rPr>
                <w:rFonts w:eastAsiaTheme="minorEastAsia"/>
                <w:sz w:val="18"/>
                <w:szCs w:val="18"/>
                <w:lang w:eastAsia="fr-FR"/>
              </w:rPr>
            </w:pPr>
          </w:p>
          <w:p w14:paraId="1512236B" w14:textId="77777777" w:rsidR="00861355" w:rsidRPr="008B2DDA" w:rsidRDefault="00861355" w:rsidP="008B2DDA">
            <w:pPr>
              <w:rPr>
                <w:rFonts w:eastAsiaTheme="minorEastAsia"/>
                <w:sz w:val="18"/>
                <w:szCs w:val="18"/>
                <w:lang w:eastAsia="fr-FR"/>
              </w:rPr>
            </w:pPr>
            <w:r w:rsidRPr="008B2DDA">
              <w:rPr>
                <w:rFonts w:eastAsiaTheme="minorEastAsia"/>
                <w:sz w:val="18"/>
                <w:szCs w:val="18"/>
                <w:lang w:eastAsia="fr-FR"/>
              </w:rPr>
              <w:t>[2)</w:t>
            </w:r>
            <w:r w:rsidRPr="008B2DDA">
              <w:rPr>
                <w:rFonts w:eastAsiaTheme="minorEastAsia"/>
                <w:sz w:val="18"/>
                <w:szCs w:val="18"/>
                <w:lang w:eastAsia="fr-FR"/>
              </w:rPr>
              <w:tab/>
            </w:r>
            <w:r w:rsidRPr="008B2DDA">
              <w:rPr>
                <w:rFonts w:eastAsiaTheme="minorEastAsia"/>
                <w:i/>
                <w:iCs/>
                <w:sz w:val="18"/>
                <w:szCs w:val="18"/>
                <w:lang w:eastAsia="fr-FR"/>
              </w:rPr>
              <w:t xml:space="preserve">[Négociations]  Lorsque </w:t>
            </w:r>
            <w:r w:rsidRPr="008B2DDA">
              <w:rPr>
                <w:rFonts w:eastAsiaTheme="minorEastAsia"/>
                <w:sz w:val="18"/>
                <w:szCs w:val="18"/>
                <w:lang w:eastAsia="fr-FR"/>
              </w:rPr>
              <w:t>cela paraît approprié et sans préjudice de l’article 15.5), la partie contractante d’origine peut proposer des négociations avec une partie contractante à l’égard de laquelle un refus a été inscrit, afin que ce refus soit retiré.]</w:t>
            </w:r>
          </w:p>
          <w:p w14:paraId="73E56BC7" w14:textId="77777777" w:rsidR="00861355" w:rsidRPr="008B2DDA" w:rsidRDefault="00861355" w:rsidP="008B2DDA">
            <w:pPr>
              <w:rPr>
                <w:sz w:val="18"/>
                <w:szCs w:val="18"/>
              </w:rPr>
            </w:pPr>
          </w:p>
        </w:tc>
        <w:tc>
          <w:tcPr>
            <w:tcW w:w="3890" w:type="dxa"/>
          </w:tcPr>
          <w:p w14:paraId="43649C11" w14:textId="77777777" w:rsidR="00861355" w:rsidRPr="008B2DDA" w:rsidRDefault="00861355" w:rsidP="008B2DDA">
            <w:pPr>
              <w:rPr>
                <w:sz w:val="18"/>
                <w:szCs w:val="18"/>
              </w:rPr>
            </w:pPr>
          </w:p>
          <w:p w14:paraId="05C40BE0" w14:textId="77777777" w:rsidR="00861355" w:rsidRPr="008B2DDA" w:rsidRDefault="00861355" w:rsidP="008B2DDA">
            <w:pPr>
              <w:rPr>
                <w:rStyle w:val="FontStyle45"/>
                <w:sz w:val="18"/>
                <w:szCs w:val="18"/>
              </w:rPr>
            </w:pPr>
          </w:p>
          <w:p w14:paraId="4D083FBB" w14:textId="77777777" w:rsidR="00861355" w:rsidRPr="008B2DDA" w:rsidRDefault="00861355" w:rsidP="008B2DDA">
            <w:pPr>
              <w:rPr>
                <w:rStyle w:val="FontStyle45"/>
                <w:sz w:val="18"/>
                <w:szCs w:val="18"/>
              </w:rPr>
            </w:pPr>
          </w:p>
          <w:p w14:paraId="5081BAFB" w14:textId="77777777" w:rsidR="00861355" w:rsidRPr="008B2DDA" w:rsidRDefault="00861355" w:rsidP="008B2DDA">
            <w:pPr>
              <w:rPr>
                <w:rStyle w:val="FontStyle45"/>
                <w:sz w:val="18"/>
                <w:szCs w:val="18"/>
              </w:rPr>
            </w:pPr>
          </w:p>
          <w:p w14:paraId="1BEF050E" w14:textId="77777777" w:rsidR="00861355" w:rsidRPr="008B2DDA" w:rsidRDefault="00861355" w:rsidP="008B2DDA">
            <w:pPr>
              <w:rPr>
                <w:rStyle w:val="FontStyle45"/>
                <w:sz w:val="18"/>
                <w:szCs w:val="18"/>
              </w:rPr>
            </w:pPr>
          </w:p>
          <w:p w14:paraId="3BA1A3B5" w14:textId="77777777" w:rsidR="00861355" w:rsidRPr="008B2DDA" w:rsidRDefault="00861355" w:rsidP="008B2DDA">
            <w:pPr>
              <w:rPr>
                <w:rStyle w:val="FontStyle45"/>
                <w:sz w:val="18"/>
                <w:szCs w:val="18"/>
              </w:rPr>
            </w:pPr>
          </w:p>
          <w:p w14:paraId="43122461" w14:textId="77777777" w:rsidR="00861355" w:rsidRPr="008B2DDA" w:rsidRDefault="00861355" w:rsidP="008B2DDA">
            <w:pPr>
              <w:rPr>
                <w:sz w:val="18"/>
                <w:szCs w:val="18"/>
              </w:rPr>
            </w:pPr>
            <w:r w:rsidRPr="008B2DDA">
              <w:rPr>
                <w:rStyle w:val="FontStyle45"/>
                <w:sz w:val="18"/>
                <w:szCs w:val="18"/>
              </w:rPr>
              <w:t>[2)</w:t>
            </w:r>
            <w:r w:rsidRPr="008B2DDA">
              <w:rPr>
                <w:rStyle w:val="FontStyle45"/>
                <w:sz w:val="18"/>
                <w:szCs w:val="18"/>
              </w:rPr>
              <w:tab/>
            </w:r>
            <w:r w:rsidRPr="008B2DDA">
              <w:rPr>
                <w:rStyle w:val="FontStyle46"/>
                <w:sz w:val="18"/>
                <w:szCs w:val="18"/>
              </w:rPr>
              <w:t xml:space="preserve">[Négociations]  </w:t>
            </w:r>
            <w:r w:rsidRPr="008B2DDA">
              <w:rPr>
                <w:rStyle w:val="FontStyle45"/>
                <w:sz w:val="18"/>
                <w:szCs w:val="18"/>
              </w:rPr>
              <w:t xml:space="preserve">Lorsque cela paraît approprié et sans préjudice de l’article 15.5), la partie contractante d’origine peut proposer des négociations avec une partie contractante à l’égard de laquelle un refus a été inscrit, </w:t>
            </w:r>
            <w:r w:rsidRPr="008B2DDA">
              <w:rPr>
                <w:rStyle w:val="FontStyle45"/>
                <w:strike/>
                <w:sz w:val="18"/>
                <w:szCs w:val="18"/>
              </w:rPr>
              <w:t>afin que ce refus soit retiré</w:t>
            </w:r>
            <w:r w:rsidRPr="008B2DDA">
              <w:rPr>
                <w:rStyle w:val="FontStyle45"/>
                <w:sz w:val="18"/>
                <w:szCs w:val="18"/>
              </w:rPr>
              <w:t xml:space="preserve"> en vue d’obtenir un refus.]</w:t>
            </w:r>
          </w:p>
        </w:tc>
      </w:tr>
      <w:tr w:rsidR="008B2DDA" w:rsidRPr="008B2DDA" w14:paraId="61894221" w14:textId="77777777" w:rsidTr="00AB2EF0">
        <w:trPr>
          <w:cantSplit/>
        </w:trPr>
        <w:tc>
          <w:tcPr>
            <w:tcW w:w="1488" w:type="dxa"/>
            <w:vAlign w:val="center"/>
          </w:tcPr>
          <w:p w14:paraId="6F8F8009"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18 Notification d’octroi de la protection</w:t>
            </w:r>
          </w:p>
          <w:p w14:paraId="6F2FDD84" w14:textId="77777777" w:rsidR="00861355" w:rsidRPr="008B2DDA" w:rsidRDefault="00861355" w:rsidP="008B2DDA">
            <w:pPr>
              <w:jc w:val="center"/>
              <w:rPr>
                <w:sz w:val="18"/>
                <w:szCs w:val="18"/>
              </w:rPr>
            </w:pPr>
          </w:p>
        </w:tc>
        <w:tc>
          <w:tcPr>
            <w:tcW w:w="3944" w:type="dxa"/>
          </w:tcPr>
          <w:p w14:paraId="1A5201B9" w14:textId="77777777" w:rsidR="00861355" w:rsidRPr="008B2DDA" w:rsidRDefault="00861355" w:rsidP="008B2DDA">
            <w:pPr>
              <w:rPr>
                <w:sz w:val="18"/>
                <w:szCs w:val="18"/>
              </w:rPr>
            </w:pPr>
          </w:p>
          <w:p w14:paraId="5718D7EB" w14:textId="77777777" w:rsidR="00861355" w:rsidRPr="008B2DDA" w:rsidRDefault="00861355" w:rsidP="008B2DDA">
            <w:pPr>
              <w:rPr>
                <w:rStyle w:val="FontStyle45"/>
                <w:sz w:val="18"/>
                <w:szCs w:val="18"/>
                <w:lang w:eastAsia="fr-FR"/>
              </w:rPr>
            </w:pPr>
            <w:r w:rsidRPr="008B2DDA">
              <w:rPr>
                <w:rStyle w:val="FontStyle45"/>
                <w:sz w:val="18"/>
                <w:szCs w:val="18"/>
                <w:lang w:eastAsia="fr-FR"/>
              </w:rPr>
              <w:t>L’administration compétente d’une partie contractante peut notifier au Bureau international l’octroi de la protection à une appellation d’origine ou indication géographique enregistrée.  Le Bureau international inscrit cette notification au registre international et la publie.</w:t>
            </w:r>
          </w:p>
          <w:p w14:paraId="6F2037AC" w14:textId="77777777" w:rsidR="00861355" w:rsidRPr="008B2DDA" w:rsidRDefault="00861355" w:rsidP="008B2DDA">
            <w:pPr>
              <w:rPr>
                <w:sz w:val="18"/>
                <w:szCs w:val="18"/>
              </w:rPr>
            </w:pPr>
          </w:p>
        </w:tc>
        <w:tc>
          <w:tcPr>
            <w:tcW w:w="3890" w:type="dxa"/>
          </w:tcPr>
          <w:p w14:paraId="4204B181" w14:textId="77777777" w:rsidR="00861355" w:rsidRPr="008B2DDA" w:rsidRDefault="00861355" w:rsidP="008B2DDA">
            <w:pPr>
              <w:rPr>
                <w:sz w:val="18"/>
                <w:szCs w:val="18"/>
              </w:rPr>
            </w:pPr>
          </w:p>
          <w:p w14:paraId="491A6A9E" w14:textId="77777777" w:rsidR="00861355" w:rsidRPr="008B2DDA" w:rsidRDefault="00861355" w:rsidP="008B2DDA">
            <w:pPr>
              <w:rPr>
                <w:rStyle w:val="FontStyle45"/>
                <w:sz w:val="18"/>
                <w:szCs w:val="18"/>
              </w:rPr>
            </w:pPr>
            <w:r w:rsidRPr="008B2DDA">
              <w:rPr>
                <w:rStyle w:val="FontStyle45"/>
                <w:sz w:val="18"/>
                <w:szCs w:val="18"/>
              </w:rPr>
              <w:t>“L’administration compétente d’une partie contractante peut notifier au Bureau international l’octroi de la protection à une appellation d’origine ou indication géographique enregistrée, dans les délais prévus par le règlement d’exécution relatif à la notification de refus.  Le Bureau international inscrit cette notification au registre international et la publie.”</w:t>
            </w:r>
          </w:p>
          <w:p w14:paraId="1579178D" w14:textId="77777777" w:rsidR="00861355" w:rsidRPr="008B2DDA" w:rsidRDefault="00861355" w:rsidP="008B2DDA">
            <w:pPr>
              <w:rPr>
                <w:sz w:val="18"/>
                <w:szCs w:val="18"/>
              </w:rPr>
            </w:pPr>
          </w:p>
        </w:tc>
      </w:tr>
      <w:tr w:rsidR="008B2DDA" w:rsidRPr="008B2DDA" w14:paraId="288032A7" w14:textId="77777777" w:rsidTr="00AB2EF0">
        <w:trPr>
          <w:cantSplit/>
        </w:trPr>
        <w:tc>
          <w:tcPr>
            <w:tcW w:w="1488" w:type="dxa"/>
            <w:vAlign w:val="center"/>
          </w:tcPr>
          <w:p w14:paraId="69BAD7E2"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Article 19 Invalidation</w:t>
            </w:r>
          </w:p>
          <w:p w14:paraId="3FF8E885" w14:textId="77777777" w:rsidR="00861355" w:rsidRPr="008B2DDA" w:rsidRDefault="00861355" w:rsidP="008B2DDA">
            <w:pPr>
              <w:pStyle w:val="Style2"/>
              <w:widowControl/>
              <w:spacing w:before="48" w:line="240" w:lineRule="auto"/>
              <w:rPr>
                <w:sz w:val="18"/>
                <w:szCs w:val="18"/>
                <w:lang w:val="fr-FR"/>
              </w:rPr>
            </w:pPr>
          </w:p>
        </w:tc>
        <w:tc>
          <w:tcPr>
            <w:tcW w:w="3944" w:type="dxa"/>
          </w:tcPr>
          <w:p w14:paraId="4AFD13FA" w14:textId="77777777" w:rsidR="00861355" w:rsidRPr="008B2DDA" w:rsidRDefault="00861355" w:rsidP="008B2DDA">
            <w:pPr>
              <w:rPr>
                <w:sz w:val="18"/>
                <w:szCs w:val="18"/>
              </w:rPr>
            </w:pPr>
          </w:p>
          <w:p w14:paraId="69F4399B"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iCs/>
                <w:sz w:val="18"/>
                <w:szCs w:val="18"/>
                <w:lang w:eastAsia="fr-FR"/>
              </w:rPr>
              <w:t>1)</w:t>
            </w:r>
            <w:r w:rsidRPr="008B2DDA">
              <w:rPr>
                <w:rFonts w:eastAsiaTheme="minorEastAsia"/>
                <w:iCs/>
                <w:sz w:val="18"/>
                <w:szCs w:val="18"/>
                <w:lang w:eastAsia="fr-FR"/>
              </w:rPr>
              <w:tab/>
            </w:r>
            <w:r w:rsidRPr="008B2DDA">
              <w:rPr>
                <w:rFonts w:eastAsiaTheme="minorEastAsia"/>
                <w:i/>
                <w:iCs/>
                <w:sz w:val="18"/>
                <w:szCs w:val="18"/>
                <w:lang w:eastAsia="fr-FR"/>
              </w:rPr>
              <w:t xml:space="preserve">[Motifs d’invalidation]  </w:t>
            </w:r>
            <w:r w:rsidRPr="008B2DDA">
              <w:rPr>
                <w:rFonts w:eastAsiaTheme="minorEastAsia"/>
                <w:sz w:val="18"/>
                <w:szCs w:val="18"/>
                <w:lang w:eastAsia="fr-FR"/>
              </w:rPr>
              <w:t>Les motifs sur la base desquels une partie […] effets d’un enregistrement international sur son territoire comprennent :</w:t>
            </w:r>
          </w:p>
          <w:p w14:paraId="5952DCB4" w14:textId="77777777" w:rsidR="00861355" w:rsidRPr="008B2DDA" w:rsidRDefault="00861355" w:rsidP="008B2DDA">
            <w:pPr>
              <w:autoSpaceDE w:val="0"/>
              <w:autoSpaceDN w:val="0"/>
              <w:adjustRightInd w:val="0"/>
              <w:rPr>
                <w:rFonts w:eastAsiaTheme="minorEastAsia"/>
                <w:sz w:val="18"/>
                <w:szCs w:val="18"/>
                <w:lang w:eastAsia="fr-FR"/>
              </w:rPr>
            </w:pPr>
          </w:p>
          <w:p w14:paraId="5AE9C6B9"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A</w:t>
            </w:r>
          </w:p>
          <w:p w14:paraId="55797F2C" w14:textId="77777777" w:rsidR="00861355" w:rsidRPr="008B2DDA" w:rsidRDefault="00861355" w:rsidP="008B2DDA">
            <w:pPr>
              <w:autoSpaceDE w:val="0"/>
              <w:autoSpaceDN w:val="0"/>
              <w:adjustRightInd w:val="0"/>
              <w:ind w:firstLine="10"/>
              <w:rPr>
                <w:rFonts w:eastAsiaTheme="minorEastAsia"/>
                <w:sz w:val="18"/>
                <w:szCs w:val="18"/>
                <w:lang w:eastAsia="fr-FR"/>
              </w:rPr>
            </w:pPr>
          </w:p>
          <w:p w14:paraId="31109E44" w14:textId="77777777" w:rsidR="00861355" w:rsidRPr="008B2DDA" w:rsidRDefault="00861355" w:rsidP="008B2DDA">
            <w:pPr>
              <w:autoSpaceDE w:val="0"/>
              <w:autoSpaceDN w:val="0"/>
              <w:adjustRightInd w:val="0"/>
              <w:ind w:firstLine="10"/>
              <w:rPr>
                <w:rFonts w:eastAsiaTheme="minorEastAsia"/>
                <w:sz w:val="18"/>
                <w:szCs w:val="18"/>
                <w:lang w:eastAsia="fr-FR"/>
              </w:rPr>
            </w:pPr>
            <w:r w:rsidRPr="008B2DDA">
              <w:rPr>
                <w:rFonts w:eastAsiaTheme="minorEastAsia"/>
                <w:sz w:val="18"/>
                <w:szCs w:val="18"/>
                <w:lang w:eastAsia="fr-FR"/>
              </w:rPr>
              <w:t>notamment les motifs fondés sur un droit antérieur visé à l’article 13.</w:t>
            </w:r>
          </w:p>
          <w:p w14:paraId="65946407" w14:textId="77777777" w:rsidR="00861355" w:rsidRPr="008B2DDA" w:rsidRDefault="00861355" w:rsidP="008B2DDA">
            <w:pPr>
              <w:autoSpaceDE w:val="0"/>
              <w:autoSpaceDN w:val="0"/>
              <w:adjustRightInd w:val="0"/>
              <w:ind w:firstLine="10"/>
              <w:rPr>
                <w:rFonts w:eastAsiaTheme="minorEastAsia"/>
                <w:sz w:val="18"/>
                <w:szCs w:val="18"/>
                <w:lang w:eastAsia="fr-FR"/>
              </w:rPr>
            </w:pPr>
          </w:p>
          <w:p w14:paraId="08CE4BC5"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B</w:t>
            </w:r>
          </w:p>
          <w:p w14:paraId="6D3D7544" w14:textId="77777777" w:rsidR="00861355" w:rsidRPr="008B2DDA" w:rsidRDefault="00861355" w:rsidP="008B2DDA">
            <w:pPr>
              <w:autoSpaceDE w:val="0"/>
              <w:autoSpaceDN w:val="0"/>
              <w:adjustRightInd w:val="0"/>
              <w:rPr>
                <w:rFonts w:eastAsiaTheme="minorEastAsia"/>
                <w:sz w:val="18"/>
                <w:szCs w:val="18"/>
                <w:u w:val="single"/>
                <w:lang w:eastAsia="fr-FR"/>
              </w:rPr>
            </w:pPr>
          </w:p>
          <w:p w14:paraId="69C8B473"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lang w:eastAsia="fr-FR"/>
              </w:rPr>
              <w:t>i)</w:t>
            </w:r>
            <w:r w:rsidRPr="008B2DDA">
              <w:rPr>
                <w:rFonts w:eastAsiaTheme="minorEastAsia"/>
                <w:sz w:val="18"/>
                <w:szCs w:val="18"/>
                <w:lang w:eastAsia="fr-FR"/>
              </w:rPr>
              <w:tab/>
              <w:t>un droit antérieur visé à l’article 13, lorsque la protection accordée à l’appellation d’origine ou à l’indication géographique enregistrée a été contestée avec succès et que la décision de justice est définitive;  ou</w:t>
            </w:r>
          </w:p>
          <w:p w14:paraId="53BF9EA1" w14:textId="77777777" w:rsidR="00861355" w:rsidRPr="008B2DDA" w:rsidRDefault="00861355" w:rsidP="008B2DDA">
            <w:pPr>
              <w:rPr>
                <w:rFonts w:eastAsiaTheme="minorEastAsia"/>
                <w:sz w:val="18"/>
                <w:szCs w:val="18"/>
                <w:lang w:eastAsia="fr-FR"/>
              </w:rPr>
            </w:pPr>
            <w:r w:rsidRPr="008B2DDA">
              <w:rPr>
                <w:rFonts w:eastAsiaTheme="minorEastAsia"/>
                <w:sz w:val="18"/>
                <w:szCs w:val="18"/>
                <w:lang w:eastAsia="fr-FR"/>
              </w:rPr>
              <w:t>ii)</w:t>
            </w:r>
            <w:r w:rsidRPr="008B2DDA">
              <w:rPr>
                <w:rFonts w:eastAsiaTheme="minorEastAsia"/>
                <w:sz w:val="18"/>
                <w:szCs w:val="18"/>
                <w:lang w:eastAsia="fr-FR"/>
              </w:rPr>
              <w:tab/>
              <w:t>lorsque la conformité avec la définition d’une appellation d’origine ou d’une indication géographique dans la partie contractante d’origine n’est plus assurée.</w:t>
            </w:r>
          </w:p>
          <w:p w14:paraId="7935742E" w14:textId="77777777" w:rsidR="00861355" w:rsidRPr="008B2DDA" w:rsidRDefault="00861355" w:rsidP="008B2DDA">
            <w:pPr>
              <w:rPr>
                <w:sz w:val="18"/>
                <w:szCs w:val="18"/>
              </w:rPr>
            </w:pPr>
          </w:p>
        </w:tc>
        <w:tc>
          <w:tcPr>
            <w:tcW w:w="3890" w:type="dxa"/>
          </w:tcPr>
          <w:p w14:paraId="12B705EB" w14:textId="77777777" w:rsidR="00861355" w:rsidRPr="008B2DDA" w:rsidRDefault="00861355" w:rsidP="008B2DDA">
            <w:pPr>
              <w:rPr>
                <w:sz w:val="18"/>
                <w:szCs w:val="18"/>
              </w:rPr>
            </w:pPr>
          </w:p>
          <w:p w14:paraId="126ACFEE" w14:textId="77777777" w:rsidR="00861355" w:rsidRPr="008B2DDA" w:rsidRDefault="00861355" w:rsidP="008B2DDA">
            <w:pPr>
              <w:rPr>
                <w:rStyle w:val="FontStyle45"/>
                <w:sz w:val="18"/>
                <w:szCs w:val="18"/>
                <w:lang w:eastAsia="fr-FR"/>
              </w:rPr>
            </w:pPr>
          </w:p>
          <w:p w14:paraId="26B7A2D9" w14:textId="77777777" w:rsidR="00861355" w:rsidRPr="008B2DDA" w:rsidRDefault="00861355" w:rsidP="008B2DDA">
            <w:pPr>
              <w:rPr>
                <w:rStyle w:val="FontStyle45"/>
                <w:sz w:val="18"/>
                <w:szCs w:val="18"/>
                <w:lang w:eastAsia="fr-FR"/>
              </w:rPr>
            </w:pPr>
          </w:p>
          <w:p w14:paraId="6DEF19F3" w14:textId="77777777" w:rsidR="00861355" w:rsidRPr="008B2DDA" w:rsidRDefault="00861355" w:rsidP="008B2DDA">
            <w:pPr>
              <w:rPr>
                <w:rStyle w:val="FontStyle45"/>
                <w:sz w:val="18"/>
                <w:szCs w:val="18"/>
                <w:lang w:eastAsia="fr-FR"/>
              </w:rPr>
            </w:pPr>
          </w:p>
          <w:p w14:paraId="08C3652F" w14:textId="77777777" w:rsidR="00861355" w:rsidRPr="008B2DDA" w:rsidRDefault="00861355" w:rsidP="008B2DDA">
            <w:pPr>
              <w:rPr>
                <w:rStyle w:val="FontStyle45"/>
                <w:sz w:val="18"/>
                <w:szCs w:val="18"/>
                <w:lang w:eastAsia="fr-FR"/>
              </w:rPr>
            </w:pPr>
          </w:p>
          <w:p w14:paraId="4B0D70C0" w14:textId="77777777" w:rsidR="00861355" w:rsidRPr="008B2DDA" w:rsidRDefault="00861355" w:rsidP="008B2DDA">
            <w:pPr>
              <w:rPr>
                <w:rStyle w:val="FontStyle45"/>
                <w:sz w:val="18"/>
                <w:szCs w:val="18"/>
                <w:lang w:eastAsia="fr-FR"/>
              </w:rPr>
            </w:pPr>
          </w:p>
          <w:p w14:paraId="5DAB43D3" w14:textId="77777777" w:rsidR="00861355" w:rsidRPr="008B2DDA" w:rsidRDefault="00861355" w:rsidP="008B2DDA">
            <w:pPr>
              <w:rPr>
                <w:rStyle w:val="FontStyle45"/>
                <w:sz w:val="18"/>
                <w:szCs w:val="18"/>
                <w:lang w:eastAsia="fr-FR"/>
              </w:rPr>
            </w:pPr>
          </w:p>
          <w:p w14:paraId="0E55D9D6" w14:textId="77777777" w:rsidR="00861355" w:rsidRPr="008B2DDA" w:rsidRDefault="00861355" w:rsidP="008B2DDA">
            <w:pPr>
              <w:rPr>
                <w:rStyle w:val="FontStyle45"/>
                <w:sz w:val="18"/>
                <w:szCs w:val="18"/>
                <w:lang w:eastAsia="fr-FR"/>
              </w:rPr>
            </w:pPr>
          </w:p>
          <w:p w14:paraId="0E92949A" w14:textId="77777777" w:rsidR="00861355" w:rsidRPr="008B2DDA" w:rsidRDefault="00861355" w:rsidP="008B2DDA">
            <w:pPr>
              <w:rPr>
                <w:rStyle w:val="FontStyle45"/>
                <w:sz w:val="18"/>
                <w:szCs w:val="18"/>
                <w:lang w:eastAsia="fr-FR"/>
              </w:rPr>
            </w:pPr>
          </w:p>
          <w:p w14:paraId="285B91B8" w14:textId="77777777" w:rsidR="00861355" w:rsidRPr="008B2DDA" w:rsidRDefault="00861355" w:rsidP="008B2DDA">
            <w:pPr>
              <w:rPr>
                <w:rStyle w:val="FontStyle45"/>
                <w:sz w:val="18"/>
                <w:szCs w:val="18"/>
                <w:lang w:eastAsia="fr-FR"/>
              </w:rPr>
            </w:pPr>
          </w:p>
          <w:p w14:paraId="5BF1F50B" w14:textId="77777777" w:rsidR="00861355" w:rsidRPr="008B2DDA" w:rsidRDefault="00861355" w:rsidP="008B2DDA">
            <w:pPr>
              <w:rPr>
                <w:rStyle w:val="FontStyle45"/>
                <w:sz w:val="18"/>
                <w:szCs w:val="18"/>
                <w:lang w:eastAsia="fr-FR"/>
              </w:rPr>
            </w:pPr>
          </w:p>
          <w:p w14:paraId="6C527F7C" w14:textId="77777777" w:rsidR="00861355" w:rsidRPr="008B2DDA" w:rsidRDefault="00861355" w:rsidP="008B2DDA">
            <w:pPr>
              <w:rPr>
                <w:rStyle w:val="FontStyle45"/>
                <w:sz w:val="18"/>
                <w:szCs w:val="18"/>
                <w:lang w:eastAsia="fr-FR"/>
              </w:rPr>
            </w:pPr>
          </w:p>
          <w:p w14:paraId="33F1A5BE" w14:textId="77777777" w:rsidR="00861355" w:rsidRPr="008B2DDA" w:rsidRDefault="00861355" w:rsidP="008B2DDA">
            <w:pPr>
              <w:rPr>
                <w:rStyle w:val="FontStyle45"/>
                <w:sz w:val="18"/>
                <w:szCs w:val="18"/>
                <w:lang w:eastAsia="fr-FR"/>
              </w:rPr>
            </w:pPr>
          </w:p>
          <w:p w14:paraId="587040DD" w14:textId="77777777" w:rsidR="00861355" w:rsidRPr="008B2DDA" w:rsidRDefault="00861355" w:rsidP="008B2DDA">
            <w:pPr>
              <w:rPr>
                <w:rStyle w:val="FontStyle45"/>
                <w:sz w:val="18"/>
                <w:szCs w:val="18"/>
                <w:lang w:eastAsia="fr-FR"/>
              </w:rPr>
            </w:pPr>
          </w:p>
          <w:p w14:paraId="65754C21" w14:textId="77777777" w:rsidR="00861355" w:rsidRPr="008B2DDA" w:rsidRDefault="00861355" w:rsidP="008B2DDA">
            <w:pPr>
              <w:rPr>
                <w:rStyle w:val="FontStyle45"/>
                <w:sz w:val="18"/>
                <w:szCs w:val="18"/>
                <w:lang w:eastAsia="fr-FR"/>
              </w:rPr>
            </w:pPr>
          </w:p>
          <w:p w14:paraId="5FF672C4" w14:textId="77777777" w:rsidR="00861355" w:rsidRPr="008B2DDA" w:rsidRDefault="00861355" w:rsidP="008B2DDA">
            <w:pPr>
              <w:rPr>
                <w:rStyle w:val="FontStyle45"/>
                <w:sz w:val="18"/>
                <w:szCs w:val="18"/>
                <w:lang w:eastAsia="fr-FR"/>
              </w:rPr>
            </w:pPr>
          </w:p>
          <w:p w14:paraId="0C9DAECF" w14:textId="77777777" w:rsidR="00861355" w:rsidRDefault="00861355" w:rsidP="008B2DDA">
            <w:pPr>
              <w:rPr>
                <w:rStyle w:val="FontStyle45"/>
                <w:sz w:val="18"/>
                <w:szCs w:val="18"/>
                <w:lang w:eastAsia="fr-FR"/>
              </w:rPr>
            </w:pPr>
          </w:p>
          <w:p w14:paraId="0C13F78B" w14:textId="77777777" w:rsidR="000F705C" w:rsidRPr="008B2DDA" w:rsidRDefault="000F705C" w:rsidP="008B2DDA">
            <w:pPr>
              <w:rPr>
                <w:rStyle w:val="FontStyle45"/>
                <w:sz w:val="18"/>
                <w:szCs w:val="18"/>
                <w:lang w:eastAsia="fr-FR"/>
              </w:rPr>
            </w:pPr>
          </w:p>
          <w:p w14:paraId="1847FA5E" w14:textId="77777777" w:rsidR="00861355" w:rsidRPr="008B2DDA" w:rsidRDefault="00861355" w:rsidP="008B2DDA">
            <w:pPr>
              <w:tabs>
                <w:tab w:val="left" w:pos="504"/>
              </w:tabs>
              <w:rPr>
                <w:rStyle w:val="FontStyle45"/>
                <w:sz w:val="18"/>
                <w:szCs w:val="18"/>
                <w:lang w:eastAsia="fr-FR"/>
              </w:rPr>
            </w:pPr>
            <w:r w:rsidRPr="008B2DDA">
              <w:rPr>
                <w:rStyle w:val="FontStyle45"/>
                <w:sz w:val="18"/>
                <w:szCs w:val="18"/>
                <w:lang w:eastAsia="fr-FR"/>
              </w:rPr>
              <w:t>ii)</w:t>
            </w:r>
            <w:r w:rsidRPr="008B2DDA">
              <w:rPr>
                <w:rStyle w:val="FontStyle45"/>
                <w:sz w:val="18"/>
                <w:szCs w:val="18"/>
                <w:lang w:eastAsia="fr-FR"/>
              </w:rPr>
              <w:tab/>
              <w:t>lorsque la conformité avec la définition d’une appellation d’origine ou d’une indication géographique dans la partie contractante d’origine n’est plus assurée et a été contestée avec succès et que la décision de justice est définitive.</w:t>
            </w:r>
          </w:p>
          <w:p w14:paraId="1C5CA059" w14:textId="77777777" w:rsidR="00861355" w:rsidRPr="008B2DDA" w:rsidRDefault="00861355" w:rsidP="008B2DDA">
            <w:pPr>
              <w:tabs>
                <w:tab w:val="left" w:pos="504"/>
              </w:tabs>
              <w:rPr>
                <w:sz w:val="18"/>
                <w:szCs w:val="18"/>
              </w:rPr>
            </w:pPr>
          </w:p>
        </w:tc>
      </w:tr>
      <w:tr w:rsidR="008B2DDA" w:rsidRPr="008B2DDA" w14:paraId="46DD375F" w14:textId="77777777" w:rsidTr="00AB2EF0">
        <w:trPr>
          <w:cantSplit/>
        </w:trPr>
        <w:tc>
          <w:tcPr>
            <w:tcW w:w="1488" w:type="dxa"/>
            <w:vAlign w:val="center"/>
          </w:tcPr>
          <w:p w14:paraId="5923EC9C" w14:textId="77777777" w:rsidR="00861355" w:rsidRPr="008B2DDA" w:rsidRDefault="00861355" w:rsidP="008B2DDA">
            <w:pPr>
              <w:pStyle w:val="Style2"/>
              <w:widowControl/>
              <w:spacing w:before="48" w:line="240" w:lineRule="auto"/>
              <w:rPr>
                <w:rStyle w:val="FontStyle45"/>
                <w:sz w:val="18"/>
                <w:szCs w:val="18"/>
                <w:lang w:val="fr-FR" w:eastAsia="fr-FR"/>
              </w:rPr>
            </w:pPr>
            <w:r w:rsidRPr="00161CD6">
              <w:rPr>
                <w:rStyle w:val="FontStyle45"/>
                <w:sz w:val="18"/>
                <w:szCs w:val="18"/>
                <w:lang w:val="fr-CH"/>
              </w:rPr>
              <w:t>Règle</w:t>
            </w:r>
            <w:r w:rsidRPr="008B2DDA">
              <w:rPr>
                <w:rStyle w:val="FontStyle45"/>
                <w:sz w:val="18"/>
                <w:szCs w:val="18"/>
                <w:lang w:val="fr-FR"/>
              </w:rPr>
              <w:t> 5 Conditions relatives à la demande</w:t>
            </w:r>
          </w:p>
          <w:p w14:paraId="52390280" w14:textId="77777777" w:rsidR="00861355" w:rsidRPr="008B2DDA" w:rsidRDefault="00861355" w:rsidP="008B2DDA">
            <w:pPr>
              <w:jc w:val="center"/>
              <w:rPr>
                <w:sz w:val="18"/>
                <w:szCs w:val="18"/>
              </w:rPr>
            </w:pPr>
          </w:p>
        </w:tc>
        <w:tc>
          <w:tcPr>
            <w:tcW w:w="3944" w:type="dxa"/>
          </w:tcPr>
          <w:p w14:paraId="7021BC91" w14:textId="77777777" w:rsidR="00861355" w:rsidRPr="008B2DDA" w:rsidRDefault="00861355" w:rsidP="008B2DDA">
            <w:pPr>
              <w:rPr>
                <w:sz w:val="18"/>
                <w:szCs w:val="18"/>
              </w:rPr>
            </w:pPr>
          </w:p>
          <w:p w14:paraId="594BFF3C" w14:textId="77777777" w:rsidR="00861355" w:rsidRPr="008B2DDA" w:rsidRDefault="00861355" w:rsidP="008B2DDA">
            <w:pPr>
              <w:autoSpaceDE w:val="0"/>
              <w:autoSpaceDN w:val="0"/>
              <w:adjustRightInd w:val="0"/>
              <w:rPr>
                <w:rFonts w:eastAsiaTheme="minorEastAsia"/>
                <w:i/>
                <w:iCs/>
                <w:sz w:val="18"/>
                <w:szCs w:val="18"/>
                <w:lang w:eastAsia="fr-FR"/>
              </w:rPr>
            </w:pPr>
            <w:r w:rsidRPr="008B2DDA">
              <w:rPr>
                <w:rFonts w:eastAsiaTheme="minorEastAsia"/>
                <w:sz w:val="18"/>
                <w:szCs w:val="18"/>
                <w:lang w:eastAsia="fr-FR"/>
              </w:rPr>
              <w:t>2)</w:t>
            </w:r>
            <w:r w:rsidRPr="008B2DDA">
              <w:rPr>
                <w:rFonts w:eastAsiaTheme="minorEastAsia"/>
                <w:sz w:val="18"/>
                <w:szCs w:val="18"/>
                <w:lang w:eastAsia="fr-FR"/>
              </w:rPr>
              <w:tab/>
            </w:r>
            <w:r w:rsidRPr="008B2DDA">
              <w:rPr>
                <w:rFonts w:eastAsiaTheme="minorEastAsia"/>
                <w:i/>
                <w:iCs/>
                <w:sz w:val="18"/>
                <w:szCs w:val="18"/>
                <w:lang w:eastAsia="fr-FR"/>
              </w:rPr>
              <w:t>[Demande – Contenu obligatoire]</w:t>
            </w:r>
          </w:p>
          <w:p w14:paraId="538B84AD" w14:textId="77777777" w:rsidR="00861355" w:rsidRPr="008B2DDA" w:rsidRDefault="00861355" w:rsidP="008B2DDA">
            <w:pPr>
              <w:autoSpaceDE w:val="0"/>
              <w:autoSpaceDN w:val="0"/>
              <w:adjustRightInd w:val="0"/>
              <w:rPr>
                <w:rFonts w:eastAsiaTheme="minorEastAsia"/>
                <w:iCs/>
                <w:sz w:val="18"/>
                <w:szCs w:val="18"/>
                <w:lang w:eastAsia="fr-FR"/>
              </w:rPr>
            </w:pPr>
          </w:p>
          <w:p w14:paraId="2A6DBF8F" w14:textId="77777777" w:rsidR="00861355" w:rsidRPr="008B2DDA" w:rsidRDefault="00861355" w:rsidP="008B2DDA">
            <w:pPr>
              <w:rPr>
                <w:rFonts w:eastAsiaTheme="minorEastAsia"/>
                <w:sz w:val="18"/>
                <w:szCs w:val="18"/>
                <w:lang w:eastAsia="fr-FR"/>
              </w:rPr>
            </w:pPr>
            <w:r w:rsidRPr="008B2DDA">
              <w:rPr>
                <w:rFonts w:eastAsiaTheme="minorEastAsia"/>
                <w:iCs/>
                <w:sz w:val="18"/>
                <w:szCs w:val="18"/>
                <w:lang w:eastAsia="fr-FR"/>
              </w:rPr>
              <w:t>vii)</w:t>
            </w:r>
            <w:r w:rsidRPr="008B2DDA">
              <w:rPr>
                <w:rFonts w:eastAsiaTheme="minorEastAsia"/>
                <w:iCs/>
                <w:sz w:val="18"/>
                <w:szCs w:val="18"/>
                <w:lang w:eastAsia="fr-FR"/>
              </w:rPr>
              <w:tab/>
              <w:t>les</w:t>
            </w:r>
            <w:r w:rsidRPr="008B2DDA">
              <w:rPr>
                <w:rFonts w:eastAsiaTheme="minorEastAsia"/>
                <w:i/>
                <w:iCs/>
                <w:sz w:val="18"/>
                <w:szCs w:val="18"/>
                <w:lang w:eastAsia="fr-FR"/>
              </w:rPr>
              <w:t xml:space="preserve"> </w:t>
            </w:r>
            <w:r w:rsidRPr="008B2DDA">
              <w:rPr>
                <w:rFonts w:eastAsiaTheme="minorEastAsia"/>
                <w:sz w:val="18"/>
                <w:szCs w:val="18"/>
                <w:lang w:eastAsia="fr-FR"/>
              </w:rPr>
              <w:t>données, y compris la date, servant à identifier l’enregistrement, l’acte législatif ou réglementaire ou la décision judiciaire ou administrative en vertu duquel la protection est accordée à l’appellation d’origine ou à l’indication géographique dans la partie contractante d’origine.</w:t>
            </w:r>
          </w:p>
          <w:p w14:paraId="4F5A9B34" w14:textId="77777777" w:rsidR="00861355" w:rsidRPr="008B2DDA" w:rsidRDefault="00861355" w:rsidP="008B2DDA">
            <w:pPr>
              <w:rPr>
                <w:sz w:val="18"/>
                <w:szCs w:val="18"/>
              </w:rPr>
            </w:pPr>
          </w:p>
        </w:tc>
        <w:tc>
          <w:tcPr>
            <w:tcW w:w="3890" w:type="dxa"/>
          </w:tcPr>
          <w:p w14:paraId="6200F3F4" w14:textId="77777777" w:rsidR="00861355" w:rsidRPr="008B2DDA" w:rsidRDefault="00861355" w:rsidP="008B2DDA">
            <w:pPr>
              <w:rPr>
                <w:sz w:val="18"/>
                <w:szCs w:val="18"/>
              </w:rPr>
            </w:pPr>
          </w:p>
          <w:p w14:paraId="599BBE37" w14:textId="77777777" w:rsidR="00861355" w:rsidRPr="008B2DDA" w:rsidRDefault="00861355" w:rsidP="008B2DDA">
            <w:pPr>
              <w:rPr>
                <w:sz w:val="18"/>
                <w:szCs w:val="18"/>
              </w:rPr>
            </w:pPr>
          </w:p>
        </w:tc>
      </w:tr>
      <w:tr w:rsidR="008B2DDA" w:rsidRPr="008B2DDA" w14:paraId="1CA2E176" w14:textId="77777777" w:rsidTr="00AB2EF0">
        <w:trPr>
          <w:cantSplit/>
        </w:trPr>
        <w:tc>
          <w:tcPr>
            <w:tcW w:w="1488" w:type="dxa"/>
            <w:vAlign w:val="center"/>
          </w:tcPr>
          <w:p w14:paraId="2FA206DD" w14:textId="77777777" w:rsidR="00861355" w:rsidRPr="00161CD6" w:rsidRDefault="00861355" w:rsidP="008B2DDA">
            <w:pPr>
              <w:pStyle w:val="Style2"/>
              <w:widowControl/>
              <w:spacing w:before="48" w:line="240" w:lineRule="auto"/>
              <w:rPr>
                <w:rStyle w:val="FontStyle45"/>
                <w:sz w:val="18"/>
                <w:szCs w:val="18"/>
                <w:lang w:val="fr-CH"/>
              </w:rPr>
            </w:pPr>
            <w:r w:rsidRPr="00161CD6">
              <w:rPr>
                <w:rStyle w:val="FontStyle45"/>
                <w:sz w:val="18"/>
                <w:szCs w:val="18"/>
                <w:lang w:val="fr-CH"/>
              </w:rPr>
              <w:lastRenderedPageBreak/>
              <w:t>Règle 5 Conditions relatives à la demande</w:t>
            </w:r>
          </w:p>
          <w:p w14:paraId="75EE0D78" w14:textId="77777777" w:rsidR="00861355" w:rsidRPr="008B2DDA" w:rsidRDefault="00861355" w:rsidP="008B2DDA">
            <w:pPr>
              <w:jc w:val="center"/>
              <w:rPr>
                <w:rStyle w:val="FontStyle45"/>
                <w:rFonts w:eastAsiaTheme="minorEastAsia"/>
                <w:sz w:val="18"/>
                <w:szCs w:val="18"/>
                <w:lang w:eastAsia="en-US"/>
              </w:rPr>
            </w:pPr>
          </w:p>
        </w:tc>
        <w:tc>
          <w:tcPr>
            <w:tcW w:w="3944" w:type="dxa"/>
          </w:tcPr>
          <w:p w14:paraId="4887B5D8" w14:textId="77777777" w:rsidR="00861355" w:rsidRPr="008B2DDA" w:rsidRDefault="00861355" w:rsidP="008B2DDA">
            <w:pPr>
              <w:rPr>
                <w:rFonts w:eastAsiaTheme="minorEastAsia"/>
                <w:sz w:val="18"/>
                <w:szCs w:val="18"/>
                <w:lang w:eastAsia="fr-FR"/>
              </w:rPr>
            </w:pPr>
          </w:p>
          <w:p w14:paraId="1958060C" w14:textId="77777777" w:rsidR="00861355" w:rsidRPr="008B2DDA" w:rsidRDefault="00861355" w:rsidP="008B2DDA">
            <w:pPr>
              <w:rPr>
                <w:rStyle w:val="FontStyle46"/>
                <w:i w:val="0"/>
                <w:sz w:val="18"/>
                <w:szCs w:val="18"/>
              </w:rPr>
            </w:pPr>
            <w:r w:rsidRPr="008B2DDA">
              <w:rPr>
                <w:rFonts w:eastAsiaTheme="minorEastAsia"/>
                <w:sz w:val="18"/>
                <w:szCs w:val="18"/>
                <w:lang w:eastAsia="fr-FR"/>
              </w:rPr>
              <w:t>3)</w:t>
            </w:r>
            <w:r w:rsidRPr="008B2DDA">
              <w:rPr>
                <w:rFonts w:eastAsiaTheme="minorEastAsia"/>
                <w:sz w:val="18"/>
                <w:szCs w:val="18"/>
                <w:lang w:eastAsia="fr-FR"/>
              </w:rPr>
              <w:tab/>
            </w:r>
            <w:r w:rsidRPr="008B2DDA">
              <w:rPr>
                <w:rFonts w:eastAsiaTheme="minorEastAsia"/>
                <w:i/>
                <w:sz w:val="18"/>
                <w:szCs w:val="18"/>
                <w:lang w:eastAsia="fr-FR"/>
              </w:rPr>
              <w:t>[</w:t>
            </w:r>
            <w:r w:rsidRPr="008B2DDA">
              <w:rPr>
                <w:rStyle w:val="FontStyle46"/>
                <w:sz w:val="18"/>
                <w:szCs w:val="18"/>
              </w:rPr>
              <w:t>Demande – Indications concernant la qualité, la notoriété ou d’autres caractères]</w:t>
            </w:r>
          </w:p>
          <w:p w14:paraId="60ECC762" w14:textId="77777777" w:rsidR="00861355" w:rsidRPr="008B2DDA" w:rsidRDefault="00861355" w:rsidP="008B2DDA">
            <w:pPr>
              <w:rPr>
                <w:rStyle w:val="FontStyle46"/>
                <w:i w:val="0"/>
                <w:sz w:val="18"/>
                <w:szCs w:val="18"/>
              </w:rPr>
            </w:pPr>
          </w:p>
          <w:p w14:paraId="76A9F050"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A</w:t>
            </w:r>
          </w:p>
          <w:p w14:paraId="7075149C" w14:textId="77777777" w:rsidR="00861355" w:rsidRPr="008B2DDA" w:rsidRDefault="00861355" w:rsidP="008B2DDA">
            <w:pPr>
              <w:autoSpaceDE w:val="0"/>
              <w:autoSpaceDN w:val="0"/>
              <w:adjustRightInd w:val="0"/>
              <w:rPr>
                <w:rFonts w:eastAsiaTheme="minorEastAsia"/>
                <w:sz w:val="18"/>
                <w:szCs w:val="18"/>
                <w:lang w:eastAsia="fr-FR"/>
              </w:rPr>
            </w:pPr>
          </w:p>
          <w:p w14:paraId="56A4A612"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sz w:val="18"/>
                <w:szCs w:val="18"/>
                <w:lang w:eastAsia="fr-FR"/>
              </w:rPr>
              <w:t>La demande doit aussi indiquer des données concernant, dans le cas d’une appellation […] sont fournies dans une langue de travail, mais ne sont pas traduites par le Bureau international.</w:t>
            </w:r>
          </w:p>
          <w:p w14:paraId="0583F50E" w14:textId="77777777" w:rsidR="00861355" w:rsidRPr="008B2DDA" w:rsidRDefault="00861355" w:rsidP="008B2DDA">
            <w:pPr>
              <w:rPr>
                <w:sz w:val="18"/>
                <w:szCs w:val="18"/>
              </w:rPr>
            </w:pPr>
          </w:p>
          <w:p w14:paraId="325CDEDF"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sz w:val="18"/>
                <w:szCs w:val="18"/>
                <w:u w:val="single"/>
                <w:lang w:eastAsia="fr-FR"/>
              </w:rPr>
              <w:t>VARIANTE B</w:t>
            </w:r>
          </w:p>
          <w:p w14:paraId="2FDEE11D" w14:textId="77777777" w:rsidR="00861355" w:rsidRPr="008B2DDA" w:rsidRDefault="00861355" w:rsidP="008B2DDA">
            <w:pPr>
              <w:autoSpaceDE w:val="0"/>
              <w:autoSpaceDN w:val="0"/>
              <w:adjustRightInd w:val="0"/>
              <w:rPr>
                <w:rFonts w:eastAsiaTheme="minorEastAsia"/>
                <w:sz w:val="18"/>
                <w:szCs w:val="18"/>
                <w:lang w:eastAsia="fr-FR"/>
              </w:rPr>
            </w:pPr>
          </w:p>
          <w:p w14:paraId="146ECFAF"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sz w:val="18"/>
                <w:szCs w:val="18"/>
                <w:lang w:eastAsia="fr-FR"/>
              </w:rPr>
              <w:t>La demande peut aussi indiquer des données concernant, […] de production et, dans le cas d’une indication […]</w:t>
            </w:r>
          </w:p>
          <w:p w14:paraId="7A221E40" w14:textId="77777777" w:rsidR="00861355" w:rsidRPr="008B2DDA" w:rsidRDefault="00861355" w:rsidP="008B2DDA">
            <w:pPr>
              <w:autoSpaceDE w:val="0"/>
              <w:autoSpaceDN w:val="0"/>
              <w:adjustRightInd w:val="0"/>
              <w:rPr>
                <w:rFonts w:eastAsiaTheme="minorEastAsia"/>
                <w:sz w:val="18"/>
                <w:szCs w:val="18"/>
                <w:lang w:eastAsia="fr-FR"/>
              </w:rPr>
            </w:pPr>
          </w:p>
          <w:p w14:paraId="09EF6781" w14:textId="77777777" w:rsidR="00861355" w:rsidRPr="008B2DDA" w:rsidRDefault="00861355" w:rsidP="008B2DDA">
            <w:pPr>
              <w:autoSpaceDE w:val="0"/>
              <w:autoSpaceDN w:val="0"/>
              <w:adjustRightInd w:val="0"/>
              <w:rPr>
                <w:rFonts w:eastAsiaTheme="minorEastAsia"/>
                <w:sz w:val="18"/>
                <w:szCs w:val="18"/>
                <w:lang w:eastAsia="fr-FR"/>
              </w:rPr>
            </w:pPr>
            <w:r w:rsidRPr="008B2DDA">
              <w:rPr>
                <w:rFonts w:eastAsiaTheme="minorEastAsia"/>
                <w:sz w:val="18"/>
                <w:szCs w:val="18"/>
                <w:u w:val="single"/>
                <w:lang w:eastAsia="fr-FR"/>
              </w:rPr>
              <w:t>VARIANTE C</w:t>
            </w:r>
          </w:p>
          <w:p w14:paraId="406262DB" w14:textId="77777777" w:rsidR="00861355" w:rsidRPr="008B2DDA" w:rsidRDefault="00861355" w:rsidP="008B2DDA">
            <w:pPr>
              <w:autoSpaceDE w:val="0"/>
              <w:autoSpaceDN w:val="0"/>
              <w:adjustRightInd w:val="0"/>
              <w:rPr>
                <w:rFonts w:eastAsiaTheme="minorEastAsia"/>
                <w:sz w:val="18"/>
                <w:szCs w:val="18"/>
                <w:lang w:eastAsia="fr-FR"/>
              </w:rPr>
            </w:pPr>
          </w:p>
          <w:p w14:paraId="19773EBB" w14:textId="77777777" w:rsidR="00861355" w:rsidRPr="008B2DDA" w:rsidRDefault="00861355" w:rsidP="008B2DDA">
            <w:pPr>
              <w:tabs>
                <w:tab w:val="left" w:pos="426"/>
              </w:tabs>
              <w:autoSpaceDE w:val="0"/>
              <w:autoSpaceDN w:val="0"/>
              <w:adjustRightInd w:val="0"/>
              <w:rPr>
                <w:rFonts w:eastAsiaTheme="minorEastAsia"/>
                <w:sz w:val="18"/>
                <w:szCs w:val="18"/>
                <w:lang w:eastAsia="fr-FR"/>
              </w:rPr>
            </w:pPr>
            <w:r w:rsidRPr="008B2DDA">
              <w:rPr>
                <w:rFonts w:eastAsiaTheme="minorEastAsia"/>
                <w:sz w:val="18"/>
                <w:szCs w:val="18"/>
                <w:lang w:eastAsia="fr-FR"/>
              </w:rPr>
              <w:t>a)</w:t>
            </w:r>
            <w:r w:rsidRPr="008B2DDA">
              <w:rPr>
                <w:rFonts w:eastAsiaTheme="minorEastAsia"/>
                <w:sz w:val="18"/>
                <w:szCs w:val="18"/>
                <w:lang w:eastAsia="fr-FR"/>
              </w:rPr>
              <w:tab/>
              <w:t>Dans la mesure […] Directeur général.</w:t>
            </w:r>
          </w:p>
          <w:p w14:paraId="0EAE573D" w14:textId="77777777" w:rsidR="00861355" w:rsidRPr="008B2DDA" w:rsidRDefault="00861355" w:rsidP="008B2DDA">
            <w:pPr>
              <w:tabs>
                <w:tab w:val="left" w:pos="426"/>
              </w:tabs>
              <w:autoSpaceDE w:val="0"/>
              <w:autoSpaceDN w:val="0"/>
              <w:adjustRightInd w:val="0"/>
              <w:rPr>
                <w:rFonts w:eastAsiaTheme="minorEastAsia"/>
                <w:sz w:val="18"/>
                <w:szCs w:val="18"/>
                <w:lang w:eastAsia="fr-FR"/>
              </w:rPr>
            </w:pPr>
            <w:r w:rsidRPr="008B2DDA">
              <w:rPr>
                <w:rFonts w:eastAsiaTheme="minorEastAsia"/>
                <w:sz w:val="18"/>
                <w:szCs w:val="18"/>
                <w:lang w:eastAsia="fr-FR"/>
              </w:rPr>
              <w:t>b)</w:t>
            </w:r>
            <w:r w:rsidRPr="008B2DDA">
              <w:rPr>
                <w:rFonts w:eastAsiaTheme="minorEastAsia"/>
                <w:sz w:val="18"/>
                <w:szCs w:val="18"/>
                <w:lang w:eastAsia="fr-FR"/>
              </w:rPr>
              <w:tab/>
              <w:t>Pour que […] international.</w:t>
            </w:r>
          </w:p>
          <w:p w14:paraId="515587B1" w14:textId="5546B176" w:rsidR="00861355" w:rsidRPr="008B2DDA" w:rsidRDefault="00861355" w:rsidP="008B2DDA">
            <w:pPr>
              <w:tabs>
                <w:tab w:val="left" w:pos="426"/>
              </w:tabs>
              <w:autoSpaceDE w:val="0"/>
              <w:autoSpaceDN w:val="0"/>
              <w:adjustRightInd w:val="0"/>
              <w:rPr>
                <w:rFonts w:eastAsiaTheme="minorEastAsia"/>
                <w:sz w:val="18"/>
                <w:szCs w:val="18"/>
                <w:lang w:eastAsia="fr-FR"/>
              </w:rPr>
            </w:pPr>
            <w:r w:rsidRPr="008B2DDA">
              <w:rPr>
                <w:rFonts w:eastAsiaTheme="minorEastAsia"/>
                <w:sz w:val="18"/>
                <w:szCs w:val="18"/>
                <w:lang w:eastAsia="fr-FR"/>
              </w:rPr>
              <w:t>c)</w:t>
            </w:r>
            <w:r w:rsidRPr="008B2DDA">
              <w:rPr>
                <w:rFonts w:eastAsiaTheme="minorEastAsia"/>
                <w:sz w:val="18"/>
                <w:szCs w:val="18"/>
                <w:lang w:eastAsia="fr-FR"/>
              </w:rPr>
              <w:tab/>
              <w:t>L’inobservation […] sous</w:t>
            </w:r>
            <w:r w:rsidR="00D67EA4" w:rsidRPr="008B2DDA">
              <w:rPr>
                <w:rFonts w:eastAsiaTheme="minorEastAsia"/>
                <w:sz w:val="18"/>
                <w:szCs w:val="18"/>
                <w:lang w:eastAsia="fr-FR"/>
              </w:rPr>
              <w:noBreakHyphen/>
            </w:r>
            <w:r w:rsidRPr="008B2DDA">
              <w:rPr>
                <w:rFonts w:eastAsiaTheme="minorEastAsia"/>
                <w:sz w:val="18"/>
                <w:szCs w:val="18"/>
                <w:lang w:eastAsia="fr-FR"/>
              </w:rPr>
              <w:t>alinéa a).</w:t>
            </w:r>
          </w:p>
          <w:p w14:paraId="5943648B" w14:textId="77777777" w:rsidR="00861355" w:rsidRPr="008B2DDA" w:rsidRDefault="00861355" w:rsidP="008B2DDA">
            <w:pPr>
              <w:tabs>
                <w:tab w:val="left" w:pos="426"/>
              </w:tabs>
              <w:autoSpaceDE w:val="0"/>
              <w:autoSpaceDN w:val="0"/>
              <w:adjustRightInd w:val="0"/>
              <w:rPr>
                <w:rFonts w:eastAsiaTheme="minorEastAsia"/>
                <w:sz w:val="18"/>
                <w:szCs w:val="18"/>
                <w:lang w:eastAsia="fr-FR"/>
              </w:rPr>
            </w:pPr>
            <w:r w:rsidRPr="008B2DDA">
              <w:rPr>
                <w:rFonts w:eastAsiaTheme="minorEastAsia"/>
                <w:sz w:val="18"/>
                <w:szCs w:val="18"/>
                <w:lang w:eastAsia="fr-FR"/>
              </w:rPr>
              <w:t>d)</w:t>
            </w:r>
            <w:r w:rsidRPr="008B2DDA">
              <w:rPr>
                <w:rFonts w:eastAsiaTheme="minorEastAsia"/>
                <w:sz w:val="18"/>
                <w:szCs w:val="18"/>
                <w:lang w:eastAsia="fr-FR"/>
              </w:rPr>
              <w:tab/>
              <w:t>L’administration […].</w:t>
            </w:r>
          </w:p>
          <w:p w14:paraId="09752122" w14:textId="77777777" w:rsidR="00861355" w:rsidRPr="008B2DDA" w:rsidRDefault="00861355" w:rsidP="008B2DDA">
            <w:pPr>
              <w:rPr>
                <w:sz w:val="18"/>
                <w:szCs w:val="18"/>
              </w:rPr>
            </w:pPr>
          </w:p>
        </w:tc>
        <w:tc>
          <w:tcPr>
            <w:tcW w:w="3890" w:type="dxa"/>
          </w:tcPr>
          <w:p w14:paraId="6D84D9C2" w14:textId="77777777" w:rsidR="00861355" w:rsidRPr="008B2DDA" w:rsidRDefault="00861355" w:rsidP="008B2DDA">
            <w:pPr>
              <w:rPr>
                <w:sz w:val="18"/>
                <w:szCs w:val="18"/>
              </w:rPr>
            </w:pPr>
          </w:p>
        </w:tc>
      </w:tr>
      <w:tr w:rsidR="008B2DDA" w:rsidRPr="008B2DDA" w14:paraId="1AF28876" w14:textId="77777777" w:rsidTr="00AB2EF0">
        <w:trPr>
          <w:cantSplit/>
        </w:trPr>
        <w:tc>
          <w:tcPr>
            <w:tcW w:w="1488" w:type="dxa"/>
            <w:vAlign w:val="center"/>
          </w:tcPr>
          <w:p w14:paraId="2FB03A9E"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t>Règle 5 Conditions relatives à la demande</w:t>
            </w:r>
          </w:p>
          <w:p w14:paraId="16C59592" w14:textId="77777777" w:rsidR="00861355" w:rsidRPr="008B2DDA" w:rsidRDefault="00861355" w:rsidP="008B2DDA">
            <w:pPr>
              <w:pStyle w:val="Style2"/>
              <w:widowControl/>
              <w:spacing w:before="48" w:line="240" w:lineRule="auto"/>
              <w:rPr>
                <w:sz w:val="18"/>
                <w:szCs w:val="18"/>
                <w:lang w:val="fr-FR"/>
              </w:rPr>
            </w:pPr>
          </w:p>
        </w:tc>
        <w:tc>
          <w:tcPr>
            <w:tcW w:w="3944" w:type="dxa"/>
          </w:tcPr>
          <w:p w14:paraId="3507B12C" w14:textId="77777777" w:rsidR="00861355" w:rsidRPr="008B2DDA" w:rsidRDefault="00861355" w:rsidP="008B2DDA">
            <w:pPr>
              <w:rPr>
                <w:rFonts w:eastAsiaTheme="minorEastAsia"/>
                <w:sz w:val="18"/>
                <w:szCs w:val="18"/>
                <w:lang w:eastAsia="fr-FR"/>
              </w:rPr>
            </w:pPr>
          </w:p>
          <w:p w14:paraId="0324A221" w14:textId="77777777" w:rsidR="00861355" w:rsidRPr="008B2DDA" w:rsidRDefault="00861355" w:rsidP="008B2DDA">
            <w:pPr>
              <w:autoSpaceDE w:val="0"/>
              <w:autoSpaceDN w:val="0"/>
              <w:adjustRightInd w:val="0"/>
              <w:ind w:hanging="18"/>
              <w:rPr>
                <w:rFonts w:eastAsiaTheme="minorEastAsia"/>
                <w:i/>
                <w:iCs/>
                <w:sz w:val="18"/>
                <w:szCs w:val="18"/>
              </w:rPr>
            </w:pPr>
            <w:r w:rsidRPr="008B2DDA">
              <w:rPr>
                <w:rFonts w:eastAsiaTheme="minorEastAsia"/>
                <w:sz w:val="18"/>
                <w:szCs w:val="18"/>
              </w:rPr>
              <w:t>5)</w:t>
            </w:r>
            <w:r w:rsidRPr="008B2DDA">
              <w:rPr>
                <w:sz w:val="18"/>
                <w:szCs w:val="18"/>
              </w:rPr>
              <w:tab/>
            </w:r>
            <w:r w:rsidRPr="008B2DDA">
              <w:rPr>
                <w:rFonts w:eastAsiaTheme="minorEastAsia"/>
                <w:i/>
                <w:iCs/>
                <w:sz w:val="18"/>
                <w:szCs w:val="18"/>
              </w:rPr>
              <w:t>[Demande – Protection non revendiquée sur certains éléments de l’appellation d’origine ou de l’indication géographique]</w:t>
            </w:r>
          </w:p>
          <w:p w14:paraId="2F6C87DB" w14:textId="77777777" w:rsidR="00861355" w:rsidRPr="008B2DDA" w:rsidRDefault="00861355" w:rsidP="008B2DDA">
            <w:pPr>
              <w:autoSpaceDE w:val="0"/>
              <w:autoSpaceDN w:val="0"/>
              <w:adjustRightInd w:val="0"/>
              <w:rPr>
                <w:rFonts w:eastAsiaTheme="minorEastAsia"/>
                <w:sz w:val="18"/>
                <w:szCs w:val="18"/>
                <w:lang w:eastAsia="fr-FR"/>
              </w:rPr>
            </w:pPr>
          </w:p>
          <w:p w14:paraId="71A4BB6B"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A</w:t>
            </w:r>
          </w:p>
          <w:p w14:paraId="57B6E710" w14:textId="77777777" w:rsidR="00861355" w:rsidRPr="008B2DDA" w:rsidRDefault="00861355" w:rsidP="008B2DDA">
            <w:pPr>
              <w:autoSpaceDE w:val="0"/>
              <w:autoSpaceDN w:val="0"/>
              <w:adjustRightInd w:val="0"/>
              <w:rPr>
                <w:rFonts w:eastAsiaTheme="minorEastAsia"/>
                <w:sz w:val="18"/>
                <w:szCs w:val="18"/>
                <w:lang w:eastAsia="fr-FR"/>
              </w:rPr>
            </w:pPr>
          </w:p>
          <w:p w14:paraId="1ECB3FEF"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lang w:eastAsia="fr-FR"/>
              </w:rPr>
              <w:t xml:space="preserve">La demande indique si l’enregistrement, l’acte législatif ou réglementaire ou la décision judiciaire ou administrative en vertu duquel la protection est accordée à l’appellation d’origine ou à l’indication géographique dans la partie contractante d’origine précise ou non que la protection </w:t>
            </w:r>
            <w:proofErr w:type="gramStart"/>
            <w:r w:rsidRPr="008B2DDA">
              <w:rPr>
                <w:rFonts w:eastAsiaTheme="minorEastAsia"/>
                <w:sz w:val="18"/>
                <w:szCs w:val="18"/>
                <w:lang w:eastAsia="fr-FR"/>
              </w:rPr>
              <w:t>n’est</w:t>
            </w:r>
            <w:proofErr w:type="gramEnd"/>
            <w:r w:rsidRPr="008B2DDA">
              <w:rPr>
                <w:rFonts w:eastAsiaTheme="minorEastAsia"/>
                <w:sz w:val="18"/>
                <w:szCs w:val="18"/>
                <w:lang w:eastAsia="fr-FR"/>
              </w:rPr>
              <w:t xml:space="preserve"> pas accordée sur certains éléments de l’appellation d’origine ou de l’indication géographique.  Ces éléments sont indiqués dans la demande dans une langue de travail.</w:t>
            </w:r>
          </w:p>
          <w:p w14:paraId="7660759C" w14:textId="77777777" w:rsidR="00861355" w:rsidRPr="008B2DDA" w:rsidRDefault="00861355" w:rsidP="008B2DDA">
            <w:pPr>
              <w:autoSpaceDE w:val="0"/>
              <w:autoSpaceDN w:val="0"/>
              <w:adjustRightInd w:val="0"/>
              <w:rPr>
                <w:rFonts w:eastAsiaTheme="minorEastAsia"/>
                <w:sz w:val="18"/>
                <w:szCs w:val="18"/>
                <w:lang w:eastAsia="fr-FR"/>
              </w:rPr>
            </w:pPr>
          </w:p>
          <w:p w14:paraId="6D8CCDF1" w14:textId="77777777" w:rsidR="00861355" w:rsidRPr="008B2DDA" w:rsidRDefault="00861355" w:rsidP="008B2DDA">
            <w:pPr>
              <w:autoSpaceDE w:val="0"/>
              <w:autoSpaceDN w:val="0"/>
              <w:adjustRightInd w:val="0"/>
              <w:rPr>
                <w:rFonts w:eastAsiaTheme="minorEastAsia"/>
                <w:sz w:val="18"/>
                <w:szCs w:val="18"/>
                <w:u w:val="single"/>
                <w:lang w:eastAsia="fr-FR"/>
              </w:rPr>
            </w:pPr>
            <w:r w:rsidRPr="008B2DDA">
              <w:rPr>
                <w:rFonts w:eastAsiaTheme="minorEastAsia"/>
                <w:sz w:val="18"/>
                <w:szCs w:val="18"/>
                <w:u w:val="single"/>
                <w:lang w:eastAsia="fr-FR"/>
              </w:rPr>
              <w:t>VARIANTE B</w:t>
            </w:r>
          </w:p>
          <w:p w14:paraId="4DC58286" w14:textId="77777777" w:rsidR="00861355" w:rsidRPr="008B2DDA" w:rsidRDefault="00861355" w:rsidP="008B2DDA">
            <w:pPr>
              <w:rPr>
                <w:rFonts w:eastAsiaTheme="minorEastAsia"/>
                <w:sz w:val="18"/>
                <w:szCs w:val="18"/>
                <w:lang w:eastAsia="fr-FR"/>
              </w:rPr>
            </w:pPr>
          </w:p>
          <w:p w14:paraId="2D2D1EC8" w14:textId="77777777" w:rsidR="00861355" w:rsidRPr="008B2DDA" w:rsidRDefault="00861355" w:rsidP="008B2DDA">
            <w:pPr>
              <w:rPr>
                <w:rFonts w:eastAsiaTheme="minorEastAsia"/>
                <w:sz w:val="18"/>
                <w:szCs w:val="18"/>
                <w:lang w:eastAsia="fr-FR"/>
              </w:rPr>
            </w:pPr>
            <w:r w:rsidRPr="008B2DDA">
              <w:rPr>
                <w:rFonts w:eastAsiaTheme="minorEastAsia"/>
                <w:sz w:val="18"/>
                <w:szCs w:val="18"/>
                <w:lang w:eastAsia="fr-FR"/>
              </w:rPr>
              <w:t>La demande peut contenir une déclaration à l’effet que la protection n’est pas revendiquée sur certains éléments de l’appellation d’origine ou de l’indication géographique.</w:t>
            </w:r>
          </w:p>
          <w:p w14:paraId="370298CD" w14:textId="77777777" w:rsidR="00861355" w:rsidRPr="008B2DDA" w:rsidRDefault="00861355" w:rsidP="008B2DDA">
            <w:pPr>
              <w:rPr>
                <w:rFonts w:eastAsiaTheme="minorEastAsia"/>
                <w:sz w:val="18"/>
                <w:szCs w:val="18"/>
                <w:lang w:eastAsia="fr-FR"/>
              </w:rPr>
            </w:pPr>
          </w:p>
        </w:tc>
        <w:tc>
          <w:tcPr>
            <w:tcW w:w="3890" w:type="dxa"/>
          </w:tcPr>
          <w:p w14:paraId="79ACC883" w14:textId="77777777" w:rsidR="00861355" w:rsidRPr="008B2DDA" w:rsidRDefault="00861355" w:rsidP="008B2DDA">
            <w:pPr>
              <w:rPr>
                <w:sz w:val="18"/>
                <w:szCs w:val="18"/>
              </w:rPr>
            </w:pPr>
          </w:p>
          <w:p w14:paraId="749533D6" w14:textId="77777777" w:rsidR="00861355" w:rsidRPr="008B2DDA" w:rsidRDefault="00861355" w:rsidP="008B2DDA">
            <w:pPr>
              <w:rPr>
                <w:sz w:val="18"/>
                <w:szCs w:val="18"/>
              </w:rPr>
            </w:pPr>
          </w:p>
        </w:tc>
      </w:tr>
      <w:tr w:rsidR="00861355" w:rsidRPr="008B2DDA" w14:paraId="67055605" w14:textId="77777777" w:rsidTr="00AB2EF0">
        <w:trPr>
          <w:cantSplit/>
        </w:trPr>
        <w:tc>
          <w:tcPr>
            <w:tcW w:w="1488" w:type="dxa"/>
            <w:vAlign w:val="center"/>
          </w:tcPr>
          <w:p w14:paraId="6569EA1C" w14:textId="77777777" w:rsidR="00861355" w:rsidRPr="008B2DDA" w:rsidRDefault="00861355" w:rsidP="008B2DDA">
            <w:pPr>
              <w:pStyle w:val="Style2"/>
              <w:widowControl/>
              <w:spacing w:before="48" w:line="240" w:lineRule="auto"/>
              <w:rPr>
                <w:rStyle w:val="FontStyle45"/>
                <w:sz w:val="18"/>
                <w:szCs w:val="18"/>
                <w:lang w:val="fr-FR" w:eastAsia="fr-FR"/>
              </w:rPr>
            </w:pPr>
            <w:r w:rsidRPr="008B2DDA">
              <w:rPr>
                <w:rStyle w:val="FontStyle45"/>
                <w:sz w:val="18"/>
                <w:szCs w:val="18"/>
                <w:lang w:val="fr-FR"/>
              </w:rPr>
              <w:lastRenderedPageBreak/>
              <w:t>Règle 6 Demandes irrégulières</w:t>
            </w:r>
          </w:p>
          <w:p w14:paraId="2B472CCF" w14:textId="77777777" w:rsidR="00861355" w:rsidRPr="008B2DDA" w:rsidRDefault="00861355" w:rsidP="008B2DDA">
            <w:pPr>
              <w:jc w:val="center"/>
              <w:rPr>
                <w:sz w:val="18"/>
                <w:szCs w:val="18"/>
              </w:rPr>
            </w:pPr>
          </w:p>
        </w:tc>
        <w:tc>
          <w:tcPr>
            <w:tcW w:w="3944" w:type="dxa"/>
          </w:tcPr>
          <w:p w14:paraId="648EC59B" w14:textId="77777777" w:rsidR="00861355" w:rsidRPr="008B2DDA" w:rsidRDefault="00861355" w:rsidP="008B2DDA">
            <w:pPr>
              <w:rPr>
                <w:sz w:val="18"/>
                <w:szCs w:val="18"/>
              </w:rPr>
            </w:pPr>
          </w:p>
          <w:p w14:paraId="543FC54A" w14:textId="77777777" w:rsidR="00861355" w:rsidRPr="008B2DDA" w:rsidRDefault="00861355" w:rsidP="008B2DDA">
            <w:pPr>
              <w:autoSpaceDE w:val="0"/>
              <w:autoSpaceDN w:val="0"/>
              <w:adjustRightInd w:val="0"/>
              <w:ind w:left="10" w:hanging="10"/>
              <w:rPr>
                <w:rFonts w:eastAsiaTheme="minorEastAsia"/>
                <w:sz w:val="18"/>
                <w:szCs w:val="18"/>
                <w:lang w:eastAsia="fr-FR"/>
              </w:rPr>
            </w:pPr>
            <w:r w:rsidRPr="008B2DDA">
              <w:rPr>
                <w:rFonts w:eastAsiaTheme="minorEastAsia"/>
                <w:iCs/>
                <w:sz w:val="18"/>
                <w:szCs w:val="18"/>
                <w:lang w:eastAsia="fr-FR"/>
              </w:rPr>
              <w:t>1)</w:t>
            </w:r>
            <w:r w:rsidRPr="008B2DDA">
              <w:rPr>
                <w:rFonts w:eastAsiaTheme="minorEastAsia"/>
                <w:iCs/>
                <w:sz w:val="18"/>
                <w:szCs w:val="18"/>
                <w:lang w:eastAsia="fr-FR"/>
              </w:rPr>
              <w:tab/>
            </w:r>
            <w:r w:rsidRPr="008B2DDA">
              <w:rPr>
                <w:rFonts w:eastAsiaTheme="minorEastAsia"/>
                <w:i/>
                <w:iCs/>
                <w:sz w:val="18"/>
                <w:szCs w:val="18"/>
                <w:lang w:eastAsia="fr-FR"/>
              </w:rPr>
              <w:t>[Examen de la demande et correction des irrégularités]</w:t>
            </w:r>
            <w:r w:rsidRPr="008B2DDA">
              <w:rPr>
                <w:rFonts w:eastAsiaTheme="minorEastAsia"/>
                <w:iCs/>
                <w:sz w:val="18"/>
                <w:szCs w:val="18"/>
                <w:lang w:eastAsia="fr-FR"/>
              </w:rPr>
              <w:t xml:space="preserve">  </w:t>
            </w:r>
            <w:r w:rsidRPr="008B2DDA">
              <w:rPr>
                <w:rFonts w:eastAsiaTheme="minorEastAsia"/>
                <w:sz w:val="18"/>
                <w:szCs w:val="18"/>
                <w:lang w:eastAsia="fr-FR"/>
              </w:rPr>
              <w:t>a) Sous réserve de l’alinéa 2), si le Bureau international constate que la demande ne remplit pas les conditions fixées à la règle 3.1) ou à la règle 5, il sursoit à l’enregistrement et invite l’administration compétente ou, dans le cas visé à l’article 5.3), les bénéficiaires ou la personne morale visée à l’article 5.2)ii), à remédier à l’irrégularité constatée dans un délai de trois mois à compter de la date à laquelle a été envoyée cette invitation.</w:t>
            </w:r>
          </w:p>
          <w:p w14:paraId="2D809CFF" w14:textId="77777777" w:rsidR="00861355" w:rsidRPr="008B2DDA" w:rsidRDefault="00861355" w:rsidP="008B2DDA">
            <w:pPr>
              <w:rPr>
                <w:sz w:val="18"/>
                <w:szCs w:val="18"/>
              </w:rPr>
            </w:pPr>
          </w:p>
        </w:tc>
        <w:tc>
          <w:tcPr>
            <w:tcW w:w="3890" w:type="dxa"/>
          </w:tcPr>
          <w:p w14:paraId="3A13B8CE" w14:textId="77777777" w:rsidR="00861355" w:rsidRPr="008B2DDA" w:rsidRDefault="00861355" w:rsidP="008B2DDA">
            <w:pPr>
              <w:rPr>
                <w:sz w:val="18"/>
                <w:szCs w:val="18"/>
              </w:rPr>
            </w:pPr>
          </w:p>
          <w:p w14:paraId="750C588C" w14:textId="77777777" w:rsidR="00861355" w:rsidRDefault="00861355" w:rsidP="008B2DDA">
            <w:pPr>
              <w:rPr>
                <w:rFonts w:eastAsiaTheme="minorEastAsia"/>
                <w:sz w:val="18"/>
                <w:szCs w:val="18"/>
                <w:lang w:eastAsia="fr-FR"/>
              </w:rPr>
            </w:pPr>
            <w:r w:rsidRPr="008B2DDA">
              <w:rPr>
                <w:rFonts w:eastAsiaTheme="minorEastAsia"/>
                <w:b/>
                <w:iCs/>
                <w:sz w:val="18"/>
                <w:szCs w:val="18"/>
                <w:u w:val="single"/>
                <w:lang w:eastAsia="fr-FR"/>
              </w:rPr>
              <w:t>Proposition d’amendement </w:t>
            </w:r>
            <w:r w:rsidRPr="008B2DDA">
              <w:rPr>
                <w:sz w:val="18"/>
                <w:szCs w:val="18"/>
              </w:rPr>
              <w:t>:</w:t>
            </w:r>
            <w:r w:rsidRPr="008B2DDA">
              <w:rPr>
                <w:rFonts w:eastAsiaTheme="minorEastAsia"/>
                <w:i/>
                <w:iCs/>
                <w:sz w:val="18"/>
                <w:szCs w:val="18"/>
                <w:lang w:eastAsia="fr-FR"/>
              </w:rPr>
              <w:t xml:space="preserve"> [Examen de la demande et correction des irrégularités]</w:t>
            </w:r>
            <w:r w:rsidRPr="008B2DDA">
              <w:rPr>
                <w:rFonts w:eastAsiaTheme="minorEastAsia"/>
                <w:iCs/>
                <w:sz w:val="18"/>
                <w:szCs w:val="18"/>
                <w:lang w:eastAsia="fr-FR"/>
              </w:rPr>
              <w:t xml:space="preserve">  </w:t>
            </w:r>
            <w:r w:rsidRPr="008B2DDA">
              <w:rPr>
                <w:rFonts w:eastAsiaTheme="minorEastAsia"/>
                <w:sz w:val="18"/>
                <w:szCs w:val="18"/>
                <w:lang w:eastAsia="fr-FR"/>
              </w:rPr>
              <w:t xml:space="preserve">a) Sous réserve de l’alinéa 2), si le Bureau international constate que la demande ne remplit pas les conditions fixées à la règle 3.1) ou à la règle 5, il sursoit à l’enregistrement et invite l’administration compétente ou, […], les bénéficiaires ou la personne morale visée à l’article 5.2)ii), à remédier à l’irrégularité constatée dans un délai de trois mois à compter </w:t>
            </w:r>
            <w:r w:rsidRPr="008B2DDA">
              <w:rPr>
                <w:rFonts w:eastAsiaTheme="minorEastAsia"/>
                <w:strike/>
                <w:sz w:val="18"/>
                <w:szCs w:val="18"/>
                <w:lang w:eastAsia="fr-FR"/>
              </w:rPr>
              <w:t>de la date à laquelle a été envoyée cette invitation</w:t>
            </w:r>
            <w:r w:rsidRPr="008B2DDA">
              <w:rPr>
                <w:rFonts w:eastAsiaTheme="minorEastAsia"/>
                <w:b/>
                <w:sz w:val="18"/>
                <w:szCs w:val="18"/>
                <w:lang w:eastAsia="fr-FR"/>
              </w:rPr>
              <w:t xml:space="preserve"> de la date de réception de cette invitation</w:t>
            </w:r>
            <w:r w:rsidRPr="008B2DDA">
              <w:rPr>
                <w:rFonts w:eastAsiaTheme="minorEastAsia"/>
                <w:sz w:val="18"/>
                <w:szCs w:val="18"/>
                <w:lang w:eastAsia="fr-FR"/>
              </w:rPr>
              <w:t>.</w:t>
            </w:r>
          </w:p>
          <w:p w14:paraId="21A58C55" w14:textId="77777777" w:rsidR="000F705C" w:rsidRPr="008B2DDA" w:rsidRDefault="000F705C" w:rsidP="008B2DDA">
            <w:pPr>
              <w:rPr>
                <w:sz w:val="18"/>
                <w:szCs w:val="18"/>
              </w:rPr>
            </w:pPr>
          </w:p>
        </w:tc>
      </w:tr>
    </w:tbl>
    <w:p w14:paraId="52C1E00C" w14:textId="77777777" w:rsidR="00861355" w:rsidRPr="008B2DDA" w:rsidRDefault="00861355" w:rsidP="008B2DDA">
      <w:pPr>
        <w:rPr>
          <w:szCs w:val="22"/>
        </w:rPr>
      </w:pPr>
    </w:p>
    <w:p w14:paraId="0EE034F2" w14:textId="77777777" w:rsidR="00861355" w:rsidRPr="008B2DDA" w:rsidRDefault="00861355" w:rsidP="008B2DDA">
      <w:pPr>
        <w:pStyle w:val="Endofdocument-Annex"/>
      </w:pPr>
    </w:p>
    <w:p w14:paraId="021AD359" w14:textId="77777777" w:rsidR="00D67EA4" w:rsidRPr="008B2DDA" w:rsidRDefault="00D67EA4" w:rsidP="008B2DDA">
      <w:pPr>
        <w:pStyle w:val="Endofdocument-Annex"/>
      </w:pPr>
    </w:p>
    <w:p w14:paraId="1B58950A" w14:textId="74EE224C" w:rsidR="00D67EA4" w:rsidRPr="008B2DDA" w:rsidRDefault="00D67EA4" w:rsidP="008B2DDA">
      <w:pPr>
        <w:pStyle w:val="Endofdocument-Annex"/>
      </w:pPr>
      <w:r w:rsidRPr="008B2DDA">
        <w:t>[L’annexe II suit]</w:t>
      </w:r>
    </w:p>
    <w:p w14:paraId="1B726683" w14:textId="77777777" w:rsidR="00D67EA4" w:rsidRPr="008B2DDA" w:rsidRDefault="00D67EA4" w:rsidP="008B2DDA">
      <w:pPr>
        <w:jc w:val="center"/>
        <w:rPr>
          <w:b/>
        </w:rPr>
      </w:pPr>
    </w:p>
    <w:p w14:paraId="7EF8D9F8" w14:textId="77777777" w:rsidR="00D67EA4" w:rsidRPr="008B2DDA" w:rsidRDefault="00D67EA4" w:rsidP="008B2DDA">
      <w:pPr>
        <w:jc w:val="center"/>
        <w:rPr>
          <w:b/>
        </w:rPr>
        <w:sectPr w:rsidR="00D67EA4" w:rsidRPr="008B2DDA" w:rsidSect="00A341C2">
          <w:headerReference w:type="default" r:id="rId15"/>
          <w:headerReference w:type="first" r:id="rId16"/>
          <w:footerReference w:type="first" r:id="rId17"/>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14:paraId="6D8D4CB3" w14:textId="69930BB2" w:rsidR="004E7085" w:rsidRDefault="004E7085" w:rsidP="008B2DDA">
      <w:pPr>
        <w:jc w:val="center"/>
        <w:rPr>
          <w:b/>
        </w:rPr>
      </w:pPr>
      <w:r>
        <w:rPr>
          <w:b/>
        </w:rPr>
        <w:lastRenderedPageBreak/>
        <w:t>CHILI</w:t>
      </w:r>
    </w:p>
    <w:p w14:paraId="60C4663D" w14:textId="77777777" w:rsidR="004E7085" w:rsidRDefault="004E7085" w:rsidP="008B2DDA">
      <w:pPr>
        <w:jc w:val="center"/>
        <w:rPr>
          <w:b/>
        </w:rPr>
      </w:pPr>
    </w:p>
    <w:p w14:paraId="7235D96E" w14:textId="5B1CE0D1" w:rsidR="00861355" w:rsidRPr="008B2DDA" w:rsidRDefault="00D67EA4" w:rsidP="008B2DDA">
      <w:pPr>
        <w:jc w:val="center"/>
        <w:rPr>
          <w:b/>
        </w:rPr>
      </w:pPr>
      <w:r w:rsidRPr="008B2DDA">
        <w:rPr>
          <w:b/>
        </w:rPr>
        <w:t xml:space="preserve">Commentaires sur les “questions en suspens” </w:t>
      </w:r>
      <w:r w:rsidRPr="008B2DDA">
        <w:rPr>
          <w:b/>
        </w:rPr>
        <w:br/>
        <w:t xml:space="preserve">du projet de nouvel Acte de l’Arrangement de Lisbonne </w:t>
      </w:r>
      <w:r w:rsidRPr="008B2DDA">
        <w:rPr>
          <w:b/>
        </w:rPr>
        <w:br/>
        <w:t>sur les appellations d’origine et les indications géographiques</w:t>
      </w:r>
    </w:p>
    <w:p w14:paraId="16E346C0" w14:textId="77777777" w:rsidR="00861355" w:rsidRPr="008B2DDA" w:rsidRDefault="00861355" w:rsidP="008B2DDA">
      <w:pPr>
        <w:jc w:val="center"/>
        <w:rPr>
          <w:b/>
        </w:rPr>
      </w:pPr>
    </w:p>
    <w:p w14:paraId="281DFBE8" w14:textId="77777777" w:rsidR="00861355" w:rsidRPr="008B2DDA" w:rsidRDefault="00861355" w:rsidP="008B2DDA">
      <w:r w:rsidRPr="008B2DDA">
        <w:rPr>
          <w:rStyle w:val="hps"/>
        </w:rPr>
        <w:t>Le Secrétariat</w:t>
      </w:r>
      <w:r w:rsidRPr="008B2DDA">
        <w:t xml:space="preserve"> de l’Organisation Mondiale de la Propriété Intellectuelle (OMPI) a invité ses membres à transmettre des commentaires sur les “questions en suspens” du projet de nouvel Acte de l’Arrangement de Lisbonne sur les appellations d’origine et les indications géographiques.</w:t>
      </w:r>
    </w:p>
    <w:p w14:paraId="2155CA0D" w14:textId="77777777" w:rsidR="00861355" w:rsidRPr="008B2DDA" w:rsidRDefault="00861355" w:rsidP="008B2DDA"/>
    <w:p w14:paraId="7335153C" w14:textId="77777777" w:rsidR="00861355" w:rsidRPr="008B2DDA" w:rsidRDefault="00861355" w:rsidP="008B2DDA">
      <w:r w:rsidRPr="008B2DDA">
        <w:rPr>
          <w:rStyle w:val="hps"/>
        </w:rPr>
        <w:t>Notre pays</w:t>
      </w:r>
      <w:r w:rsidRPr="008B2DDA">
        <w:t xml:space="preserve"> </w:t>
      </w:r>
      <w:r w:rsidRPr="008B2DDA">
        <w:rPr>
          <w:rStyle w:val="hps"/>
        </w:rPr>
        <w:t>a participé activement,</w:t>
      </w:r>
      <w:r w:rsidRPr="008B2DDA">
        <w:t xml:space="preserve"> </w:t>
      </w:r>
      <w:r w:rsidRPr="008B2DDA">
        <w:rPr>
          <w:rStyle w:val="hps"/>
        </w:rPr>
        <w:t>en qualité d’observateur,</w:t>
      </w:r>
      <w:r w:rsidRPr="008B2DDA">
        <w:t xml:space="preserve"> </w:t>
      </w:r>
      <w:r w:rsidRPr="008B2DDA">
        <w:rPr>
          <w:rStyle w:val="hps"/>
        </w:rPr>
        <w:t>aux réunions</w:t>
      </w:r>
      <w:r w:rsidRPr="008B2DDA">
        <w:t xml:space="preserve"> </w:t>
      </w:r>
      <w:r w:rsidRPr="008B2DDA">
        <w:rPr>
          <w:rStyle w:val="hps"/>
        </w:rPr>
        <w:t>du groupe de travail</w:t>
      </w:r>
      <w:r w:rsidRPr="008B2DDA">
        <w:t xml:space="preserve">, </w:t>
      </w:r>
      <w:r w:rsidRPr="008B2DDA">
        <w:rPr>
          <w:rStyle w:val="hps"/>
        </w:rPr>
        <w:t>en formulant des propositions</w:t>
      </w:r>
      <w:r w:rsidRPr="008B2DDA">
        <w:t xml:space="preserve"> de </w:t>
      </w:r>
      <w:r w:rsidRPr="008B2DDA">
        <w:rPr>
          <w:rStyle w:val="hps"/>
        </w:rPr>
        <w:t>texte.  Néanmoins, nous</w:t>
      </w:r>
      <w:r w:rsidRPr="008B2DDA">
        <w:t xml:space="preserve"> </w:t>
      </w:r>
      <w:r w:rsidRPr="008B2DDA">
        <w:rPr>
          <w:rStyle w:val="hps"/>
        </w:rPr>
        <w:t>ne pouvons pas présager</w:t>
      </w:r>
      <w:r w:rsidRPr="008B2DDA">
        <w:t xml:space="preserve"> </w:t>
      </w:r>
      <w:r w:rsidRPr="008B2DDA">
        <w:rPr>
          <w:rStyle w:val="hps"/>
        </w:rPr>
        <w:t>de l’avenir de</w:t>
      </w:r>
      <w:r w:rsidRPr="008B2DDA">
        <w:t xml:space="preserve"> </w:t>
      </w:r>
      <w:r w:rsidRPr="008B2DDA">
        <w:rPr>
          <w:rStyle w:val="hps"/>
        </w:rPr>
        <w:t>ces propositions</w:t>
      </w:r>
      <w:r w:rsidRPr="008B2DDA">
        <w:t xml:space="preserve">.  </w:t>
      </w:r>
      <w:r w:rsidRPr="008B2DDA">
        <w:rPr>
          <w:rStyle w:val="hps"/>
        </w:rPr>
        <w:t>Nous souhaitons pouvoir participer</w:t>
      </w:r>
      <w:r w:rsidRPr="008B2DDA">
        <w:t xml:space="preserve"> </w:t>
      </w:r>
      <w:r w:rsidRPr="008B2DDA">
        <w:rPr>
          <w:rStyle w:val="hps"/>
        </w:rPr>
        <w:t>pleinement au processus</w:t>
      </w:r>
      <w:r w:rsidRPr="008B2DDA">
        <w:t xml:space="preserve">, sachant </w:t>
      </w:r>
      <w:r w:rsidRPr="008B2DDA">
        <w:rPr>
          <w:rStyle w:val="hps"/>
        </w:rPr>
        <w:t>que les questions</w:t>
      </w:r>
      <w:r w:rsidRPr="008B2DDA">
        <w:t xml:space="preserve"> </w:t>
      </w:r>
      <w:r w:rsidRPr="008B2DDA">
        <w:rPr>
          <w:rStyle w:val="hps"/>
        </w:rPr>
        <w:t>abordées revêtent un caractère essentiel</w:t>
      </w:r>
      <w:r w:rsidRPr="008B2DDA">
        <w:t xml:space="preserve"> </w:t>
      </w:r>
      <w:r w:rsidRPr="008B2DDA">
        <w:rPr>
          <w:rStyle w:val="hps"/>
        </w:rPr>
        <w:t>et qu’elles ont des implications</w:t>
      </w:r>
      <w:r w:rsidRPr="008B2DDA">
        <w:t xml:space="preserve"> </w:t>
      </w:r>
      <w:r w:rsidRPr="008B2DDA">
        <w:rPr>
          <w:rStyle w:val="hps"/>
        </w:rPr>
        <w:t>au sein</w:t>
      </w:r>
      <w:r w:rsidRPr="008B2DDA">
        <w:t xml:space="preserve"> </w:t>
      </w:r>
      <w:r w:rsidRPr="008B2DDA">
        <w:rPr>
          <w:rStyle w:val="hps"/>
        </w:rPr>
        <w:t>et en dehors de</w:t>
      </w:r>
      <w:r w:rsidRPr="008B2DDA">
        <w:t xml:space="preserve"> </w:t>
      </w:r>
      <w:r w:rsidRPr="008B2DDA">
        <w:rPr>
          <w:rStyle w:val="hps"/>
        </w:rPr>
        <w:t>l’Union de Lisbonne</w:t>
      </w:r>
      <w:r w:rsidRPr="008B2DDA">
        <w:t xml:space="preserve">.  </w:t>
      </w:r>
      <w:r w:rsidRPr="008B2DDA">
        <w:rPr>
          <w:rStyle w:val="hps"/>
        </w:rPr>
        <w:t xml:space="preserve">Depuis 1958, le monde a connu des bouleversements.  </w:t>
      </w:r>
      <w:r w:rsidRPr="008B2DDA">
        <w:t>L’ajout</w:t>
      </w:r>
      <w:r w:rsidRPr="008B2DDA">
        <w:rPr>
          <w:rStyle w:val="hps"/>
        </w:rPr>
        <w:t xml:space="preserve"> d’une</w:t>
      </w:r>
      <w:r w:rsidRPr="008B2DDA">
        <w:t xml:space="preserve"> </w:t>
      </w:r>
      <w:r w:rsidRPr="008B2DDA">
        <w:rPr>
          <w:rStyle w:val="hps"/>
        </w:rPr>
        <w:t>nouvelle catégorie juridique</w:t>
      </w:r>
      <w:r w:rsidRPr="008B2DDA">
        <w:t xml:space="preserve"> </w:t>
      </w:r>
      <w:r w:rsidRPr="008B2DDA">
        <w:rPr>
          <w:rStyle w:val="hps"/>
        </w:rPr>
        <w:t>à l’objet de la protection (règles</w:t>
      </w:r>
      <w:r w:rsidRPr="008B2DDA">
        <w:t xml:space="preserve"> </w:t>
      </w:r>
      <w:r w:rsidRPr="008B2DDA">
        <w:rPr>
          <w:rStyle w:val="hps"/>
        </w:rPr>
        <w:t>de fond</w:t>
      </w:r>
      <w:r w:rsidRPr="008B2DDA">
        <w:t xml:space="preserve"> </w:t>
      </w:r>
      <w:r w:rsidRPr="008B2DDA">
        <w:rPr>
          <w:rStyle w:val="hps"/>
        </w:rPr>
        <w:t>proposées qui comprennent les indications</w:t>
      </w:r>
      <w:r w:rsidRPr="008B2DDA">
        <w:t xml:space="preserve"> </w:t>
      </w:r>
      <w:r w:rsidRPr="008B2DDA">
        <w:rPr>
          <w:rStyle w:val="hps"/>
        </w:rPr>
        <w:t>géographiques</w:t>
      </w:r>
      <w:r w:rsidRPr="008B2DDA">
        <w:t xml:space="preserve">, par exemple) </w:t>
      </w:r>
      <w:r w:rsidRPr="008B2DDA">
        <w:rPr>
          <w:rStyle w:val="hps"/>
        </w:rPr>
        <w:t>rend compte de cet impact.</w:t>
      </w:r>
    </w:p>
    <w:p w14:paraId="567C87B2" w14:textId="77777777" w:rsidR="00861355" w:rsidRPr="008B2DDA" w:rsidRDefault="00861355" w:rsidP="008B2DDA"/>
    <w:p w14:paraId="026E9CE5" w14:textId="77777777" w:rsidR="00861355" w:rsidRPr="008B2DDA" w:rsidRDefault="00861355" w:rsidP="008B2DDA">
      <w:pPr>
        <w:rPr>
          <w:rStyle w:val="atn"/>
        </w:rPr>
      </w:pPr>
      <w:r w:rsidRPr="008B2DDA">
        <w:rPr>
          <w:rStyle w:val="hps"/>
        </w:rPr>
        <w:t>Il était donc</w:t>
      </w:r>
      <w:r w:rsidRPr="008B2DDA">
        <w:t xml:space="preserve"> </w:t>
      </w:r>
      <w:r w:rsidRPr="008B2DDA">
        <w:rPr>
          <w:rStyle w:val="hps"/>
        </w:rPr>
        <w:t>logique</w:t>
      </w:r>
      <w:r w:rsidRPr="008B2DDA">
        <w:t xml:space="preserve"> de proposer </w:t>
      </w:r>
      <w:r w:rsidRPr="008B2DDA">
        <w:rPr>
          <w:rStyle w:val="hps"/>
        </w:rPr>
        <w:t>la participation</w:t>
      </w:r>
      <w:r w:rsidRPr="008B2DDA">
        <w:t xml:space="preserve"> </w:t>
      </w:r>
      <w:r w:rsidRPr="008B2DDA">
        <w:rPr>
          <w:rStyle w:val="hps"/>
        </w:rPr>
        <w:t>pleine et entière</w:t>
      </w:r>
      <w:r w:rsidRPr="008B2DDA">
        <w:t xml:space="preserve"> </w:t>
      </w:r>
      <w:r w:rsidRPr="008B2DDA">
        <w:rPr>
          <w:rStyle w:val="hps"/>
        </w:rPr>
        <w:t>de tous les États membres</w:t>
      </w:r>
      <w:r w:rsidRPr="008B2DDA">
        <w:t xml:space="preserve"> </w:t>
      </w:r>
      <w:r w:rsidRPr="008B2DDA">
        <w:rPr>
          <w:rStyle w:val="hps"/>
        </w:rPr>
        <w:t>de l’OMPI</w:t>
      </w:r>
      <w:r w:rsidRPr="008B2DDA">
        <w:t xml:space="preserve">, </w:t>
      </w:r>
      <w:r w:rsidRPr="008B2DDA">
        <w:rPr>
          <w:rStyle w:val="hps"/>
        </w:rPr>
        <w:t>afin</w:t>
      </w:r>
      <w:r w:rsidRPr="008B2DDA">
        <w:t xml:space="preserve"> </w:t>
      </w:r>
      <w:r w:rsidRPr="008B2DDA">
        <w:rPr>
          <w:rStyle w:val="hps"/>
        </w:rPr>
        <w:t>que le résultat soit</w:t>
      </w:r>
      <w:r w:rsidRPr="008B2DDA">
        <w:t xml:space="preserve"> </w:t>
      </w:r>
      <w:r w:rsidRPr="008B2DDA">
        <w:rPr>
          <w:rStyle w:val="hps"/>
        </w:rPr>
        <w:t>vraiment représentatif</w:t>
      </w:r>
      <w:r w:rsidRPr="008B2DDA">
        <w:t xml:space="preserve"> </w:t>
      </w:r>
      <w:r w:rsidRPr="008B2DDA">
        <w:rPr>
          <w:rStyle w:val="hps"/>
        </w:rPr>
        <w:t>de l’organisation</w:t>
      </w:r>
      <w:r w:rsidRPr="008B2DDA">
        <w:t xml:space="preserve"> </w:t>
      </w:r>
      <w:r w:rsidRPr="008B2DDA">
        <w:rPr>
          <w:rStyle w:val="hps"/>
        </w:rPr>
        <w:t>d’une manière exhaustive</w:t>
      </w:r>
      <w:r w:rsidRPr="008B2DDA">
        <w:t xml:space="preserve"> </w:t>
      </w:r>
      <w:r w:rsidRPr="008B2DDA">
        <w:rPr>
          <w:rStyle w:val="hps"/>
        </w:rPr>
        <w:t>et participative</w:t>
      </w:r>
      <w:r w:rsidRPr="008B2DDA">
        <w:t xml:space="preserve">, </w:t>
      </w:r>
      <w:r w:rsidRPr="008B2DDA">
        <w:rPr>
          <w:rStyle w:val="hps"/>
        </w:rPr>
        <w:t>et</w:t>
      </w:r>
      <w:r w:rsidRPr="008B2DDA">
        <w:t xml:space="preserve"> </w:t>
      </w:r>
      <w:r w:rsidRPr="008B2DDA">
        <w:rPr>
          <w:rStyle w:val="hps"/>
        </w:rPr>
        <w:t>soit en phase avec</w:t>
      </w:r>
      <w:r w:rsidRPr="008B2DDA">
        <w:t xml:space="preserve"> </w:t>
      </w:r>
      <w:r w:rsidRPr="008B2DDA">
        <w:rPr>
          <w:rStyle w:val="hps"/>
        </w:rPr>
        <w:t>notre époque.  Cela va dans le sens de</w:t>
      </w:r>
      <w:r w:rsidRPr="008B2DDA">
        <w:t xml:space="preserve"> </w:t>
      </w:r>
      <w:r w:rsidRPr="008B2DDA">
        <w:rPr>
          <w:rStyle w:val="hps"/>
        </w:rPr>
        <w:t>la Convention</w:t>
      </w:r>
      <w:r w:rsidRPr="008B2DDA">
        <w:t xml:space="preserve"> </w:t>
      </w:r>
      <w:r w:rsidRPr="008B2DDA">
        <w:rPr>
          <w:rStyle w:val="hps"/>
        </w:rPr>
        <w:t>instituant</w:t>
      </w:r>
      <w:r w:rsidRPr="008B2DDA">
        <w:t xml:space="preserve"> </w:t>
      </w:r>
      <w:r w:rsidRPr="008B2DDA">
        <w:rPr>
          <w:rStyle w:val="hps"/>
        </w:rPr>
        <w:t>l’OMPI, qui</w:t>
      </w:r>
      <w:r w:rsidRPr="008B2DDA">
        <w:t xml:space="preserve"> </w:t>
      </w:r>
      <w:r w:rsidRPr="008B2DDA">
        <w:rPr>
          <w:rStyle w:val="hps"/>
        </w:rPr>
        <w:t>a notamment pour objet</w:t>
      </w:r>
      <w:r w:rsidRPr="008B2DDA">
        <w:t xml:space="preserve"> la </w:t>
      </w:r>
      <w:r w:rsidRPr="008B2DDA">
        <w:rPr>
          <w:rStyle w:val="hps"/>
        </w:rPr>
        <w:t>promotion de la</w:t>
      </w:r>
      <w:r w:rsidRPr="008B2DDA">
        <w:t xml:space="preserve"> </w:t>
      </w:r>
      <w:r w:rsidRPr="008B2DDA">
        <w:rPr>
          <w:rStyle w:val="hps"/>
        </w:rPr>
        <w:t>“</w:t>
      </w:r>
      <w:r w:rsidRPr="008B2DDA">
        <w:t xml:space="preserve">protection de la propriété </w:t>
      </w:r>
      <w:r w:rsidRPr="008B2DDA">
        <w:rPr>
          <w:rStyle w:val="hps"/>
        </w:rPr>
        <w:t>intellectuelle à travers le</w:t>
      </w:r>
      <w:r w:rsidRPr="008B2DDA">
        <w:t xml:space="preserve"> </w:t>
      </w:r>
      <w:r w:rsidRPr="008B2DDA">
        <w:rPr>
          <w:rStyle w:val="hps"/>
        </w:rPr>
        <w:t>monde par la coopération</w:t>
      </w:r>
      <w:r w:rsidRPr="008B2DDA">
        <w:t xml:space="preserve"> </w:t>
      </w:r>
      <w:r w:rsidRPr="008B2DDA">
        <w:rPr>
          <w:rStyle w:val="hps"/>
        </w:rPr>
        <w:t>des États</w:t>
      </w:r>
      <w:r w:rsidRPr="008B2DDA">
        <w:t xml:space="preserve">”.  </w:t>
      </w:r>
      <w:r w:rsidRPr="008B2DDA">
        <w:rPr>
          <w:rStyle w:val="hps"/>
        </w:rPr>
        <w:t>Par ailleurs</w:t>
      </w:r>
      <w:r w:rsidRPr="008B2DDA">
        <w:t xml:space="preserve">, </w:t>
      </w:r>
      <w:r w:rsidRPr="008B2DDA">
        <w:rPr>
          <w:rStyle w:val="hps"/>
        </w:rPr>
        <w:t>cela permet</w:t>
      </w:r>
      <w:r w:rsidRPr="008B2DDA">
        <w:t xml:space="preserve"> également d’appliquer </w:t>
      </w:r>
      <w:r w:rsidRPr="008B2DDA">
        <w:rPr>
          <w:rStyle w:val="hps"/>
        </w:rPr>
        <w:t>la recommandation n° 15</w:t>
      </w:r>
      <w:r w:rsidRPr="008B2DDA">
        <w:t xml:space="preserve"> </w:t>
      </w:r>
      <w:r w:rsidRPr="008B2DDA">
        <w:rPr>
          <w:rStyle w:val="hps"/>
        </w:rPr>
        <w:t>du Plan d’action</w:t>
      </w:r>
      <w:r w:rsidRPr="008B2DDA">
        <w:t xml:space="preserve"> pour le développement, en vertu de laquelle </w:t>
      </w:r>
      <w:r w:rsidRPr="008B2DDA">
        <w:rPr>
          <w:rStyle w:val="hps"/>
        </w:rPr>
        <w:t>les activités d’établissement de dispositions doivent être “</w:t>
      </w:r>
      <w:r w:rsidRPr="008B2DDA">
        <w:t>exhaustives et réalisées à l’initiative des membres</w:t>
      </w:r>
      <w:r w:rsidRPr="008B2DDA">
        <w:rPr>
          <w:rStyle w:val="hps"/>
        </w:rPr>
        <w:t>”</w:t>
      </w:r>
      <w:r w:rsidRPr="008B2DDA">
        <w:rPr>
          <w:rStyle w:val="atn"/>
        </w:rPr>
        <w:t>, “prendre en considération les</w:t>
      </w:r>
      <w:r w:rsidRPr="008B2DDA">
        <w:t xml:space="preserve"> différents </w:t>
      </w:r>
      <w:r w:rsidRPr="008B2DDA">
        <w:rPr>
          <w:rStyle w:val="hps"/>
        </w:rPr>
        <w:t>niveaux de développement</w:t>
      </w:r>
      <w:r w:rsidRPr="008B2DDA">
        <w:rPr>
          <w:rStyle w:val="atn"/>
        </w:rPr>
        <w:t>” et “constituer un processus participatif, qui prenne en considération les intérêts et priorités de l’ensemble des États membres”.</w:t>
      </w:r>
    </w:p>
    <w:p w14:paraId="6885BFE0" w14:textId="77777777" w:rsidR="00861355" w:rsidRPr="008B2DDA" w:rsidRDefault="00861355" w:rsidP="008B2DDA"/>
    <w:p w14:paraId="6E1EE78A" w14:textId="77777777" w:rsidR="00861355" w:rsidRPr="008B2DDA" w:rsidRDefault="00861355" w:rsidP="008B2DDA">
      <w:r w:rsidRPr="008B2DDA">
        <w:rPr>
          <w:rStyle w:val="hps"/>
        </w:rPr>
        <w:t>Ladite proposition</w:t>
      </w:r>
      <w:r w:rsidRPr="008B2DDA">
        <w:t xml:space="preserve">, </w:t>
      </w:r>
      <w:r w:rsidRPr="008B2DDA">
        <w:rPr>
          <w:rStyle w:val="hps"/>
        </w:rPr>
        <w:t>présentée au comité</w:t>
      </w:r>
      <w:r w:rsidRPr="008B2DDA">
        <w:t xml:space="preserve"> </w:t>
      </w:r>
      <w:r w:rsidRPr="008B2DDA">
        <w:rPr>
          <w:rStyle w:val="hps"/>
        </w:rPr>
        <w:t>préparatoire</w:t>
      </w:r>
      <w:r w:rsidRPr="008B2DDA">
        <w:t xml:space="preserve">, </w:t>
      </w:r>
      <w:r w:rsidRPr="008B2DDA">
        <w:rPr>
          <w:rStyle w:val="hps"/>
        </w:rPr>
        <w:t>n’a pas été acceptée</w:t>
      </w:r>
      <w:r w:rsidRPr="008B2DDA">
        <w:t xml:space="preserve"> </w:t>
      </w:r>
      <w:r w:rsidRPr="008B2DDA">
        <w:rPr>
          <w:rStyle w:val="hps"/>
        </w:rPr>
        <w:t>par les États membres</w:t>
      </w:r>
      <w:r w:rsidRPr="008B2DDA">
        <w:t xml:space="preserve"> </w:t>
      </w:r>
      <w:r w:rsidRPr="008B2DDA">
        <w:rPr>
          <w:rStyle w:val="hps"/>
        </w:rPr>
        <w:t>de l’Union réunis au sein de ce comité</w:t>
      </w:r>
      <w:r w:rsidRPr="008B2DDA">
        <w:t xml:space="preserve">.  </w:t>
      </w:r>
      <w:r w:rsidRPr="008B2DDA">
        <w:rPr>
          <w:rStyle w:val="hps"/>
        </w:rPr>
        <w:t>Dans ce contexte</w:t>
      </w:r>
      <w:r w:rsidRPr="008B2DDA">
        <w:t xml:space="preserve">, </w:t>
      </w:r>
      <w:r w:rsidRPr="008B2DDA">
        <w:rPr>
          <w:rStyle w:val="hps"/>
        </w:rPr>
        <w:t>nous transmettons</w:t>
      </w:r>
      <w:r w:rsidRPr="008B2DDA">
        <w:t xml:space="preserve"> </w:t>
      </w:r>
      <w:r w:rsidRPr="008B2DDA">
        <w:rPr>
          <w:rStyle w:val="hps"/>
        </w:rPr>
        <w:t>ces</w:t>
      </w:r>
      <w:r w:rsidRPr="008B2DDA">
        <w:t xml:space="preserve"> </w:t>
      </w:r>
      <w:r w:rsidRPr="008B2DDA">
        <w:rPr>
          <w:rStyle w:val="hps"/>
        </w:rPr>
        <w:t>commentaires</w:t>
      </w:r>
      <w:r w:rsidRPr="008B2DDA">
        <w:t xml:space="preserve">, qui n’empêchent pas d’entreprendre </w:t>
      </w:r>
      <w:r w:rsidRPr="008B2DDA">
        <w:rPr>
          <w:rStyle w:val="hps"/>
        </w:rPr>
        <w:t>d’autres réflexions</w:t>
      </w:r>
      <w:r w:rsidRPr="008B2DDA">
        <w:t xml:space="preserve"> ni de formuler d’autres </w:t>
      </w:r>
      <w:r w:rsidRPr="008B2DDA">
        <w:rPr>
          <w:rStyle w:val="hps"/>
        </w:rPr>
        <w:t>commentaires</w:t>
      </w:r>
      <w:r w:rsidRPr="008B2DDA">
        <w:t xml:space="preserve"> </w:t>
      </w:r>
      <w:r w:rsidRPr="008B2DDA">
        <w:rPr>
          <w:rStyle w:val="hps"/>
        </w:rPr>
        <w:t>au cours du processus.  Ces commentaires expriment notre</w:t>
      </w:r>
      <w:r w:rsidRPr="008B2DDA">
        <w:t xml:space="preserve"> </w:t>
      </w:r>
      <w:r w:rsidRPr="008B2DDA">
        <w:rPr>
          <w:rStyle w:val="hps"/>
        </w:rPr>
        <w:t>intérêt légitime</w:t>
      </w:r>
      <w:r w:rsidRPr="008B2DDA">
        <w:t xml:space="preserve"> à ce </w:t>
      </w:r>
      <w:r w:rsidRPr="008B2DDA">
        <w:rPr>
          <w:rStyle w:val="hps"/>
        </w:rPr>
        <w:t>que nos observations</w:t>
      </w:r>
      <w:r w:rsidRPr="008B2DDA">
        <w:t xml:space="preserve"> </w:t>
      </w:r>
      <w:r w:rsidRPr="008B2DDA">
        <w:rPr>
          <w:rStyle w:val="hps"/>
        </w:rPr>
        <w:t>soient prises</w:t>
      </w:r>
      <w:r w:rsidRPr="008B2DDA">
        <w:t xml:space="preserve"> </w:t>
      </w:r>
      <w:r w:rsidRPr="008B2DDA">
        <w:rPr>
          <w:rStyle w:val="hps"/>
        </w:rPr>
        <w:t>en compte</w:t>
      </w:r>
      <w:r w:rsidRPr="008B2DDA">
        <w:t xml:space="preserve"> </w:t>
      </w:r>
      <w:r w:rsidRPr="008B2DDA">
        <w:rPr>
          <w:rStyle w:val="hps"/>
        </w:rPr>
        <w:t>au cours d’un</w:t>
      </w:r>
      <w:r w:rsidRPr="008B2DDA">
        <w:t xml:space="preserve"> </w:t>
      </w:r>
      <w:r w:rsidRPr="008B2DDA">
        <w:rPr>
          <w:rStyle w:val="hps"/>
        </w:rPr>
        <w:t>processus qui se déroule</w:t>
      </w:r>
      <w:r w:rsidRPr="008B2DDA">
        <w:t xml:space="preserve"> </w:t>
      </w:r>
      <w:r w:rsidRPr="008B2DDA">
        <w:rPr>
          <w:rStyle w:val="hps"/>
        </w:rPr>
        <w:t>dans le cadre</w:t>
      </w:r>
      <w:r w:rsidRPr="008B2DDA">
        <w:t xml:space="preserve"> </w:t>
      </w:r>
      <w:r w:rsidRPr="008B2DDA">
        <w:rPr>
          <w:rStyle w:val="hps"/>
        </w:rPr>
        <w:t>de l’Organisation Mondiale</w:t>
      </w:r>
      <w:r w:rsidRPr="008B2DDA">
        <w:t xml:space="preserve"> </w:t>
      </w:r>
      <w:r w:rsidRPr="008B2DDA">
        <w:rPr>
          <w:rStyle w:val="hps"/>
        </w:rPr>
        <w:t>la Propriété Intellectuelle</w:t>
      </w:r>
      <w:r w:rsidRPr="008B2DDA">
        <w:t xml:space="preserve">, </w:t>
      </w:r>
      <w:r w:rsidRPr="008B2DDA">
        <w:rPr>
          <w:rStyle w:val="hps"/>
        </w:rPr>
        <w:t>dont notre pays est membre</w:t>
      </w:r>
      <w:r w:rsidRPr="008B2DDA">
        <w:t xml:space="preserve">.  </w:t>
      </w:r>
      <w:r w:rsidRPr="008B2DDA">
        <w:rPr>
          <w:rStyle w:val="hps"/>
        </w:rPr>
        <w:t>Le Secrétariat</w:t>
      </w:r>
      <w:r w:rsidRPr="008B2DDA">
        <w:t xml:space="preserve"> </w:t>
      </w:r>
      <w:r w:rsidRPr="008B2DDA">
        <w:rPr>
          <w:rStyle w:val="hps"/>
        </w:rPr>
        <w:t>a recensé les questions en suspens</w:t>
      </w:r>
      <w:r w:rsidRPr="008B2DDA">
        <w:t xml:space="preserve"> suivantes</w:t>
      </w:r>
      <w:r w:rsidRPr="008B2DDA">
        <w:rPr>
          <w:rStyle w:val="hps"/>
        </w:rPr>
        <w:t> :</w:t>
      </w:r>
    </w:p>
    <w:p w14:paraId="32A590F2" w14:textId="77777777" w:rsidR="00861355" w:rsidRPr="008B2DDA" w:rsidRDefault="00861355" w:rsidP="008B2DDA"/>
    <w:p w14:paraId="14B6587A" w14:textId="77777777" w:rsidR="00861355" w:rsidRPr="008B2DDA" w:rsidRDefault="00861355" w:rsidP="00195289">
      <w:pPr>
        <w:pStyle w:val="ListParagraph"/>
        <w:numPr>
          <w:ilvl w:val="0"/>
          <w:numId w:val="25"/>
        </w:numPr>
        <w:ind w:firstLine="0"/>
        <w:rPr>
          <w:b/>
        </w:rPr>
      </w:pPr>
      <w:r w:rsidRPr="008B2DDA">
        <w:rPr>
          <w:b/>
        </w:rPr>
        <w:t>Article 7.2)b), article 8.3) et article 24.3)v) et dispositions connexes relatives à l’introduction éventuelle de taxes de maintien en vigueur</w:t>
      </w:r>
    </w:p>
    <w:p w14:paraId="326CFB84" w14:textId="77777777" w:rsidR="00861355" w:rsidRPr="008B2DDA" w:rsidRDefault="00861355" w:rsidP="008B2DDA">
      <w:pPr>
        <w:jc w:val="both"/>
      </w:pPr>
    </w:p>
    <w:p w14:paraId="19F9BD77" w14:textId="77777777" w:rsidR="00861355" w:rsidRPr="008B2DDA" w:rsidRDefault="00861355" w:rsidP="008B2DDA">
      <w:pPr>
        <w:rPr>
          <w:rStyle w:val="hps"/>
        </w:rPr>
      </w:pPr>
      <w:r w:rsidRPr="008B2DDA">
        <w:rPr>
          <w:rStyle w:val="hps"/>
        </w:rPr>
        <w:t>À ce sujet,</w:t>
      </w:r>
      <w:r w:rsidRPr="008B2DDA">
        <w:t xml:space="preserve"> </w:t>
      </w:r>
      <w:r w:rsidRPr="008B2DDA">
        <w:rPr>
          <w:rStyle w:val="hps"/>
        </w:rPr>
        <w:t>notre délégation</w:t>
      </w:r>
      <w:r w:rsidRPr="008B2DDA">
        <w:t xml:space="preserve"> </w:t>
      </w:r>
      <w:r w:rsidRPr="008B2DDA">
        <w:rPr>
          <w:rStyle w:val="hps"/>
        </w:rPr>
        <w:t>souhaiterait réaffirmer les propos qu’elle a tenus</w:t>
      </w:r>
      <w:r w:rsidRPr="008B2DDA">
        <w:t xml:space="preserve"> </w:t>
      </w:r>
      <w:r w:rsidRPr="008B2DDA">
        <w:rPr>
          <w:rStyle w:val="hps"/>
        </w:rPr>
        <w:t>lors des</w:t>
      </w:r>
      <w:r w:rsidRPr="008B2DDA">
        <w:t xml:space="preserve"> </w:t>
      </w:r>
      <w:r w:rsidRPr="008B2DDA">
        <w:rPr>
          <w:rStyle w:val="hps"/>
        </w:rPr>
        <w:t>réunions du</w:t>
      </w:r>
      <w:r w:rsidRPr="008B2DDA">
        <w:t xml:space="preserve"> </w:t>
      </w:r>
      <w:r w:rsidRPr="008B2DDA">
        <w:rPr>
          <w:rStyle w:val="hps"/>
        </w:rPr>
        <w:t>Groupe de travail</w:t>
      </w:r>
      <w:r w:rsidRPr="008B2DDA">
        <w:t xml:space="preserve"> sur le développement du système </w:t>
      </w:r>
      <w:r w:rsidRPr="008B2DDA">
        <w:rPr>
          <w:rStyle w:val="hps"/>
        </w:rPr>
        <w:t>de Lisbonne,</w:t>
      </w:r>
      <w:r w:rsidRPr="008B2DDA">
        <w:t xml:space="preserve"> </w:t>
      </w:r>
      <w:r w:rsidRPr="008B2DDA">
        <w:rPr>
          <w:rStyle w:val="hps"/>
        </w:rPr>
        <w:t>où elle</w:t>
      </w:r>
      <w:r w:rsidRPr="008B2DDA">
        <w:t xml:space="preserve"> </w:t>
      </w:r>
      <w:r w:rsidRPr="008B2DDA">
        <w:rPr>
          <w:rStyle w:val="hps"/>
        </w:rPr>
        <w:t>s’est déclarée favorable à l’introduction de taxes de maintien en vigueur</w:t>
      </w:r>
      <w:r w:rsidRPr="008B2DDA">
        <w:t xml:space="preserve"> </w:t>
      </w:r>
      <w:r w:rsidRPr="008B2DDA">
        <w:rPr>
          <w:rStyle w:val="hps"/>
        </w:rPr>
        <w:t>(</w:t>
      </w:r>
      <w:r w:rsidRPr="008B2DDA">
        <w:t>art.7.2)</w:t>
      </w:r>
      <w:r w:rsidRPr="008B2DDA">
        <w:rPr>
          <w:rStyle w:val="hps"/>
        </w:rPr>
        <w:t>b</w:t>
      </w:r>
      <w:r w:rsidRPr="008B2DDA">
        <w:t xml:space="preserve">)).  </w:t>
      </w:r>
      <w:r w:rsidRPr="008B2DDA">
        <w:rPr>
          <w:rStyle w:val="hps"/>
        </w:rPr>
        <w:t>L’introduction de ces</w:t>
      </w:r>
      <w:r w:rsidRPr="008B2DDA">
        <w:t xml:space="preserve"> </w:t>
      </w:r>
      <w:r w:rsidRPr="008B2DDA">
        <w:rPr>
          <w:rStyle w:val="hps"/>
        </w:rPr>
        <w:t>taxes</w:t>
      </w:r>
      <w:r w:rsidRPr="008B2DDA">
        <w:t xml:space="preserve"> </w:t>
      </w:r>
      <w:r w:rsidRPr="008B2DDA">
        <w:rPr>
          <w:rStyle w:val="hps"/>
        </w:rPr>
        <w:t>permettra de</w:t>
      </w:r>
      <w:r w:rsidRPr="008B2DDA">
        <w:t xml:space="preserve"> </w:t>
      </w:r>
      <w:r w:rsidRPr="008B2DDA">
        <w:rPr>
          <w:rStyle w:val="hps"/>
        </w:rPr>
        <w:t>combler le déficit</w:t>
      </w:r>
      <w:r w:rsidRPr="008B2DDA">
        <w:t xml:space="preserve"> </w:t>
      </w:r>
      <w:r w:rsidRPr="008B2DDA">
        <w:rPr>
          <w:rStyle w:val="hps"/>
        </w:rPr>
        <w:t>budgétaire de l’Union</w:t>
      </w:r>
      <w:r w:rsidRPr="008B2DDA">
        <w:t xml:space="preserve"> </w:t>
      </w:r>
      <w:r w:rsidRPr="008B2DDA">
        <w:rPr>
          <w:rStyle w:val="hps"/>
        </w:rPr>
        <w:t>de Lisbonne</w:t>
      </w:r>
      <w:r w:rsidRPr="008B2DDA">
        <w:t xml:space="preserve">.  </w:t>
      </w:r>
      <w:r w:rsidRPr="008B2DDA">
        <w:rPr>
          <w:rStyle w:val="hps"/>
        </w:rPr>
        <w:t>Ainsi</w:t>
      </w:r>
      <w:r w:rsidRPr="008B2DDA">
        <w:t xml:space="preserve">, </w:t>
      </w:r>
      <w:r w:rsidRPr="008B2DDA">
        <w:rPr>
          <w:rStyle w:val="hps"/>
        </w:rPr>
        <w:t>nous sommes d’avis</w:t>
      </w:r>
      <w:r w:rsidRPr="008B2DDA">
        <w:t xml:space="preserve"> </w:t>
      </w:r>
      <w:r w:rsidRPr="008B2DDA">
        <w:rPr>
          <w:rStyle w:val="hps"/>
        </w:rPr>
        <w:t>que ces taxes</w:t>
      </w:r>
      <w:r w:rsidRPr="008B2DDA">
        <w:t xml:space="preserve"> </w:t>
      </w:r>
      <w:r w:rsidRPr="008B2DDA">
        <w:rPr>
          <w:rStyle w:val="hps"/>
        </w:rPr>
        <w:t>doivent</w:t>
      </w:r>
      <w:r w:rsidRPr="008B2DDA">
        <w:t xml:space="preserve"> pouvoir </w:t>
      </w:r>
      <w:r w:rsidRPr="008B2DDA">
        <w:rPr>
          <w:rStyle w:val="hps"/>
        </w:rPr>
        <w:t>être</w:t>
      </w:r>
      <w:r w:rsidRPr="008B2DDA">
        <w:t xml:space="preserve"> </w:t>
      </w:r>
      <w:r w:rsidRPr="008B2DDA">
        <w:rPr>
          <w:rStyle w:val="hps"/>
        </w:rPr>
        <w:t>mises en place</w:t>
      </w:r>
      <w:r w:rsidRPr="008B2DDA">
        <w:t xml:space="preserve"> </w:t>
      </w:r>
      <w:r w:rsidRPr="008B2DDA">
        <w:rPr>
          <w:rStyle w:val="hps"/>
        </w:rPr>
        <w:t>sans</w:t>
      </w:r>
      <w:r w:rsidRPr="008B2DDA">
        <w:t xml:space="preserve"> </w:t>
      </w:r>
      <w:r w:rsidRPr="008B2DDA">
        <w:rPr>
          <w:rStyle w:val="hps"/>
        </w:rPr>
        <w:t>qu’il soit nécessaire d’exiger</w:t>
      </w:r>
      <w:r w:rsidRPr="008B2DDA">
        <w:t xml:space="preserve"> </w:t>
      </w:r>
      <w:r w:rsidRPr="008B2DDA">
        <w:rPr>
          <w:rStyle w:val="hps"/>
        </w:rPr>
        <w:t>l’absence d’autres sources de financement (</w:t>
      </w:r>
      <w:r w:rsidRPr="008B2DDA">
        <w:t xml:space="preserve">art.24.3)).  </w:t>
      </w:r>
      <w:r w:rsidRPr="008B2DDA">
        <w:rPr>
          <w:rStyle w:val="hps"/>
        </w:rPr>
        <w:t>En outre</w:t>
      </w:r>
      <w:r w:rsidRPr="008B2DDA">
        <w:t xml:space="preserve">, </w:t>
      </w:r>
      <w:r w:rsidRPr="008B2DDA">
        <w:rPr>
          <w:rStyle w:val="hps"/>
        </w:rPr>
        <w:t>il paraît</w:t>
      </w:r>
      <w:r w:rsidRPr="008B2DDA">
        <w:t xml:space="preserve"> </w:t>
      </w:r>
      <w:r w:rsidRPr="008B2DDA">
        <w:rPr>
          <w:rStyle w:val="hps"/>
        </w:rPr>
        <w:t>important de rappeler</w:t>
      </w:r>
      <w:r w:rsidRPr="008B2DDA">
        <w:t xml:space="preserve"> </w:t>
      </w:r>
      <w:r w:rsidRPr="008B2DDA">
        <w:rPr>
          <w:rStyle w:val="hps"/>
        </w:rPr>
        <w:t>que ce type de taxes</w:t>
      </w:r>
      <w:r w:rsidRPr="008B2DDA">
        <w:t xml:space="preserve"> </w:t>
      </w:r>
      <w:r w:rsidRPr="008B2DDA">
        <w:rPr>
          <w:rStyle w:val="hps"/>
        </w:rPr>
        <w:t>n’échappe pas</w:t>
      </w:r>
      <w:r w:rsidRPr="008B2DDA">
        <w:t xml:space="preserve"> </w:t>
      </w:r>
      <w:r w:rsidRPr="008B2DDA">
        <w:rPr>
          <w:rStyle w:val="hps"/>
        </w:rPr>
        <w:t>à d’autres</w:t>
      </w:r>
      <w:r w:rsidRPr="008B2DDA">
        <w:t xml:space="preserve"> </w:t>
      </w:r>
      <w:r w:rsidRPr="008B2DDA">
        <w:rPr>
          <w:rStyle w:val="hps"/>
        </w:rPr>
        <w:t>accords</w:t>
      </w:r>
      <w:r w:rsidRPr="008B2DDA">
        <w:t xml:space="preserve"> </w:t>
      </w:r>
      <w:r w:rsidRPr="008B2DDA">
        <w:rPr>
          <w:rStyle w:val="hps"/>
        </w:rPr>
        <w:t>administrés par l’OMPI</w:t>
      </w:r>
      <w:r w:rsidRPr="008B2DDA">
        <w:t xml:space="preserve"> </w:t>
      </w:r>
      <w:r w:rsidRPr="008B2DDA">
        <w:rPr>
          <w:rStyle w:val="hps"/>
        </w:rPr>
        <w:t>tels que le système</w:t>
      </w:r>
      <w:r w:rsidRPr="008B2DDA">
        <w:t xml:space="preserve"> </w:t>
      </w:r>
      <w:r w:rsidRPr="008B2DDA">
        <w:rPr>
          <w:rStyle w:val="hps"/>
        </w:rPr>
        <w:t>de Madrid et le</w:t>
      </w:r>
      <w:r w:rsidRPr="008B2DDA">
        <w:t xml:space="preserve"> </w:t>
      </w:r>
      <w:r w:rsidRPr="008B2DDA">
        <w:rPr>
          <w:rStyle w:val="hps"/>
        </w:rPr>
        <w:t>Traité de coopération en</w:t>
      </w:r>
      <w:r w:rsidRPr="008B2DDA">
        <w:t xml:space="preserve"> </w:t>
      </w:r>
      <w:r w:rsidRPr="008B2DDA">
        <w:rPr>
          <w:rStyle w:val="hps"/>
        </w:rPr>
        <w:t>matière de brevets.</w:t>
      </w:r>
    </w:p>
    <w:p w14:paraId="1CE62EC9" w14:textId="77777777" w:rsidR="00861355" w:rsidRPr="008B2DDA" w:rsidRDefault="00861355" w:rsidP="008B2DDA">
      <w:pPr>
        <w:rPr>
          <w:rStyle w:val="hps"/>
        </w:rPr>
      </w:pPr>
    </w:p>
    <w:p w14:paraId="4B951340" w14:textId="0DE5F70F" w:rsidR="00861355" w:rsidRPr="008B2DDA" w:rsidRDefault="00861355" w:rsidP="008B2DDA">
      <w:r w:rsidRPr="008B2DDA">
        <w:rPr>
          <w:rStyle w:val="hps"/>
        </w:rPr>
        <w:t xml:space="preserve">Étant donné que nous approuvons l’introduction de taxes pour le maintien en vigueur </w:t>
      </w:r>
      <w:r w:rsidRPr="008B2DDA">
        <w:t xml:space="preserve">de chaque </w:t>
      </w:r>
      <w:r w:rsidRPr="008B2DDA">
        <w:rPr>
          <w:rStyle w:val="hps"/>
        </w:rPr>
        <w:t>enregistrement international</w:t>
      </w:r>
      <w:r w:rsidRPr="008B2DDA">
        <w:t xml:space="preserve"> </w:t>
      </w:r>
      <w:r w:rsidRPr="008B2DDA">
        <w:rPr>
          <w:rStyle w:val="hps"/>
        </w:rPr>
        <w:t>d’</w:t>
      </w:r>
      <w:r w:rsidRPr="008B2DDA">
        <w:t>indication géographique ou d’appellation d’origine</w:t>
      </w:r>
      <w:r w:rsidRPr="008B2DDA">
        <w:rPr>
          <w:rStyle w:val="hps"/>
        </w:rPr>
        <w:t>, nous sommes d’avis qu’il convient de prévoir</w:t>
      </w:r>
      <w:r w:rsidRPr="008B2DDA">
        <w:t xml:space="preserve"> </w:t>
      </w:r>
      <w:r w:rsidRPr="008B2DDA">
        <w:rPr>
          <w:rStyle w:val="hps"/>
        </w:rPr>
        <w:t>la radiation</w:t>
      </w:r>
      <w:r w:rsidRPr="008B2DDA">
        <w:t xml:space="preserve"> </w:t>
      </w:r>
      <w:r w:rsidRPr="008B2DDA">
        <w:rPr>
          <w:rStyle w:val="hps"/>
        </w:rPr>
        <w:t>d’un enregistrement international</w:t>
      </w:r>
      <w:r w:rsidRPr="008B2DDA">
        <w:t xml:space="preserve"> </w:t>
      </w:r>
      <w:r w:rsidRPr="008B2DDA">
        <w:rPr>
          <w:rStyle w:val="hps"/>
        </w:rPr>
        <w:t>en cas de</w:t>
      </w:r>
      <w:r w:rsidRPr="008B2DDA">
        <w:t xml:space="preserve"> </w:t>
      </w:r>
      <w:r w:rsidRPr="008B2DDA">
        <w:rPr>
          <w:rStyle w:val="hps"/>
        </w:rPr>
        <w:t>non</w:t>
      </w:r>
      <w:r w:rsidR="00D67EA4" w:rsidRPr="008B2DDA">
        <w:rPr>
          <w:rStyle w:val="atn"/>
        </w:rPr>
        <w:noBreakHyphen/>
      </w:r>
      <w:r w:rsidRPr="008B2DDA">
        <w:t xml:space="preserve">paiement de ces taxes </w:t>
      </w:r>
      <w:r w:rsidRPr="008B2DDA">
        <w:rPr>
          <w:rStyle w:val="hps"/>
        </w:rPr>
        <w:t>(a</w:t>
      </w:r>
      <w:r w:rsidRPr="008B2DDA">
        <w:t>rt.8.3)).</w:t>
      </w:r>
    </w:p>
    <w:p w14:paraId="2754A92F" w14:textId="77777777" w:rsidR="00796CE4" w:rsidRDefault="00796CE4">
      <w:pPr>
        <w:rPr>
          <w:b/>
        </w:rPr>
      </w:pPr>
      <w:r>
        <w:rPr>
          <w:b/>
        </w:rPr>
        <w:br w:type="page"/>
      </w:r>
    </w:p>
    <w:p w14:paraId="3110643B" w14:textId="46DCFFF8" w:rsidR="00861355" w:rsidRPr="008B2DDA" w:rsidRDefault="00861355" w:rsidP="00195289">
      <w:pPr>
        <w:pStyle w:val="ListParagraph"/>
        <w:numPr>
          <w:ilvl w:val="0"/>
          <w:numId w:val="25"/>
        </w:numPr>
        <w:ind w:firstLine="0"/>
        <w:rPr>
          <w:b/>
        </w:rPr>
      </w:pPr>
      <w:r w:rsidRPr="008B2DDA">
        <w:rPr>
          <w:b/>
        </w:rPr>
        <w:lastRenderedPageBreak/>
        <w:t>La réintroduction éventuelle des dispositions de l’Arrangement de Lisbonne en vigueur concernant les contributions des membres de l’Union de Lisbonne</w:t>
      </w:r>
    </w:p>
    <w:p w14:paraId="5CE1E713" w14:textId="77777777" w:rsidR="00861355" w:rsidRPr="008B2DDA" w:rsidRDefault="00861355" w:rsidP="008B2DDA">
      <w:pPr>
        <w:keepNext/>
        <w:keepLines/>
      </w:pPr>
    </w:p>
    <w:p w14:paraId="616AB438" w14:textId="77777777" w:rsidR="00861355" w:rsidRPr="008B2DDA" w:rsidRDefault="00861355" w:rsidP="008B2DDA">
      <w:pPr>
        <w:keepNext/>
        <w:keepLines/>
      </w:pPr>
      <w:r w:rsidRPr="008B2DDA">
        <w:rPr>
          <w:rStyle w:val="hps"/>
        </w:rPr>
        <w:t>L’Arrangement de Lisbonne en vigueur prévoit</w:t>
      </w:r>
      <w:r w:rsidRPr="008B2DDA">
        <w:t xml:space="preserve"> </w:t>
      </w:r>
      <w:r w:rsidRPr="008B2DDA">
        <w:rPr>
          <w:rStyle w:val="hps"/>
        </w:rPr>
        <w:t>la possibilité de contributions</w:t>
      </w:r>
      <w:r w:rsidRPr="008B2DDA">
        <w:t xml:space="preserve"> </w:t>
      </w:r>
      <w:r w:rsidRPr="008B2DDA">
        <w:rPr>
          <w:rStyle w:val="hps"/>
        </w:rPr>
        <w:t>des</w:t>
      </w:r>
      <w:r w:rsidRPr="008B2DDA">
        <w:t xml:space="preserve"> </w:t>
      </w:r>
      <w:r w:rsidRPr="008B2DDA">
        <w:rPr>
          <w:rStyle w:val="hps"/>
        </w:rPr>
        <w:t>pays de l’Union</w:t>
      </w:r>
      <w:r w:rsidRPr="008B2DDA">
        <w:t xml:space="preserve"> particulière </w:t>
      </w:r>
      <w:r w:rsidRPr="008B2DDA">
        <w:rPr>
          <w:rStyle w:val="hps"/>
        </w:rPr>
        <w:t>dans la mesure où</w:t>
      </w:r>
      <w:r w:rsidRPr="008B2DDA">
        <w:t xml:space="preserve"> </w:t>
      </w:r>
      <w:r w:rsidRPr="008B2DDA">
        <w:rPr>
          <w:rStyle w:val="hps"/>
        </w:rPr>
        <w:t>les recettes</w:t>
      </w:r>
      <w:r w:rsidRPr="008B2DDA">
        <w:t xml:space="preserve"> </w:t>
      </w:r>
      <w:r w:rsidRPr="008B2DDA">
        <w:rPr>
          <w:rStyle w:val="hps"/>
        </w:rPr>
        <w:t>provenant d’autres sources</w:t>
      </w:r>
      <w:r w:rsidRPr="008B2DDA">
        <w:t xml:space="preserve"> </w:t>
      </w:r>
      <w:r w:rsidRPr="008B2DDA">
        <w:rPr>
          <w:rStyle w:val="hps"/>
        </w:rPr>
        <w:t>(taxes</w:t>
      </w:r>
      <w:r w:rsidRPr="008B2DDA">
        <w:t xml:space="preserve"> </w:t>
      </w:r>
      <w:r w:rsidRPr="008B2DDA">
        <w:rPr>
          <w:rStyle w:val="hps"/>
        </w:rPr>
        <w:t>d’enregistrement international</w:t>
      </w:r>
      <w:r w:rsidRPr="008B2DDA">
        <w:t xml:space="preserve">;  produit de </w:t>
      </w:r>
      <w:r w:rsidRPr="008B2DDA">
        <w:rPr>
          <w:rStyle w:val="hps"/>
        </w:rPr>
        <w:t>la vente des publications</w:t>
      </w:r>
      <w:r w:rsidRPr="008B2DDA">
        <w:t xml:space="preserve"> </w:t>
      </w:r>
      <w:r w:rsidRPr="008B2DDA">
        <w:rPr>
          <w:rStyle w:val="hps"/>
        </w:rPr>
        <w:t xml:space="preserve">du Bureau international;  </w:t>
      </w:r>
      <w:r w:rsidRPr="008B2DDA">
        <w:t xml:space="preserve">dons, legs </w:t>
      </w:r>
      <w:r w:rsidRPr="008B2DDA">
        <w:rPr>
          <w:rStyle w:val="hps"/>
        </w:rPr>
        <w:t>et subventions</w:t>
      </w:r>
      <w:r w:rsidRPr="008B2DDA">
        <w:t xml:space="preserve">;  </w:t>
      </w:r>
      <w:r w:rsidRPr="008B2DDA">
        <w:rPr>
          <w:rStyle w:val="hps"/>
        </w:rPr>
        <w:t>loyers, intérêts</w:t>
      </w:r>
      <w:r w:rsidRPr="008B2DDA">
        <w:t xml:space="preserve"> </w:t>
      </w:r>
      <w:r w:rsidRPr="008B2DDA">
        <w:rPr>
          <w:rStyle w:val="hps"/>
        </w:rPr>
        <w:t>et autres revenus divers</w:t>
      </w:r>
      <w:r w:rsidRPr="008B2DDA">
        <w:t xml:space="preserve">) </w:t>
      </w:r>
      <w:r w:rsidRPr="008B2DDA">
        <w:rPr>
          <w:rStyle w:val="hps"/>
        </w:rPr>
        <w:t>ne suffisent pas</w:t>
      </w:r>
      <w:r w:rsidRPr="008B2DDA">
        <w:t xml:space="preserve">.  </w:t>
      </w:r>
      <w:r w:rsidRPr="008B2DDA">
        <w:rPr>
          <w:rStyle w:val="hps"/>
        </w:rPr>
        <w:t>Nous sommes d’avis</w:t>
      </w:r>
      <w:r w:rsidRPr="008B2DDA">
        <w:t xml:space="preserve"> </w:t>
      </w:r>
      <w:r w:rsidRPr="008B2DDA">
        <w:rPr>
          <w:rStyle w:val="hps"/>
        </w:rPr>
        <w:t>que l’introduction de taxes de maintien en vigueur est plus à même de combler</w:t>
      </w:r>
      <w:r w:rsidRPr="008B2DDA">
        <w:t xml:space="preserve"> </w:t>
      </w:r>
      <w:r w:rsidRPr="008B2DDA">
        <w:rPr>
          <w:rStyle w:val="hps"/>
        </w:rPr>
        <w:t>d’éventuels déficits</w:t>
      </w:r>
      <w:r w:rsidRPr="008B2DDA">
        <w:t xml:space="preserve"> </w:t>
      </w:r>
      <w:r w:rsidRPr="008B2DDA">
        <w:rPr>
          <w:rStyle w:val="hps"/>
        </w:rPr>
        <w:t>budgétaires</w:t>
      </w:r>
      <w:r w:rsidRPr="008B2DDA">
        <w:t xml:space="preserve">.  </w:t>
      </w:r>
      <w:r w:rsidRPr="008B2DDA">
        <w:rPr>
          <w:rStyle w:val="hps"/>
        </w:rPr>
        <w:t>Par conséquent</w:t>
      </w:r>
      <w:r w:rsidRPr="008B2DDA">
        <w:t xml:space="preserve">, </w:t>
      </w:r>
      <w:r w:rsidRPr="008B2DDA">
        <w:rPr>
          <w:rStyle w:val="hps"/>
        </w:rPr>
        <w:t>nous estimons que</w:t>
      </w:r>
      <w:r w:rsidRPr="008B2DDA">
        <w:t xml:space="preserve"> </w:t>
      </w:r>
      <w:r w:rsidRPr="008B2DDA">
        <w:rPr>
          <w:rStyle w:val="hps"/>
        </w:rPr>
        <w:t>la réintroduction,</w:t>
      </w:r>
      <w:r w:rsidRPr="008B2DDA">
        <w:t xml:space="preserve"> </w:t>
      </w:r>
      <w:r w:rsidRPr="008B2DDA">
        <w:rPr>
          <w:rStyle w:val="hps"/>
        </w:rPr>
        <w:t>dans le projet de nouvel Acte de l’Arrangement, de règles relatives à la</w:t>
      </w:r>
      <w:r w:rsidRPr="008B2DDA">
        <w:t xml:space="preserve"> </w:t>
      </w:r>
      <w:r w:rsidRPr="008B2DDA">
        <w:rPr>
          <w:rStyle w:val="hps"/>
        </w:rPr>
        <w:t>contribution des membres</w:t>
      </w:r>
      <w:r w:rsidRPr="008B2DDA">
        <w:t xml:space="preserve"> </w:t>
      </w:r>
      <w:r w:rsidRPr="008B2DDA">
        <w:rPr>
          <w:rStyle w:val="hps"/>
        </w:rPr>
        <w:t>doit être</w:t>
      </w:r>
      <w:r w:rsidRPr="008B2DDA">
        <w:t xml:space="preserve"> </w:t>
      </w:r>
      <w:r w:rsidRPr="008B2DDA">
        <w:rPr>
          <w:rStyle w:val="hps"/>
        </w:rPr>
        <w:t>considérée comme</w:t>
      </w:r>
      <w:r w:rsidRPr="008B2DDA">
        <w:t xml:space="preserve"> </w:t>
      </w:r>
      <w:r w:rsidRPr="008B2DDA">
        <w:rPr>
          <w:rStyle w:val="hps"/>
        </w:rPr>
        <w:t>une ressource à caractère exceptionnel, tel qu’énoncé</w:t>
      </w:r>
      <w:r w:rsidRPr="008B2DDA">
        <w:t xml:space="preserve"> </w:t>
      </w:r>
      <w:r w:rsidRPr="008B2DDA">
        <w:rPr>
          <w:rStyle w:val="hps"/>
        </w:rPr>
        <w:t>pendant la durée de validité de</w:t>
      </w:r>
      <w:r w:rsidRPr="008B2DDA">
        <w:t xml:space="preserve"> </w:t>
      </w:r>
      <w:r w:rsidRPr="008B2DDA">
        <w:rPr>
          <w:rStyle w:val="hps"/>
        </w:rPr>
        <w:t>l’Arrangement de Lisbonne</w:t>
      </w:r>
      <w:r w:rsidRPr="008B2DDA">
        <w:t>.</w:t>
      </w:r>
    </w:p>
    <w:p w14:paraId="5590ACE6" w14:textId="77777777" w:rsidR="00861355" w:rsidRPr="008B2DDA" w:rsidRDefault="00861355" w:rsidP="008B2DDA"/>
    <w:p w14:paraId="2A45C441" w14:textId="77777777" w:rsidR="00861355" w:rsidRPr="008B2DDA" w:rsidRDefault="00861355" w:rsidP="00195289">
      <w:pPr>
        <w:pStyle w:val="ListParagraph"/>
        <w:numPr>
          <w:ilvl w:val="0"/>
          <w:numId w:val="25"/>
        </w:numPr>
        <w:ind w:firstLine="0"/>
        <w:rPr>
          <w:b/>
        </w:rPr>
      </w:pPr>
      <w:r w:rsidRPr="008B2DDA">
        <w:rPr>
          <w:b/>
        </w:rPr>
        <w:t>Les différentes variantes concernant l’article 11.1)a) et l’article 11.3)</w:t>
      </w:r>
    </w:p>
    <w:p w14:paraId="5186BD24" w14:textId="77777777" w:rsidR="00861355" w:rsidRPr="008B2DDA" w:rsidRDefault="00861355" w:rsidP="008B2DDA"/>
    <w:p w14:paraId="3912EB84" w14:textId="77777777" w:rsidR="00861355" w:rsidRPr="008B2DDA" w:rsidRDefault="00861355" w:rsidP="008B2DDA">
      <w:r w:rsidRPr="008B2DDA">
        <w:rPr>
          <w:rStyle w:val="hps"/>
        </w:rPr>
        <w:t>S’agissant du niveau de protection</w:t>
      </w:r>
      <w:r w:rsidRPr="008B2DDA">
        <w:t xml:space="preserve">, </w:t>
      </w:r>
      <w:r w:rsidRPr="008B2DDA">
        <w:rPr>
          <w:rStyle w:val="hps"/>
        </w:rPr>
        <w:t>nous estimons que</w:t>
      </w:r>
      <w:r w:rsidRPr="008B2DDA">
        <w:t xml:space="preserve"> </w:t>
      </w:r>
      <w:r w:rsidRPr="008B2DDA">
        <w:rPr>
          <w:rStyle w:val="hps"/>
        </w:rPr>
        <w:t>le seul</w:t>
      </w:r>
      <w:r w:rsidRPr="008B2DDA">
        <w:t xml:space="preserve"> autre </w:t>
      </w:r>
      <w:r w:rsidRPr="008B2DDA">
        <w:rPr>
          <w:rStyle w:val="hps"/>
        </w:rPr>
        <w:t>texte qui soit</w:t>
      </w:r>
      <w:r w:rsidRPr="008B2DDA">
        <w:t xml:space="preserve"> </w:t>
      </w:r>
      <w:r w:rsidRPr="008B2DDA">
        <w:rPr>
          <w:rStyle w:val="hps"/>
        </w:rPr>
        <w:t>conforme à la réglementation</w:t>
      </w:r>
      <w:r w:rsidRPr="008B2DDA">
        <w:t xml:space="preserve"> </w:t>
      </w:r>
      <w:r w:rsidRPr="008B2DDA">
        <w:rPr>
          <w:rStyle w:val="hps"/>
        </w:rPr>
        <w:t>internationale établie par</w:t>
      </w:r>
      <w:r w:rsidRPr="008B2DDA">
        <w:t xml:space="preserve"> </w:t>
      </w:r>
      <w:r w:rsidRPr="008B2DDA">
        <w:rPr>
          <w:rStyle w:val="hps"/>
        </w:rPr>
        <w:t>l’</w:t>
      </w:r>
      <w:r w:rsidRPr="008B2DDA">
        <w:t xml:space="preserve">Accord sur les ADPIC </w:t>
      </w:r>
      <w:r w:rsidRPr="008B2DDA">
        <w:rPr>
          <w:rStyle w:val="hps"/>
        </w:rPr>
        <w:t>est</w:t>
      </w:r>
      <w:r w:rsidRPr="008B2DDA">
        <w:t xml:space="preserve"> celui de </w:t>
      </w:r>
      <w:r w:rsidRPr="008B2DDA">
        <w:rPr>
          <w:rStyle w:val="hps"/>
        </w:rPr>
        <w:t>la variante D.  Nous sommes donc favorables à son intégration dans</w:t>
      </w:r>
      <w:r w:rsidRPr="008B2DDA">
        <w:t xml:space="preserve"> </w:t>
      </w:r>
      <w:r w:rsidRPr="008B2DDA">
        <w:rPr>
          <w:rStyle w:val="hps"/>
        </w:rPr>
        <w:t>l’Arrangement</w:t>
      </w:r>
      <w:r w:rsidRPr="008B2DDA">
        <w:t xml:space="preserve">.  </w:t>
      </w:r>
      <w:r w:rsidRPr="008B2DDA">
        <w:rPr>
          <w:rStyle w:val="hps"/>
        </w:rPr>
        <w:t>Cependant</w:t>
      </w:r>
      <w:r w:rsidRPr="008B2DDA">
        <w:t xml:space="preserve">, nous considérons que </w:t>
      </w:r>
      <w:r w:rsidRPr="008B2DDA">
        <w:rPr>
          <w:rStyle w:val="hps"/>
        </w:rPr>
        <w:t>l’</w:t>
      </w:r>
      <w:r w:rsidRPr="008B2DDA">
        <w:t xml:space="preserve">extension de la protection </w:t>
      </w:r>
      <w:r w:rsidRPr="008B2DDA">
        <w:rPr>
          <w:rStyle w:val="hps"/>
        </w:rPr>
        <w:t>telle que formulée dans l’article</w:t>
      </w:r>
      <w:r w:rsidRPr="008B2DDA">
        <w:t> </w:t>
      </w:r>
      <w:r w:rsidRPr="008B2DDA">
        <w:rPr>
          <w:rStyle w:val="hps"/>
        </w:rPr>
        <w:t>11</w:t>
      </w:r>
      <w:r w:rsidRPr="008B2DDA">
        <w:t xml:space="preserve"> en vigueur </w:t>
      </w:r>
      <w:r w:rsidRPr="008B2DDA">
        <w:rPr>
          <w:rStyle w:val="hps"/>
        </w:rPr>
        <w:t>constitue un</w:t>
      </w:r>
      <w:r w:rsidRPr="008B2DDA">
        <w:t xml:space="preserve"> </w:t>
      </w:r>
      <w:r w:rsidRPr="008B2DDA">
        <w:rPr>
          <w:rStyle w:val="hps"/>
        </w:rPr>
        <w:t>précédent négatif pour la recherche d’un consensus international en</w:t>
      </w:r>
      <w:r w:rsidRPr="008B2DDA">
        <w:t xml:space="preserve"> </w:t>
      </w:r>
      <w:r w:rsidRPr="008B2DDA">
        <w:rPr>
          <w:rStyle w:val="hps"/>
        </w:rPr>
        <w:t>la matière</w:t>
      </w:r>
      <w:r w:rsidRPr="008B2DDA">
        <w:t xml:space="preserve">.  </w:t>
      </w:r>
      <w:r w:rsidRPr="008B2DDA">
        <w:rPr>
          <w:rStyle w:val="hps"/>
        </w:rPr>
        <w:t>L’intégration de</w:t>
      </w:r>
      <w:r w:rsidRPr="008B2DDA">
        <w:t xml:space="preserve"> </w:t>
      </w:r>
      <w:r w:rsidRPr="008B2DDA">
        <w:rPr>
          <w:rStyle w:val="hps"/>
        </w:rPr>
        <w:t>concepts généraux</w:t>
      </w:r>
      <w:r w:rsidRPr="008B2DDA">
        <w:t xml:space="preserve"> </w:t>
      </w:r>
      <w:r w:rsidRPr="008B2DDA">
        <w:rPr>
          <w:rStyle w:val="hps"/>
        </w:rPr>
        <w:t>et</w:t>
      </w:r>
      <w:r w:rsidRPr="008B2DDA">
        <w:t xml:space="preserve"> l’</w:t>
      </w:r>
      <w:r w:rsidRPr="008B2DDA">
        <w:rPr>
          <w:rStyle w:val="hps"/>
        </w:rPr>
        <w:t>extension, à d’autres</w:t>
      </w:r>
      <w:r w:rsidRPr="008B2DDA">
        <w:t xml:space="preserve"> </w:t>
      </w:r>
      <w:r w:rsidRPr="008B2DDA">
        <w:rPr>
          <w:rStyle w:val="hps"/>
        </w:rPr>
        <w:t>produits,</w:t>
      </w:r>
      <w:r w:rsidRPr="008B2DDA">
        <w:t xml:space="preserve"> </w:t>
      </w:r>
      <w:r w:rsidRPr="008B2DDA">
        <w:rPr>
          <w:rStyle w:val="hps"/>
        </w:rPr>
        <w:t>de</w:t>
      </w:r>
      <w:r w:rsidRPr="008B2DDA">
        <w:t xml:space="preserve"> </w:t>
      </w:r>
      <w:r w:rsidRPr="008B2DDA">
        <w:rPr>
          <w:rStyle w:val="hps"/>
        </w:rPr>
        <w:t>la protection prévue</w:t>
      </w:r>
      <w:r w:rsidRPr="008B2DDA">
        <w:t xml:space="preserve"> </w:t>
      </w:r>
      <w:r w:rsidRPr="008B2DDA">
        <w:rPr>
          <w:rStyle w:val="hps"/>
        </w:rPr>
        <w:t>pour les vins</w:t>
      </w:r>
      <w:r w:rsidRPr="008B2DDA">
        <w:t xml:space="preserve"> </w:t>
      </w:r>
      <w:r w:rsidRPr="008B2DDA">
        <w:rPr>
          <w:rStyle w:val="hps"/>
        </w:rPr>
        <w:t>et les spiritueux</w:t>
      </w:r>
      <w:r w:rsidRPr="008B2DDA">
        <w:t xml:space="preserve"> </w:t>
      </w:r>
      <w:r w:rsidRPr="008B2DDA">
        <w:rPr>
          <w:rStyle w:val="hps"/>
        </w:rPr>
        <w:t>dans l’Accord sur les ADPIC</w:t>
      </w:r>
      <w:r w:rsidRPr="008B2DDA">
        <w:t xml:space="preserve"> </w:t>
      </w:r>
      <w:r w:rsidRPr="008B2DDA">
        <w:rPr>
          <w:rStyle w:val="hps"/>
        </w:rPr>
        <w:t>représentent</w:t>
      </w:r>
      <w:r w:rsidRPr="008B2DDA">
        <w:t xml:space="preserve"> </w:t>
      </w:r>
      <w:r w:rsidRPr="008B2DDA">
        <w:rPr>
          <w:rStyle w:val="hps"/>
        </w:rPr>
        <w:t>un risque</w:t>
      </w:r>
      <w:r w:rsidRPr="008B2DDA">
        <w:t xml:space="preserve"> </w:t>
      </w:r>
      <w:r w:rsidRPr="008B2DDA">
        <w:rPr>
          <w:rStyle w:val="hps"/>
        </w:rPr>
        <w:t>grave pour</w:t>
      </w:r>
      <w:r w:rsidRPr="008B2DDA">
        <w:t xml:space="preserve"> </w:t>
      </w:r>
      <w:r w:rsidRPr="008B2DDA">
        <w:rPr>
          <w:rStyle w:val="hps"/>
        </w:rPr>
        <w:t>l’adhésion de nouveaux membres à</w:t>
      </w:r>
      <w:r w:rsidRPr="008B2DDA">
        <w:t xml:space="preserve"> </w:t>
      </w:r>
      <w:r w:rsidRPr="008B2DDA">
        <w:rPr>
          <w:rStyle w:val="hps"/>
        </w:rPr>
        <w:t>l’Arrangement de Lisbonne</w:t>
      </w:r>
      <w:r w:rsidRPr="008B2DDA">
        <w:t xml:space="preserve">.  </w:t>
      </w:r>
      <w:r w:rsidRPr="008B2DDA">
        <w:rPr>
          <w:rStyle w:val="hps"/>
        </w:rPr>
        <w:t>Comme souligné précédemment</w:t>
      </w:r>
      <w:r w:rsidRPr="008B2DDA">
        <w:t xml:space="preserve">, </w:t>
      </w:r>
      <w:r w:rsidRPr="008B2DDA">
        <w:rPr>
          <w:rStyle w:val="hps"/>
        </w:rPr>
        <w:t>nous nous sommes efforcés de parvenir à un consensus</w:t>
      </w:r>
      <w:r w:rsidRPr="008B2DDA">
        <w:t xml:space="preserve"> </w:t>
      </w:r>
      <w:r w:rsidRPr="008B2DDA">
        <w:rPr>
          <w:rStyle w:val="hps"/>
        </w:rPr>
        <w:t>qui élargisse</w:t>
      </w:r>
      <w:r w:rsidRPr="008B2DDA">
        <w:t xml:space="preserve"> </w:t>
      </w:r>
      <w:r w:rsidRPr="008B2DDA">
        <w:rPr>
          <w:rStyle w:val="hps"/>
        </w:rPr>
        <w:t>le nombre de membres au</w:t>
      </w:r>
      <w:r w:rsidRPr="008B2DDA">
        <w:t xml:space="preserve"> </w:t>
      </w:r>
      <w:r w:rsidRPr="008B2DDA">
        <w:rPr>
          <w:rStyle w:val="hps"/>
        </w:rPr>
        <w:t>présent Accord</w:t>
      </w:r>
      <w:r w:rsidRPr="008B2DDA">
        <w:t xml:space="preserve">.  </w:t>
      </w:r>
      <w:r w:rsidRPr="008B2DDA">
        <w:rPr>
          <w:rStyle w:val="hps"/>
        </w:rPr>
        <w:t>À cet égard</w:t>
      </w:r>
      <w:r w:rsidRPr="008B2DDA">
        <w:t xml:space="preserve">, </w:t>
      </w:r>
      <w:r w:rsidRPr="008B2DDA">
        <w:rPr>
          <w:rStyle w:val="hps"/>
        </w:rPr>
        <w:t>nous ne jugeons pas</w:t>
      </w:r>
      <w:r w:rsidRPr="008B2DDA">
        <w:t xml:space="preserve"> </w:t>
      </w:r>
      <w:r w:rsidRPr="008B2DDA">
        <w:rPr>
          <w:rStyle w:val="hps"/>
        </w:rPr>
        <w:t>appropriée l’intégration dans l’Accord de règles</w:t>
      </w:r>
      <w:r w:rsidRPr="008B2DDA">
        <w:t xml:space="preserve"> </w:t>
      </w:r>
      <w:r w:rsidRPr="008B2DDA">
        <w:rPr>
          <w:rStyle w:val="hps"/>
        </w:rPr>
        <w:t>dont nous savons qu’elles ne sont pas</w:t>
      </w:r>
      <w:r w:rsidRPr="008B2DDA">
        <w:t xml:space="preserve"> </w:t>
      </w:r>
      <w:r w:rsidRPr="008B2DDA">
        <w:rPr>
          <w:rStyle w:val="hps"/>
        </w:rPr>
        <w:t>acceptables pour un</w:t>
      </w:r>
      <w:r w:rsidRPr="008B2DDA">
        <w:t xml:space="preserve"> grand </w:t>
      </w:r>
      <w:r w:rsidRPr="008B2DDA">
        <w:rPr>
          <w:rStyle w:val="hps"/>
        </w:rPr>
        <w:t>nombre d’États</w:t>
      </w:r>
      <w:r w:rsidRPr="008B2DDA">
        <w:t xml:space="preserve"> </w:t>
      </w:r>
      <w:r w:rsidRPr="008B2DDA">
        <w:rPr>
          <w:rStyle w:val="hps"/>
        </w:rPr>
        <w:t>membres qui,</w:t>
      </w:r>
      <w:r w:rsidRPr="008B2DDA">
        <w:t xml:space="preserve"> </w:t>
      </w:r>
      <w:r w:rsidRPr="008B2DDA">
        <w:rPr>
          <w:rStyle w:val="hps"/>
        </w:rPr>
        <w:t>pendant des années</w:t>
      </w:r>
      <w:r w:rsidRPr="008B2DDA">
        <w:t xml:space="preserve">, ont </w:t>
      </w:r>
      <w:r w:rsidRPr="008B2DDA">
        <w:rPr>
          <w:rStyle w:val="hps"/>
        </w:rPr>
        <w:t>cherché à parvenir à</w:t>
      </w:r>
      <w:r w:rsidRPr="008B2DDA">
        <w:t xml:space="preserve"> </w:t>
      </w:r>
      <w:r w:rsidRPr="008B2DDA">
        <w:rPr>
          <w:rStyle w:val="hps"/>
        </w:rPr>
        <w:t>un consensus international en la matière.</w:t>
      </w:r>
    </w:p>
    <w:p w14:paraId="25E1EDD6" w14:textId="77777777" w:rsidR="00861355" w:rsidRPr="008B2DDA" w:rsidRDefault="00861355" w:rsidP="008B2DDA"/>
    <w:p w14:paraId="676DFE23" w14:textId="77777777" w:rsidR="00861355" w:rsidRPr="008B2DDA" w:rsidRDefault="00861355" w:rsidP="00195289">
      <w:pPr>
        <w:pStyle w:val="ListParagraph"/>
        <w:numPr>
          <w:ilvl w:val="0"/>
          <w:numId w:val="25"/>
        </w:numPr>
        <w:ind w:firstLine="0"/>
        <w:rPr>
          <w:b/>
        </w:rPr>
      </w:pPr>
      <w:r w:rsidRPr="008B2DDA">
        <w:rPr>
          <w:b/>
        </w:rPr>
        <w:t>Contenu de l’article 12 sur la protection pour éviter de devenir caractère générique</w:t>
      </w:r>
    </w:p>
    <w:p w14:paraId="01BB64ED" w14:textId="77777777" w:rsidR="00861355" w:rsidRPr="008B2DDA" w:rsidRDefault="00861355" w:rsidP="008B2DDA"/>
    <w:p w14:paraId="0D1B9445" w14:textId="77777777" w:rsidR="00861355" w:rsidRPr="008B2DDA" w:rsidRDefault="00861355" w:rsidP="008B2DDA">
      <w:r w:rsidRPr="008B2DDA">
        <w:rPr>
          <w:rStyle w:val="hps"/>
        </w:rPr>
        <w:t>À ce sujet</w:t>
      </w:r>
      <w:r w:rsidRPr="008B2DDA">
        <w:t xml:space="preserve">, nous </w:t>
      </w:r>
      <w:r w:rsidRPr="008B2DDA">
        <w:rPr>
          <w:rStyle w:val="hps"/>
        </w:rPr>
        <w:t>tenons à réaffirmer</w:t>
      </w:r>
      <w:r w:rsidRPr="008B2DDA">
        <w:t xml:space="preserve"> que nous nous déclarons favorables à ce que le titre soit libellé </w:t>
      </w:r>
      <w:r w:rsidRPr="008B2DDA">
        <w:rPr>
          <w:rStyle w:val="hps"/>
        </w:rPr>
        <w:t>comme suit :</w:t>
      </w:r>
      <w:r w:rsidRPr="008B2DDA">
        <w:t xml:space="preserve"> </w:t>
      </w:r>
      <w:r w:rsidRPr="008B2DDA">
        <w:rPr>
          <w:rStyle w:val="hps"/>
        </w:rPr>
        <w:t>“</w:t>
      </w:r>
      <w:r w:rsidRPr="008B2DDA">
        <w:t xml:space="preserve">protection pour éviter de devenir générique”.  En effet, </w:t>
      </w:r>
      <w:r w:rsidRPr="008B2DDA">
        <w:rPr>
          <w:rStyle w:val="hps"/>
        </w:rPr>
        <w:t>nous</w:t>
      </w:r>
      <w:r w:rsidRPr="008B2DDA">
        <w:t xml:space="preserve"> </w:t>
      </w:r>
      <w:r w:rsidRPr="008B2DDA">
        <w:rPr>
          <w:rStyle w:val="hps"/>
        </w:rPr>
        <w:t>considérons que</w:t>
      </w:r>
      <w:r w:rsidRPr="008B2DDA">
        <w:t xml:space="preserve"> </w:t>
      </w:r>
      <w:r w:rsidRPr="008B2DDA">
        <w:rPr>
          <w:rStyle w:val="hps"/>
        </w:rPr>
        <w:t>cela ne devrait pas</w:t>
      </w:r>
      <w:r w:rsidRPr="008B2DDA">
        <w:t xml:space="preserve"> </w:t>
      </w:r>
      <w:r w:rsidRPr="008B2DDA">
        <w:rPr>
          <w:rStyle w:val="hps"/>
        </w:rPr>
        <w:t>être interprété comme une</w:t>
      </w:r>
      <w:r w:rsidRPr="008B2DDA">
        <w:t xml:space="preserve"> </w:t>
      </w:r>
      <w:r w:rsidRPr="008B2DDA">
        <w:rPr>
          <w:rStyle w:val="hps"/>
        </w:rPr>
        <w:t>obligation pour la partie contractante</w:t>
      </w:r>
      <w:r w:rsidRPr="008B2DDA">
        <w:t xml:space="preserve">, contrairement à ce </w:t>
      </w:r>
      <w:r w:rsidRPr="008B2DDA">
        <w:rPr>
          <w:rStyle w:val="hps"/>
        </w:rPr>
        <w:t>que</w:t>
      </w:r>
      <w:r w:rsidRPr="008B2DDA">
        <w:t xml:space="preserve"> </w:t>
      </w:r>
      <w:r w:rsidRPr="008B2DDA">
        <w:rPr>
          <w:rStyle w:val="hps"/>
        </w:rPr>
        <w:t>suggérerait</w:t>
      </w:r>
      <w:r w:rsidRPr="008B2DDA">
        <w:t xml:space="preserve"> </w:t>
      </w:r>
      <w:r w:rsidRPr="008B2DDA">
        <w:rPr>
          <w:rStyle w:val="hps"/>
        </w:rPr>
        <w:t>l’autre formulation</w:t>
      </w:r>
      <w:r w:rsidRPr="008B2DDA">
        <w:t xml:space="preserve">.  Par conséquent, nous approuvons </w:t>
      </w:r>
      <w:r w:rsidRPr="008B2DDA">
        <w:rPr>
          <w:rStyle w:val="hps"/>
        </w:rPr>
        <w:t>l’insertion de cette expression</w:t>
      </w:r>
      <w:r w:rsidRPr="008B2DDA">
        <w:t xml:space="preserve"> </w:t>
      </w:r>
      <w:r w:rsidRPr="008B2DDA">
        <w:rPr>
          <w:rStyle w:val="hps"/>
        </w:rPr>
        <w:t>dans les dispositions</w:t>
      </w:r>
      <w:r w:rsidRPr="008B2DDA">
        <w:t>.</w:t>
      </w:r>
    </w:p>
    <w:p w14:paraId="7613C912" w14:textId="77777777" w:rsidR="00861355" w:rsidRPr="008B2DDA" w:rsidRDefault="00861355" w:rsidP="008B2DDA"/>
    <w:p w14:paraId="7015BC9A" w14:textId="77777777" w:rsidR="00861355" w:rsidRPr="008B2DDA" w:rsidRDefault="00861355" w:rsidP="008B2DDA">
      <w:r w:rsidRPr="008B2DDA">
        <w:rPr>
          <w:rStyle w:val="hps"/>
        </w:rPr>
        <w:t>Nous approuvons l’insertion de l’expression</w:t>
      </w:r>
      <w:r w:rsidRPr="008B2DDA">
        <w:t xml:space="preserve"> </w:t>
      </w:r>
      <w:r w:rsidRPr="008B2DDA">
        <w:rPr>
          <w:rStyle w:val="hps"/>
        </w:rPr>
        <w:t>entre crochets</w:t>
      </w:r>
      <w:r w:rsidRPr="008B2DDA">
        <w:t xml:space="preserve"> </w:t>
      </w:r>
      <w:r w:rsidRPr="008B2DDA">
        <w:rPr>
          <w:rStyle w:val="hps"/>
        </w:rPr>
        <w:t>à la fin de</w:t>
      </w:r>
      <w:r w:rsidRPr="008B2DDA">
        <w:t xml:space="preserve"> </w:t>
      </w:r>
      <w:r w:rsidRPr="008B2DDA">
        <w:rPr>
          <w:rStyle w:val="hps"/>
        </w:rPr>
        <w:t>l’article</w:t>
      </w:r>
      <w:r w:rsidRPr="008B2DDA">
        <w:t> </w:t>
      </w:r>
      <w:r w:rsidRPr="008B2DDA">
        <w:rPr>
          <w:rStyle w:val="hps"/>
        </w:rPr>
        <w:t>12.  Il nous semble approprié</w:t>
      </w:r>
      <w:r w:rsidRPr="008B2DDA">
        <w:t xml:space="preserve"> </w:t>
      </w:r>
      <w:r w:rsidRPr="008B2DDA">
        <w:rPr>
          <w:rStyle w:val="hps"/>
        </w:rPr>
        <w:t xml:space="preserve">que </w:t>
      </w:r>
      <w:r w:rsidRPr="008B2DDA">
        <w:t>les indications géographiques et les appellations d’origine ayant fait l’objet d’un enregistrement international ne puissent pas devenir génériques tant qu’elles sont protégées dans la partie contractante d’origine et que les exigences de la législation nationale ou régionale dans la partie contractante concernée en matière d’utilisation, de maintien en vigueur et de renouvellement sont observées.</w:t>
      </w:r>
    </w:p>
    <w:p w14:paraId="0CF1416E" w14:textId="77777777" w:rsidR="00861355" w:rsidRPr="008B2DDA" w:rsidRDefault="00861355" w:rsidP="008B2DDA"/>
    <w:p w14:paraId="1E67D894" w14:textId="77777777" w:rsidR="00861355" w:rsidRPr="008B2DDA" w:rsidRDefault="00861355" w:rsidP="00195289">
      <w:pPr>
        <w:pStyle w:val="ListParagraph"/>
        <w:numPr>
          <w:ilvl w:val="0"/>
          <w:numId w:val="25"/>
        </w:numPr>
        <w:ind w:firstLine="0"/>
        <w:rPr>
          <w:b/>
        </w:rPr>
      </w:pPr>
      <w:r w:rsidRPr="008B2DDA">
        <w:rPr>
          <w:b/>
        </w:rPr>
        <w:t>Garanties à l’égard d’autres droits</w:t>
      </w:r>
    </w:p>
    <w:p w14:paraId="10EC6169" w14:textId="77777777" w:rsidR="00861355" w:rsidRPr="008B2DDA" w:rsidRDefault="00861355" w:rsidP="008B2DDA"/>
    <w:p w14:paraId="5761C319" w14:textId="77777777" w:rsidR="00861355" w:rsidRPr="008B2DDA" w:rsidRDefault="00861355" w:rsidP="008B2DDA">
      <w:r w:rsidRPr="008B2DDA">
        <w:rPr>
          <w:rStyle w:val="hps"/>
        </w:rPr>
        <w:t>Encore une fois</w:t>
      </w:r>
      <w:r w:rsidRPr="008B2DDA">
        <w:t xml:space="preserve">, nous </w:t>
      </w:r>
      <w:r w:rsidRPr="008B2DDA">
        <w:rPr>
          <w:rStyle w:val="hps"/>
        </w:rPr>
        <w:t>tenons à</w:t>
      </w:r>
      <w:r w:rsidRPr="008B2DDA">
        <w:t xml:space="preserve"> </w:t>
      </w:r>
      <w:r w:rsidRPr="008B2DDA">
        <w:rPr>
          <w:rStyle w:val="hps"/>
        </w:rPr>
        <w:t>exprimer notre</w:t>
      </w:r>
      <w:r w:rsidRPr="008B2DDA">
        <w:t xml:space="preserve"> </w:t>
      </w:r>
      <w:r w:rsidRPr="008B2DDA">
        <w:rPr>
          <w:rStyle w:val="hps"/>
        </w:rPr>
        <w:t>préférence pour la variante</w:t>
      </w:r>
      <w:r w:rsidRPr="008B2DDA">
        <w:t> </w:t>
      </w:r>
      <w:r w:rsidRPr="008B2DDA">
        <w:rPr>
          <w:rStyle w:val="hps"/>
        </w:rPr>
        <w:t>B, qui</w:t>
      </w:r>
      <w:r w:rsidRPr="008B2DDA">
        <w:t xml:space="preserve"> </w:t>
      </w:r>
      <w:r w:rsidRPr="008B2DDA">
        <w:rPr>
          <w:rStyle w:val="hps"/>
        </w:rPr>
        <w:t>reprend le principe du</w:t>
      </w:r>
      <w:r w:rsidRPr="008B2DDA">
        <w:t xml:space="preserve"> “</w:t>
      </w:r>
      <w:r w:rsidRPr="008B2DDA">
        <w:rPr>
          <w:rStyle w:val="hps"/>
        </w:rPr>
        <w:t>premier arrivé,</w:t>
      </w:r>
      <w:r w:rsidRPr="008B2DDA">
        <w:t xml:space="preserve"> </w:t>
      </w:r>
      <w:r w:rsidRPr="008B2DDA">
        <w:rPr>
          <w:rStyle w:val="hps"/>
        </w:rPr>
        <w:t>premier servi”</w:t>
      </w:r>
      <w:r w:rsidRPr="008B2DDA">
        <w:t xml:space="preserve"> </w:t>
      </w:r>
      <w:r w:rsidRPr="008B2DDA">
        <w:rPr>
          <w:rStyle w:val="hps"/>
        </w:rPr>
        <w:t>énoncé</w:t>
      </w:r>
      <w:r w:rsidRPr="008B2DDA">
        <w:t xml:space="preserve"> </w:t>
      </w:r>
      <w:r w:rsidRPr="008B2DDA">
        <w:rPr>
          <w:rStyle w:val="hps"/>
        </w:rPr>
        <w:t>dans</w:t>
      </w:r>
      <w:r w:rsidRPr="008B2DDA">
        <w:t xml:space="preserve"> </w:t>
      </w:r>
      <w:r w:rsidRPr="008B2DDA">
        <w:rPr>
          <w:rStyle w:val="hps"/>
        </w:rPr>
        <w:t>l’article</w:t>
      </w:r>
      <w:r w:rsidRPr="008B2DDA">
        <w:t> </w:t>
      </w:r>
      <w:r w:rsidRPr="008B2DDA">
        <w:rPr>
          <w:rStyle w:val="hps"/>
        </w:rPr>
        <w:t>17 de l’Accord</w:t>
      </w:r>
      <w:r w:rsidRPr="008B2DDA">
        <w:t xml:space="preserve"> </w:t>
      </w:r>
      <w:r w:rsidRPr="008B2DDA">
        <w:rPr>
          <w:rStyle w:val="hps"/>
        </w:rPr>
        <w:t>sur les ADPIC</w:t>
      </w:r>
      <w:r w:rsidRPr="008B2DDA">
        <w:t xml:space="preserve">.  </w:t>
      </w:r>
      <w:r w:rsidRPr="008B2DDA">
        <w:rPr>
          <w:rStyle w:val="hps"/>
        </w:rPr>
        <w:t>Ainsi</w:t>
      </w:r>
      <w:r w:rsidRPr="008B2DDA">
        <w:t xml:space="preserve"> </w:t>
      </w:r>
      <w:r w:rsidRPr="008B2DDA">
        <w:rPr>
          <w:rStyle w:val="hps"/>
        </w:rPr>
        <w:t>la coexistence</w:t>
      </w:r>
      <w:r w:rsidRPr="008B2DDA">
        <w:t xml:space="preserve"> </w:t>
      </w:r>
      <w:r w:rsidRPr="008B2DDA">
        <w:rPr>
          <w:rStyle w:val="hps"/>
        </w:rPr>
        <w:t>est possible</w:t>
      </w:r>
      <w:r w:rsidRPr="008B2DDA">
        <w:t xml:space="preserve">, </w:t>
      </w:r>
      <w:r w:rsidRPr="008B2DDA">
        <w:rPr>
          <w:rStyle w:val="hps"/>
        </w:rPr>
        <w:t>mais il s’agit d’une exception à la règle</w:t>
      </w:r>
      <w:r w:rsidRPr="008B2DDA">
        <w:t>.</w:t>
      </w:r>
    </w:p>
    <w:p w14:paraId="5C867AA2" w14:textId="77777777" w:rsidR="00861355" w:rsidRPr="008B2DDA" w:rsidRDefault="00861355" w:rsidP="008B2DDA"/>
    <w:p w14:paraId="2E1B8FEA" w14:textId="77777777" w:rsidR="00861355" w:rsidRPr="008B2DDA" w:rsidRDefault="00861355" w:rsidP="008B2DDA">
      <w:r w:rsidRPr="008B2DDA">
        <w:rPr>
          <w:rStyle w:val="hps"/>
        </w:rPr>
        <w:t>Nous sommes également</w:t>
      </w:r>
      <w:r w:rsidRPr="008B2DDA">
        <w:t xml:space="preserve"> d’avis </w:t>
      </w:r>
      <w:r w:rsidRPr="008B2DDA">
        <w:rPr>
          <w:rStyle w:val="hps"/>
        </w:rPr>
        <w:t>que l’alinéa 2</w:t>
      </w:r>
      <w:r w:rsidRPr="008B2DDA">
        <w:t xml:space="preserve"> </w:t>
      </w:r>
      <w:r w:rsidRPr="008B2DDA">
        <w:rPr>
          <w:rStyle w:val="hps"/>
        </w:rPr>
        <w:t>doit</w:t>
      </w:r>
      <w:r w:rsidRPr="008B2DDA">
        <w:t xml:space="preserve"> </w:t>
      </w:r>
      <w:r w:rsidRPr="008B2DDA">
        <w:rPr>
          <w:rStyle w:val="hps"/>
        </w:rPr>
        <w:t>être conservé, car il</w:t>
      </w:r>
      <w:r w:rsidRPr="008B2DDA">
        <w:t xml:space="preserve"> </w:t>
      </w:r>
      <w:r w:rsidRPr="008B2DDA">
        <w:rPr>
          <w:rStyle w:val="hps"/>
        </w:rPr>
        <w:t>offre une solution</w:t>
      </w:r>
      <w:r w:rsidRPr="008B2DDA">
        <w:t xml:space="preserve"> d’ordre </w:t>
      </w:r>
      <w:r w:rsidRPr="008B2DDA">
        <w:rPr>
          <w:rStyle w:val="hps"/>
        </w:rPr>
        <w:t>pratique permettant de</w:t>
      </w:r>
      <w:r w:rsidRPr="008B2DDA">
        <w:t xml:space="preserve"> </w:t>
      </w:r>
      <w:r w:rsidRPr="008B2DDA">
        <w:rPr>
          <w:rStyle w:val="hps"/>
        </w:rPr>
        <w:t>résoudre le problème</w:t>
      </w:r>
      <w:r w:rsidRPr="008B2DDA">
        <w:t xml:space="preserve"> </w:t>
      </w:r>
      <w:r w:rsidRPr="008B2DDA">
        <w:rPr>
          <w:rStyle w:val="hps"/>
        </w:rPr>
        <w:t>grâce à des solutions</w:t>
      </w:r>
      <w:r w:rsidRPr="008B2DDA">
        <w:t xml:space="preserve"> </w:t>
      </w:r>
      <w:r w:rsidRPr="008B2DDA">
        <w:rPr>
          <w:rStyle w:val="hps"/>
        </w:rPr>
        <w:t>qui tiennent compte</w:t>
      </w:r>
      <w:r w:rsidRPr="008B2DDA">
        <w:t xml:space="preserve"> </w:t>
      </w:r>
      <w:r w:rsidRPr="008B2DDA">
        <w:rPr>
          <w:rStyle w:val="hps"/>
        </w:rPr>
        <w:t>des</w:t>
      </w:r>
      <w:r w:rsidRPr="008B2DDA">
        <w:t xml:space="preserve"> </w:t>
      </w:r>
      <w:r w:rsidRPr="008B2DDA">
        <w:rPr>
          <w:rStyle w:val="hps"/>
        </w:rPr>
        <w:t>particularités de chaque cas</w:t>
      </w:r>
      <w:r w:rsidRPr="008B2DDA">
        <w:t>.</w:t>
      </w:r>
    </w:p>
    <w:p w14:paraId="726CCF88" w14:textId="77777777" w:rsidR="00861355" w:rsidRPr="008B2DDA" w:rsidRDefault="00861355" w:rsidP="008B2DDA"/>
    <w:p w14:paraId="53629834" w14:textId="77777777" w:rsidR="00861355" w:rsidRPr="008B2DDA" w:rsidRDefault="00861355" w:rsidP="00195289">
      <w:pPr>
        <w:pStyle w:val="ListParagraph"/>
        <w:numPr>
          <w:ilvl w:val="0"/>
          <w:numId w:val="25"/>
        </w:numPr>
        <w:ind w:firstLine="0"/>
        <w:rPr>
          <w:b/>
        </w:rPr>
      </w:pPr>
      <w:r w:rsidRPr="008B2DDA">
        <w:rPr>
          <w:b/>
        </w:rPr>
        <w:lastRenderedPageBreak/>
        <w:t>Négociations suite à un refus</w:t>
      </w:r>
    </w:p>
    <w:p w14:paraId="0875F037" w14:textId="77777777" w:rsidR="00861355" w:rsidRPr="008B2DDA" w:rsidRDefault="00861355" w:rsidP="008B2DDA">
      <w:pPr>
        <w:keepNext/>
        <w:keepLines/>
      </w:pPr>
    </w:p>
    <w:p w14:paraId="2F8D21FB" w14:textId="77777777" w:rsidR="00861355" w:rsidRPr="008B2DDA" w:rsidRDefault="00861355" w:rsidP="008B2DDA">
      <w:pPr>
        <w:keepNext/>
        <w:keepLines/>
      </w:pPr>
      <w:r w:rsidRPr="008B2DDA">
        <w:rPr>
          <w:rStyle w:val="hps"/>
        </w:rPr>
        <w:t>Nous réaffirmons</w:t>
      </w:r>
      <w:r w:rsidRPr="008B2DDA">
        <w:t xml:space="preserve"> </w:t>
      </w:r>
      <w:r w:rsidRPr="008B2DDA">
        <w:rPr>
          <w:rStyle w:val="hps"/>
        </w:rPr>
        <w:t>notre position</w:t>
      </w:r>
      <w:r w:rsidRPr="008B2DDA">
        <w:t xml:space="preserve">, à savoir la demande de </w:t>
      </w:r>
      <w:r w:rsidRPr="008B2DDA">
        <w:rPr>
          <w:rStyle w:val="hps"/>
        </w:rPr>
        <w:t>la suppression</w:t>
      </w:r>
      <w:r w:rsidRPr="008B2DDA">
        <w:t xml:space="preserve"> </w:t>
      </w:r>
      <w:r w:rsidRPr="008B2DDA">
        <w:rPr>
          <w:rStyle w:val="hps"/>
        </w:rPr>
        <w:t>de l’alinéa</w:t>
      </w:r>
      <w:r w:rsidRPr="008B2DDA">
        <w:t> </w:t>
      </w:r>
      <w:r w:rsidRPr="008B2DDA">
        <w:rPr>
          <w:rStyle w:val="hps"/>
        </w:rPr>
        <w:t>2</w:t>
      </w:r>
      <w:r w:rsidRPr="008B2DDA">
        <w:t xml:space="preserve"> </w:t>
      </w:r>
      <w:r w:rsidRPr="008B2DDA">
        <w:rPr>
          <w:rStyle w:val="hps"/>
        </w:rPr>
        <w:t>relatif aux négociations</w:t>
      </w:r>
      <w:r w:rsidRPr="008B2DDA">
        <w:t>.</w:t>
      </w:r>
    </w:p>
    <w:p w14:paraId="545D7645" w14:textId="77777777" w:rsidR="00861355" w:rsidRPr="008B2DDA" w:rsidRDefault="00861355" w:rsidP="008B2DDA"/>
    <w:p w14:paraId="208F17F9" w14:textId="77777777" w:rsidR="00861355" w:rsidRPr="008B2DDA" w:rsidRDefault="00861355" w:rsidP="00195289">
      <w:pPr>
        <w:pStyle w:val="ListParagraph"/>
        <w:numPr>
          <w:ilvl w:val="0"/>
          <w:numId w:val="25"/>
        </w:numPr>
        <w:ind w:firstLine="0"/>
        <w:rPr>
          <w:b/>
        </w:rPr>
      </w:pPr>
      <w:r w:rsidRPr="008B2DDA">
        <w:rPr>
          <w:b/>
        </w:rPr>
        <w:t>Règle 5.3) facultative ou obligatoire</w:t>
      </w:r>
    </w:p>
    <w:p w14:paraId="2C977C4E" w14:textId="77777777" w:rsidR="00861355" w:rsidRPr="008B2DDA" w:rsidRDefault="00861355" w:rsidP="00195289">
      <w:pPr>
        <w:pStyle w:val="ListParagraph"/>
        <w:numPr>
          <w:ilvl w:val="0"/>
          <w:numId w:val="25"/>
        </w:numPr>
        <w:ind w:firstLine="0"/>
        <w:rPr>
          <w:b/>
        </w:rPr>
      </w:pPr>
      <w:r w:rsidRPr="008B2DDA">
        <w:rPr>
          <w:b/>
        </w:rPr>
        <w:t>Règle 5.5</w:t>
      </w:r>
      <w:proofErr w:type="gramStart"/>
      <w:r w:rsidRPr="008B2DDA">
        <w:rPr>
          <w:b/>
        </w:rPr>
        <w:t>)ii</w:t>
      </w:r>
      <w:proofErr w:type="gramEnd"/>
      <w:r w:rsidRPr="008B2DDA">
        <w:rPr>
          <w:b/>
        </w:rPr>
        <w:t>) transparence</w:t>
      </w:r>
    </w:p>
    <w:p w14:paraId="4A8895CD" w14:textId="77777777" w:rsidR="00861355" w:rsidRPr="008B2DDA" w:rsidRDefault="00861355" w:rsidP="00195289">
      <w:pPr>
        <w:pStyle w:val="ListParagraph"/>
        <w:numPr>
          <w:ilvl w:val="0"/>
          <w:numId w:val="25"/>
        </w:numPr>
        <w:ind w:firstLine="0"/>
        <w:rPr>
          <w:b/>
        </w:rPr>
      </w:pPr>
      <w:r w:rsidRPr="008B2DDA">
        <w:rPr>
          <w:b/>
        </w:rPr>
        <w:t>Aspects relatifs à l’application de l’article 1.xiv)</w:t>
      </w:r>
    </w:p>
    <w:p w14:paraId="74E7AEAA" w14:textId="77777777" w:rsidR="00861355" w:rsidRPr="008B2DDA" w:rsidRDefault="00861355" w:rsidP="00195289">
      <w:pPr>
        <w:pStyle w:val="ListParagraph"/>
        <w:numPr>
          <w:ilvl w:val="0"/>
          <w:numId w:val="25"/>
        </w:numPr>
        <w:ind w:firstLine="0"/>
        <w:rPr>
          <w:b/>
        </w:rPr>
      </w:pPr>
      <w:r w:rsidRPr="008B2DDA">
        <w:rPr>
          <w:b/>
        </w:rPr>
        <w:t>Article 2.2) et article 5.4) relatifs aux aires géographiques transfrontalières</w:t>
      </w:r>
    </w:p>
    <w:p w14:paraId="77249DC0" w14:textId="77777777" w:rsidR="00861355" w:rsidRPr="008B2DDA" w:rsidRDefault="00861355" w:rsidP="008B2DDA"/>
    <w:p w14:paraId="52C4C177" w14:textId="77777777" w:rsidR="00861355" w:rsidRPr="008B2DDA" w:rsidRDefault="00861355" w:rsidP="008B2DDA">
      <w:r w:rsidRPr="008B2DDA">
        <w:rPr>
          <w:rStyle w:val="hps"/>
        </w:rPr>
        <w:t>Nous considérons que,</w:t>
      </w:r>
      <w:r w:rsidRPr="008B2DDA">
        <w:t xml:space="preserve"> </w:t>
      </w:r>
      <w:r w:rsidRPr="008B2DDA">
        <w:rPr>
          <w:rStyle w:val="hps"/>
        </w:rPr>
        <w:t>dans la mesure où</w:t>
      </w:r>
      <w:r w:rsidRPr="008B2DDA">
        <w:t xml:space="preserve"> </w:t>
      </w:r>
      <w:r w:rsidRPr="008B2DDA">
        <w:rPr>
          <w:rStyle w:val="hps"/>
        </w:rPr>
        <w:t>les</w:t>
      </w:r>
      <w:r w:rsidRPr="008B2DDA">
        <w:t xml:space="preserve"> </w:t>
      </w:r>
      <w:r w:rsidRPr="008B2DDA">
        <w:rPr>
          <w:rStyle w:val="hps"/>
        </w:rPr>
        <w:t>dispositions de l’article</w:t>
      </w:r>
      <w:r w:rsidRPr="008B2DDA">
        <w:t> </w:t>
      </w:r>
      <w:r w:rsidRPr="008B2DDA">
        <w:rPr>
          <w:rStyle w:val="hps"/>
        </w:rPr>
        <w:t>5.4)</w:t>
      </w:r>
      <w:r w:rsidRPr="008B2DDA">
        <w:t xml:space="preserve"> </w:t>
      </w:r>
      <w:r w:rsidRPr="008B2DDA">
        <w:rPr>
          <w:rStyle w:val="hps"/>
        </w:rPr>
        <w:t>revêtent un caractère facultatif, leur insertion dans le traité</w:t>
      </w:r>
      <w:r w:rsidRPr="008B2DDA">
        <w:t xml:space="preserve"> </w:t>
      </w:r>
      <w:r w:rsidRPr="008B2DDA">
        <w:rPr>
          <w:rStyle w:val="hps"/>
        </w:rPr>
        <w:t>ne génère</w:t>
      </w:r>
      <w:r w:rsidRPr="008B2DDA">
        <w:t xml:space="preserve"> </w:t>
      </w:r>
      <w:r w:rsidRPr="008B2DDA">
        <w:rPr>
          <w:rStyle w:val="hps"/>
        </w:rPr>
        <w:t>pas de problèmes majeurs</w:t>
      </w:r>
      <w:r w:rsidRPr="008B2DDA">
        <w:t>.</w:t>
      </w:r>
    </w:p>
    <w:p w14:paraId="613ECFAA" w14:textId="77777777" w:rsidR="00861355" w:rsidRPr="008B2DDA" w:rsidRDefault="00861355" w:rsidP="008B2DDA">
      <w:pPr>
        <w:tabs>
          <w:tab w:val="left" w:pos="4130"/>
        </w:tabs>
      </w:pPr>
    </w:p>
    <w:p w14:paraId="41B19A01" w14:textId="77777777" w:rsidR="00861355" w:rsidRPr="008B2DDA" w:rsidRDefault="00861355" w:rsidP="00195289">
      <w:pPr>
        <w:pStyle w:val="ListParagraph"/>
        <w:numPr>
          <w:ilvl w:val="0"/>
          <w:numId w:val="25"/>
        </w:numPr>
        <w:ind w:firstLine="0"/>
        <w:rPr>
          <w:b/>
        </w:rPr>
      </w:pPr>
      <w:r w:rsidRPr="008B2DDA">
        <w:rPr>
          <w:b/>
        </w:rPr>
        <w:t>Droit de dépôt d’une demande en vertu de l’article 5.2)</w:t>
      </w:r>
    </w:p>
    <w:p w14:paraId="556DEBC2" w14:textId="77777777" w:rsidR="00861355" w:rsidRPr="008B2DDA" w:rsidRDefault="00861355" w:rsidP="00195289">
      <w:pPr>
        <w:pStyle w:val="ListParagraph"/>
        <w:numPr>
          <w:ilvl w:val="0"/>
          <w:numId w:val="25"/>
        </w:numPr>
        <w:ind w:firstLine="0"/>
        <w:rPr>
          <w:b/>
        </w:rPr>
      </w:pPr>
      <w:r w:rsidRPr="008B2DDA">
        <w:rPr>
          <w:b/>
        </w:rPr>
        <w:t>Articles 7.5) et 6) et dispositions connexes relatifs à l’introduction éventuelle de taxes individuelles</w:t>
      </w:r>
    </w:p>
    <w:p w14:paraId="74FA51AE" w14:textId="77777777" w:rsidR="00861355" w:rsidRPr="008B2DDA" w:rsidRDefault="00861355" w:rsidP="00195289">
      <w:pPr>
        <w:pStyle w:val="ListParagraph"/>
        <w:numPr>
          <w:ilvl w:val="0"/>
          <w:numId w:val="25"/>
        </w:numPr>
        <w:ind w:firstLine="0"/>
        <w:rPr>
          <w:b/>
        </w:rPr>
      </w:pPr>
      <w:r w:rsidRPr="008B2DDA">
        <w:rPr>
          <w:b/>
        </w:rPr>
        <w:t>Question de la déclaration commune figurant dans la note de bas de page 1 de l’article 11 et dispositions connexes</w:t>
      </w:r>
    </w:p>
    <w:p w14:paraId="421C891B" w14:textId="77777777" w:rsidR="00861355" w:rsidRPr="008B2DDA" w:rsidRDefault="00861355" w:rsidP="008B2DDA"/>
    <w:p w14:paraId="5BC4A540" w14:textId="77777777" w:rsidR="00861355" w:rsidRPr="008B2DDA" w:rsidRDefault="00861355" w:rsidP="008B2DDA">
      <w:r w:rsidRPr="008B2DDA">
        <w:t xml:space="preserve">S’agissant de cette disposition, nous </w:t>
      </w:r>
      <w:r w:rsidRPr="008B2DDA">
        <w:rPr>
          <w:rStyle w:val="hps"/>
        </w:rPr>
        <w:t>souhaiterions retracer</w:t>
      </w:r>
      <w:r w:rsidRPr="008B2DDA">
        <w:t xml:space="preserve"> une </w:t>
      </w:r>
      <w:r w:rsidRPr="008B2DDA">
        <w:rPr>
          <w:rStyle w:val="hps"/>
        </w:rPr>
        <w:t>partie de l’historique de la</w:t>
      </w:r>
      <w:r w:rsidRPr="008B2DDA">
        <w:t xml:space="preserve"> </w:t>
      </w:r>
      <w:r w:rsidRPr="008B2DDA">
        <w:rPr>
          <w:rStyle w:val="hps"/>
        </w:rPr>
        <w:t>note de bas de</w:t>
      </w:r>
      <w:r w:rsidRPr="008B2DDA">
        <w:t xml:space="preserve"> </w:t>
      </w:r>
      <w:r w:rsidRPr="008B2DDA">
        <w:rPr>
          <w:rStyle w:val="hps"/>
        </w:rPr>
        <w:t>page 1</w:t>
      </w:r>
      <w:r w:rsidRPr="008B2DDA">
        <w:t xml:space="preserve"> </w:t>
      </w:r>
      <w:r w:rsidRPr="008B2DDA">
        <w:rPr>
          <w:rStyle w:val="hps"/>
        </w:rPr>
        <w:t>contenant le projet de</w:t>
      </w:r>
      <w:r w:rsidRPr="008B2DDA">
        <w:t xml:space="preserve"> </w:t>
      </w:r>
      <w:r w:rsidRPr="008B2DDA">
        <w:rPr>
          <w:rStyle w:val="hps"/>
        </w:rPr>
        <w:t>déclaration commune</w:t>
      </w:r>
      <w:r w:rsidRPr="008B2DDA">
        <w:t>.</w:t>
      </w:r>
    </w:p>
    <w:p w14:paraId="22047D4A" w14:textId="77777777" w:rsidR="00861355" w:rsidRPr="008B2DDA" w:rsidRDefault="00861355" w:rsidP="008B2DDA"/>
    <w:p w14:paraId="21474F16" w14:textId="77777777" w:rsidR="00861355" w:rsidRPr="008B2DDA" w:rsidRDefault="00861355" w:rsidP="008B2DDA">
      <w:r w:rsidRPr="008B2DDA">
        <w:rPr>
          <w:rStyle w:val="hps"/>
        </w:rPr>
        <w:t>Notre pays a</w:t>
      </w:r>
      <w:r w:rsidRPr="008B2DDA">
        <w:t xml:space="preserve"> </w:t>
      </w:r>
      <w:r w:rsidRPr="008B2DDA">
        <w:rPr>
          <w:rStyle w:val="hps"/>
        </w:rPr>
        <w:t>participé à ce processus</w:t>
      </w:r>
      <w:r w:rsidRPr="008B2DDA">
        <w:t xml:space="preserve"> </w:t>
      </w:r>
      <w:r w:rsidRPr="008B2DDA">
        <w:rPr>
          <w:rStyle w:val="hps"/>
        </w:rPr>
        <w:t>de manière constructive</w:t>
      </w:r>
      <w:r w:rsidRPr="008B2DDA">
        <w:t xml:space="preserve"> </w:t>
      </w:r>
      <w:r w:rsidRPr="008B2DDA">
        <w:rPr>
          <w:rStyle w:val="hps"/>
        </w:rPr>
        <w:t>afin de faire</w:t>
      </w:r>
      <w:r w:rsidRPr="008B2DDA">
        <w:t xml:space="preserve"> </w:t>
      </w:r>
      <w:r w:rsidRPr="008B2DDA">
        <w:rPr>
          <w:rStyle w:val="hps"/>
        </w:rPr>
        <w:t>de l’Arrangement de Lisbonne</w:t>
      </w:r>
      <w:r w:rsidRPr="008B2DDA">
        <w:t xml:space="preserve"> </w:t>
      </w:r>
      <w:r w:rsidRPr="008B2DDA">
        <w:rPr>
          <w:rStyle w:val="hps"/>
        </w:rPr>
        <w:t>un</w:t>
      </w:r>
      <w:r w:rsidRPr="008B2DDA">
        <w:t xml:space="preserve"> </w:t>
      </w:r>
      <w:r w:rsidRPr="008B2DDA">
        <w:rPr>
          <w:rStyle w:val="hps"/>
        </w:rPr>
        <w:t>accord</w:t>
      </w:r>
      <w:r w:rsidRPr="008B2DDA">
        <w:t xml:space="preserve"> </w:t>
      </w:r>
      <w:r w:rsidRPr="008B2DDA">
        <w:rPr>
          <w:rStyle w:val="hps"/>
        </w:rPr>
        <w:t>qui suscite</w:t>
      </w:r>
      <w:r w:rsidRPr="008B2DDA">
        <w:t xml:space="preserve"> </w:t>
      </w:r>
      <w:r w:rsidRPr="008B2DDA">
        <w:rPr>
          <w:rStyle w:val="hps"/>
        </w:rPr>
        <w:t>l’adhésion</w:t>
      </w:r>
      <w:r w:rsidRPr="008B2DDA">
        <w:t xml:space="preserve"> </w:t>
      </w:r>
      <w:r w:rsidRPr="008B2DDA">
        <w:rPr>
          <w:rStyle w:val="hps"/>
        </w:rPr>
        <w:t>de nouveaux membres</w:t>
      </w:r>
      <w:r w:rsidRPr="008B2DDA">
        <w:t xml:space="preserve">.  </w:t>
      </w:r>
      <w:r w:rsidRPr="008B2DDA">
        <w:rPr>
          <w:rStyle w:val="hps"/>
        </w:rPr>
        <w:t>À cet égard</w:t>
      </w:r>
      <w:r w:rsidRPr="008B2DDA">
        <w:t xml:space="preserve">, </w:t>
      </w:r>
      <w:r w:rsidRPr="008B2DDA">
        <w:rPr>
          <w:rStyle w:val="hps"/>
        </w:rPr>
        <w:t>nous estimons</w:t>
      </w:r>
      <w:r w:rsidRPr="008B2DDA">
        <w:t xml:space="preserve"> </w:t>
      </w:r>
      <w:r w:rsidRPr="008B2DDA">
        <w:rPr>
          <w:rStyle w:val="hps"/>
        </w:rPr>
        <w:t>que l’inclusion</w:t>
      </w:r>
      <w:r w:rsidRPr="008B2DDA">
        <w:t xml:space="preserve"> </w:t>
      </w:r>
      <w:r w:rsidRPr="008B2DDA">
        <w:rPr>
          <w:rStyle w:val="hps"/>
        </w:rPr>
        <w:t>de cette disposition faisant référence à</w:t>
      </w:r>
      <w:r w:rsidRPr="008B2DDA">
        <w:t xml:space="preserve"> </w:t>
      </w:r>
      <w:r w:rsidRPr="008B2DDA">
        <w:rPr>
          <w:rStyle w:val="hps"/>
        </w:rPr>
        <w:t>la pratique</w:t>
      </w:r>
      <w:r w:rsidRPr="008B2DDA">
        <w:t xml:space="preserve"> </w:t>
      </w:r>
      <w:r w:rsidRPr="008B2DDA">
        <w:rPr>
          <w:rStyle w:val="hps"/>
        </w:rPr>
        <w:t>de l’homonymie</w:t>
      </w:r>
      <w:r w:rsidRPr="008B2DDA">
        <w:t xml:space="preserve"> </w:t>
      </w:r>
      <w:r w:rsidRPr="008B2DDA">
        <w:rPr>
          <w:rStyle w:val="hps"/>
        </w:rPr>
        <w:t>dans l’accord</w:t>
      </w:r>
      <w:r w:rsidRPr="008B2DDA">
        <w:t xml:space="preserve"> </w:t>
      </w:r>
      <w:r w:rsidRPr="008B2DDA">
        <w:rPr>
          <w:rStyle w:val="hps"/>
        </w:rPr>
        <w:t>n’est qu’un</w:t>
      </w:r>
      <w:r w:rsidRPr="008B2DDA">
        <w:t xml:space="preserve"> </w:t>
      </w:r>
      <w:r w:rsidRPr="008B2DDA">
        <w:rPr>
          <w:rStyle w:val="hps"/>
        </w:rPr>
        <w:t>moyen de parvenir à</w:t>
      </w:r>
      <w:r w:rsidRPr="008B2DDA">
        <w:t xml:space="preserve"> </w:t>
      </w:r>
      <w:r w:rsidRPr="008B2DDA">
        <w:rPr>
          <w:rStyle w:val="hps"/>
        </w:rPr>
        <w:t>un accord qui soit</w:t>
      </w:r>
      <w:r w:rsidRPr="008B2DDA">
        <w:t xml:space="preserve"> </w:t>
      </w:r>
      <w:r w:rsidRPr="008B2DDA">
        <w:rPr>
          <w:rStyle w:val="hps"/>
        </w:rPr>
        <w:t>cohérent et conforme</w:t>
      </w:r>
      <w:r w:rsidRPr="008B2DDA">
        <w:t xml:space="preserve"> </w:t>
      </w:r>
      <w:r w:rsidRPr="008B2DDA">
        <w:rPr>
          <w:rStyle w:val="hps"/>
        </w:rPr>
        <w:t>à la réalité</w:t>
      </w:r>
      <w:r w:rsidRPr="008B2DDA">
        <w:t xml:space="preserve"> </w:t>
      </w:r>
      <w:r w:rsidRPr="008B2DDA">
        <w:rPr>
          <w:rStyle w:val="hps"/>
        </w:rPr>
        <w:t>internationale</w:t>
      </w:r>
      <w:r w:rsidRPr="008B2DDA">
        <w:t xml:space="preserve">.  </w:t>
      </w:r>
      <w:r w:rsidRPr="008B2DDA">
        <w:rPr>
          <w:rStyle w:val="hps"/>
        </w:rPr>
        <w:t>En outre</w:t>
      </w:r>
      <w:r w:rsidRPr="008B2DDA">
        <w:t>, l’</w:t>
      </w:r>
      <w:r w:rsidRPr="008B2DDA">
        <w:rPr>
          <w:rStyle w:val="hps"/>
        </w:rPr>
        <w:t>inclusion</w:t>
      </w:r>
      <w:r w:rsidRPr="008B2DDA">
        <w:t xml:space="preserve"> de cette disposition </w:t>
      </w:r>
      <w:r w:rsidRPr="008B2DDA">
        <w:rPr>
          <w:rStyle w:val="hps"/>
        </w:rPr>
        <w:t>permettra</w:t>
      </w:r>
      <w:r w:rsidRPr="008B2DDA">
        <w:t xml:space="preserve"> </w:t>
      </w:r>
      <w:r w:rsidRPr="008B2DDA">
        <w:rPr>
          <w:rStyle w:val="hps"/>
        </w:rPr>
        <w:t>de résoudre les problèmes</w:t>
      </w:r>
      <w:r w:rsidRPr="008B2DDA">
        <w:t xml:space="preserve"> </w:t>
      </w:r>
      <w:r w:rsidRPr="008B2DDA">
        <w:rPr>
          <w:rStyle w:val="hps"/>
        </w:rPr>
        <w:t>d’ordre pratique</w:t>
      </w:r>
      <w:r w:rsidRPr="008B2DDA">
        <w:t xml:space="preserve"> </w:t>
      </w:r>
      <w:r w:rsidRPr="008B2DDA">
        <w:rPr>
          <w:rStyle w:val="hps"/>
        </w:rPr>
        <w:t>auxquels sont confrontées</w:t>
      </w:r>
      <w:r w:rsidRPr="008B2DDA">
        <w:t xml:space="preserve"> </w:t>
      </w:r>
      <w:r w:rsidRPr="008B2DDA">
        <w:rPr>
          <w:rStyle w:val="hps"/>
        </w:rPr>
        <w:t>aujourd’hui</w:t>
      </w:r>
      <w:r w:rsidRPr="008B2DDA">
        <w:t xml:space="preserve"> </w:t>
      </w:r>
      <w:r w:rsidRPr="008B2DDA">
        <w:rPr>
          <w:rStyle w:val="hps"/>
        </w:rPr>
        <w:t>les parties</w:t>
      </w:r>
      <w:r w:rsidRPr="008B2DDA">
        <w:t xml:space="preserve"> </w:t>
      </w:r>
      <w:r w:rsidRPr="008B2DDA">
        <w:rPr>
          <w:rStyle w:val="hps"/>
        </w:rPr>
        <w:t>à l’Arrangement</w:t>
      </w:r>
      <w:r w:rsidRPr="008B2DDA">
        <w:t xml:space="preserve"> </w:t>
      </w:r>
      <w:r w:rsidRPr="008B2DDA">
        <w:rPr>
          <w:rStyle w:val="hps"/>
        </w:rPr>
        <w:t>qui reconnaissent</w:t>
      </w:r>
      <w:r w:rsidRPr="008B2DDA">
        <w:t xml:space="preserve"> </w:t>
      </w:r>
      <w:r w:rsidRPr="008B2DDA">
        <w:rPr>
          <w:rStyle w:val="hps"/>
        </w:rPr>
        <w:t>les appellations d’origine</w:t>
      </w:r>
      <w:r w:rsidRPr="008B2DDA">
        <w:t xml:space="preserve"> </w:t>
      </w:r>
      <w:r w:rsidRPr="008B2DDA">
        <w:rPr>
          <w:rStyle w:val="hps"/>
        </w:rPr>
        <w:t>et les indications géographiques homonymes</w:t>
      </w:r>
      <w:r w:rsidRPr="008B2DDA">
        <w:t xml:space="preserve"> et </w:t>
      </w:r>
      <w:r w:rsidRPr="008B2DDA">
        <w:rPr>
          <w:rStyle w:val="hps"/>
        </w:rPr>
        <w:t>qui ne trouvent pas</w:t>
      </w:r>
      <w:r w:rsidRPr="008B2DDA">
        <w:t xml:space="preserve"> </w:t>
      </w:r>
      <w:r w:rsidRPr="008B2DDA">
        <w:rPr>
          <w:rStyle w:val="hps"/>
        </w:rPr>
        <w:t>de règles sur cette question</w:t>
      </w:r>
      <w:r w:rsidRPr="008B2DDA">
        <w:t xml:space="preserve"> qui soient </w:t>
      </w:r>
      <w:r w:rsidRPr="008B2DDA">
        <w:rPr>
          <w:rStyle w:val="hps"/>
        </w:rPr>
        <w:t>énoncées de manière claire</w:t>
      </w:r>
      <w:r w:rsidRPr="008B2DDA">
        <w:t xml:space="preserve"> </w:t>
      </w:r>
      <w:r w:rsidRPr="008B2DDA">
        <w:rPr>
          <w:rStyle w:val="hps"/>
        </w:rPr>
        <w:t>dans l’Arrangement de Lisbonne</w:t>
      </w:r>
      <w:r w:rsidRPr="008B2DDA">
        <w:t>.</w:t>
      </w:r>
    </w:p>
    <w:p w14:paraId="47B1B23E" w14:textId="77777777" w:rsidR="00861355" w:rsidRPr="008B2DDA" w:rsidRDefault="00861355" w:rsidP="008B2DDA"/>
    <w:p w14:paraId="070FD7A8" w14:textId="77777777" w:rsidR="00861355" w:rsidRPr="008B2DDA" w:rsidRDefault="00861355" w:rsidP="008B2DDA">
      <w:r w:rsidRPr="008B2DDA">
        <w:rPr>
          <w:rStyle w:val="hps"/>
        </w:rPr>
        <w:t>À l’origine,</w:t>
      </w:r>
      <w:r w:rsidRPr="008B2DDA">
        <w:t xml:space="preserve"> étant donné </w:t>
      </w:r>
      <w:r w:rsidRPr="008B2DDA">
        <w:rPr>
          <w:rStyle w:val="hps"/>
        </w:rPr>
        <w:t>l’importance</w:t>
      </w:r>
      <w:r w:rsidRPr="008B2DDA">
        <w:t xml:space="preserve"> </w:t>
      </w:r>
      <w:r w:rsidRPr="008B2DDA">
        <w:rPr>
          <w:rStyle w:val="hps"/>
        </w:rPr>
        <w:t>du sujet</w:t>
      </w:r>
      <w:r w:rsidRPr="008B2DDA">
        <w:t xml:space="preserve">, </w:t>
      </w:r>
      <w:r w:rsidRPr="008B2DDA">
        <w:rPr>
          <w:rStyle w:val="hps"/>
        </w:rPr>
        <w:t>cette disposition</w:t>
      </w:r>
      <w:r w:rsidRPr="008B2DDA">
        <w:t xml:space="preserve"> </w:t>
      </w:r>
      <w:r w:rsidRPr="008B2DDA">
        <w:rPr>
          <w:rStyle w:val="hps"/>
        </w:rPr>
        <w:t>a été traitée</w:t>
      </w:r>
      <w:r w:rsidRPr="008B2DDA">
        <w:t xml:space="preserve"> comme faisant </w:t>
      </w:r>
      <w:r w:rsidRPr="008B2DDA">
        <w:rPr>
          <w:rStyle w:val="hps"/>
        </w:rPr>
        <w:t>partie intégrante des</w:t>
      </w:r>
      <w:r w:rsidRPr="008B2DDA">
        <w:t xml:space="preserve"> </w:t>
      </w:r>
      <w:r w:rsidRPr="008B2DDA">
        <w:rPr>
          <w:rStyle w:val="hps"/>
        </w:rPr>
        <w:t>articles</w:t>
      </w:r>
      <w:r w:rsidRPr="008B2DDA">
        <w:t xml:space="preserve"> </w:t>
      </w:r>
      <w:r w:rsidRPr="008B2DDA">
        <w:rPr>
          <w:rStyle w:val="hps"/>
        </w:rPr>
        <w:t>du projet de révision,</w:t>
      </w:r>
      <w:r w:rsidRPr="008B2DDA">
        <w:t xml:space="preserve"> </w:t>
      </w:r>
      <w:r w:rsidRPr="008B2DDA">
        <w:rPr>
          <w:rStyle w:val="hps"/>
        </w:rPr>
        <w:t>et</w:t>
      </w:r>
      <w:r w:rsidRPr="008B2DDA">
        <w:t xml:space="preserve"> </w:t>
      </w:r>
      <w:r w:rsidRPr="008B2DDA">
        <w:rPr>
          <w:rStyle w:val="hps"/>
        </w:rPr>
        <w:t>en qualité d’observateurs</w:t>
      </w:r>
      <w:r w:rsidRPr="008B2DDA">
        <w:t xml:space="preserve"> </w:t>
      </w:r>
      <w:r w:rsidRPr="008B2DDA">
        <w:rPr>
          <w:rStyle w:val="hps"/>
        </w:rPr>
        <w:t>de</w:t>
      </w:r>
      <w:r w:rsidRPr="008B2DDA">
        <w:t xml:space="preserve"> </w:t>
      </w:r>
      <w:r w:rsidRPr="008B2DDA">
        <w:rPr>
          <w:rStyle w:val="hps"/>
        </w:rPr>
        <w:t>ce processus, nous approuvons son inclusion.  Toutefois, en raison</w:t>
      </w:r>
      <w:r w:rsidRPr="008B2DDA">
        <w:t xml:space="preserve"> </w:t>
      </w:r>
      <w:r w:rsidRPr="008B2DDA">
        <w:rPr>
          <w:rStyle w:val="hps"/>
        </w:rPr>
        <w:t>de l’absence de</w:t>
      </w:r>
      <w:r w:rsidRPr="008B2DDA">
        <w:t xml:space="preserve"> </w:t>
      </w:r>
      <w:r w:rsidRPr="008B2DDA">
        <w:rPr>
          <w:rStyle w:val="hps"/>
        </w:rPr>
        <w:t>consensus entre les parties à l’Arrangement, lesquelles ont</w:t>
      </w:r>
      <w:r w:rsidRPr="008B2DDA">
        <w:t xml:space="preserve"> </w:t>
      </w:r>
      <w:r w:rsidRPr="008B2DDA">
        <w:rPr>
          <w:rStyle w:val="hps"/>
        </w:rPr>
        <w:t>exprimé leurs inquiétudes quant à la façon dont</w:t>
      </w:r>
      <w:r w:rsidRPr="008B2DDA">
        <w:t xml:space="preserve"> </w:t>
      </w:r>
      <w:r w:rsidRPr="008B2DDA">
        <w:rPr>
          <w:rStyle w:val="hps"/>
        </w:rPr>
        <w:t>cette disposition pourrait</w:t>
      </w:r>
      <w:r w:rsidRPr="008B2DDA">
        <w:t xml:space="preserve"> </w:t>
      </w:r>
      <w:r w:rsidRPr="008B2DDA">
        <w:rPr>
          <w:rStyle w:val="hps"/>
        </w:rPr>
        <w:t>affecter la protection des</w:t>
      </w:r>
      <w:r w:rsidRPr="008B2DDA">
        <w:t xml:space="preserve"> </w:t>
      </w:r>
      <w:r w:rsidRPr="008B2DDA">
        <w:rPr>
          <w:rStyle w:val="hps"/>
        </w:rPr>
        <w:t>appellations d’origine et</w:t>
      </w:r>
      <w:r w:rsidRPr="008B2DDA">
        <w:t xml:space="preserve"> des </w:t>
      </w:r>
      <w:r w:rsidRPr="008B2DDA">
        <w:rPr>
          <w:rStyle w:val="hps"/>
        </w:rPr>
        <w:t>indications géographiques,</w:t>
      </w:r>
      <w:r w:rsidRPr="008B2DDA">
        <w:t xml:space="preserve"> </w:t>
      </w:r>
      <w:r w:rsidRPr="008B2DDA">
        <w:rPr>
          <w:rStyle w:val="hps"/>
        </w:rPr>
        <w:t>depuis la</w:t>
      </w:r>
      <w:r w:rsidRPr="008B2DDA">
        <w:t xml:space="preserve"> </w:t>
      </w:r>
      <w:r w:rsidRPr="008B2DDA">
        <w:rPr>
          <w:rStyle w:val="hps"/>
        </w:rPr>
        <w:t>septième réunion du groupe de travail</w:t>
      </w:r>
      <w:r w:rsidRPr="008B2DDA">
        <w:t xml:space="preserve">, elle </w:t>
      </w:r>
      <w:r w:rsidRPr="008B2DDA">
        <w:rPr>
          <w:rStyle w:val="hps"/>
        </w:rPr>
        <w:t>a été abordée</w:t>
      </w:r>
      <w:r w:rsidRPr="008B2DDA">
        <w:t xml:space="preserve"> </w:t>
      </w:r>
      <w:r w:rsidRPr="008B2DDA">
        <w:rPr>
          <w:rStyle w:val="hps"/>
        </w:rPr>
        <w:t>comme une déclaration</w:t>
      </w:r>
      <w:r w:rsidRPr="008B2DDA">
        <w:t xml:space="preserve"> </w:t>
      </w:r>
      <w:r w:rsidRPr="008B2DDA">
        <w:rPr>
          <w:rStyle w:val="hps"/>
        </w:rPr>
        <w:t>commune</w:t>
      </w:r>
      <w:r w:rsidRPr="008B2DDA">
        <w:t>.</w:t>
      </w:r>
    </w:p>
    <w:p w14:paraId="05D1076D" w14:textId="77777777" w:rsidR="00861355" w:rsidRPr="008B2DDA" w:rsidRDefault="00861355" w:rsidP="008B2DDA"/>
    <w:p w14:paraId="3F168756" w14:textId="77777777" w:rsidR="00861355" w:rsidRPr="008B2DDA" w:rsidRDefault="00861355" w:rsidP="008B2DDA">
      <w:pPr>
        <w:rPr>
          <w:rStyle w:val="hps"/>
        </w:rPr>
      </w:pPr>
      <w:r w:rsidRPr="008B2DDA">
        <w:rPr>
          <w:rStyle w:val="hps"/>
        </w:rPr>
        <w:t>Nous considérons</w:t>
      </w:r>
      <w:r w:rsidRPr="008B2DDA">
        <w:t xml:space="preserve"> </w:t>
      </w:r>
      <w:r w:rsidRPr="008B2DDA">
        <w:rPr>
          <w:rStyle w:val="hps"/>
        </w:rPr>
        <w:t>qu’au moins</w:t>
      </w:r>
      <w:r w:rsidRPr="008B2DDA">
        <w:t xml:space="preserve"> </w:t>
      </w:r>
      <w:r w:rsidRPr="008B2DDA">
        <w:rPr>
          <w:rStyle w:val="hps"/>
        </w:rPr>
        <w:t>une</w:t>
      </w:r>
      <w:r w:rsidRPr="008B2DDA">
        <w:t xml:space="preserve"> </w:t>
      </w:r>
      <w:r w:rsidRPr="008B2DDA">
        <w:rPr>
          <w:rStyle w:val="hps"/>
        </w:rPr>
        <w:t>déclaration commune devrait</w:t>
      </w:r>
      <w:r w:rsidRPr="008B2DDA">
        <w:t xml:space="preserve"> </w:t>
      </w:r>
      <w:r w:rsidRPr="008B2DDA">
        <w:rPr>
          <w:rStyle w:val="hps"/>
        </w:rPr>
        <w:t>figurer</w:t>
      </w:r>
      <w:r w:rsidRPr="008B2DDA">
        <w:t xml:space="preserve"> </w:t>
      </w:r>
      <w:r w:rsidRPr="008B2DDA">
        <w:rPr>
          <w:rStyle w:val="hps"/>
        </w:rPr>
        <w:t>dans la version révisée</w:t>
      </w:r>
      <w:r w:rsidRPr="008B2DDA">
        <w:t xml:space="preserve">.  </w:t>
      </w:r>
      <w:r w:rsidRPr="008B2DDA">
        <w:rPr>
          <w:rStyle w:val="hps"/>
        </w:rPr>
        <w:t>En effet, l’absence</w:t>
      </w:r>
      <w:r w:rsidRPr="008B2DDA">
        <w:t xml:space="preserve"> de déclaration commune </w:t>
      </w:r>
      <w:r w:rsidRPr="008B2DDA">
        <w:rPr>
          <w:rStyle w:val="hps"/>
        </w:rPr>
        <w:t>signifierait</w:t>
      </w:r>
      <w:r w:rsidRPr="008B2DDA">
        <w:t xml:space="preserve"> </w:t>
      </w:r>
      <w:r w:rsidRPr="008B2DDA">
        <w:rPr>
          <w:rStyle w:val="hps"/>
        </w:rPr>
        <w:t>l’absence totale de</w:t>
      </w:r>
      <w:r w:rsidRPr="008B2DDA">
        <w:t xml:space="preserve"> </w:t>
      </w:r>
      <w:r w:rsidRPr="008B2DDA">
        <w:rPr>
          <w:rStyle w:val="hps"/>
        </w:rPr>
        <w:t>référence expresse,</w:t>
      </w:r>
      <w:r w:rsidRPr="008B2DDA">
        <w:t xml:space="preserve"> </w:t>
      </w:r>
      <w:r w:rsidRPr="008B2DDA">
        <w:rPr>
          <w:rStyle w:val="hps"/>
        </w:rPr>
        <w:t>dans l’Arrangement,</w:t>
      </w:r>
      <w:r w:rsidRPr="008B2DDA">
        <w:t xml:space="preserve"> </w:t>
      </w:r>
      <w:r w:rsidRPr="008B2DDA">
        <w:rPr>
          <w:rStyle w:val="hps"/>
        </w:rPr>
        <w:t>à la reconnaissance des</w:t>
      </w:r>
      <w:r w:rsidRPr="008B2DDA">
        <w:t xml:space="preserve"> </w:t>
      </w:r>
      <w:r w:rsidRPr="008B2DDA">
        <w:rPr>
          <w:rStyle w:val="hps"/>
        </w:rPr>
        <w:t>appellations d’origine et</w:t>
      </w:r>
      <w:r w:rsidRPr="008B2DDA">
        <w:t xml:space="preserve"> des </w:t>
      </w:r>
      <w:r w:rsidRPr="008B2DDA">
        <w:rPr>
          <w:rStyle w:val="hps"/>
        </w:rPr>
        <w:t>indications géographiques homonymes</w:t>
      </w:r>
      <w:r w:rsidRPr="008B2DDA">
        <w:t xml:space="preserve">, ce qui impliquerait </w:t>
      </w:r>
      <w:r w:rsidRPr="008B2DDA">
        <w:rPr>
          <w:rStyle w:val="hps"/>
        </w:rPr>
        <w:t>l’absence de certitude</w:t>
      </w:r>
      <w:r w:rsidRPr="008B2DDA">
        <w:t xml:space="preserve"> </w:t>
      </w:r>
      <w:r w:rsidRPr="008B2DDA">
        <w:rPr>
          <w:rStyle w:val="hps"/>
        </w:rPr>
        <w:t>et de sécurité juridique</w:t>
      </w:r>
      <w:r w:rsidRPr="008B2DDA">
        <w:t xml:space="preserve"> </w:t>
      </w:r>
      <w:r w:rsidRPr="008B2DDA">
        <w:rPr>
          <w:rStyle w:val="hps"/>
        </w:rPr>
        <w:t>pour toutes les parties</w:t>
      </w:r>
      <w:r w:rsidRPr="008B2DDA">
        <w:t xml:space="preserve"> </w:t>
      </w:r>
      <w:r w:rsidRPr="008B2DDA">
        <w:rPr>
          <w:rStyle w:val="hps"/>
        </w:rPr>
        <w:t>contractantes</w:t>
      </w:r>
      <w:r w:rsidRPr="008B2DDA">
        <w:t xml:space="preserve"> </w:t>
      </w:r>
      <w:r w:rsidRPr="008B2DDA">
        <w:rPr>
          <w:rStyle w:val="hps"/>
        </w:rPr>
        <w:t>et tous les bénéficiaires</w:t>
      </w:r>
      <w:r w:rsidRPr="008B2DDA">
        <w:t xml:space="preserve">.  </w:t>
      </w:r>
      <w:r w:rsidRPr="008B2DDA">
        <w:rPr>
          <w:rStyle w:val="hps"/>
        </w:rPr>
        <w:t>Si nous avons évoqué les points qui précèdent, c’est que ce</w:t>
      </w:r>
      <w:r w:rsidRPr="008B2DDA">
        <w:t xml:space="preserve"> </w:t>
      </w:r>
      <w:r w:rsidRPr="008B2DDA">
        <w:rPr>
          <w:rStyle w:val="hps"/>
        </w:rPr>
        <w:t>concept existe</w:t>
      </w:r>
      <w:r w:rsidRPr="008B2DDA">
        <w:t xml:space="preserve"> </w:t>
      </w:r>
      <w:r w:rsidRPr="008B2DDA">
        <w:rPr>
          <w:rStyle w:val="hps"/>
        </w:rPr>
        <w:t>depuis l’adoption</w:t>
      </w:r>
      <w:r w:rsidRPr="008B2DDA">
        <w:t xml:space="preserve"> </w:t>
      </w:r>
      <w:r w:rsidRPr="008B2DDA">
        <w:rPr>
          <w:rStyle w:val="hps"/>
        </w:rPr>
        <w:t>de l’Accord</w:t>
      </w:r>
      <w:r w:rsidRPr="008B2DDA">
        <w:t xml:space="preserve"> </w:t>
      </w:r>
      <w:r w:rsidRPr="008B2DDA">
        <w:rPr>
          <w:rStyle w:val="hps"/>
        </w:rPr>
        <w:t>sur les ADPIC, qui remonte à</w:t>
      </w:r>
      <w:r w:rsidRPr="008B2DDA">
        <w:t xml:space="preserve"> </w:t>
      </w:r>
      <w:r w:rsidRPr="008B2DDA">
        <w:rPr>
          <w:rStyle w:val="hps"/>
        </w:rPr>
        <w:t>plus de 20 ans</w:t>
      </w:r>
      <w:r w:rsidRPr="008B2DDA">
        <w:t xml:space="preserve"> </w:t>
      </w:r>
      <w:r w:rsidRPr="008B2DDA">
        <w:rPr>
          <w:rStyle w:val="hps"/>
        </w:rPr>
        <w:t>déjà</w:t>
      </w:r>
      <w:r w:rsidRPr="008B2DDA">
        <w:t xml:space="preserve">.  </w:t>
      </w:r>
      <w:r w:rsidRPr="008B2DDA">
        <w:rPr>
          <w:rStyle w:val="hps"/>
        </w:rPr>
        <w:t>En outre,</w:t>
      </w:r>
      <w:r w:rsidRPr="008B2DDA">
        <w:t xml:space="preserve"> l’</w:t>
      </w:r>
      <w:r w:rsidRPr="008B2DDA">
        <w:rPr>
          <w:rStyle w:val="hps"/>
        </w:rPr>
        <w:t>homonymie</w:t>
      </w:r>
      <w:r w:rsidRPr="008B2DDA">
        <w:t xml:space="preserve"> </w:t>
      </w:r>
      <w:r w:rsidRPr="008B2DDA">
        <w:rPr>
          <w:rStyle w:val="hps"/>
        </w:rPr>
        <w:t>a été reconnue</w:t>
      </w:r>
      <w:r w:rsidRPr="008B2DDA">
        <w:t xml:space="preserve"> </w:t>
      </w:r>
      <w:r w:rsidRPr="008B2DDA">
        <w:rPr>
          <w:rStyle w:val="hps"/>
        </w:rPr>
        <w:t>dans de nombreux</w:t>
      </w:r>
      <w:r w:rsidRPr="008B2DDA">
        <w:t xml:space="preserve"> </w:t>
      </w:r>
      <w:r w:rsidRPr="008B2DDA">
        <w:rPr>
          <w:rStyle w:val="hps"/>
        </w:rPr>
        <w:t>traités internationaux</w:t>
      </w:r>
      <w:r w:rsidRPr="008B2DDA">
        <w:t xml:space="preserve">, ce </w:t>
      </w:r>
      <w:r w:rsidRPr="008B2DDA">
        <w:rPr>
          <w:rStyle w:val="hps"/>
        </w:rPr>
        <w:t>qui, outre</w:t>
      </w:r>
      <w:r w:rsidRPr="008B2DDA">
        <w:t xml:space="preserve"> </w:t>
      </w:r>
      <w:r w:rsidRPr="008B2DDA">
        <w:rPr>
          <w:rStyle w:val="hps"/>
        </w:rPr>
        <w:t>la pratique</w:t>
      </w:r>
      <w:r w:rsidRPr="008B2DDA">
        <w:t xml:space="preserve"> </w:t>
      </w:r>
      <w:r w:rsidRPr="008B2DDA">
        <w:rPr>
          <w:rStyle w:val="hps"/>
        </w:rPr>
        <w:t>soutenue</w:t>
      </w:r>
      <w:r w:rsidRPr="008B2DDA">
        <w:t xml:space="preserve"> </w:t>
      </w:r>
      <w:r w:rsidRPr="008B2DDA">
        <w:rPr>
          <w:rStyle w:val="hps"/>
        </w:rPr>
        <w:t>des</w:t>
      </w:r>
      <w:r w:rsidRPr="008B2DDA">
        <w:t xml:space="preserve"> </w:t>
      </w:r>
      <w:r w:rsidRPr="008B2DDA">
        <w:rPr>
          <w:rStyle w:val="hps"/>
        </w:rPr>
        <w:t>mêmes</w:t>
      </w:r>
      <w:r w:rsidRPr="008B2DDA">
        <w:t xml:space="preserve"> </w:t>
      </w:r>
      <w:r w:rsidRPr="008B2DDA">
        <w:rPr>
          <w:rStyle w:val="hps"/>
        </w:rPr>
        <w:t>parties à l’arrangement</w:t>
      </w:r>
      <w:r w:rsidRPr="008B2DDA">
        <w:t xml:space="preserve">, </w:t>
      </w:r>
      <w:r w:rsidRPr="008B2DDA">
        <w:rPr>
          <w:rStyle w:val="hps"/>
        </w:rPr>
        <w:t>la rend</w:t>
      </w:r>
      <w:r w:rsidRPr="008B2DDA">
        <w:t xml:space="preserve"> </w:t>
      </w:r>
      <w:r w:rsidRPr="008B2DDA">
        <w:rPr>
          <w:rStyle w:val="hps"/>
        </w:rPr>
        <w:t>conforme au droit international</w:t>
      </w:r>
      <w:r w:rsidRPr="008B2DDA">
        <w:t xml:space="preserve"> </w:t>
      </w:r>
      <w:r w:rsidRPr="008B2DDA">
        <w:rPr>
          <w:rStyle w:val="hps"/>
        </w:rPr>
        <w:t>en la matière.</w:t>
      </w:r>
    </w:p>
    <w:p w14:paraId="5E52C48F" w14:textId="77777777" w:rsidR="00861355" w:rsidRPr="008B2DDA" w:rsidRDefault="00861355" w:rsidP="008B2DDA">
      <w:pPr>
        <w:rPr>
          <w:rStyle w:val="hps"/>
        </w:rPr>
      </w:pPr>
    </w:p>
    <w:p w14:paraId="284B8561" w14:textId="77777777" w:rsidR="00861355" w:rsidRPr="008B2DDA" w:rsidRDefault="00861355" w:rsidP="008B2DDA">
      <w:pPr>
        <w:rPr>
          <w:b/>
        </w:rPr>
      </w:pPr>
      <w:r w:rsidRPr="008B2DDA">
        <w:rPr>
          <w:rStyle w:val="hps"/>
        </w:rPr>
        <w:t>Enfin</w:t>
      </w:r>
      <w:r w:rsidRPr="008B2DDA">
        <w:t xml:space="preserve">, nous souhaiterions rappeler que, </w:t>
      </w:r>
      <w:r w:rsidRPr="008B2DDA">
        <w:rPr>
          <w:rStyle w:val="hps"/>
        </w:rPr>
        <w:t>comme nous l’avons</w:t>
      </w:r>
      <w:r w:rsidRPr="008B2DDA">
        <w:t xml:space="preserve"> </w:t>
      </w:r>
      <w:r w:rsidRPr="008B2DDA">
        <w:rPr>
          <w:rStyle w:val="hps"/>
        </w:rPr>
        <w:t>indiqué précédemment,</w:t>
      </w:r>
      <w:r w:rsidRPr="008B2DDA">
        <w:t xml:space="preserve"> </w:t>
      </w:r>
      <w:r w:rsidRPr="008B2DDA">
        <w:rPr>
          <w:rStyle w:val="hps"/>
        </w:rPr>
        <w:t>cette</w:t>
      </w:r>
      <w:r w:rsidRPr="008B2DDA">
        <w:t xml:space="preserve"> </w:t>
      </w:r>
      <w:r w:rsidRPr="008B2DDA">
        <w:rPr>
          <w:rStyle w:val="hps"/>
        </w:rPr>
        <w:t>déclaration commune</w:t>
      </w:r>
      <w:r w:rsidRPr="008B2DDA">
        <w:t xml:space="preserve"> </w:t>
      </w:r>
      <w:r w:rsidRPr="008B2DDA">
        <w:rPr>
          <w:rStyle w:val="hps"/>
        </w:rPr>
        <w:t>n’exige pas</w:t>
      </w:r>
      <w:r w:rsidRPr="008B2DDA">
        <w:t xml:space="preserve"> </w:t>
      </w:r>
      <w:r w:rsidRPr="008B2DDA">
        <w:rPr>
          <w:rStyle w:val="hps"/>
        </w:rPr>
        <w:t>l’admission</w:t>
      </w:r>
      <w:r w:rsidRPr="008B2DDA">
        <w:t xml:space="preserve"> </w:t>
      </w:r>
      <w:r w:rsidRPr="008B2DDA">
        <w:rPr>
          <w:rStyle w:val="hps"/>
        </w:rPr>
        <w:t>de l’homonymie</w:t>
      </w:r>
      <w:r w:rsidRPr="008B2DDA">
        <w:t xml:space="preserve"> et qu’elle se contente de garantir </w:t>
      </w:r>
      <w:r w:rsidRPr="008B2DDA">
        <w:rPr>
          <w:rStyle w:val="hps"/>
        </w:rPr>
        <w:t>aux parties contractantes</w:t>
      </w:r>
      <w:r w:rsidRPr="008B2DDA">
        <w:t xml:space="preserve"> </w:t>
      </w:r>
      <w:r w:rsidRPr="008B2DDA">
        <w:rPr>
          <w:rStyle w:val="hps"/>
        </w:rPr>
        <w:t>qui ont recours à cette pratique qu’elles pourront continuer à l’utiliser</w:t>
      </w:r>
      <w:r w:rsidRPr="008B2DDA">
        <w:rPr>
          <w:b/>
        </w:rPr>
        <w:t>.</w:t>
      </w:r>
    </w:p>
    <w:p w14:paraId="7448B580" w14:textId="77777777" w:rsidR="00861355" w:rsidRPr="008B2DDA" w:rsidRDefault="00861355" w:rsidP="008B2DDA"/>
    <w:p w14:paraId="5A1B7A3F" w14:textId="77777777" w:rsidR="00796CE4" w:rsidRDefault="00796CE4">
      <w:pPr>
        <w:rPr>
          <w:b/>
        </w:rPr>
      </w:pPr>
      <w:r>
        <w:rPr>
          <w:b/>
        </w:rPr>
        <w:br w:type="page"/>
      </w:r>
    </w:p>
    <w:p w14:paraId="2467D27B" w14:textId="75EB2C9D" w:rsidR="00861355" w:rsidRPr="008B2DDA" w:rsidRDefault="00861355" w:rsidP="00195289">
      <w:pPr>
        <w:pStyle w:val="ListParagraph"/>
        <w:numPr>
          <w:ilvl w:val="0"/>
          <w:numId w:val="25"/>
        </w:numPr>
        <w:ind w:firstLine="0"/>
        <w:rPr>
          <w:b/>
        </w:rPr>
      </w:pPr>
      <w:r w:rsidRPr="008B2DDA">
        <w:rPr>
          <w:b/>
        </w:rPr>
        <w:lastRenderedPageBreak/>
        <w:t>Liste exhaustive des motifs d’invalidation en vertu de l’article 19.1)</w:t>
      </w:r>
    </w:p>
    <w:p w14:paraId="3E029093" w14:textId="77777777" w:rsidR="00861355" w:rsidRPr="008B2DDA" w:rsidRDefault="00861355" w:rsidP="008B2DDA">
      <w:pPr>
        <w:keepNext/>
      </w:pPr>
    </w:p>
    <w:p w14:paraId="037133B8" w14:textId="77777777" w:rsidR="00861355" w:rsidRPr="008B2DDA" w:rsidRDefault="00861355" w:rsidP="008B2DDA">
      <w:r w:rsidRPr="008B2DDA">
        <w:rPr>
          <w:rStyle w:val="hps"/>
        </w:rPr>
        <w:t>À ce sujet, nous réaffirmons que nous approuvons la variante</w:t>
      </w:r>
      <w:r w:rsidRPr="008B2DDA">
        <w:t> </w:t>
      </w:r>
      <w:r w:rsidRPr="008B2DDA">
        <w:rPr>
          <w:rStyle w:val="hps"/>
        </w:rPr>
        <w:t>A</w:t>
      </w:r>
      <w:r w:rsidRPr="008B2DDA">
        <w:t xml:space="preserve">.  </w:t>
      </w:r>
      <w:r w:rsidRPr="008B2DDA">
        <w:rPr>
          <w:rStyle w:val="hps"/>
        </w:rPr>
        <w:t>Nous</w:t>
      </w:r>
      <w:r w:rsidRPr="008B2DDA">
        <w:t xml:space="preserve"> </w:t>
      </w:r>
      <w:r w:rsidRPr="008B2DDA">
        <w:rPr>
          <w:rStyle w:val="hps"/>
        </w:rPr>
        <w:t>tenons également à</w:t>
      </w:r>
      <w:r w:rsidRPr="008B2DDA">
        <w:t xml:space="preserve"> </w:t>
      </w:r>
      <w:r w:rsidRPr="008B2DDA">
        <w:rPr>
          <w:rStyle w:val="hps"/>
        </w:rPr>
        <w:t>réaffirmer qu’il nous</w:t>
      </w:r>
      <w:r w:rsidRPr="008B2DDA">
        <w:t xml:space="preserve"> </w:t>
      </w:r>
      <w:r w:rsidRPr="008B2DDA">
        <w:rPr>
          <w:rStyle w:val="hps"/>
        </w:rPr>
        <w:t>semble</w:t>
      </w:r>
      <w:r w:rsidRPr="008B2DDA">
        <w:t xml:space="preserve"> </w:t>
      </w:r>
      <w:r w:rsidRPr="008B2DDA">
        <w:rPr>
          <w:rStyle w:val="hps"/>
        </w:rPr>
        <w:t>judicieux d’insérer</w:t>
      </w:r>
      <w:r w:rsidRPr="008B2DDA">
        <w:t xml:space="preserve"> </w:t>
      </w:r>
      <w:r w:rsidRPr="008B2DDA">
        <w:rPr>
          <w:rStyle w:val="hps"/>
        </w:rPr>
        <w:t>l’expression “</w:t>
      </w:r>
      <w:r w:rsidRPr="008B2DDA">
        <w:t xml:space="preserve">conformément à la législation </w:t>
      </w:r>
      <w:r w:rsidRPr="008B2DDA">
        <w:rPr>
          <w:rStyle w:val="hps"/>
        </w:rPr>
        <w:t>nationale”</w:t>
      </w:r>
      <w:r w:rsidRPr="008B2DDA">
        <w:t xml:space="preserve">.  </w:t>
      </w:r>
      <w:r w:rsidRPr="008B2DDA">
        <w:rPr>
          <w:rStyle w:val="hps"/>
        </w:rPr>
        <w:t>En effet, au cours de la</w:t>
      </w:r>
      <w:r w:rsidRPr="008B2DDA">
        <w:t xml:space="preserve"> </w:t>
      </w:r>
      <w:r w:rsidRPr="008B2DDA">
        <w:rPr>
          <w:rStyle w:val="hps"/>
        </w:rPr>
        <w:t>dernière réunion</w:t>
      </w:r>
      <w:r w:rsidRPr="008B2DDA">
        <w:t xml:space="preserve"> </w:t>
      </w:r>
      <w:r w:rsidRPr="008B2DDA">
        <w:rPr>
          <w:rStyle w:val="hps"/>
        </w:rPr>
        <w:t>du Groupe de travail</w:t>
      </w:r>
      <w:r w:rsidRPr="008B2DDA">
        <w:t xml:space="preserve"> sur le développement du système </w:t>
      </w:r>
      <w:r w:rsidRPr="008B2DDA">
        <w:rPr>
          <w:rStyle w:val="hps"/>
        </w:rPr>
        <w:t>de Lisbonne</w:t>
      </w:r>
      <w:r w:rsidRPr="008B2DDA">
        <w:t xml:space="preserve">, </w:t>
      </w:r>
      <w:r w:rsidRPr="008B2DDA">
        <w:rPr>
          <w:rStyle w:val="hps"/>
        </w:rPr>
        <w:t>ladite motion a été</w:t>
      </w:r>
      <w:r w:rsidRPr="008B2DDA">
        <w:t xml:space="preserve"> </w:t>
      </w:r>
      <w:r w:rsidRPr="008B2DDA">
        <w:rPr>
          <w:rStyle w:val="hps"/>
        </w:rPr>
        <w:t>soutenue par d’autres</w:t>
      </w:r>
      <w:r w:rsidRPr="008B2DDA">
        <w:t xml:space="preserve"> </w:t>
      </w:r>
      <w:r w:rsidRPr="008B2DDA">
        <w:rPr>
          <w:rStyle w:val="hps"/>
        </w:rPr>
        <w:t>délégations.  C’est pourquoi nous pensons qu’elle doit apparaître</w:t>
      </w:r>
      <w:r w:rsidRPr="008B2DDA">
        <w:t xml:space="preserve"> </w:t>
      </w:r>
      <w:r w:rsidRPr="008B2DDA">
        <w:rPr>
          <w:rStyle w:val="hps"/>
        </w:rPr>
        <w:t>dans le texte</w:t>
      </w:r>
      <w:r w:rsidRPr="008B2DDA">
        <w:t>.</w:t>
      </w:r>
    </w:p>
    <w:p w14:paraId="28D9C4EE" w14:textId="77777777" w:rsidR="00861355" w:rsidRPr="008B2DDA" w:rsidRDefault="00861355" w:rsidP="008B2DDA"/>
    <w:p w14:paraId="4564A2F2" w14:textId="77777777" w:rsidR="00861355" w:rsidRPr="008B2DDA" w:rsidRDefault="00861355" w:rsidP="00195289">
      <w:pPr>
        <w:pStyle w:val="ListParagraph"/>
        <w:numPr>
          <w:ilvl w:val="0"/>
          <w:numId w:val="25"/>
        </w:numPr>
        <w:ind w:firstLine="0"/>
        <w:rPr>
          <w:b/>
        </w:rPr>
      </w:pPr>
      <w:r w:rsidRPr="008B2DDA">
        <w:rPr>
          <w:b/>
        </w:rPr>
        <w:t>Déclaration d’intention d’utiliser la règle 5.4)</w:t>
      </w:r>
    </w:p>
    <w:p w14:paraId="40CBF881" w14:textId="77777777" w:rsidR="00861355" w:rsidRPr="008B2DDA" w:rsidRDefault="00861355" w:rsidP="00195289">
      <w:pPr>
        <w:pStyle w:val="ListParagraph"/>
        <w:numPr>
          <w:ilvl w:val="0"/>
          <w:numId w:val="25"/>
        </w:numPr>
        <w:ind w:firstLine="0"/>
        <w:rPr>
          <w:b/>
        </w:rPr>
      </w:pPr>
      <w:r w:rsidRPr="008B2DDA">
        <w:rPr>
          <w:b/>
        </w:rPr>
        <w:t>Montant des taxes en vertu de la règle 8.1)</w:t>
      </w:r>
    </w:p>
    <w:p w14:paraId="41DE1FB2" w14:textId="77777777" w:rsidR="00D67EA4" w:rsidRPr="008B2DDA" w:rsidRDefault="00D67EA4" w:rsidP="008B2DDA">
      <w:pPr>
        <w:pStyle w:val="Endofdocument-Annex"/>
      </w:pPr>
    </w:p>
    <w:p w14:paraId="23E9CF51" w14:textId="77777777" w:rsidR="00D67EA4" w:rsidRPr="008B2DDA" w:rsidRDefault="00D67EA4" w:rsidP="008B2DDA">
      <w:pPr>
        <w:pStyle w:val="Endofdocument-Annex"/>
      </w:pPr>
    </w:p>
    <w:p w14:paraId="7DC31339" w14:textId="77777777" w:rsidR="00D67EA4" w:rsidRPr="008B2DDA" w:rsidRDefault="00D67EA4" w:rsidP="008B2DDA">
      <w:pPr>
        <w:pStyle w:val="Endofdocument-Annex"/>
      </w:pPr>
    </w:p>
    <w:p w14:paraId="30C15A8E" w14:textId="03601347" w:rsidR="00861355" w:rsidRPr="008B2DDA" w:rsidRDefault="00D67EA4" w:rsidP="008B2DDA">
      <w:pPr>
        <w:pStyle w:val="Endofdocument-Annex"/>
      </w:pPr>
      <w:r w:rsidRPr="008B2DDA">
        <w:t>[L’annexe III suit]</w:t>
      </w:r>
    </w:p>
    <w:p w14:paraId="0E6BDBD8" w14:textId="77777777" w:rsidR="00861355" w:rsidRPr="008B2DDA" w:rsidRDefault="00861355" w:rsidP="008B2DDA">
      <w:pPr>
        <w:rPr>
          <w:b/>
        </w:rPr>
      </w:pPr>
    </w:p>
    <w:p w14:paraId="316933C6" w14:textId="77777777" w:rsidR="00861355" w:rsidRPr="008B2DDA" w:rsidRDefault="00861355" w:rsidP="008B2DDA">
      <w:pPr>
        <w:jc w:val="center"/>
        <w:rPr>
          <w:b/>
        </w:rPr>
        <w:sectPr w:rsidR="00861355" w:rsidRPr="008B2DDA" w:rsidSect="00A341C2">
          <w:headerReference w:type="default" r:id="rId18"/>
          <w:headerReference w:type="first" r:id="rId19"/>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14:paraId="4934AE30" w14:textId="1E3B36CB" w:rsidR="004E7085" w:rsidRDefault="004E7085" w:rsidP="008B2DDA">
      <w:pPr>
        <w:jc w:val="center"/>
        <w:rPr>
          <w:b/>
        </w:rPr>
      </w:pPr>
      <w:r>
        <w:rPr>
          <w:b/>
        </w:rPr>
        <w:lastRenderedPageBreak/>
        <w:t>COLOMBIE</w:t>
      </w:r>
    </w:p>
    <w:p w14:paraId="050B5151" w14:textId="77777777" w:rsidR="004E7085" w:rsidRDefault="004E7085" w:rsidP="008B2DDA">
      <w:pPr>
        <w:jc w:val="center"/>
        <w:rPr>
          <w:b/>
        </w:rPr>
      </w:pPr>
    </w:p>
    <w:p w14:paraId="2D245B60" w14:textId="206ABDBC" w:rsidR="007079A8" w:rsidRPr="008B2DDA" w:rsidRDefault="004E7085" w:rsidP="008B2DDA">
      <w:pPr>
        <w:jc w:val="center"/>
        <w:rPr>
          <w:b/>
        </w:rPr>
      </w:pPr>
      <w:r w:rsidRPr="008B2DDA">
        <w:rPr>
          <w:b/>
        </w:rPr>
        <w:t>C</w:t>
      </w:r>
      <w:r>
        <w:rPr>
          <w:b/>
        </w:rPr>
        <w:t xml:space="preserve">ommentaires de la </w:t>
      </w:r>
      <w:proofErr w:type="spellStart"/>
      <w:r>
        <w:rPr>
          <w:b/>
        </w:rPr>
        <w:t>Superintendencia</w:t>
      </w:r>
      <w:proofErr w:type="spellEnd"/>
      <w:r>
        <w:rPr>
          <w:b/>
        </w:rPr>
        <w:t xml:space="preserve"> de </w:t>
      </w:r>
      <w:proofErr w:type="spellStart"/>
      <w:r>
        <w:rPr>
          <w:b/>
        </w:rPr>
        <w:t>Industria</w:t>
      </w:r>
      <w:proofErr w:type="spellEnd"/>
      <w:r>
        <w:rPr>
          <w:b/>
        </w:rPr>
        <w:t xml:space="preserve"> y </w:t>
      </w:r>
      <w:proofErr w:type="spellStart"/>
      <w:r>
        <w:rPr>
          <w:b/>
        </w:rPr>
        <w:t>Comercio</w:t>
      </w:r>
      <w:proofErr w:type="spellEnd"/>
    </w:p>
    <w:p w14:paraId="13446915" w14:textId="77777777" w:rsidR="00D67EA4" w:rsidRPr="008B2DDA" w:rsidRDefault="00D67EA4" w:rsidP="008B2DDA">
      <w:pPr>
        <w:jc w:val="center"/>
        <w:rPr>
          <w:b/>
        </w:rPr>
      </w:pPr>
    </w:p>
    <w:p w14:paraId="66D24591" w14:textId="315D7026" w:rsidR="007079A8" w:rsidRPr="008B2DDA" w:rsidRDefault="00311638" w:rsidP="008B2DDA">
      <w:pPr>
        <w:jc w:val="center"/>
        <w:rPr>
          <w:b/>
        </w:rPr>
      </w:pPr>
      <w:r w:rsidRPr="008B2DDA">
        <w:rPr>
          <w:b/>
        </w:rPr>
        <w:t>Document</w:t>
      </w:r>
      <w:r w:rsidR="00E00F00" w:rsidRPr="008B2DDA">
        <w:rPr>
          <w:b/>
        </w:rPr>
        <w:t>s</w:t>
      </w:r>
      <w:r w:rsidRPr="008B2DDA">
        <w:rPr>
          <w:b/>
        </w:rPr>
        <w:t xml:space="preserve"> LI/DC/3</w:t>
      </w:r>
      <w:r w:rsidR="00D67EA4" w:rsidRPr="008B2DDA">
        <w:rPr>
          <w:b/>
        </w:rPr>
        <w:t xml:space="preserve"> et</w:t>
      </w:r>
      <w:r w:rsidRPr="008B2DDA">
        <w:rPr>
          <w:b/>
        </w:rPr>
        <w:t xml:space="preserve"> LI/DC/4</w:t>
      </w:r>
    </w:p>
    <w:p w14:paraId="2BC3C7C2" w14:textId="689F5A6B" w:rsidR="007079A8" w:rsidRPr="008B2DDA" w:rsidRDefault="007079A8" w:rsidP="008B2DDA">
      <w:pPr>
        <w:jc w:val="center"/>
        <w:rPr>
          <w:b/>
        </w:rPr>
      </w:pPr>
      <w:r w:rsidRPr="008B2DDA">
        <w:rPr>
          <w:b/>
        </w:rPr>
        <w:t>Conférence diplomatique pour l</w:t>
      </w:r>
      <w:r w:rsidR="00A341C2" w:rsidRPr="008B2DDA">
        <w:rPr>
          <w:b/>
        </w:rPr>
        <w:t>’</w:t>
      </w:r>
      <w:r w:rsidRPr="008B2DDA">
        <w:rPr>
          <w:b/>
        </w:rPr>
        <w:t>adoption d</w:t>
      </w:r>
      <w:r w:rsidR="00A341C2" w:rsidRPr="008B2DDA">
        <w:rPr>
          <w:b/>
        </w:rPr>
        <w:t>’</w:t>
      </w:r>
      <w:r w:rsidRPr="008B2DDA">
        <w:rPr>
          <w:b/>
        </w:rPr>
        <w:t xml:space="preserve">un nouvel Acte </w:t>
      </w:r>
      <w:r w:rsidR="00796CE4">
        <w:rPr>
          <w:b/>
        </w:rPr>
        <w:br/>
      </w:r>
      <w:r w:rsidRPr="008B2DDA">
        <w:rPr>
          <w:b/>
        </w:rPr>
        <w:t>de l</w:t>
      </w:r>
      <w:r w:rsidR="00A341C2" w:rsidRPr="008B2DDA">
        <w:rPr>
          <w:b/>
        </w:rPr>
        <w:t>’</w:t>
      </w:r>
      <w:r w:rsidRPr="008B2DDA">
        <w:rPr>
          <w:b/>
        </w:rPr>
        <w:t xml:space="preserve">Arrangement de Lisbonne concernant la protection </w:t>
      </w:r>
      <w:r w:rsidR="00796CE4">
        <w:rPr>
          <w:b/>
        </w:rPr>
        <w:br/>
      </w:r>
      <w:r w:rsidRPr="008B2DDA">
        <w:rPr>
          <w:b/>
        </w:rPr>
        <w:t>des appellations d</w:t>
      </w:r>
      <w:r w:rsidR="00A341C2" w:rsidRPr="008B2DDA">
        <w:rPr>
          <w:b/>
        </w:rPr>
        <w:t>’</w:t>
      </w:r>
      <w:r w:rsidRPr="008B2DDA">
        <w:rPr>
          <w:b/>
        </w:rPr>
        <w:t>origine</w:t>
      </w:r>
      <w:r w:rsidR="00796CE4">
        <w:rPr>
          <w:b/>
        </w:rPr>
        <w:t xml:space="preserve"> </w:t>
      </w:r>
      <w:r w:rsidRPr="008B2DDA">
        <w:rPr>
          <w:b/>
        </w:rPr>
        <w:t>et leur enregistrement international</w:t>
      </w:r>
    </w:p>
    <w:p w14:paraId="10D32F87" w14:textId="77777777" w:rsidR="007079A8" w:rsidRPr="008B2DDA" w:rsidRDefault="007432B1" w:rsidP="008B2DDA">
      <w:pPr>
        <w:jc w:val="center"/>
        <w:rPr>
          <w:b/>
        </w:rPr>
      </w:pPr>
      <w:r w:rsidRPr="008B2DDA">
        <w:rPr>
          <w:b/>
        </w:rPr>
        <w:t>Genève, 11 – 21 mai </w:t>
      </w:r>
      <w:r w:rsidR="007079A8" w:rsidRPr="008B2DDA">
        <w:rPr>
          <w:b/>
        </w:rPr>
        <w:t>2015</w:t>
      </w:r>
    </w:p>
    <w:p w14:paraId="10D2FD8D" w14:textId="77777777" w:rsidR="007079A8" w:rsidRPr="008B2DDA" w:rsidRDefault="007079A8" w:rsidP="008B2DDA"/>
    <w:p w14:paraId="0955C3D9" w14:textId="77116E09" w:rsidR="007079A8" w:rsidRPr="008B2DDA" w:rsidRDefault="00E43680" w:rsidP="008B2DDA">
      <w:pPr>
        <w:pStyle w:val="ONUMFS"/>
        <w:numPr>
          <w:ilvl w:val="0"/>
          <w:numId w:val="17"/>
        </w:numPr>
      </w:pPr>
      <w:r w:rsidRPr="008B2DDA">
        <w:t xml:space="preserve">À </w:t>
      </w:r>
      <w:r w:rsidR="00CF1711" w:rsidRPr="008B2DDA">
        <w:t>l</w:t>
      </w:r>
      <w:r w:rsidR="00A341C2" w:rsidRPr="008B2DDA">
        <w:t>’</w:t>
      </w:r>
      <w:r w:rsidR="006507A9" w:rsidRPr="008B2DDA">
        <w:t>article</w:t>
      </w:r>
      <w:r w:rsidR="00E00F00" w:rsidRPr="008B2DDA">
        <w:t> </w:t>
      </w:r>
      <w:r w:rsidR="005713F3" w:rsidRPr="008B2DDA">
        <w:t>1.</w:t>
      </w:r>
      <w:r w:rsidR="00CF1711" w:rsidRPr="008B2DDA">
        <w:t>viii)</w:t>
      </w:r>
      <w:r w:rsidR="006507A9" w:rsidRPr="008B2DDA">
        <w:t xml:space="preserve"> du projet de nouvel </w:t>
      </w:r>
      <w:r w:rsidR="00E00F00" w:rsidRPr="008B2DDA">
        <w:t>A</w:t>
      </w:r>
      <w:r w:rsidR="006507A9" w:rsidRPr="008B2DDA">
        <w:t>cte de l</w:t>
      </w:r>
      <w:r w:rsidR="00A341C2" w:rsidRPr="008B2DDA">
        <w:t>’</w:t>
      </w:r>
      <w:r w:rsidR="006507A9" w:rsidRPr="008B2DDA">
        <w:t xml:space="preserve">Arrangement de Lisbonne, </w:t>
      </w:r>
      <w:r w:rsidR="00CF1711" w:rsidRPr="008B2DDA">
        <w:t>l</w:t>
      </w:r>
      <w:r w:rsidR="00A341C2" w:rsidRPr="008B2DDA">
        <w:t>’</w:t>
      </w:r>
      <w:r w:rsidR="00CF1711" w:rsidRPr="008B2DDA">
        <w:t>expression</w:t>
      </w:r>
      <w:r w:rsidR="006507A9" w:rsidRPr="008B2DDA">
        <w:t xml:space="preserve"> </w:t>
      </w:r>
      <w:r w:rsidR="00E26A2C" w:rsidRPr="008B2DDA">
        <w:t>“</w:t>
      </w:r>
      <w:r w:rsidR="00CF1711" w:rsidRPr="008B2DDA">
        <w:t>collection officielle</w:t>
      </w:r>
      <w:r w:rsidR="00E26A2C" w:rsidRPr="008B2DDA">
        <w:t>”</w:t>
      </w:r>
      <w:r w:rsidR="006507A9" w:rsidRPr="008B2DDA">
        <w:t xml:space="preserve"> </w:t>
      </w:r>
      <w:r w:rsidR="00CF1711" w:rsidRPr="008B2DDA">
        <w:t>doit être remplacée par l</w:t>
      </w:r>
      <w:r w:rsidR="00A341C2" w:rsidRPr="008B2DDA">
        <w:t>’</w:t>
      </w:r>
      <w:r w:rsidR="00CF1711" w:rsidRPr="008B2DDA">
        <w:t>expression</w:t>
      </w:r>
      <w:r w:rsidR="006507A9" w:rsidRPr="008B2DDA">
        <w:t xml:space="preserve"> </w:t>
      </w:r>
      <w:r w:rsidR="00E26A2C" w:rsidRPr="008B2DDA">
        <w:t>“</w:t>
      </w:r>
      <w:r w:rsidR="00CF1711" w:rsidRPr="008B2DDA">
        <w:t>répertoire officiel</w:t>
      </w:r>
      <w:r w:rsidR="00E26A2C" w:rsidRPr="008B2DDA">
        <w:t>”</w:t>
      </w:r>
      <w:r w:rsidR="00311638" w:rsidRPr="008B2DDA">
        <w:t>.</w:t>
      </w:r>
    </w:p>
    <w:p w14:paraId="4B4976D7" w14:textId="4130F5C2" w:rsidR="00A341C2" w:rsidRPr="008B2DDA" w:rsidRDefault="00E43680" w:rsidP="008B2DDA">
      <w:pPr>
        <w:pStyle w:val="ONUMFS"/>
      </w:pPr>
      <w:r w:rsidRPr="008B2DDA">
        <w:t xml:space="preserve">À </w:t>
      </w:r>
      <w:r w:rsidR="005713F3" w:rsidRPr="008B2DDA">
        <w:t>l</w:t>
      </w:r>
      <w:r w:rsidR="00A341C2" w:rsidRPr="008B2DDA">
        <w:t>’</w:t>
      </w:r>
      <w:r w:rsidR="005713F3" w:rsidRPr="008B2DDA">
        <w:t>article 1.</w:t>
      </w:r>
      <w:r w:rsidR="006507A9" w:rsidRPr="008B2DDA">
        <w:t>xvii)</w:t>
      </w:r>
      <w:r w:rsidR="00CF1711" w:rsidRPr="008B2DDA">
        <w:t xml:space="preserve">, </w:t>
      </w:r>
      <w:r w:rsidR="00A11E65" w:rsidRPr="008B2DDA">
        <w:t xml:space="preserve">il faut entendre par </w:t>
      </w:r>
      <w:r w:rsidR="00E26A2C" w:rsidRPr="008B2DDA">
        <w:t>“</w:t>
      </w:r>
      <w:r w:rsidR="006507A9" w:rsidRPr="008B2DDA">
        <w:t>bénéficiaires</w:t>
      </w:r>
      <w:r w:rsidR="00E26A2C" w:rsidRPr="008B2DDA">
        <w:t>”</w:t>
      </w:r>
      <w:r w:rsidR="00A11E65" w:rsidRPr="008B2DDA">
        <w:t>,</w:t>
      </w:r>
      <w:r w:rsidR="00CF1711" w:rsidRPr="008B2DDA">
        <w:t xml:space="preserve"> l</w:t>
      </w:r>
      <w:r w:rsidR="006507A9" w:rsidRPr="008B2DDA">
        <w:t xml:space="preserve">es personnes physiques ou morales qui ont </w:t>
      </w:r>
      <w:r w:rsidR="00A11E65" w:rsidRPr="008B2DDA">
        <w:t xml:space="preserve">un droit exclusif sur une </w:t>
      </w:r>
      <w:r w:rsidR="006507A9" w:rsidRPr="008B2DDA">
        <w:t>appellation d</w:t>
      </w:r>
      <w:r w:rsidR="00A341C2" w:rsidRPr="008B2DDA">
        <w:t>’</w:t>
      </w:r>
      <w:r w:rsidR="006507A9" w:rsidRPr="008B2DDA">
        <w:t xml:space="preserve">origine ou </w:t>
      </w:r>
      <w:r w:rsidR="00A11E65" w:rsidRPr="008B2DDA">
        <w:t xml:space="preserve">une </w:t>
      </w:r>
      <w:r w:rsidR="006507A9" w:rsidRPr="008B2DDA">
        <w:t>indication géographique</w:t>
      </w:r>
      <w:r w:rsidR="00A11E65" w:rsidRPr="008B2DDA">
        <w:t xml:space="preserve">, </w:t>
      </w:r>
      <w:r w:rsidR="00542210" w:rsidRPr="008B2DDA">
        <w:t>pas</w:t>
      </w:r>
      <w:r w:rsidR="00A11E65" w:rsidRPr="008B2DDA">
        <w:t xml:space="preserve"> celles habilitées à user</w:t>
      </w:r>
      <w:r w:rsidR="00CF1711" w:rsidRPr="008B2DDA">
        <w:t xml:space="preserve"> d</w:t>
      </w:r>
      <w:r w:rsidR="00A341C2" w:rsidRPr="008B2DDA">
        <w:t>’</w:t>
      </w:r>
      <w:r w:rsidR="00CF1711" w:rsidRPr="008B2DDA">
        <w:t xml:space="preserve">une </w:t>
      </w:r>
      <w:r w:rsidR="006507A9" w:rsidRPr="008B2DDA">
        <w:t>appellation d</w:t>
      </w:r>
      <w:r w:rsidR="00A341C2" w:rsidRPr="008B2DDA">
        <w:t>’</w:t>
      </w:r>
      <w:r w:rsidR="006507A9" w:rsidRPr="008B2DDA">
        <w:t xml:space="preserve">origine ou </w:t>
      </w:r>
      <w:r w:rsidR="00CF1711" w:rsidRPr="008B2DDA">
        <w:t>d</w:t>
      </w:r>
      <w:r w:rsidR="00A341C2" w:rsidRPr="008B2DDA">
        <w:t>’</w:t>
      </w:r>
      <w:r w:rsidR="00CF1711" w:rsidRPr="008B2DDA">
        <w:t xml:space="preserve">une </w:t>
      </w:r>
      <w:r w:rsidR="006507A9" w:rsidRPr="008B2DDA">
        <w:t>indication géographique</w:t>
      </w:r>
      <w:r w:rsidR="00311638" w:rsidRPr="008B2DDA">
        <w:t>.</w:t>
      </w:r>
    </w:p>
    <w:p w14:paraId="514E9073" w14:textId="5045BE43" w:rsidR="007079A8" w:rsidRPr="008B2DDA" w:rsidRDefault="0081292E" w:rsidP="008B2DDA">
      <w:pPr>
        <w:pStyle w:val="ONUMFS"/>
      </w:pPr>
      <w:r w:rsidRPr="008B2DDA">
        <w:t>S</w:t>
      </w:r>
      <w:r w:rsidR="00A341C2" w:rsidRPr="008B2DDA">
        <w:t>’</w:t>
      </w:r>
      <w:r w:rsidRPr="008B2DDA">
        <w:t>agissant de</w:t>
      </w:r>
      <w:r w:rsidR="006507A9" w:rsidRPr="008B2DDA">
        <w:t xml:space="preserve"> l</w:t>
      </w:r>
      <w:r w:rsidR="00A341C2" w:rsidRPr="008B2DDA">
        <w:t>’</w:t>
      </w:r>
      <w:r w:rsidR="006507A9" w:rsidRPr="008B2DDA">
        <w:t>article</w:t>
      </w:r>
      <w:r w:rsidR="00E00F00" w:rsidRPr="008B2DDA">
        <w:t> </w:t>
      </w:r>
      <w:r w:rsidR="006507A9" w:rsidRPr="008B2DDA">
        <w:t>2</w:t>
      </w:r>
      <w:r w:rsidRPr="008B2DDA">
        <w:t>.2)</w:t>
      </w:r>
      <w:r w:rsidR="006507A9" w:rsidRPr="008B2DDA">
        <w:t xml:space="preserve"> </w:t>
      </w:r>
      <w:r w:rsidR="005713F3" w:rsidRPr="008B2DDA">
        <w:t xml:space="preserve">relatif </w:t>
      </w:r>
      <w:r w:rsidRPr="008B2DDA">
        <w:t>aux aires</w:t>
      </w:r>
      <w:r w:rsidR="00CD4E54" w:rsidRPr="008B2DDA">
        <w:t xml:space="preserve"> </w:t>
      </w:r>
      <w:r w:rsidRPr="008B2DDA">
        <w:t xml:space="preserve">géographiques </w:t>
      </w:r>
      <w:r w:rsidR="005713F3" w:rsidRPr="008B2DDA">
        <w:t>transfrontalière</w:t>
      </w:r>
      <w:r w:rsidRPr="008B2DDA">
        <w:t xml:space="preserve">s </w:t>
      </w:r>
      <w:r w:rsidR="006507A9" w:rsidRPr="008B2DDA">
        <w:t>et</w:t>
      </w:r>
      <w:r w:rsidRPr="008B2DDA">
        <w:t xml:space="preserve"> l</w:t>
      </w:r>
      <w:r w:rsidR="00A341C2" w:rsidRPr="008B2DDA">
        <w:t>’</w:t>
      </w:r>
      <w:r w:rsidR="005713F3" w:rsidRPr="008B2DDA">
        <w:t>article </w:t>
      </w:r>
      <w:r w:rsidR="006507A9" w:rsidRPr="008B2DDA">
        <w:t>5</w:t>
      </w:r>
      <w:r w:rsidRPr="008B2DDA">
        <w:t>.4)</w:t>
      </w:r>
      <w:r w:rsidR="006507A9" w:rsidRPr="008B2DDA">
        <w:t xml:space="preserve"> </w:t>
      </w:r>
      <w:r w:rsidR="005713F3" w:rsidRPr="008B2DDA">
        <w:t xml:space="preserve">relatif </w:t>
      </w:r>
      <w:r w:rsidRPr="008B2DDA">
        <w:t>aux</w:t>
      </w:r>
      <w:r w:rsidR="005713F3" w:rsidRPr="008B2DDA">
        <w:t xml:space="preserve"> demande</w:t>
      </w:r>
      <w:r w:rsidRPr="008B2DDA">
        <w:t xml:space="preserve">s </w:t>
      </w:r>
      <w:r w:rsidR="005713F3" w:rsidRPr="008B2DDA">
        <w:t>conjointe</w:t>
      </w:r>
      <w:r w:rsidRPr="008B2DDA">
        <w:t>s</w:t>
      </w:r>
      <w:r w:rsidR="006507A9" w:rsidRPr="008B2DDA">
        <w:t xml:space="preserve">, </w:t>
      </w:r>
      <w:r w:rsidR="00767A6F" w:rsidRPr="008B2DDA">
        <w:t>l</w:t>
      </w:r>
      <w:r w:rsidR="00A341C2" w:rsidRPr="008B2DDA">
        <w:t>’</w:t>
      </w:r>
      <w:r w:rsidR="00767A6F" w:rsidRPr="008B2DDA">
        <w:t>explication</w:t>
      </w:r>
      <w:r w:rsidR="00C55BF3" w:rsidRPr="008B2DDA">
        <w:t xml:space="preserve"> </w:t>
      </w:r>
      <w:r w:rsidR="00767A6F" w:rsidRPr="008B2DDA">
        <w:t>ajoutée</w:t>
      </w:r>
      <w:r w:rsidRPr="008B2DDA">
        <w:t xml:space="preserve"> </w:t>
      </w:r>
      <w:r w:rsidR="00E43680" w:rsidRPr="008B2DDA">
        <w:t>à</w:t>
      </w:r>
      <w:r w:rsidRPr="008B2DDA">
        <w:t xml:space="preserve"> l</w:t>
      </w:r>
      <w:r w:rsidR="00A341C2" w:rsidRPr="008B2DDA">
        <w:t>’</w:t>
      </w:r>
      <w:r w:rsidR="005713F3" w:rsidRPr="008B2DDA">
        <w:t>article</w:t>
      </w:r>
      <w:r w:rsidR="00E26A2C" w:rsidRPr="008B2DDA">
        <w:t> </w:t>
      </w:r>
      <w:r w:rsidR="005713F3" w:rsidRPr="008B2DDA">
        <w:t xml:space="preserve">5.4) </w:t>
      </w:r>
      <w:r w:rsidRPr="008B2DDA">
        <w:t>à</w:t>
      </w:r>
      <w:r w:rsidR="005713F3" w:rsidRPr="008B2DDA">
        <w:t xml:space="preserve"> la huitième réunion du G</w:t>
      </w:r>
      <w:r w:rsidR="006507A9" w:rsidRPr="008B2DDA">
        <w:t xml:space="preserve">roupe de travail, </w:t>
      </w:r>
      <w:r w:rsidR="00A341C2" w:rsidRPr="008B2DDA">
        <w:t>à savoir</w:t>
      </w:r>
      <w:r w:rsidRPr="008B2DDA">
        <w:t xml:space="preserve"> que,</w:t>
      </w:r>
      <w:r w:rsidR="006507A9" w:rsidRPr="008B2DDA">
        <w:t xml:space="preserve"> </w:t>
      </w:r>
      <w:r w:rsidRPr="008B2DDA">
        <w:t xml:space="preserve">dans </w:t>
      </w:r>
      <w:r w:rsidR="006507A9" w:rsidRPr="008B2DDA">
        <w:t xml:space="preserve">les </w:t>
      </w:r>
      <w:r w:rsidR="005713F3" w:rsidRPr="008B2DDA">
        <w:t>aires</w:t>
      </w:r>
      <w:r w:rsidR="006507A9" w:rsidRPr="008B2DDA">
        <w:t xml:space="preserve"> </w:t>
      </w:r>
      <w:r w:rsidR="005713F3" w:rsidRPr="008B2DDA">
        <w:t>trans</w:t>
      </w:r>
      <w:r w:rsidRPr="008B2DDA">
        <w:t>frontalières des deux</w:t>
      </w:r>
      <w:r w:rsidR="00E26A2C" w:rsidRPr="008B2DDA">
        <w:t> </w:t>
      </w:r>
      <w:r w:rsidRPr="008B2DDA">
        <w:t>p</w:t>
      </w:r>
      <w:r w:rsidR="006507A9" w:rsidRPr="008B2DDA">
        <w:t xml:space="preserve">arties contractantes, </w:t>
      </w:r>
      <w:r w:rsidRPr="008B2DDA">
        <w:t>en</w:t>
      </w:r>
      <w:r w:rsidR="006507A9" w:rsidRPr="008B2DDA">
        <w:t xml:space="preserve"> l</w:t>
      </w:r>
      <w:r w:rsidR="00A341C2" w:rsidRPr="008B2DDA">
        <w:t>’</w:t>
      </w:r>
      <w:r w:rsidR="006507A9" w:rsidRPr="008B2DDA">
        <w:t>absence d</w:t>
      </w:r>
      <w:r w:rsidR="00A341C2" w:rsidRPr="008B2DDA">
        <w:t>’</w:t>
      </w:r>
      <w:r w:rsidR="006507A9" w:rsidRPr="008B2DDA">
        <w:t xml:space="preserve">accord, </w:t>
      </w:r>
      <w:r w:rsidR="00614FEB" w:rsidRPr="008B2DDA">
        <w:t xml:space="preserve">chaque partie </w:t>
      </w:r>
      <w:r w:rsidR="006507A9" w:rsidRPr="008B2DDA">
        <w:t>pe</w:t>
      </w:r>
      <w:r w:rsidR="00614FEB" w:rsidRPr="008B2DDA">
        <w:t xml:space="preserve">ut </w:t>
      </w:r>
      <w:r w:rsidR="006507A9" w:rsidRPr="008B2DDA">
        <w:t>demander l</w:t>
      </w:r>
      <w:r w:rsidR="00A341C2" w:rsidRPr="008B2DDA">
        <w:t>’</w:t>
      </w:r>
      <w:r w:rsidR="006507A9" w:rsidRPr="008B2DDA">
        <w:t xml:space="preserve">enregistrement en fonction de </w:t>
      </w:r>
      <w:r w:rsidR="00614FEB" w:rsidRPr="008B2DDA">
        <w:t xml:space="preserve">sa </w:t>
      </w:r>
      <w:r w:rsidR="006507A9" w:rsidRPr="008B2DDA">
        <w:t>région d</w:t>
      </w:r>
      <w:r w:rsidR="00A341C2" w:rsidRPr="008B2DDA">
        <w:t>’</w:t>
      </w:r>
      <w:r w:rsidR="006507A9" w:rsidRPr="008B2DDA">
        <w:t>origine</w:t>
      </w:r>
      <w:r w:rsidR="00767A6F" w:rsidRPr="008B2DDA">
        <w:t>, ne figure plus dans la nouvelle formulation</w:t>
      </w:r>
      <w:r w:rsidR="00311638" w:rsidRPr="008B2DDA">
        <w:t>.</w:t>
      </w:r>
    </w:p>
    <w:p w14:paraId="4E0878B9" w14:textId="44879E5E" w:rsidR="007079A8" w:rsidRPr="008B2DDA" w:rsidRDefault="006507A9" w:rsidP="008B2DDA">
      <w:pPr>
        <w:pStyle w:val="ONUMFS"/>
        <w:numPr>
          <w:ilvl w:val="0"/>
          <w:numId w:val="0"/>
        </w:numPr>
      </w:pPr>
      <w:r w:rsidRPr="008B2DDA">
        <w:t>De même, le nouveau texte ne fait pas référence à la po</w:t>
      </w:r>
      <w:r w:rsidR="00E87E6C" w:rsidRPr="008B2DDA">
        <w:t>ssibilité que le produit soit dû</w:t>
      </w:r>
      <w:r w:rsidRPr="008B2DDA">
        <w:t xml:space="preserve"> à une </w:t>
      </w:r>
      <w:r w:rsidR="00E87E6C" w:rsidRPr="008B2DDA">
        <w:t>aire</w:t>
      </w:r>
      <w:r w:rsidRPr="008B2DDA">
        <w:t xml:space="preserve"> </w:t>
      </w:r>
      <w:r w:rsidR="00E87E6C" w:rsidRPr="008B2DDA">
        <w:t>trans</w:t>
      </w:r>
      <w:r w:rsidRPr="008B2DDA">
        <w:t xml:space="preserve">frontalière et </w:t>
      </w:r>
      <w:r w:rsidR="00E87E6C" w:rsidRPr="008B2DDA">
        <w:t xml:space="preserve">que </w:t>
      </w:r>
      <w:r w:rsidRPr="008B2DDA">
        <w:t xml:space="preserve">le demandeur </w:t>
      </w:r>
      <w:r w:rsidR="00E87E6C" w:rsidRPr="008B2DDA">
        <w:t>soit</w:t>
      </w:r>
      <w:r w:rsidRPr="008B2DDA">
        <w:t xml:space="preserve"> une </w:t>
      </w:r>
      <w:r w:rsidR="00E87E6C" w:rsidRPr="008B2DDA">
        <w:t>personne morale</w:t>
      </w:r>
      <w:r w:rsidRPr="008B2DDA">
        <w:t xml:space="preserve"> qui </w:t>
      </w:r>
      <w:r w:rsidR="009B5288" w:rsidRPr="008B2DDA">
        <w:t>compte</w:t>
      </w:r>
      <w:r w:rsidRPr="008B2DDA">
        <w:t xml:space="preserve"> des bénéficiaires dans toute </w:t>
      </w:r>
      <w:r w:rsidR="00E87E6C" w:rsidRPr="008B2DDA">
        <w:t>l</w:t>
      </w:r>
      <w:r w:rsidR="00A341C2" w:rsidRPr="008B2DDA">
        <w:t>’</w:t>
      </w:r>
      <w:r w:rsidR="00E87E6C" w:rsidRPr="008B2DDA">
        <w:t>aire</w:t>
      </w:r>
      <w:r w:rsidRPr="008B2DDA">
        <w:t xml:space="preserve">, cependant, </w:t>
      </w:r>
      <w:r w:rsidR="00E87E6C" w:rsidRPr="008B2DDA">
        <w:t>l</w:t>
      </w:r>
      <w:r w:rsidR="00A341C2" w:rsidRPr="008B2DDA">
        <w:t>’</w:t>
      </w:r>
      <w:r w:rsidR="00E87E6C" w:rsidRPr="008B2DDA">
        <w:t>aire</w:t>
      </w:r>
      <w:r w:rsidRPr="008B2DDA">
        <w:t xml:space="preserve"> comprenant le territoire d</w:t>
      </w:r>
      <w:r w:rsidR="00A341C2" w:rsidRPr="008B2DDA">
        <w:t>’</w:t>
      </w:r>
      <w:r w:rsidRPr="008B2DDA">
        <w:t>un</w:t>
      </w:r>
      <w:r w:rsidR="00E87E6C" w:rsidRPr="008B2DDA">
        <w:t>e</w:t>
      </w:r>
      <w:r w:rsidRPr="008B2DDA">
        <w:t xml:space="preserve"> partie contractante et </w:t>
      </w:r>
      <w:r w:rsidR="00E87E6C" w:rsidRPr="008B2DDA">
        <w:t>d</w:t>
      </w:r>
      <w:r w:rsidR="00A341C2" w:rsidRPr="008B2DDA">
        <w:t>’</w:t>
      </w:r>
      <w:r w:rsidRPr="008B2DDA">
        <w:t xml:space="preserve">autre État ou </w:t>
      </w:r>
      <w:r w:rsidR="00E87E6C" w:rsidRPr="008B2DDA">
        <w:t>d</w:t>
      </w:r>
      <w:r w:rsidR="00A341C2" w:rsidRPr="008B2DDA">
        <w:t>’</w:t>
      </w:r>
      <w:r w:rsidR="00E87E6C" w:rsidRPr="008B2DDA">
        <w:t xml:space="preserve">une autre </w:t>
      </w:r>
      <w:r w:rsidR="007F5BFB" w:rsidRPr="008B2DDA">
        <w:t xml:space="preserve">organisation non </w:t>
      </w:r>
      <w:r w:rsidRPr="008B2DDA">
        <w:t>contractant</w:t>
      </w:r>
      <w:r w:rsidR="00E87E6C" w:rsidRPr="008B2DDA">
        <w:t>s</w:t>
      </w:r>
      <w:r w:rsidR="00153FFE" w:rsidRPr="008B2DDA">
        <w:t>.</w:t>
      </w:r>
    </w:p>
    <w:p w14:paraId="360C2F18" w14:textId="50357C33" w:rsidR="007079A8" w:rsidRPr="008B2DDA" w:rsidRDefault="009B5288" w:rsidP="008B2DDA">
      <w:pPr>
        <w:pStyle w:val="ONUMFS"/>
        <w:numPr>
          <w:ilvl w:val="0"/>
          <w:numId w:val="0"/>
        </w:numPr>
      </w:pPr>
      <w:r w:rsidRPr="008B2DDA">
        <w:t>L</w:t>
      </w:r>
      <w:r w:rsidR="00A341C2" w:rsidRPr="008B2DDA">
        <w:t>’</w:t>
      </w:r>
      <w:r w:rsidRPr="008B2DDA">
        <w:t>on pourrait répondre que</w:t>
      </w:r>
      <w:r w:rsidR="006507A9" w:rsidRPr="008B2DDA">
        <w:t xml:space="preserve"> </w:t>
      </w:r>
      <w:r w:rsidRPr="008B2DDA">
        <w:t>ladite</w:t>
      </w:r>
      <w:r w:rsidR="006507A9" w:rsidRPr="008B2DDA">
        <w:t xml:space="preserve"> personn</w:t>
      </w:r>
      <w:r w:rsidR="00375AF3" w:rsidRPr="008B2DDA">
        <w:t>e ou ladite partie contractante pourr</w:t>
      </w:r>
      <w:r w:rsidR="006507A9" w:rsidRPr="008B2DDA">
        <w:t xml:space="preserve">aient </w:t>
      </w:r>
      <w:r w:rsidR="00E219DF" w:rsidRPr="008B2DDA">
        <w:t>définir</w:t>
      </w:r>
      <w:r w:rsidR="006507A9" w:rsidRPr="008B2DDA">
        <w:t xml:space="preserve"> </w:t>
      </w:r>
      <w:r w:rsidR="00E219DF" w:rsidRPr="008B2DDA">
        <w:t>uniquement l</w:t>
      </w:r>
      <w:r w:rsidR="00A341C2" w:rsidRPr="008B2DDA">
        <w:t>’</w:t>
      </w:r>
      <w:r w:rsidR="00E219DF" w:rsidRPr="008B2DDA">
        <w:t xml:space="preserve">aire </w:t>
      </w:r>
      <w:r w:rsidR="006507A9" w:rsidRPr="008B2DDA">
        <w:t xml:space="preserve">géographique </w:t>
      </w:r>
      <w:r w:rsidR="00375AF3" w:rsidRPr="008B2DDA">
        <w:t>appartenant au</w:t>
      </w:r>
      <w:r w:rsidR="006507A9" w:rsidRPr="008B2DDA">
        <w:t xml:space="preserve"> territoire de la partie contractante. </w:t>
      </w:r>
      <w:r w:rsidR="00375AF3" w:rsidRPr="008B2DDA">
        <w:t xml:space="preserve"> Si tel était le cas, devrai</w:t>
      </w:r>
      <w:r w:rsidR="006507A9" w:rsidRPr="008B2DDA">
        <w:t xml:space="preserve">t </w:t>
      </w:r>
      <w:r w:rsidR="00E219DF" w:rsidRPr="008B2DDA">
        <w:t>figurer</w:t>
      </w:r>
      <w:r w:rsidR="006507A9" w:rsidRPr="008B2DDA">
        <w:t xml:space="preserve"> dans l</w:t>
      </w:r>
      <w:r w:rsidR="00A341C2" w:rsidRPr="008B2DDA">
        <w:t>’</w:t>
      </w:r>
      <w:r w:rsidRPr="008B2DDA">
        <w:t>article </w:t>
      </w:r>
      <w:r w:rsidR="006507A9" w:rsidRPr="008B2DDA">
        <w:t xml:space="preserve">20 </w:t>
      </w:r>
      <w:proofErr w:type="gramStart"/>
      <w:r w:rsidR="00375AF3" w:rsidRPr="008B2DDA">
        <w:t>relatif</w:t>
      </w:r>
      <w:proofErr w:type="gramEnd"/>
      <w:r w:rsidR="00375AF3" w:rsidRPr="008B2DDA">
        <w:t xml:space="preserve"> aux modifications, </w:t>
      </w:r>
      <w:r w:rsidR="006507A9" w:rsidRPr="008B2DDA">
        <w:t xml:space="preserve">la possibilité de </w:t>
      </w:r>
      <w:r w:rsidR="00375AF3" w:rsidRPr="008B2DDA">
        <w:t>modifier le r</w:t>
      </w:r>
      <w:r w:rsidR="006507A9" w:rsidRPr="008B2DDA">
        <w:t xml:space="preserve">egistre et </w:t>
      </w:r>
      <w:r w:rsidR="00E219DF" w:rsidRPr="008B2DDA">
        <w:t>d</w:t>
      </w:r>
      <w:r w:rsidR="00A341C2" w:rsidRPr="008B2DDA">
        <w:t>’</w:t>
      </w:r>
      <w:r w:rsidR="00E219DF" w:rsidRPr="008B2DDA">
        <w:t>en faire un registre commun à</w:t>
      </w:r>
      <w:r w:rsidR="006507A9" w:rsidRPr="008B2DDA">
        <w:t xml:space="preserve"> </w:t>
      </w:r>
      <w:r w:rsidR="00375AF3" w:rsidRPr="008B2DDA">
        <w:t>une aire trans</w:t>
      </w:r>
      <w:r w:rsidR="006507A9" w:rsidRPr="008B2DDA">
        <w:t>frontalière</w:t>
      </w:r>
      <w:r w:rsidR="00375AF3" w:rsidRPr="008B2DDA">
        <w:t xml:space="preserve"> avant </w:t>
      </w:r>
      <w:r w:rsidR="00E219DF" w:rsidRPr="008B2DDA">
        <w:t>l</w:t>
      </w:r>
      <w:r w:rsidR="00A341C2" w:rsidRPr="008B2DDA">
        <w:t>’</w:t>
      </w:r>
      <w:r w:rsidR="00E219DF" w:rsidRPr="008B2DDA">
        <w:t>adhésion au</w:t>
      </w:r>
      <w:r w:rsidR="00375AF3" w:rsidRPr="008B2DDA">
        <w:t xml:space="preserve"> traité d</w:t>
      </w:r>
      <w:r w:rsidR="00A341C2" w:rsidRPr="008B2DDA">
        <w:t>’</w:t>
      </w:r>
      <w:r w:rsidR="00375AF3" w:rsidRPr="008B2DDA">
        <w:t>une partie contractante ayant une dénomination dans l</w:t>
      </w:r>
      <w:r w:rsidR="00A341C2" w:rsidRPr="008B2DDA">
        <w:t>’</w:t>
      </w:r>
      <w:r w:rsidR="00375AF3" w:rsidRPr="008B2DDA">
        <w:t>aire transfrontalière avec une autre partie contractante</w:t>
      </w:r>
      <w:r w:rsidR="00311638" w:rsidRPr="008B2DDA">
        <w:t>.</w:t>
      </w:r>
    </w:p>
    <w:p w14:paraId="0C77760D" w14:textId="06E1FD6B" w:rsidR="007079A8" w:rsidRPr="008B2DDA" w:rsidRDefault="006507A9" w:rsidP="008B2DDA">
      <w:pPr>
        <w:pStyle w:val="ONUMFS"/>
        <w:numPr>
          <w:ilvl w:val="0"/>
          <w:numId w:val="0"/>
        </w:numPr>
      </w:pPr>
      <w:r w:rsidRPr="008B2DDA">
        <w:t>Par conséquent, il est proposé d</w:t>
      </w:r>
      <w:r w:rsidR="00A341C2" w:rsidRPr="008B2DDA">
        <w:t>’</w:t>
      </w:r>
      <w:r w:rsidRPr="008B2DDA">
        <w:t xml:space="preserve">ajouter </w:t>
      </w:r>
      <w:r w:rsidR="00A2650E" w:rsidRPr="008B2DDA">
        <w:t>un sous</w:t>
      </w:r>
      <w:r w:rsidR="00D67EA4" w:rsidRPr="008B2DDA">
        <w:noBreakHyphen/>
      </w:r>
      <w:r w:rsidR="00A2650E" w:rsidRPr="008B2DDA">
        <w:t>alinéa</w:t>
      </w:r>
      <w:r w:rsidRPr="008B2DDA">
        <w:t xml:space="preserve"> </w:t>
      </w:r>
      <w:r w:rsidR="00E219DF" w:rsidRPr="008B2DDA">
        <w:t>qui réglemente</w:t>
      </w:r>
      <w:r w:rsidRPr="008B2DDA">
        <w:t xml:space="preserve"> le cas où une partie contractante a demandé une </w:t>
      </w:r>
      <w:r w:rsidR="00040478" w:rsidRPr="008B2DDA">
        <w:t xml:space="preserve">appellation d’origine </w:t>
      </w:r>
      <w:r w:rsidRPr="008B2DDA">
        <w:t xml:space="preserve">ou </w:t>
      </w:r>
      <w:r w:rsidR="00373DE4" w:rsidRPr="008B2DDA">
        <w:t xml:space="preserve">une </w:t>
      </w:r>
      <w:r w:rsidR="00040478" w:rsidRPr="008B2DDA">
        <w:t>indication géographique</w:t>
      </w:r>
      <w:r w:rsidRPr="008B2DDA">
        <w:t xml:space="preserve"> dans une </w:t>
      </w:r>
      <w:r w:rsidR="00E219DF" w:rsidRPr="008B2DDA">
        <w:t>aire</w:t>
      </w:r>
      <w:r w:rsidRPr="008B2DDA">
        <w:t xml:space="preserve"> géographique d</w:t>
      </w:r>
      <w:r w:rsidR="00A341C2" w:rsidRPr="008B2DDA">
        <w:t>’</w:t>
      </w:r>
      <w:r w:rsidRPr="008B2DDA">
        <w:t xml:space="preserve">origine de la partie contractante, mais </w:t>
      </w:r>
      <w:r w:rsidR="007F5BFB" w:rsidRPr="008B2DDA">
        <w:t>qui est également transfrontalière d</w:t>
      </w:r>
      <w:r w:rsidR="00A341C2" w:rsidRPr="008B2DDA">
        <w:t>’</w:t>
      </w:r>
      <w:r w:rsidR="007F5BFB" w:rsidRPr="008B2DDA">
        <w:t>u</w:t>
      </w:r>
      <w:r w:rsidRPr="008B2DDA">
        <w:t xml:space="preserve">ne autre partie </w:t>
      </w:r>
      <w:r w:rsidR="007F5BFB" w:rsidRPr="008B2DDA">
        <w:t xml:space="preserve">non </w:t>
      </w:r>
      <w:r w:rsidRPr="008B2DDA">
        <w:t xml:space="preserve">contractante </w:t>
      </w:r>
      <w:r w:rsidR="007F5BFB" w:rsidRPr="008B2DDA">
        <w:t>ou d</w:t>
      </w:r>
      <w:r w:rsidR="00A341C2" w:rsidRPr="008B2DDA">
        <w:t>’</w:t>
      </w:r>
      <w:r w:rsidR="007F5BFB" w:rsidRPr="008B2DDA">
        <w:t xml:space="preserve">une partie contractante </w:t>
      </w:r>
      <w:r w:rsidR="00527653" w:rsidRPr="008B2DDA">
        <w:t>n</w:t>
      </w:r>
      <w:r w:rsidR="00A341C2" w:rsidRPr="008B2DDA">
        <w:t>’</w:t>
      </w:r>
      <w:r w:rsidR="00527653" w:rsidRPr="008B2DDA">
        <w:t>ayant pas déposé de demande conjointement</w:t>
      </w:r>
      <w:r w:rsidRPr="008B2DDA">
        <w:t>.</w:t>
      </w:r>
      <w:r w:rsidR="00BC3DAB" w:rsidRPr="008B2DDA">
        <w:t xml:space="preserve"> </w:t>
      </w:r>
      <w:r w:rsidRPr="008B2DDA">
        <w:t xml:space="preserve"> Il est proposé que, dans ce cas, la solution </w:t>
      </w:r>
      <w:r w:rsidR="00527653" w:rsidRPr="008B2DDA">
        <w:t>consiste à</w:t>
      </w:r>
      <w:r w:rsidRPr="008B2DDA">
        <w:t xml:space="preserve"> soumettre </w:t>
      </w:r>
      <w:r w:rsidR="00527653" w:rsidRPr="008B2DDA">
        <w:t>une modification</w:t>
      </w:r>
      <w:r w:rsidRPr="008B2DDA">
        <w:t xml:space="preserve"> </w:t>
      </w:r>
      <w:r w:rsidR="00527653" w:rsidRPr="008B2DDA">
        <w:t xml:space="preserve">qui </w:t>
      </w:r>
      <w:r w:rsidR="00537577" w:rsidRPr="008B2DDA">
        <w:t>soit inscrite</w:t>
      </w:r>
      <w:r w:rsidR="00527653" w:rsidRPr="008B2DDA">
        <w:t xml:space="preserve"> au registre </w:t>
      </w:r>
      <w:r w:rsidRPr="008B2DDA">
        <w:t>international en vertu de l</w:t>
      </w:r>
      <w:r w:rsidR="00A341C2" w:rsidRPr="008B2DDA">
        <w:t>’</w:t>
      </w:r>
      <w:r w:rsidR="00527653" w:rsidRPr="008B2DDA">
        <w:t>article </w:t>
      </w:r>
      <w:r w:rsidRPr="008B2DDA">
        <w:t xml:space="preserve">20 </w:t>
      </w:r>
      <w:r w:rsidR="00537577" w:rsidRPr="008B2DDA">
        <w:t>de l</w:t>
      </w:r>
      <w:r w:rsidR="00A341C2" w:rsidRPr="008B2DDA">
        <w:t>’</w:t>
      </w:r>
      <w:r w:rsidR="00537577" w:rsidRPr="008B2DDA">
        <w:t xml:space="preserve">Arrangement </w:t>
      </w:r>
      <w:r w:rsidRPr="008B2DDA">
        <w:t xml:space="preserve">et </w:t>
      </w:r>
      <w:r w:rsidR="00527653" w:rsidRPr="008B2DDA">
        <w:t>de la règle </w:t>
      </w:r>
      <w:r w:rsidRPr="008B2DDA">
        <w:t>15 du règlement</w:t>
      </w:r>
      <w:r w:rsidR="005224FC" w:rsidRPr="008B2DDA">
        <w:t xml:space="preserve"> d</w:t>
      </w:r>
      <w:r w:rsidR="00A341C2" w:rsidRPr="008B2DDA">
        <w:t>’</w:t>
      </w:r>
      <w:r w:rsidR="005224FC" w:rsidRPr="008B2DDA">
        <w:t>exécution</w:t>
      </w:r>
      <w:r w:rsidR="0019549C" w:rsidRPr="008B2DDA">
        <w:t>.</w:t>
      </w:r>
    </w:p>
    <w:p w14:paraId="5DF88B64" w14:textId="34DABBDE" w:rsidR="007079A8" w:rsidRPr="008B2DDA" w:rsidRDefault="00537577" w:rsidP="008B2DDA">
      <w:pPr>
        <w:pStyle w:val="ONUMFS"/>
        <w:numPr>
          <w:ilvl w:val="0"/>
          <w:numId w:val="0"/>
        </w:numPr>
      </w:pPr>
      <w:r w:rsidRPr="008B2DDA">
        <w:t>Dans ce contexte</w:t>
      </w:r>
      <w:r w:rsidR="006507A9" w:rsidRPr="008B2DDA">
        <w:t xml:space="preserve">, </w:t>
      </w:r>
      <w:r w:rsidRPr="008B2DDA">
        <w:t>la partie non contractante</w:t>
      </w:r>
      <w:r w:rsidR="006507A9" w:rsidRPr="008B2DDA">
        <w:t xml:space="preserve"> doit </w:t>
      </w:r>
      <w:r w:rsidR="00024AF4" w:rsidRPr="008B2DDA">
        <w:t>devenir membre de l</w:t>
      </w:r>
      <w:r w:rsidR="00A341C2" w:rsidRPr="008B2DDA">
        <w:t>’</w:t>
      </w:r>
      <w:r w:rsidR="00024AF4" w:rsidRPr="008B2DDA">
        <w:t xml:space="preserve">Arrangement </w:t>
      </w:r>
      <w:r w:rsidR="006507A9" w:rsidRPr="008B2DDA">
        <w:t>pour qu</w:t>
      </w:r>
      <w:r w:rsidR="00A341C2" w:rsidRPr="008B2DDA">
        <w:t>’</w:t>
      </w:r>
      <w:r w:rsidR="006507A9" w:rsidRPr="008B2DDA">
        <w:t xml:space="preserve">une fois </w:t>
      </w:r>
      <w:r w:rsidRPr="008B2DDA">
        <w:t>devenue</w:t>
      </w:r>
      <w:r w:rsidR="006507A9" w:rsidRPr="008B2DDA">
        <w:t xml:space="preserve"> partie contractante, </w:t>
      </w:r>
      <w:r w:rsidR="00024AF4" w:rsidRPr="008B2DDA">
        <w:t>elle puisse,</w:t>
      </w:r>
      <w:r w:rsidR="006507A9" w:rsidRPr="008B2DDA">
        <w:t xml:space="preserve"> </w:t>
      </w:r>
      <w:r w:rsidR="00024AF4" w:rsidRPr="008B2DDA">
        <w:t xml:space="preserve">conjointement avec la partie contractante, </w:t>
      </w:r>
      <w:r w:rsidR="001A12A9" w:rsidRPr="008B2DDA">
        <w:t xml:space="preserve">bénéficier </w:t>
      </w:r>
      <w:r w:rsidR="00024AF4" w:rsidRPr="008B2DDA">
        <w:t xml:space="preserve">du registre, </w:t>
      </w:r>
      <w:r w:rsidR="006507A9" w:rsidRPr="008B2DDA">
        <w:t>demander la modification de celui</w:t>
      </w:r>
      <w:r w:rsidR="00D67EA4" w:rsidRPr="008B2DDA">
        <w:noBreakHyphen/>
      </w:r>
      <w:r w:rsidR="006507A9" w:rsidRPr="008B2DDA">
        <w:t xml:space="preserve">ci, de </w:t>
      </w:r>
      <w:r w:rsidR="00024AF4" w:rsidRPr="008B2DDA">
        <w:t>manière à pouvoir mettre à jour</w:t>
      </w:r>
      <w:r w:rsidR="006507A9" w:rsidRPr="008B2DDA">
        <w:t xml:space="preserve"> </w:t>
      </w:r>
      <w:r w:rsidR="00E219DF" w:rsidRPr="008B2DDA">
        <w:t>l</w:t>
      </w:r>
      <w:r w:rsidR="00A341C2" w:rsidRPr="008B2DDA">
        <w:t>’</w:t>
      </w:r>
      <w:r w:rsidR="00E219DF" w:rsidRPr="008B2DDA">
        <w:t>aire</w:t>
      </w:r>
      <w:r w:rsidR="006507A9" w:rsidRPr="008B2DDA">
        <w:t xml:space="preserve"> géographique </w:t>
      </w:r>
      <w:r w:rsidR="00024AF4" w:rsidRPr="008B2DDA">
        <w:t>d</w:t>
      </w:r>
      <w:r w:rsidR="00A341C2" w:rsidRPr="008B2DDA">
        <w:t>’</w:t>
      </w:r>
      <w:r w:rsidR="00024AF4" w:rsidRPr="008B2DDA">
        <w:t>origine</w:t>
      </w:r>
      <w:r w:rsidR="006507A9" w:rsidRPr="008B2DDA">
        <w:t xml:space="preserve">, les parties </w:t>
      </w:r>
      <w:r w:rsidR="00024AF4" w:rsidRPr="008B2DDA">
        <w:t>auxquelles elle</w:t>
      </w:r>
      <w:r w:rsidR="006507A9" w:rsidRPr="008B2DDA">
        <w:t xml:space="preserve"> appartient </w:t>
      </w:r>
      <w:r w:rsidR="008221D0" w:rsidRPr="008B2DDA">
        <w:t>et les bénéficiaires de l</w:t>
      </w:r>
      <w:r w:rsidR="00A341C2" w:rsidRPr="008B2DDA">
        <w:t>’</w:t>
      </w:r>
      <w:r w:rsidR="00040478" w:rsidRPr="008B2DDA">
        <w:t>appellation d’origine</w:t>
      </w:r>
      <w:r w:rsidR="008221D0" w:rsidRPr="008B2DDA">
        <w:t xml:space="preserve"> </w:t>
      </w:r>
      <w:r w:rsidR="006507A9" w:rsidRPr="008B2DDA">
        <w:t xml:space="preserve">ou </w:t>
      </w:r>
      <w:r w:rsidR="001A12A9" w:rsidRPr="008B2DDA">
        <w:t>de l</w:t>
      </w:r>
      <w:r w:rsidR="00A341C2" w:rsidRPr="008B2DDA">
        <w:t>’</w:t>
      </w:r>
      <w:r w:rsidR="00040478" w:rsidRPr="008B2DDA">
        <w:t>indication géographique</w:t>
      </w:r>
      <w:r w:rsidR="006507A9" w:rsidRPr="008B2DDA">
        <w:t xml:space="preserve">. </w:t>
      </w:r>
      <w:r w:rsidR="00BC3DAB" w:rsidRPr="008B2DDA">
        <w:t xml:space="preserve"> </w:t>
      </w:r>
      <w:r w:rsidR="00A2650E" w:rsidRPr="008B2DDA">
        <w:t>Le nouveau sous</w:t>
      </w:r>
      <w:r w:rsidR="00D67EA4" w:rsidRPr="008B2DDA">
        <w:noBreakHyphen/>
      </w:r>
      <w:r w:rsidR="00A2650E" w:rsidRPr="008B2DDA">
        <w:t>alinéa</w:t>
      </w:r>
      <w:r w:rsidR="001A12A9" w:rsidRPr="008B2DDA">
        <w:t xml:space="preserve"> serait </w:t>
      </w:r>
      <w:r w:rsidR="00A2650E" w:rsidRPr="008B2DDA">
        <w:t>rédigé</w:t>
      </w:r>
      <w:r w:rsidR="001A12A9" w:rsidRPr="008B2DDA">
        <w:t xml:space="preserve"> comme suit</w:t>
      </w:r>
      <w:r w:rsidRPr="008B2DDA">
        <w:t> </w:t>
      </w:r>
      <w:r w:rsidR="00311638" w:rsidRPr="008B2DDA">
        <w:t>:</w:t>
      </w:r>
    </w:p>
    <w:p w14:paraId="23085DC9" w14:textId="71C83926" w:rsidR="000F53AE" w:rsidRPr="008B2DDA" w:rsidRDefault="003806E2" w:rsidP="008B2DDA">
      <w:pPr>
        <w:pStyle w:val="ONUMFS"/>
        <w:numPr>
          <w:ilvl w:val="0"/>
          <w:numId w:val="0"/>
        </w:numPr>
        <w:ind w:left="567"/>
        <w:rPr>
          <w:i/>
        </w:rPr>
      </w:pPr>
      <w:r w:rsidRPr="008B2DDA">
        <w:rPr>
          <w:i/>
        </w:rPr>
        <w:t>iii)</w:t>
      </w:r>
      <w:r w:rsidRPr="008B2DDA">
        <w:rPr>
          <w:i/>
        </w:rPr>
        <w:tab/>
      </w:r>
      <w:r w:rsidR="006507A9" w:rsidRPr="008B2DDA">
        <w:rPr>
          <w:i/>
        </w:rPr>
        <w:t xml:space="preserve">Si </w:t>
      </w:r>
      <w:r w:rsidR="00E219DF" w:rsidRPr="008B2DDA">
        <w:rPr>
          <w:i/>
        </w:rPr>
        <w:t>l</w:t>
      </w:r>
      <w:r w:rsidR="00A341C2" w:rsidRPr="008B2DDA">
        <w:rPr>
          <w:i/>
        </w:rPr>
        <w:t>’</w:t>
      </w:r>
      <w:r w:rsidR="00E219DF" w:rsidRPr="008B2DDA">
        <w:rPr>
          <w:i/>
        </w:rPr>
        <w:t>aire</w:t>
      </w:r>
      <w:r w:rsidR="006507A9" w:rsidRPr="008B2DDA">
        <w:rPr>
          <w:i/>
        </w:rPr>
        <w:t xml:space="preserve"> géographique d</w:t>
      </w:r>
      <w:r w:rsidR="00A341C2" w:rsidRPr="008B2DDA">
        <w:rPr>
          <w:i/>
        </w:rPr>
        <w:t>’</w:t>
      </w:r>
      <w:r w:rsidR="006507A9" w:rsidRPr="008B2DDA">
        <w:rPr>
          <w:i/>
        </w:rPr>
        <w:t xml:space="preserve">origine est </w:t>
      </w:r>
      <w:r w:rsidR="00A2650E" w:rsidRPr="008B2DDA">
        <w:rPr>
          <w:i/>
        </w:rPr>
        <w:t>transfrontalière</w:t>
      </w:r>
      <w:r w:rsidR="006507A9" w:rsidRPr="008B2DDA">
        <w:rPr>
          <w:i/>
        </w:rPr>
        <w:t xml:space="preserve"> </w:t>
      </w:r>
      <w:r w:rsidR="00A73688" w:rsidRPr="008B2DDA">
        <w:rPr>
          <w:i/>
        </w:rPr>
        <w:t>d</w:t>
      </w:r>
      <w:r w:rsidR="00A341C2" w:rsidRPr="008B2DDA">
        <w:rPr>
          <w:i/>
        </w:rPr>
        <w:t>’</w:t>
      </w:r>
      <w:r w:rsidR="00A73688" w:rsidRPr="008B2DDA">
        <w:rPr>
          <w:i/>
        </w:rPr>
        <w:t xml:space="preserve">une </w:t>
      </w:r>
      <w:r w:rsidR="006507A9" w:rsidRPr="008B2DDA">
        <w:rPr>
          <w:i/>
        </w:rPr>
        <w:t xml:space="preserve">partie </w:t>
      </w:r>
      <w:r w:rsidR="00A73688" w:rsidRPr="008B2DDA">
        <w:rPr>
          <w:i/>
        </w:rPr>
        <w:t xml:space="preserve">non </w:t>
      </w:r>
      <w:r w:rsidR="006507A9" w:rsidRPr="008B2DDA">
        <w:rPr>
          <w:i/>
        </w:rPr>
        <w:t xml:space="preserve">contractante au présent </w:t>
      </w:r>
      <w:r w:rsidR="00BA5307" w:rsidRPr="008B2DDA">
        <w:rPr>
          <w:i/>
        </w:rPr>
        <w:t>a</w:t>
      </w:r>
      <w:r w:rsidR="00A73688" w:rsidRPr="008B2DDA">
        <w:rPr>
          <w:i/>
        </w:rPr>
        <w:t>rrangement</w:t>
      </w:r>
      <w:r w:rsidR="006507A9" w:rsidRPr="008B2DDA">
        <w:rPr>
          <w:i/>
        </w:rPr>
        <w:t xml:space="preserve">, </w:t>
      </w:r>
      <w:r w:rsidR="00A73688" w:rsidRPr="008B2DDA">
        <w:rPr>
          <w:i/>
        </w:rPr>
        <w:t>il est possible de déposer</w:t>
      </w:r>
      <w:r w:rsidR="006507A9" w:rsidRPr="008B2DDA">
        <w:rPr>
          <w:i/>
        </w:rPr>
        <w:t xml:space="preserve"> co</w:t>
      </w:r>
      <w:r w:rsidR="00A73688" w:rsidRPr="008B2DDA">
        <w:rPr>
          <w:i/>
        </w:rPr>
        <w:t xml:space="preserve">njointement une demande </w:t>
      </w:r>
      <w:r w:rsidR="00C36C6C" w:rsidRPr="008B2DDA">
        <w:rPr>
          <w:i/>
        </w:rPr>
        <w:t>d</w:t>
      </w:r>
      <w:r w:rsidR="00A341C2" w:rsidRPr="008B2DDA">
        <w:rPr>
          <w:i/>
        </w:rPr>
        <w:t>’</w:t>
      </w:r>
      <w:r w:rsidR="00C36C6C" w:rsidRPr="008B2DDA">
        <w:rPr>
          <w:i/>
        </w:rPr>
        <w:t>inscription de modification de l</w:t>
      </w:r>
      <w:r w:rsidR="00A341C2" w:rsidRPr="008B2DDA">
        <w:rPr>
          <w:i/>
        </w:rPr>
        <w:t>’</w:t>
      </w:r>
      <w:r w:rsidR="00C36C6C" w:rsidRPr="008B2DDA">
        <w:rPr>
          <w:i/>
        </w:rPr>
        <w:t>aire géographique d</w:t>
      </w:r>
      <w:r w:rsidR="00A341C2" w:rsidRPr="008B2DDA">
        <w:rPr>
          <w:i/>
        </w:rPr>
        <w:t>’</w:t>
      </w:r>
      <w:r w:rsidR="00C36C6C" w:rsidRPr="008B2DDA">
        <w:rPr>
          <w:i/>
        </w:rPr>
        <w:t xml:space="preserve">origine </w:t>
      </w:r>
      <w:r w:rsidR="00BA5307" w:rsidRPr="008B2DDA">
        <w:rPr>
          <w:i/>
        </w:rPr>
        <w:t xml:space="preserve">au </w:t>
      </w:r>
      <w:r w:rsidR="00C36C6C" w:rsidRPr="008B2DDA">
        <w:rPr>
          <w:i/>
        </w:rPr>
        <w:t xml:space="preserve">registre international </w:t>
      </w:r>
      <w:r w:rsidR="006507A9" w:rsidRPr="008B2DDA">
        <w:rPr>
          <w:i/>
        </w:rPr>
        <w:t>conformément à l</w:t>
      </w:r>
      <w:r w:rsidR="00A341C2" w:rsidRPr="008B2DDA">
        <w:rPr>
          <w:i/>
        </w:rPr>
        <w:t>’</w:t>
      </w:r>
      <w:r w:rsidR="00EB361F" w:rsidRPr="008B2DDA">
        <w:rPr>
          <w:i/>
        </w:rPr>
        <w:t>article </w:t>
      </w:r>
      <w:r w:rsidR="006507A9" w:rsidRPr="008B2DDA">
        <w:rPr>
          <w:i/>
        </w:rPr>
        <w:t xml:space="preserve">20 de </w:t>
      </w:r>
      <w:r w:rsidR="00C36C6C" w:rsidRPr="008B2DDA">
        <w:rPr>
          <w:i/>
        </w:rPr>
        <w:t>l</w:t>
      </w:r>
      <w:r w:rsidR="00A341C2" w:rsidRPr="008B2DDA">
        <w:rPr>
          <w:i/>
        </w:rPr>
        <w:t>’</w:t>
      </w:r>
      <w:r w:rsidR="00BA5307" w:rsidRPr="008B2DDA">
        <w:rPr>
          <w:i/>
        </w:rPr>
        <w:t>a</w:t>
      </w:r>
      <w:r w:rsidR="00C36C6C" w:rsidRPr="008B2DDA">
        <w:rPr>
          <w:i/>
        </w:rPr>
        <w:t>rrangement</w:t>
      </w:r>
      <w:r w:rsidR="006507A9" w:rsidRPr="008B2DDA">
        <w:rPr>
          <w:i/>
        </w:rPr>
        <w:t xml:space="preserve"> </w:t>
      </w:r>
      <w:r w:rsidR="00E00F00" w:rsidRPr="008B2DDA">
        <w:rPr>
          <w:i/>
        </w:rPr>
        <w:t xml:space="preserve">et </w:t>
      </w:r>
      <w:r w:rsidR="00C36C6C" w:rsidRPr="008B2DDA">
        <w:rPr>
          <w:i/>
        </w:rPr>
        <w:t>à l</w:t>
      </w:r>
      <w:r w:rsidR="00EB361F" w:rsidRPr="008B2DDA">
        <w:rPr>
          <w:i/>
        </w:rPr>
        <w:t>a règle </w:t>
      </w:r>
      <w:r w:rsidR="006507A9" w:rsidRPr="008B2DDA">
        <w:rPr>
          <w:i/>
        </w:rPr>
        <w:t>15</w:t>
      </w:r>
      <w:r w:rsidR="00943B80" w:rsidRPr="008B2DDA">
        <w:rPr>
          <w:i/>
        </w:rPr>
        <w:t>.</w:t>
      </w:r>
      <w:r w:rsidR="006507A9" w:rsidRPr="008B2DDA">
        <w:rPr>
          <w:i/>
        </w:rPr>
        <w:t>i), iii)</w:t>
      </w:r>
      <w:r w:rsidR="00943B80" w:rsidRPr="008B2DDA">
        <w:rPr>
          <w:i/>
        </w:rPr>
        <w:t xml:space="preserve"> et </w:t>
      </w:r>
      <w:r w:rsidR="006507A9" w:rsidRPr="008B2DDA">
        <w:rPr>
          <w:i/>
        </w:rPr>
        <w:t>iv)</w:t>
      </w:r>
      <w:r w:rsidR="00E26A2C" w:rsidRPr="008B2DDA">
        <w:rPr>
          <w:i/>
        </w:rPr>
        <w:t> </w:t>
      </w:r>
      <w:r w:rsidR="006507A9" w:rsidRPr="008B2DDA">
        <w:rPr>
          <w:i/>
        </w:rPr>
        <w:t xml:space="preserve">du </w:t>
      </w:r>
      <w:r w:rsidR="00EB361F" w:rsidRPr="008B2DDA">
        <w:rPr>
          <w:i/>
        </w:rPr>
        <w:t>règlement d</w:t>
      </w:r>
      <w:r w:rsidR="00A341C2" w:rsidRPr="008B2DDA">
        <w:rPr>
          <w:i/>
        </w:rPr>
        <w:t>’</w:t>
      </w:r>
      <w:r w:rsidR="00EB361F" w:rsidRPr="008B2DDA">
        <w:rPr>
          <w:i/>
        </w:rPr>
        <w:t>exécution</w:t>
      </w:r>
      <w:r w:rsidR="00C36C6C" w:rsidRPr="008B2DDA">
        <w:rPr>
          <w:i/>
        </w:rPr>
        <w:t xml:space="preserve">, </w:t>
      </w:r>
      <w:r w:rsidR="00153FFE" w:rsidRPr="008B2DDA">
        <w:rPr>
          <w:i/>
        </w:rPr>
        <w:t>à partir du moment où</w:t>
      </w:r>
      <w:r w:rsidR="00CD4E54" w:rsidRPr="008B2DDA">
        <w:rPr>
          <w:i/>
        </w:rPr>
        <w:t xml:space="preserve"> </w:t>
      </w:r>
      <w:r w:rsidR="00C36C6C" w:rsidRPr="008B2DDA">
        <w:rPr>
          <w:i/>
        </w:rPr>
        <w:t xml:space="preserve">la partie non </w:t>
      </w:r>
      <w:r w:rsidR="00153FFE" w:rsidRPr="008B2DDA">
        <w:rPr>
          <w:i/>
        </w:rPr>
        <w:t xml:space="preserve">contractante </w:t>
      </w:r>
      <w:r w:rsidR="00CD4E54" w:rsidRPr="008B2DDA">
        <w:rPr>
          <w:i/>
        </w:rPr>
        <w:t xml:space="preserve">devient </w:t>
      </w:r>
      <w:r w:rsidR="006507A9" w:rsidRPr="008B2DDA">
        <w:rPr>
          <w:i/>
        </w:rPr>
        <w:t xml:space="preserve">membre de </w:t>
      </w:r>
      <w:r w:rsidR="00C36C6C" w:rsidRPr="008B2DDA">
        <w:rPr>
          <w:i/>
        </w:rPr>
        <w:t>l</w:t>
      </w:r>
      <w:r w:rsidR="00A341C2" w:rsidRPr="008B2DDA">
        <w:rPr>
          <w:i/>
        </w:rPr>
        <w:t>’</w:t>
      </w:r>
      <w:r w:rsidR="00BA5307" w:rsidRPr="008B2DDA">
        <w:rPr>
          <w:i/>
        </w:rPr>
        <w:t>a</w:t>
      </w:r>
      <w:r w:rsidR="00C36C6C" w:rsidRPr="008B2DDA">
        <w:rPr>
          <w:i/>
        </w:rPr>
        <w:t>rrangement</w:t>
      </w:r>
      <w:r w:rsidR="00311638" w:rsidRPr="008B2DDA">
        <w:rPr>
          <w:i/>
        </w:rPr>
        <w:t>.</w:t>
      </w:r>
    </w:p>
    <w:p w14:paraId="69F6BC0F" w14:textId="77777777" w:rsidR="007079A8" w:rsidRPr="008B2DDA" w:rsidRDefault="007079A8" w:rsidP="008B2DDA"/>
    <w:p w14:paraId="399984C2" w14:textId="48EB0D2A" w:rsidR="007079A8" w:rsidRPr="008B2DDA" w:rsidRDefault="007F5BFB" w:rsidP="008B2DDA">
      <w:pPr>
        <w:pStyle w:val="ONUMFS"/>
      </w:pPr>
      <w:r w:rsidRPr="008B2DDA">
        <w:t>S</w:t>
      </w:r>
      <w:r w:rsidR="00A341C2" w:rsidRPr="008B2DDA">
        <w:t>’</w:t>
      </w:r>
      <w:r w:rsidRPr="008B2DDA">
        <w:t>agissant de</w:t>
      </w:r>
      <w:r w:rsidR="006507A9" w:rsidRPr="008B2DDA">
        <w:t xml:space="preserve"> l</w:t>
      </w:r>
      <w:r w:rsidR="00A341C2" w:rsidRPr="008B2DDA">
        <w:t>’</w:t>
      </w:r>
      <w:r w:rsidRPr="008B2DDA">
        <w:t>article </w:t>
      </w:r>
      <w:r w:rsidR="004F0D64" w:rsidRPr="008B2DDA">
        <w:t xml:space="preserve">qui </w:t>
      </w:r>
      <w:r w:rsidR="006507A9" w:rsidRPr="008B2DDA">
        <w:t xml:space="preserve">6, </w:t>
      </w:r>
      <w:r w:rsidR="0075777F" w:rsidRPr="008B2DDA">
        <w:t>indique depuis quelle</w:t>
      </w:r>
      <w:r w:rsidR="006507A9" w:rsidRPr="008B2DDA">
        <w:t xml:space="preserve"> date l</w:t>
      </w:r>
      <w:r w:rsidR="00A341C2" w:rsidRPr="008B2DDA">
        <w:t>’</w:t>
      </w:r>
      <w:r w:rsidR="006507A9" w:rsidRPr="008B2DDA">
        <w:t>enregistrement</w:t>
      </w:r>
      <w:r w:rsidR="0075777F" w:rsidRPr="008B2DDA">
        <w:t xml:space="preserve"> est considéré comme effectué</w:t>
      </w:r>
      <w:r w:rsidR="006507A9" w:rsidRPr="008B2DDA">
        <w:t xml:space="preserve">, il </w:t>
      </w:r>
      <w:r w:rsidR="007550D2" w:rsidRPr="008B2DDA">
        <w:t>importe</w:t>
      </w:r>
      <w:r w:rsidR="006507A9" w:rsidRPr="008B2DDA">
        <w:t xml:space="preserve"> de préciser que les données qui identifient les bénéficiaires ou </w:t>
      </w:r>
      <w:r w:rsidR="007550D2" w:rsidRPr="008B2DDA">
        <w:t xml:space="preserve">la personne </w:t>
      </w:r>
      <w:r w:rsidR="006507A9" w:rsidRPr="008B2DDA">
        <w:t xml:space="preserve">morale visée à </w:t>
      </w:r>
      <w:r w:rsidR="000F53AE" w:rsidRPr="008B2DDA">
        <w:t>l</w:t>
      </w:r>
      <w:r w:rsidR="00A341C2" w:rsidRPr="008B2DDA">
        <w:t>’</w:t>
      </w:r>
      <w:r w:rsidR="000F53AE" w:rsidRPr="008B2DDA">
        <w:t>article 6.5</w:t>
      </w:r>
      <w:proofErr w:type="gramStart"/>
      <w:r w:rsidR="000F53AE" w:rsidRPr="008B2DDA">
        <w:t>)</w:t>
      </w:r>
      <w:r w:rsidR="006507A9" w:rsidRPr="008B2DDA">
        <w:t>ii</w:t>
      </w:r>
      <w:proofErr w:type="gramEnd"/>
      <w:r w:rsidR="006507A9" w:rsidRPr="008B2DDA">
        <w:t xml:space="preserve">) sont obligatoires </w:t>
      </w:r>
      <w:r w:rsidR="008626DC" w:rsidRPr="008B2DDA">
        <w:t xml:space="preserve">pour que puisse être </w:t>
      </w:r>
      <w:r w:rsidR="00381192" w:rsidRPr="008B2DDA">
        <w:t>donnée</w:t>
      </w:r>
      <w:r w:rsidR="008626DC" w:rsidRPr="008B2DDA">
        <w:t xml:space="preserve"> la</w:t>
      </w:r>
      <w:r w:rsidR="006507A9" w:rsidRPr="008B2DDA">
        <w:t xml:space="preserve"> date</w:t>
      </w:r>
      <w:r w:rsidR="008626DC" w:rsidRPr="008B2DDA">
        <w:t xml:space="preserve"> d</w:t>
      </w:r>
      <w:r w:rsidR="00A341C2" w:rsidRPr="008B2DDA">
        <w:t>’</w:t>
      </w:r>
      <w:r w:rsidR="008626DC" w:rsidRPr="008B2DDA">
        <w:t>enregistrement</w:t>
      </w:r>
      <w:r w:rsidR="006507A9" w:rsidRPr="008B2DDA">
        <w:t xml:space="preserve"> et que </w:t>
      </w:r>
      <w:r w:rsidR="008626DC" w:rsidRPr="008B2DDA">
        <w:t>lesdites</w:t>
      </w:r>
      <w:r w:rsidR="006507A9" w:rsidRPr="008B2DDA">
        <w:t xml:space="preserve"> données doivent </w:t>
      </w:r>
      <w:r w:rsidR="008626DC" w:rsidRPr="008B2DDA">
        <w:t xml:space="preserve">être </w:t>
      </w:r>
      <w:r w:rsidR="00381192" w:rsidRPr="008B2DDA">
        <w:t>mentionnées</w:t>
      </w:r>
      <w:r w:rsidR="006507A9" w:rsidRPr="008B2DDA">
        <w:t xml:space="preserve">, au moment du dépôt de </w:t>
      </w:r>
      <w:r w:rsidR="008626DC" w:rsidRPr="008B2DDA">
        <w:t>la demande d</w:t>
      </w:r>
      <w:r w:rsidR="00A341C2" w:rsidRPr="008B2DDA">
        <w:t>’</w:t>
      </w:r>
      <w:r w:rsidR="006507A9" w:rsidRPr="008B2DDA">
        <w:t xml:space="preserve">enregistrement international </w:t>
      </w:r>
      <w:r w:rsidR="008626DC" w:rsidRPr="008B2DDA">
        <w:t>conformément à</w:t>
      </w:r>
      <w:r w:rsidR="006507A9" w:rsidRPr="008B2DDA">
        <w:t xml:space="preserve"> </w:t>
      </w:r>
      <w:r w:rsidR="007550D2" w:rsidRPr="008B2DDA">
        <w:t>la règle </w:t>
      </w:r>
      <w:r w:rsidR="006507A9" w:rsidRPr="008B2DDA">
        <w:t>5</w:t>
      </w:r>
      <w:r w:rsidR="007550D2" w:rsidRPr="008B2DDA">
        <w:t>.2</w:t>
      </w:r>
      <w:r w:rsidR="006507A9" w:rsidRPr="008B2DDA">
        <w:t xml:space="preserve"> du règlement</w:t>
      </w:r>
      <w:r w:rsidR="007550D2" w:rsidRPr="008B2DDA">
        <w:t xml:space="preserve"> d</w:t>
      </w:r>
      <w:r w:rsidR="00A341C2" w:rsidRPr="008B2DDA">
        <w:t>’</w:t>
      </w:r>
      <w:r w:rsidR="007550D2" w:rsidRPr="008B2DDA">
        <w:t>exécution</w:t>
      </w:r>
      <w:r w:rsidR="00311638" w:rsidRPr="008B2DDA">
        <w:t>.</w:t>
      </w:r>
    </w:p>
    <w:p w14:paraId="5186E33D" w14:textId="6B62F366" w:rsidR="007079A8" w:rsidRPr="008B2DDA" w:rsidRDefault="00767A6F" w:rsidP="008B2DDA">
      <w:pPr>
        <w:pStyle w:val="ONUMFS"/>
      </w:pPr>
      <w:r w:rsidRPr="008B2DDA">
        <w:t>En</w:t>
      </w:r>
      <w:r w:rsidR="003E1282" w:rsidRPr="008B2DDA">
        <w:t xml:space="preserve"> ce qui concerne</w:t>
      </w:r>
      <w:r w:rsidR="006507A9" w:rsidRPr="008B2DDA">
        <w:t xml:space="preserve"> la qualité, la </w:t>
      </w:r>
      <w:r w:rsidR="008626DC" w:rsidRPr="008B2DDA">
        <w:t>notoriété</w:t>
      </w:r>
      <w:r w:rsidR="006507A9" w:rsidRPr="008B2DDA">
        <w:t xml:space="preserve"> ou </w:t>
      </w:r>
      <w:r w:rsidR="008626DC" w:rsidRPr="008B2DDA">
        <w:t>d</w:t>
      </w:r>
      <w:r w:rsidR="00A341C2" w:rsidRPr="008B2DDA">
        <w:t>’</w:t>
      </w:r>
      <w:r w:rsidR="008626DC" w:rsidRPr="008B2DDA">
        <w:t>autres caractères</w:t>
      </w:r>
      <w:r w:rsidR="006507A9" w:rsidRPr="008B2DDA">
        <w:t xml:space="preserve"> du produit </w:t>
      </w:r>
      <w:r w:rsidR="003E1282" w:rsidRPr="008B2DDA">
        <w:t>faisant l</w:t>
      </w:r>
      <w:r w:rsidR="00A341C2" w:rsidRPr="008B2DDA">
        <w:t>’</w:t>
      </w:r>
      <w:r w:rsidR="003E1282" w:rsidRPr="008B2DDA">
        <w:t>objet</w:t>
      </w:r>
      <w:r w:rsidR="008626DC" w:rsidRPr="008B2DDA">
        <w:t xml:space="preserve"> </w:t>
      </w:r>
      <w:r w:rsidR="003E1282" w:rsidRPr="008B2DDA">
        <w:t xml:space="preserve">de </w:t>
      </w:r>
      <w:r w:rsidR="008626DC" w:rsidRPr="008B2DDA">
        <w:t>la demande d</w:t>
      </w:r>
      <w:r w:rsidR="00A341C2" w:rsidRPr="008B2DDA">
        <w:t>’</w:t>
      </w:r>
      <w:r w:rsidR="008626DC" w:rsidRPr="008B2DDA">
        <w:t>enregistrement international</w:t>
      </w:r>
      <w:r w:rsidR="006507A9" w:rsidRPr="008B2DDA">
        <w:t xml:space="preserve">, </w:t>
      </w:r>
      <w:r w:rsidR="008626DC" w:rsidRPr="008B2DDA">
        <w:t>la règle</w:t>
      </w:r>
      <w:r w:rsidR="00E26A2C" w:rsidRPr="008B2DDA">
        <w:t> </w:t>
      </w:r>
      <w:r w:rsidR="006507A9" w:rsidRPr="008B2DDA">
        <w:t>5</w:t>
      </w:r>
      <w:r w:rsidR="008626DC" w:rsidRPr="008B2DDA">
        <w:t>.3</w:t>
      </w:r>
      <w:r w:rsidR="006507A9" w:rsidRPr="008B2DDA">
        <w:t xml:space="preserve"> fournit trois</w:t>
      </w:r>
      <w:r w:rsidR="00E26A2C" w:rsidRPr="008B2DDA">
        <w:t> </w:t>
      </w:r>
      <w:r w:rsidR="006507A9" w:rsidRPr="008B2DDA">
        <w:t>variantes</w:t>
      </w:r>
      <w:r w:rsidR="008626DC" w:rsidRPr="008B2DDA">
        <w:t>;</w:t>
      </w:r>
      <w:r w:rsidR="008221D0" w:rsidRPr="008B2DDA">
        <w:t xml:space="preserve">  il est proposé de choisir</w:t>
      </w:r>
      <w:r w:rsidR="006507A9" w:rsidRPr="008B2DDA">
        <w:t xml:space="preserve"> la variante A, </w:t>
      </w:r>
      <w:r w:rsidR="003E1282" w:rsidRPr="008B2DDA">
        <w:t>qui impose au</w:t>
      </w:r>
      <w:r w:rsidR="006507A9" w:rsidRPr="008B2DDA">
        <w:t xml:space="preserve"> demandeur </w:t>
      </w:r>
      <w:r w:rsidR="004F0D64" w:rsidRPr="008B2DDA">
        <w:t>de mentionner</w:t>
      </w:r>
      <w:r w:rsidR="003E1282" w:rsidRPr="008B2DDA">
        <w:t xml:space="preserve"> ces données lors du</w:t>
      </w:r>
      <w:r w:rsidR="006507A9" w:rsidRPr="008B2DDA">
        <w:t xml:space="preserve"> dépôt.</w:t>
      </w:r>
      <w:r w:rsidR="003E1282" w:rsidRPr="008B2DDA">
        <w:t xml:space="preserve"> </w:t>
      </w:r>
      <w:r w:rsidR="006507A9" w:rsidRPr="008B2DDA">
        <w:t xml:space="preserve"> </w:t>
      </w:r>
      <w:r w:rsidR="003E1282" w:rsidRPr="008B2DDA">
        <w:t>En effet,</w:t>
      </w:r>
      <w:r w:rsidR="006507A9" w:rsidRPr="008B2DDA">
        <w:t xml:space="preserve"> le re</w:t>
      </w:r>
      <w:r w:rsidR="003E1282" w:rsidRPr="008B2DDA">
        <w:t xml:space="preserve">gistre international étant public, </w:t>
      </w:r>
      <w:r w:rsidR="006507A9" w:rsidRPr="008B2DDA">
        <w:t xml:space="preserve">il </w:t>
      </w:r>
      <w:r w:rsidR="003E1282" w:rsidRPr="008B2DDA">
        <w:t xml:space="preserve">importe, lors de sa consultation, de pouvoir </w:t>
      </w:r>
      <w:r w:rsidR="005502E1" w:rsidRPr="008B2DDA">
        <w:t xml:space="preserve">connaître </w:t>
      </w:r>
      <w:r w:rsidR="00CD4E54" w:rsidRPr="008B2DDA">
        <w:t>ces caractéristiques</w:t>
      </w:r>
      <w:r w:rsidR="006507A9" w:rsidRPr="008B2DDA">
        <w:t>, qui sont la raison d</w:t>
      </w:r>
      <w:r w:rsidR="00A341C2" w:rsidRPr="008B2DDA">
        <w:t>’</w:t>
      </w:r>
      <w:r w:rsidR="006507A9" w:rsidRPr="008B2DDA">
        <w:t>être de la protection</w:t>
      </w:r>
      <w:r w:rsidR="003E1282" w:rsidRPr="008B2DDA">
        <w:t> </w:t>
      </w:r>
      <w:r w:rsidR="006507A9" w:rsidRPr="008B2DDA">
        <w:t xml:space="preserve">: le lien entre le produit et </w:t>
      </w:r>
      <w:r w:rsidR="00E219DF" w:rsidRPr="008B2DDA">
        <w:t>l</w:t>
      </w:r>
      <w:r w:rsidR="00A341C2" w:rsidRPr="008B2DDA">
        <w:t>’</w:t>
      </w:r>
      <w:r w:rsidR="00E219DF" w:rsidRPr="008B2DDA">
        <w:t>aire</w:t>
      </w:r>
      <w:r w:rsidR="006507A9" w:rsidRPr="008B2DDA">
        <w:t xml:space="preserve"> géographique sur laquelle </w:t>
      </w:r>
      <w:r w:rsidR="00A40A89" w:rsidRPr="008B2DDA">
        <w:t xml:space="preserve">les </w:t>
      </w:r>
      <w:r w:rsidR="006507A9" w:rsidRPr="008B2DDA">
        <w:t xml:space="preserve">droits </w:t>
      </w:r>
      <w:r w:rsidR="00A40A89" w:rsidRPr="008B2DDA">
        <w:t xml:space="preserve">sont ou ont été </w:t>
      </w:r>
      <w:r w:rsidR="00BF31D9" w:rsidRPr="008B2DDA">
        <w:t>octroyés</w:t>
      </w:r>
      <w:r w:rsidR="00311638" w:rsidRPr="008B2DDA">
        <w:t>.</w:t>
      </w:r>
    </w:p>
    <w:p w14:paraId="3EC8700E" w14:textId="20DD17F3" w:rsidR="007079A8" w:rsidRPr="008B2DDA" w:rsidRDefault="00EC7406" w:rsidP="008B2DDA">
      <w:pPr>
        <w:pStyle w:val="ONUMFS"/>
      </w:pPr>
      <w:r w:rsidRPr="008B2DDA">
        <w:t>La règle</w:t>
      </w:r>
      <w:r w:rsidR="00E26A2C" w:rsidRPr="008B2DDA">
        <w:t> </w:t>
      </w:r>
      <w:r w:rsidR="000F53AE" w:rsidRPr="008B2DDA">
        <w:t>5.</w:t>
      </w:r>
      <w:r w:rsidR="006507A9" w:rsidRPr="008B2DDA">
        <w:t>5</w:t>
      </w:r>
      <w:r w:rsidR="000F53AE" w:rsidRPr="008B2DDA">
        <w:t>)</w:t>
      </w:r>
      <w:r w:rsidR="006507A9" w:rsidRPr="008B2DDA">
        <w:t xml:space="preserve"> du règlement </w:t>
      </w:r>
      <w:r w:rsidR="00AD0AC9" w:rsidRPr="008B2DDA">
        <w:t>d</w:t>
      </w:r>
      <w:r w:rsidR="00A341C2" w:rsidRPr="008B2DDA">
        <w:t>’</w:t>
      </w:r>
      <w:r w:rsidR="00AD0AC9" w:rsidRPr="008B2DDA">
        <w:t xml:space="preserve">exécution </w:t>
      </w:r>
      <w:r w:rsidRPr="008B2DDA">
        <w:t>propose</w:t>
      </w:r>
      <w:r w:rsidR="006507A9" w:rsidRPr="008B2DDA">
        <w:t xml:space="preserve"> trois</w:t>
      </w:r>
      <w:r w:rsidR="00E26A2C" w:rsidRPr="008B2DDA">
        <w:t> </w:t>
      </w:r>
      <w:r w:rsidR="006507A9" w:rsidRPr="008B2DDA">
        <w:t xml:space="preserve">variantes </w:t>
      </w:r>
      <w:r w:rsidRPr="008B2DDA">
        <w:t>en ce qui concerne</w:t>
      </w:r>
      <w:r w:rsidR="006507A9" w:rsidRPr="008B2DDA">
        <w:t xml:space="preserve"> la possibilité d</w:t>
      </w:r>
      <w:r w:rsidR="00A341C2" w:rsidRPr="008B2DDA">
        <w:t>’</w:t>
      </w:r>
      <w:r w:rsidR="006507A9" w:rsidRPr="008B2DDA">
        <w:t xml:space="preserve">inclure dans le contenu de la demande </w:t>
      </w:r>
      <w:r w:rsidRPr="008B2DDA">
        <w:t>d</w:t>
      </w:r>
      <w:r w:rsidR="00A341C2" w:rsidRPr="008B2DDA">
        <w:t>’</w:t>
      </w:r>
      <w:r w:rsidRPr="008B2DDA">
        <w:t>enregistrement international</w:t>
      </w:r>
      <w:r w:rsidR="006507A9" w:rsidRPr="008B2DDA">
        <w:t xml:space="preserve"> la décision </w:t>
      </w:r>
      <w:r w:rsidR="00584781" w:rsidRPr="008B2DDA">
        <w:t>en vertu de</w:t>
      </w:r>
      <w:r w:rsidR="006507A9" w:rsidRPr="008B2DDA">
        <w:t xml:space="preserve"> laquelle la protection de </w:t>
      </w:r>
      <w:r w:rsidR="008221D0" w:rsidRPr="008B2DDA">
        <w:t>l</w:t>
      </w:r>
      <w:r w:rsidR="00A341C2" w:rsidRPr="008B2DDA">
        <w:t>’</w:t>
      </w:r>
      <w:r w:rsidR="00BA5307" w:rsidRPr="008B2DDA">
        <w:t xml:space="preserve">appellation d’origine </w:t>
      </w:r>
      <w:r w:rsidR="006507A9" w:rsidRPr="008B2DDA">
        <w:t xml:space="preserve">ou </w:t>
      </w:r>
      <w:r w:rsidR="000F53AE" w:rsidRPr="008B2DDA">
        <w:t>de l</w:t>
      </w:r>
      <w:r w:rsidR="00A341C2" w:rsidRPr="008B2DDA">
        <w:t>’</w:t>
      </w:r>
      <w:r w:rsidR="00BA5307" w:rsidRPr="008B2DDA">
        <w:t>indication géographique</w:t>
      </w:r>
      <w:r w:rsidR="006507A9" w:rsidRPr="008B2DDA">
        <w:t xml:space="preserve"> est </w:t>
      </w:r>
      <w:r w:rsidR="00584781" w:rsidRPr="008B2DDA">
        <w:t>accordée</w:t>
      </w:r>
      <w:r w:rsidR="006507A9" w:rsidRPr="008B2DDA">
        <w:t xml:space="preserve"> </w:t>
      </w:r>
      <w:r w:rsidR="00584781" w:rsidRPr="008B2DDA">
        <w:t>à la</w:t>
      </w:r>
      <w:r w:rsidR="006507A9" w:rsidRPr="008B2DDA">
        <w:t xml:space="preserve"> partie contractant</w:t>
      </w:r>
      <w:r w:rsidR="00584781" w:rsidRPr="008B2DDA">
        <w:t>e</w:t>
      </w:r>
      <w:r w:rsidR="006507A9" w:rsidRPr="008B2DDA">
        <w:t>, lorsqu</w:t>
      </w:r>
      <w:r w:rsidR="00A341C2" w:rsidRPr="008B2DDA">
        <w:t>’</w:t>
      </w:r>
      <w:r w:rsidR="006507A9" w:rsidRPr="008B2DDA">
        <w:t xml:space="preserve">il est </w:t>
      </w:r>
      <w:r w:rsidR="00584781" w:rsidRPr="008B2DDA">
        <w:t>précisé</w:t>
      </w:r>
      <w:r w:rsidR="006507A9" w:rsidRPr="008B2DDA">
        <w:t xml:space="preserve"> que la protection</w:t>
      </w:r>
      <w:r w:rsidR="00584781" w:rsidRPr="008B2DDA">
        <w:t xml:space="preserve"> n</w:t>
      </w:r>
      <w:r w:rsidR="00A341C2" w:rsidRPr="008B2DDA">
        <w:t>’</w:t>
      </w:r>
      <w:r w:rsidR="006507A9" w:rsidRPr="008B2DDA">
        <w:t xml:space="preserve">est </w:t>
      </w:r>
      <w:r w:rsidR="00584781" w:rsidRPr="008B2DDA">
        <w:t xml:space="preserve">pas </w:t>
      </w:r>
      <w:r w:rsidR="006507A9" w:rsidRPr="008B2DDA">
        <w:t xml:space="preserve">accordée pour certains éléments de </w:t>
      </w:r>
      <w:r w:rsidR="008221D0" w:rsidRPr="008B2DDA">
        <w:t>l</w:t>
      </w:r>
      <w:r w:rsidR="00A341C2" w:rsidRPr="008B2DDA">
        <w:t>’</w:t>
      </w:r>
      <w:r w:rsidR="00AB2EF0" w:rsidRPr="008B2DDA">
        <w:t xml:space="preserve">appellation d’origine </w:t>
      </w:r>
      <w:r w:rsidR="006507A9" w:rsidRPr="008B2DDA">
        <w:t xml:space="preserve">ou </w:t>
      </w:r>
      <w:r w:rsidR="000F53AE" w:rsidRPr="008B2DDA">
        <w:t>de l</w:t>
      </w:r>
      <w:r w:rsidR="00A341C2" w:rsidRPr="008B2DDA">
        <w:t>’</w:t>
      </w:r>
      <w:r w:rsidR="00AB2EF0" w:rsidRPr="008B2DDA">
        <w:t>indication géographique</w:t>
      </w:r>
      <w:r w:rsidR="006507A9" w:rsidRPr="008B2DDA">
        <w:t xml:space="preserve">. </w:t>
      </w:r>
      <w:r w:rsidR="000F53AE" w:rsidRPr="008B2DDA">
        <w:t xml:space="preserve"> </w:t>
      </w:r>
      <w:r w:rsidR="006507A9" w:rsidRPr="008B2DDA">
        <w:t xml:space="preserve">Il est proposé de choisir la variante A, </w:t>
      </w:r>
      <w:r w:rsidRPr="008B2DDA">
        <w:t>qui impose</w:t>
      </w:r>
      <w:r w:rsidR="006507A9" w:rsidRPr="008B2DDA">
        <w:t xml:space="preserve"> </w:t>
      </w:r>
      <w:r w:rsidR="00584781" w:rsidRPr="008B2DDA">
        <w:t>d</w:t>
      </w:r>
      <w:r w:rsidR="00A341C2" w:rsidRPr="008B2DDA">
        <w:t>’</w:t>
      </w:r>
      <w:r w:rsidR="00767A6F" w:rsidRPr="008B2DDA">
        <w:t xml:space="preserve">accompagner le </w:t>
      </w:r>
      <w:r w:rsidR="006507A9" w:rsidRPr="008B2DDA">
        <w:t>dépôt de demande</w:t>
      </w:r>
      <w:r w:rsidR="00767A6F" w:rsidRPr="008B2DDA">
        <w:t xml:space="preserve"> du document de décision</w:t>
      </w:r>
      <w:r w:rsidR="006507A9" w:rsidRPr="008B2DDA">
        <w:t xml:space="preserve">, </w:t>
      </w:r>
      <w:r w:rsidR="00584781" w:rsidRPr="008B2DDA">
        <w:t>en précisant</w:t>
      </w:r>
      <w:r w:rsidR="006507A9" w:rsidRPr="008B2DDA">
        <w:t xml:space="preserve"> </w:t>
      </w:r>
      <w:r w:rsidR="00750623" w:rsidRPr="008B2DDA">
        <w:t>qu</w:t>
      </w:r>
      <w:r w:rsidR="00A341C2" w:rsidRPr="008B2DDA">
        <w:t>’</w:t>
      </w:r>
      <w:r w:rsidR="00750623" w:rsidRPr="008B2DDA">
        <w:t>une</w:t>
      </w:r>
      <w:r w:rsidR="006507A9" w:rsidRPr="008B2DDA">
        <w:t xml:space="preserve"> copie de la décision </w:t>
      </w:r>
      <w:r w:rsidR="00750623" w:rsidRPr="008B2DDA">
        <w:t>doit être fournie dans la</w:t>
      </w:r>
      <w:r w:rsidR="006507A9" w:rsidRPr="008B2DDA">
        <w:t xml:space="preserve"> langue originale de l</w:t>
      </w:r>
      <w:r w:rsidR="00A341C2" w:rsidRPr="008B2DDA">
        <w:t>’</w:t>
      </w:r>
      <w:r w:rsidR="006507A9" w:rsidRPr="008B2DDA">
        <w:t xml:space="preserve">enregistrement, </w:t>
      </w:r>
      <w:r w:rsidR="00A341C2" w:rsidRPr="008B2DDA">
        <w:t>à savoir</w:t>
      </w:r>
      <w:r w:rsidR="006507A9" w:rsidRPr="008B2DDA">
        <w:t xml:space="preserve"> la variante A avec </w:t>
      </w:r>
      <w:r w:rsidRPr="008B2DDA">
        <w:t>l</w:t>
      </w:r>
      <w:r w:rsidR="00A341C2" w:rsidRPr="008B2DDA">
        <w:t>’</w:t>
      </w:r>
      <w:r w:rsidRPr="008B2DDA">
        <w:t>alinéa</w:t>
      </w:r>
      <w:r w:rsidR="00E26A2C" w:rsidRPr="008B2DDA">
        <w:t> </w:t>
      </w:r>
      <w:r w:rsidR="006507A9" w:rsidRPr="008B2DDA">
        <w:t>iii) de la variante B</w:t>
      </w:r>
      <w:r w:rsidR="00311638" w:rsidRPr="008B2DDA">
        <w:t>.</w:t>
      </w:r>
    </w:p>
    <w:p w14:paraId="2A7F9B36" w14:textId="554AAFCA" w:rsidR="007079A8" w:rsidRPr="008B2DDA" w:rsidRDefault="00750623" w:rsidP="008B2DDA">
      <w:pPr>
        <w:pStyle w:val="ONUMFS"/>
      </w:pPr>
      <w:r w:rsidRPr="008B2DDA">
        <w:t xml:space="preserve">En </w:t>
      </w:r>
      <w:r w:rsidR="00E01C2F" w:rsidRPr="008B2DDA">
        <w:t>ce qui concerne la réduction de</w:t>
      </w:r>
      <w:r w:rsidR="006507A9" w:rsidRPr="008B2DDA">
        <w:t xml:space="preserve"> </w:t>
      </w:r>
      <w:r w:rsidRPr="008B2DDA">
        <w:t>taxes</w:t>
      </w:r>
      <w:r w:rsidR="006507A9" w:rsidRPr="008B2DDA">
        <w:t xml:space="preserve"> </w:t>
      </w:r>
      <w:r w:rsidRPr="008B2DDA">
        <w:t>d</w:t>
      </w:r>
      <w:r w:rsidR="00A341C2" w:rsidRPr="008B2DDA">
        <w:t>’</w:t>
      </w:r>
      <w:r w:rsidR="006507A9" w:rsidRPr="008B2DDA">
        <w:t>enregistrement international mentionné</w:t>
      </w:r>
      <w:r w:rsidRPr="008B2DDA">
        <w:t>es</w:t>
      </w:r>
      <w:r w:rsidR="006507A9" w:rsidRPr="008B2DDA">
        <w:t xml:space="preserve"> à </w:t>
      </w:r>
      <w:r w:rsidRPr="008B2DDA">
        <w:t>l</w:t>
      </w:r>
      <w:r w:rsidR="00A341C2" w:rsidRPr="008B2DDA">
        <w:t>’</w:t>
      </w:r>
      <w:r w:rsidRPr="008B2DDA">
        <w:t>alinéa </w:t>
      </w:r>
      <w:r w:rsidR="006507A9" w:rsidRPr="008B2DDA">
        <w:t xml:space="preserve">7 de la variante C, </w:t>
      </w:r>
      <w:r w:rsidRPr="008B2DDA">
        <w:t>nous proposons</w:t>
      </w:r>
      <w:r w:rsidR="006507A9" w:rsidRPr="008B2DDA">
        <w:t xml:space="preserve"> que </w:t>
      </w:r>
      <w:r w:rsidRPr="008B2DDA">
        <w:t>le montant de ces taxes</w:t>
      </w:r>
      <w:r w:rsidR="006507A9" w:rsidRPr="008B2DDA">
        <w:t xml:space="preserve"> </w:t>
      </w:r>
      <w:r w:rsidRPr="008B2DDA">
        <w:t xml:space="preserve">ne soit pas fixé en fonction du fait </w:t>
      </w:r>
      <w:r w:rsidR="006507A9" w:rsidRPr="008B2DDA">
        <w:t xml:space="preserve">que le pays </w:t>
      </w:r>
      <w:r w:rsidRPr="008B2DDA">
        <w:t>soit</w:t>
      </w:r>
      <w:r w:rsidR="006507A9" w:rsidRPr="008B2DDA">
        <w:t xml:space="preserve"> moins avancé</w:t>
      </w:r>
      <w:r w:rsidRPr="008B2DDA">
        <w:t xml:space="preserve"> ou non</w:t>
      </w:r>
      <w:r w:rsidR="006507A9" w:rsidRPr="008B2DDA">
        <w:t xml:space="preserve">, mais </w:t>
      </w:r>
      <w:r w:rsidRPr="008B2DDA">
        <w:t xml:space="preserve">en fonction de </w:t>
      </w:r>
      <w:r w:rsidR="006507A9" w:rsidRPr="008B2DDA">
        <w:t xml:space="preserve">la capacité économique </w:t>
      </w:r>
      <w:r w:rsidRPr="008B2DDA">
        <w:t>des</w:t>
      </w:r>
      <w:r w:rsidR="006507A9" w:rsidRPr="008B2DDA">
        <w:t xml:space="preserve"> bénéficiaire</w:t>
      </w:r>
      <w:r w:rsidRPr="008B2DDA">
        <w:t>s</w:t>
      </w:r>
      <w:r w:rsidR="006507A9" w:rsidRPr="008B2DDA">
        <w:t xml:space="preserve"> ou </w:t>
      </w:r>
      <w:r w:rsidRPr="008B2DDA">
        <w:t>de la personne morale visée</w:t>
      </w:r>
      <w:r w:rsidR="006507A9" w:rsidRPr="008B2DDA">
        <w:t xml:space="preserve"> à l</w:t>
      </w:r>
      <w:r w:rsidR="00A341C2" w:rsidRPr="008B2DDA">
        <w:t>’</w:t>
      </w:r>
      <w:r w:rsidR="00C70C1D" w:rsidRPr="008B2DDA">
        <w:t>article </w:t>
      </w:r>
      <w:r w:rsidR="006507A9" w:rsidRPr="008B2DDA">
        <w:t>5</w:t>
      </w:r>
      <w:r w:rsidR="00E01C2F" w:rsidRPr="008B2DDA">
        <w:t>.2)ii)</w:t>
      </w:r>
      <w:r w:rsidR="006507A9" w:rsidRPr="008B2DDA">
        <w:t xml:space="preserve"> et que le Secrétariat et le Directeur général </w:t>
      </w:r>
      <w:r w:rsidR="00C70C1D" w:rsidRPr="008B2DDA">
        <w:t>soumettent</w:t>
      </w:r>
      <w:r w:rsidR="006507A9" w:rsidRPr="008B2DDA">
        <w:t xml:space="preserve"> à l</w:t>
      </w:r>
      <w:r w:rsidR="00A341C2" w:rsidRPr="008B2DDA">
        <w:t>’</w:t>
      </w:r>
      <w:r w:rsidR="00C70C1D" w:rsidRPr="008B2DDA">
        <w:t>A</w:t>
      </w:r>
      <w:r w:rsidR="006507A9" w:rsidRPr="008B2DDA">
        <w:t>ssemblée l</w:t>
      </w:r>
      <w:r w:rsidR="00A341C2" w:rsidRPr="008B2DDA">
        <w:t>’</w:t>
      </w:r>
      <w:r w:rsidR="006507A9" w:rsidRPr="008B2DDA">
        <w:t xml:space="preserve">étude économique </w:t>
      </w:r>
      <w:r w:rsidR="00694170" w:rsidRPr="008B2DDA">
        <w:t>qui lui permettra de déterminer les critè</w:t>
      </w:r>
      <w:r w:rsidR="00516DF7" w:rsidRPr="008B2DDA">
        <w:t xml:space="preserve">res selon lesquels </w:t>
      </w:r>
      <w:r w:rsidR="00694170" w:rsidRPr="008B2DDA">
        <w:t>il sera possible de</w:t>
      </w:r>
      <w:r w:rsidR="00516DF7" w:rsidRPr="008B2DDA">
        <w:t xml:space="preserve"> bénéficier de la réduction de</w:t>
      </w:r>
      <w:r w:rsidR="00E01C2F" w:rsidRPr="008B2DDA">
        <w:t xml:space="preserve"> taxes</w:t>
      </w:r>
      <w:r w:rsidR="00311638" w:rsidRPr="008B2DDA">
        <w:t>.</w:t>
      </w:r>
    </w:p>
    <w:p w14:paraId="7C721D16" w14:textId="557EF64E" w:rsidR="007079A8" w:rsidRPr="008B2DDA" w:rsidRDefault="006507A9" w:rsidP="008B2DDA">
      <w:pPr>
        <w:pStyle w:val="ONUMFS"/>
      </w:pPr>
      <w:r w:rsidRPr="008B2DDA">
        <w:t xml:space="preserve">En ce qui concerne la </w:t>
      </w:r>
      <w:r w:rsidR="004B5C81" w:rsidRPr="008B2DDA">
        <w:t xml:space="preserve">durée de </w:t>
      </w:r>
      <w:r w:rsidRPr="008B2DDA">
        <w:t xml:space="preserve">validité des enregistrements internationaux, </w:t>
      </w:r>
      <w:r w:rsidR="0020097A" w:rsidRPr="008B2DDA">
        <w:t>la proposition d</w:t>
      </w:r>
      <w:r w:rsidR="00A341C2" w:rsidRPr="008B2DDA">
        <w:t>’</w:t>
      </w:r>
      <w:r w:rsidR="0020097A" w:rsidRPr="008B2DDA">
        <w:t>inclure</w:t>
      </w:r>
      <w:r w:rsidRPr="008B2DDA">
        <w:t xml:space="preserve"> l</w:t>
      </w:r>
      <w:r w:rsidR="00A341C2" w:rsidRPr="008B2DDA">
        <w:t>’</w:t>
      </w:r>
      <w:r w:rsidRPr="008B2DDA">
        <w:t xml:space="preserve">expression </w:t>
      </w:r>
      <w:r w:rsidR="00E26A2C" w:rsidRPr="008B2DDA">
        <w:t>“</w:t>
      </w:r>
      <w:r w:rsidR="00AA7E97" w:rsidRPr="008B2DDA">
        <w:t>sous réserve</w:t>
      </w:r>
      <w:r w:rsidR="00E26A2C" w:rsidRPr="008B2DDA">
        <w:t>”</w:t>
      </w:r>
      <w:r w:rsidRPr="008B2DDA">
        <w:t xml:space="preserve"> </w:t>
      </w:r>
      <w:r w:rsidR="0020097A" w:rsidRPr="008B2DDA">
        <w:t>dans</w:t>
      </w:r>
      <w:r w:rsidRPr="008B2DDA">
        <w:t xml:space="preserve"> l</w:t>
      </w:r>
      <w:r w:rsidR="00A341C2" w:rsidRPr="008B2DDA">
        <w:t>’</w:t>
      </w:r>
      <w:r w:rsidRPr="008B2DDA">
        <w:t>article</w:t>
      </w:r>
      <w:r w:rsidR="00E26A2C" w:rsidRPr="008B2DDA">
        <w:t> </w:t>
      </w:r>
      <w:r w:rsidRPr="008B2DDA">
        <w:t>8</w:t>
      </w:r>
      <w:r w:rsidR="004B5C81" w:rsidRPr="008B2DDA">
        <w:t>.3)</w:t>
      </w:r>
      <w:r w:rsidR="00AA7E97" w:rsidRPr="008B2DDA">
        <w:t xml:space="preserve"> est incompréhensible</w:t>
      </w:r>
      <w:r w:rsidRPr="008B2DDA">
        <w:t xml:space="preserve">, </w:t>
      </w:r>
      <w:r w:rsidR="00AA7E97" w:rsidRPr="008B2DDA">
        <w:t>sachant que</w:t>
      </w:r>
      <w:r w:rsidRPr="008B2DDA">
        <w:t xml:space="preserve"> le </w:t>
      </w:r>
      <w:r w:rsidR="00BE2682" w:rsidRPr="008B2DDA">
        <w:t>non</w:t>
      </w:r>
      <w:r w:rsidR="00D67EA4" w:rsidRPr="008B2DDA">
        <w:noBreakHyphen/>
      </w:r>
      <w:r w:rsidR="00BE2682" w:rsidRPr="008B2DDA">
        <w:t>paiement</w:t>
      </w:r>
      <w:r w:rsidR="00AA7E97" w:rsidRPr="008B2DDA">
        <w:t xml:space="preserve"> de la taxe a systématiquement pour effet </w:t>
      </w:r>
      <w:r w:rsidR="004B5C81" w:rsidRPr="008B2DDA">
        <w:t>la radiation</w:t>
      </w:r>
      <w:r w:rsidRPr="008B2DDA">
        <w:t xml:space="preserve"> de l</w:t>
      </w:r>
      <w:r w:rsidR="00A341C2" w:rsidRPr="008B2DDA">
        <w:t>’</w:t>
      </w:r>
      <w:r w:rsidRPr="008B2DDA">
        <w:t>enregistrement</w:t>
      </w:r>
      <w:r w:rsidR="00AA7E97" w:rsidRPr="008B2DDA">
        <w:t xml:space="preserve"> international</w:t>
      </w:r>
      <w:r w:rsidR="00311638" w:rsidRPr="008B2DDA">
        <w:t>.</w:t>
      </w:r>
    </w:p>
    <w:p w14:paraId="40D2D738" w14:textId="64703750" w:rsidR="007079A8" w:rsidRPr="008B2DDA" w:rsidRDefault="006507A9" w:rsidP="008B2DDA">
      <w:pPr>
        <w:pStyle w:val="ONUMFS"/>
      </w:pPr>
      <w:r w:rsidRPr="008B2DDA">
        <w:t>Conformément à l</w:t>
      </w:r>
      <w:r w:rsidR="00A341C2" w:rsidRPr="008B2DDA">
        <w:t>’</w:t>
      </w:r>
      <w:r w:rsidR="008626DC" w:rsidRPr="008B2DDA">
        <w:t>article </w:t>
      </w:r>
      <w:r w:rsidRPr="008B2DDA">
        <w:t xml:space="preserve">8 et </w:t>
      </w:r>
      <w:r w:rsidR="008626DC" w:rsidRPr="008B2DDA">
        <w:t>à la règle </w:t>
      </w:r>
      <w:r w:rsidRPr="008B2DDA">
        <w:t>17</w:t>
      </w:r>
      <w:r w:rsidR="00005AC7" w:rsidRPr="008B2DDA">
        <w:t>, en ce qui concerne</w:t>
      </w:r>
      <w:r w:rsidRPr="008B2DDA">
        <w:t xml:space="preserve"> </w:t>
      </w:r>
      <w:r w:rsidR="00005AC7" w:rsidRPr="008B2DDA">
        <w:t>la radiation, les points suivants suscitent des préoccupations </w:t>
      </w:r>
      <w:r w:rsidRPr="008B2DDA">
        <w:t>: i)</w:t>
      </w:r>
      <w:r w:rsidR="00E26A2C" w:rsidRPr="008B2DDA">
        <w:t> </w:t>
      </w:r>
      <w:r w:rsidRPr="008B2DDA">
        <w:t xml:space="preserve">les effets sur les autres parties contractantes de </w:t>
      </w:r>
      <w:r w:rsidR="00005AC7" w:rsidRPr="008B2DDA">
        <w:t>l</w:t>
      </w:r>
      <w:r w:rsidR="00A341C2" w:rsidRPr="008B2DDA">
        <w:t>’</w:t>
      </w:r>
      <w:r w:rsidR="00005AC7" w:rsidRPr="008B2DDA">
        <w:t>Arrangement</w:t>
      </w:r>
      <w:r w:rsidRPr="008B2DDA">
        <w:t xml:space="preserve"> </w:t>
      </w:r>
      <w:r w:rsidR="000B656B" w:rsidRPr="008B2DDA">
        <w:t>en cas de radiation d</w:t>
      </w:r>
      <w:r w:rsidR="00A341C2" w:rsidRPr="008B2DDA">
        <w:t>’</w:t>
      </w:r>
      <w:r w:rsidR="000B656B" w:rsidRPr="008B2DDA">
        <w:t>un enregistrement</w:t>
      </w:r>
      <w:r w:rsidRPr="008B2DDA">
        <w:t xml:space="preserve"> international pour </w:t>
      </w:r>
      <w:r w:rsidR="000B656B" w:rsidRPr="008B2DDA">
        <w:t xml:space="preserve">cause de </w:t>
      </w:r>
      <w:r w:rsidR="00BE2682" w:rsidRPr="008B2DDA">
        <w:t>non</w:t>
      </w:r>
      <w:r w:rsidR="00D67EA4" w:rsidRPr="008B2DDA">
        <w:noBreakHyphen/>
      </w:r>
      <w:r w:rsidR="00BE2682" w:rsidRPr="008B2DDA">
        <w:t>paiement</w:t>
      </w:r>
      <w:r w:rsidRPr="008B2DDA">
        <w:t xml:space="preserve"> de la taxe </w:t>
      </w:r>
      <w:r w:rsidR="000B656B" w:rsidRPr="008B2DDA">
        <w:t>de maintien</w:t>
      </w:r>
      <w:r w:rsidR="000B2AD6" w:rsidRPr="008B2DDA">
        <w:t xml:space="preserve"> en vigueur</w:t>
      </w:r>
      <w:r w:rsidRPr="008B2DDA">
        <w:t>;</w:t>
      </w:r>
      <w:r w:rsidR="000B656B" w:rsidRPr="008B2DDA">
        <w:t xml:space="preserve"> </w:t>
      </w:r>
      <w:r w:rsidRPr="008B2DDA">
        <w:t xml:space="preserve"> ii)</w:t>
      </w:r>
      <w:r w:rsidR="00E26A2C" w:rsidRPr="008B2DDA">
        <w:t> </w:t>
      </w:r>
      <w:r w:rsidRPr="008B2DDA">
        <w:t xml:space="preserve">ou </w:t>
      </w:r>
      <w:r w:rsidR="000B656B" w:rsidRPr="008B2DDA">
        <w:t xml:space="preserve">lorsque </w:t>
      </w:r>
      <w:r w:rsidRPr="008B2DDA">
        <w:t>l</w:t>
      </w:r>
      <w:r w:rsidR="00A341C2" w:rsidRPr="008B2DDA">
        <w:t>’</w:t>
      </w:r>
      <w:r w:rsidRPr="008B2DDA">
        <w:t>administration d</w:t>
      </w:r>
      <w:r w:rsidR="00A341C2" w:rsidRPr="008B2DDA">
        <w:t>’</w:t>
      </w:r>
      <w:r w:rsidRPr="008B2DDA">
        <w:t>un</w:t>
      </w:r>
      <w:r w:rsidR="000B656B" w:rsidRPr="008B2DDA">
        <w:t>e partie contractante demande la radiation</w:t>
      </w:r>
      <w:r w:rsidRPr="008B2DDA">
        <w:t xml:space="preserve"> de l</w:t>
      </w:r>
      <w:r w:rsidR="00A341C2" w:rsidRPr="008B2DDA">
        <w:t>’</w:t>
      </w:r>
      <w:r w:rsidRPr="008B2DDA">
        <w:t xml:space="preserve">enregistrement international, pour des raisons autres que la </w:t>
      </w:r>
      <w:r w:rsidR="000B656B" w:rsidRPr="008B2DDA">
        <w:t xml:space="preserve">perte de droits sur </w:t>
      </w:r>
      <w:r w:rsidR="008221D0" w:rsidRPr="008B2DDA">
        <w:t>l</w:t>
      </w:r>
      <w:r w:rsidR="00A341C2" w:rsidRPr="008B2DDA">
        <w:t>’</w:t>
      </w:r>
      <w:r w:rsidR="00BA5307" w:rsidRPr="008B2DDA">
        <w:t>appellation d’origine</w:t>
      </w:r>
      <w:r w:rsidRPr="008B2DDA">
        <w:t xml:space="preserve"> ou </w:t>
      </w:r>
      <w:r w:rsidR="000B656B" w:rsidRPr="008B2DDA">
        <w:t>l</w:t>
      </w:r>
      <w:r w:rsidR="00A341C2" w:rsidRPr="008B2DDA">
        <w:t>’</w:t>
      </w:r>
      <w:r w:rsidR="00BA5307" w:rsidRPr="008B2DDA">
        <w:t>indication géographique</w:t>
      </w:r>
      <w:r w:rsidR="000B656B" w:rsidRPr="008B2DDA">
        <w:t xml:space="preserve"> </w:t>
      </w:r>
      <w:r w:rsidRPr="008B2DDA">
        <w:t>dans son pays d</w:t>
      </w:r>
      <w:r w:rsidR="00A341C2" w:rsidRPr="008B2DDA">
        <w:t>’</w:t>
      </w:r>
      <w:r w:rsidRPr="008B2DDA">
        <w:t>origine, les effets sont</w:t>
      </w:r>
      <w:r w:rsidR="00D67EA4" w:rsidRPr="008B2DDA">
        <w:noBreakHyphen/>
      </w:r>
      <w:r w:rsidR="000B656B" w:rsidRPr="008B2DDA">
        <w:t>ils</w:t>
      </w:r>
      <w:r w:rsidRPr="008B2DDA">
        <w:t xml:space="preserve"> perdus dans les autres parties contractantes?</w:t>
      </w:r>
      <w:r w:rsidR="00005AC7" w:rsidRPr="008B2DDA">
        <w:t xml:space="preserve"> </w:t>
      </w:r>
      <w:r w:rsidRPr="008B2DDA">
        <w:t xml:space="preserve"> </w:t>
      </w:r>
      <w:r w:rsidR="00F17674" w:rsidRPr="008B2DDA">
        <w:t>I</w:t>
      </w:r>
      <w:r w:rsidRPr="008B2DDA">
        <w:t>l est proposé d</w:t>
      </w:r>
      <w:r w:rsidR="00A341C2" w:rsidRPr="008B2DDA">
        <w:t>’</w:t>
      </w:r>
      <w:r w:rsidRPr="008B2DDA">
        <w:t xml:space="preserve">adopter une </w:t>
      </w:r>
      <w:r w:rsidR="000B656B" w:rsidRPr="008B2DDA">
        <w:t>disposition similaire</w:t>
      </w:r>
      <w:r w:rsidRPr="008B2DDA">
        <w:t xml:space="preserve"> </w:t>
      </w:r>
      <w:r w:rsidR="000B656B" w:rsidRPr="008B2DDA">
        <w:t xml:space="preserve">à celle du Protocole de Madrid, relative </w:t>
      </w:r>
      <w:r w:rsidRPr="008B2DDA">
        <w:t xml:space="preserve">à la transformation </w:t>
      </w:r>
      <w:r w:rsidR="000B656B" w:rsidRPr="008B2DDA">
        <w:t>d</w:t>
      </w:r>
      <w:r w:rsidR="00A341C2" w:rsidRPr="008B2DDA">
        <w:t>’</w:t>
      </w:r>
      <w:r w:rsidR="000B656B" w:rsidRPr="008B2DDA">
        <w:t xml:space="preserve">un </w:t>
      </w:r>
      <w:r w:rsidRPr="008B2DDA">
        <w:t xml:space="preserve">enregistrement international en </w:t>
      </w:r>
      <w:r w:rsidR="000B656B" w:rsidRPr="008B2DDA">
        <w:t>demandes nationales</w:t>
      </w:r>
      <w:r w:rsidRPr="008B2DDA">
        <w:t xml:space="preserve">, lorsque les </w:t>
      </w:r>
      <w:r w:rsidR="000B656B" w:rsidRPr="008B2DDA">
        <w:t>motifs</w:t>
      </w:r>
      <w:r w:rsidRPr="008B2DDA">
        <w:t xml:space="preserve"> </w:t>
      </w:r>
      <w:r w:rsidR="000B656B" w:rsidRPr="008B2DDA">
        <w:t>de radiation</w:t>
      </w:r>
      <w:r w:rsidRPr="008B2DDA">
        <w:t xml:space="preserve"> </w:t>
      </w:r>
      <w:r w:rsidR="000B656B" w:rsidRPr="008B2DDA">
        <w:t>sont différents de la perte de</w:t>
      </w:r>
      <w:r w:rsidRPr="008B2DDA">
        <w:t xml:space="preserve"> droit </w:t>
      </w:r>
      <w:r w:rsidR="000B656B" w:rsidRPr="008B2DDA">
        <w:t>dans la partie d</w:t>
      </w:r>
      <w:r w:rsidR="00A341C2" w:rsidRPr="008B2DDA">
        <w:t>’</w:t>
      </w:r>
      <w:r w:rsidR="000B656B" w:rsidRPr="008B2DDA">
        <w:t>origine</w:t>
      </w:r>
      <w:r w:rsidRPr="008B2DDA">
        <w:t xml:space="preserve">, ou </w:t>
      </w:r>
      <w:r w:rsidR="000B656B" w:rsidRPr="008B2DDA">
        <w:t>lorsqu</w:t>
      </w:r>
      <w:r w:rsidR="00A341C2" w:rsidRPr="008B2DDA">
        <w:t>’</w:t>
      </w:r>
      <w:r w:rsidR="000B656B" w:rsidRPr="008B2DDA">
        <w:t>il s</w:t>
      </w:r>
      <w:r w:rsidR="00A341C2" w:rsidRPr="008B2DDA">
        <w:t>’</w:t>
      </w:r>
      <w:r w:rsidR="000B656B" w:rsidRPr="008B2DDA">
        <w:t>agit</w:t>
      </w:r>
      <w:r w:rsidRPr="008B2DDA">
        <w:t xml:space="preserve"> </w:t>
      </w:r>
      <w:r w:rsidR="000B656B" w:rsidRPr="008B2DDA">
        <w:t>de</w:t>
      </w:r>
      <w:r w:rsidRPr="008B2DDA">
        <w:t xml:space="preserve"> marques collectives ou </w:t>
      </w:r>
      <w:r w:rsidR="000B656B" w:rsidRPr="008B2DDA">
        <w:t>de</w:t>
      </w:r>
      <w:r w:rsidRPr="008B2DDA">
        <w:t xml:space="preserve"> certification.</w:t>
      </w:r>
    </w:p>
    <w:p w14:paraId="6332A17B" w14:textId="789DC2C9" w:rsidR="00C935F0" w:rsidRPr="008B2DDA" w:rsidRDefault="007C3036" w:rsidP="008B2DDA">
      <w:pPr>
        <w:pStyle w:val="ONUMFS"/>
        <w:rPr>
          <w:i/>
        </w:rPr>
      </w:pPr>
      <w:r w:rsidRPr="008B2DDA">
        <w:t>En ce qui concerne l</w:t>
      </w:r>
      <w:r w:rsidR="00A341C2" w:rsidRPr="008B2DDA">
        <w:t>’</w:t>
      </w:r>
      <w:r w:rsidRPr="008B2DDA">
        <w:t xml:space="preserve">étendue </w:t>
      </w:r>
      <w:r w:rsidR="006507A9" w:rsidRPr="008B2DDA">
        <w:t xml:space="preserve">et le contenu de la protection </w:t>
      </w:r>
      <w:r w:rsidR="007A6983" w:rsidRPr="008B2DDA">
        <w:t>des</w:t>
      </w:r>
      <w:r w:rsidR="006507A9" w:rsidRPr="008B2DDA">
        <w:t xml:space="preserve"> </w:t>
      </w:r>
      <w:r w:rsidR="00BA5307" w:rsidRPr="008B2DDA">
        <w:t>appellations d’origine</w:t>
      </w:r>
      <w:r w:rsidR="006507A9" w:rsidRPr="008B2DDA">
        <w:t xml:space="preserve"> et </w:t>
      </w:r>
      <w:r w:rsidR="007A6983" w:rsidRPr="008B2DDA">
        <w:t xml:space="preserve">des </w:t>
      </w:r>
      <w:r w:rsidR="00BA5307" w:rsidRPr="008B2DDA">
        <w:t>indications géographiques</w:t>
      </w:r>
      <w:r w:rsidR="008221D0" w:rsidRPr="008B2DDA">
        <w:t xml:space="preserve"> enregistrées (article </w:t>
      </w:r>
      <w:r w:rsidR="006507A9" w:rsidRPr="008B2DDA">
        <w:t>11</w:t>
      </w:r>
      <w:r w:rsidR="008221D0" w:rsidRPr="008B2DDA">
        <w:t>)</w:t>
      </w:r>
      <w:r w:rsidR="006507A9" w:rsidRPr="008B2DDA">
        <w:t xml:space="preserve">, nous proposons </w:t>
      </w:r>
      <w:r w:rsidR="008221D0" w:rsidRPr="008B2DDA">
        <w:t xml:space="preserve">de choisir </w:t>
      </w:r>
      <w:r w:rsidR="006507A9" w:rsidRPr="008B2DDA">
        <w:t>la variante</w:t>
      </w:r>
      <w:r w:rsidR="00BA5307" w:rsidRPr="008B2DDA">
        <w:t> </w:t>
      </w:r>
      <w:r w:rsidR="006507A9" w:rsidRPr="008B2DDA">
        <w:t xml:space="preserve">A, mais </w:t>
      </w:r>
      <w:r w:rsidR="0061593F" w:rsidRPr="008B2DDA">
        <w:t>en incluant l</w:t>
      </w:r>
      <w:r w:rsidR="00A341C2" w:rsidRPr="008B2DDA">
        <w:t>’</w:t>
      </w:r>
      <w:r w:rsidR="0061593F" w:rsidRPr="008B2DDA">
        <w:t>alinéa</w:t>
      </w:r>
      <w:r w:rsidR="00E26A2C" w:rsidRPr="008B2DDA">
        <w:t> </w:t>
      </w:r>
      <w:r w:rsidR="006507A9" w:rsidRPr="008B2DDA">
        <w:t>ii</w:t>
      </w:r>
      <w:r w:rsidR="0061593F" w:rsidRPr="008B2DDA">
        <w:t>) de la</w:t>
      </w:r>
      <w:r w:rsidR="006507A9" w:rsidRPr="008B2DDA">
        <w:t xml:space="preserve"> variante</w:t>
      </w:r>
      <w:r w:rsidR="00BA5307" w:rsidRPr="008B2DDA">
        <w:t> </w:t>
      </w:r>
      <w:r w:rsidR="006507A9" w:rsidRPr="008B2DDA">
        <w:t>B.</w:t>
      </w:r>
      <w:r w:rsidR="0061593F" w:rsidRPr="008B2DDA">
        <w:t xml:space="preserve"> </w:t>
      </w:r>
      <w:r w:rsidR="006507A9" w:rsidRPr="008B2DDA">
        <w:t xml:space="preserve"> </w:t>
      </w:r>
      <w:r w:rsidR="00BE2682" w:rsidRPr="008B2DDA">
        <w:t>Étant</w:t>
      </w:r>
      <w:r w:rsidR="00524572" w:rsidRPr="008B2DDA">
        <w:t xml:space="preserve"> donné</w:t>
      </w:r>
      <w:r w:rsidR="006507A9" w:rsidRPr="008B2DDA">
        <w:t xml:space="preserve"> que notre législation andine nous oblige à </w:t>
      </w:r>
      <w:r w:rsidR="0061593F" w:rsidRPr="008B2DDA">
        <w:t>refuser</w:t>
      </w:r>
      <w:r w:rsidR="006507A9" w:rsidRPr="008B2DDA">
        <w:t xml:space="preserve"> l</w:t>
      </w:r>
      <w:r w:rsidR="00A341C2" w:rsidRPr="008B2DDA">
        <w:t>’</w:t>
      </w:r>
      <w:r w:rsidR="00BA5307" w:rsidRPr="008B2DDA">
        <w:t xml:space="preserve">indication géographique </w:t>
      </w:r>
      <w:r w:rsidR="0061593F" w:rsidRPr="008B2DDA">
        <w:t>ou l</w:t>
      </w:r>
      <w:r w:rsidR="00A341C2" w:rsidRPr="008B2DDA">
        <w:t>’</w:t>
      </w:r>
      <w:r w:rsidR="00BA5307" w:rsidRPr="008B2DDA">
        <w:t>appellation d’origine</w:t>
      </w:r>
      <w:r w:rsidR="006507A9" w:rsidRPr="008B2DDA">
        <w:t xml:space="preserve"> </w:t>
      </w:r>
      <w:r w:rsidR="00840381" w:rsidRPr="008B2DDA">
        <w:t>s</w:t>
      </w:r>
      <w:r w:rsidR="00A341C2" w:rsidRPr="008B2DDA">
        <w:t>’</w:t>
      </w:r>
      <w:r w:rsidR="00840381" w:rsidRPr="008B2DDA">
        <w:t>il existe</w:t>
      </w:r>
      <w:r w:rsidR="006507A9" w:rsidRPr="008B2DDA">
        <w:t xml:space="preserve"> une marque </w:t>
      </w:r>
      <w:r w:rsidR="00840381" w:rsidRPr="008B2DDA">
        <w:t>dont l</w:t>
      </w:r>
      <w:r w:rsidR="00A341C2" w:rsidRPr="008B2DDA">
        <w:t>’</w:t>
      </w:r>
      <w:r w:rsidR="00840381" w:rsidRPr="008B2DDA">
        <w:t xml:space="preserve">enregistrement a été demandé antérieurement, il est proposé que ledit </w:t>
      </w:r>
      <w:r w:rsidR="006507A9" w:rsidRPr="008B2DDA">
        <w:t xml:space="preserve">article </w:t>
      </w:r>
      <w:r w:rsidR="00840381" w:rsidRPr="008B2DDA">
        <w:t>soit rédigé</w:t>
      </w:r>
      <w:r w:rsidR="006507A9" w:rsidRPr="008B2DDA">
        <w:t xml:space="preserve"> comme suit</w:t>
      </w:r>
      <w:r w:rsidR="0061593F" w:rsidRPr="008B2DDA">
        <w:t> </w:t>
      </w:r>
      <w:r w:rsidR="00311638" w:rsidRPr="008B2DDA">
        <w:t>:</w:t>
      </w:r>
    </w:p>
    <w:p w14:paraId="4A000ED5" w14:textId="77777777" w:rsidR="008B2DDA" w:rsidRDefault="008B2DDA">
      <w:pPr>
        <w:rPr>
          <w:i/>
        </w:rPr>
      </w:pPr>
      <w:r>
        <w:rPr>
          <w:i/>
        </w:rPr>
        <w:br w:type="page"/>
      </w:r>
    </w:p>
    <w:p w14:paraId="0E84C5ED" w14:textId="0FA8638F" w:rsidR="007079A8" w:rsidRPr="008B2DDA" w:rsidRDefault="007079A8" w:rsidP="008B2DDA">
      <w:pPr>
        <w:ind w:left="567"/>
        <w:rPr>
          <w:i/>
        </w:rPr>
      </w:pPr>
      <w:r w:rsidRPr="008B2DDA">
        <w:rPr>
          <w:i/>
        </w:rPr>
        <w:lastRenderedPageBreak/>
        <w:t>Article</w:t>
      </w:r>
      <w:r w:rsidR="00E26A2C" w:rsidRPr="008B2DDA">
        <w:rPr>
          <w:i/>
        </w:rPr>
        <w:t> </w:t>
      </w:r>
      <w:r w:rsidRPr="008B2DDA">
        <w:rPr>
          <w:i/>
        </w:rPr>
        <w:t xml:space="preserve">11.  Protection </w:t>
      </w:r>
      <w:r w:rsidR="00A341C2" w:rsidRPr="008B2DDA">
        <w:rPr>
          <w:i/>
        </w:rPr>
        <w:t>à l’égard</w:t>
      </w:r>
      <w:r w:rsidRPr="008B2DDA">
        <w:rPr>
          <w:i/>
        </w:rPr>
        <w:t xml:space="preserve"> des appellations d</w:t>
      </w:r>
      <w:r w:rsidR="00A341C2" w:rsidRPr="008B2DDA">
        <w:rPr>
          <w:i/>
        </w:rPr>
        <w:t>’</w:t>
      </w:r>
      <w:r w:rsidRPr="008B2DDA">
        <w:rPr>
          <w:i/>
        </w:rPr>
        <w:t>origine et indications géographiques enregistrées</w:t>
      </w:r>
    </w:p>
    <w:p w14:paraId="16A9BEFC" w14:textId="77777777" w:rsidR="007079A8" w:rsidRPr="008B2DDA" w:rsidRDefault="007079A8" w:rsidP="008B2DDA">
      <w:pPr>
        <w:ind w:left="567"/>
        <w:rPr>
          <w:i/>
        </w:rPr>
      </w:pPr>
    </w:p>
    <w:p w14:paraId="091091A2" w14:textId="56CABF9C" w:rsidR="007079A8" w:rsidRPr="008B2DDA" w:rsidRDefault="007079A8" w:rsidP="008B2DDA">
      <w:pPr>
        <w:ind w:left="567"/>
        <w:rPr>
          <w:i/>
        </w:rPr>
      </w:pPr>
      <w:r w:rsidRPr="008B2DDA">
        <w:rPr>
          <w:i/>
        </w:rPr>
        <w:t>1)</w:t>
      </w:r>
      <w:r w:rsidRPr="008B2DDA">
        <w:rPr>
          <w:i/>
        </w:rPr>
        <w:tab/>
        <w:t>[Contenu de la protection]  Sous réserve des dispositions du présent Acte, chaque partie contractante accorde à une appellation d</w:t>
      </w:r>
      <w:r w:rsidR="00A341C2" w:rsidRPr="008B2DDA">
        <w:rPr>
          <w:i/>
        </w:rPr>
        <w:t>’</w:t>
      </w:r>
      <w:r w:rsidRPr="008B2DDA">
        <w:rPr>
          <w:i/>
        </w:rPr>
        <w:t>origine enregistrée, ou à une indication géographique enregistrée, une protection contre</w:t>
      </w:r>
      <w:r w:rsidR="00E26A2C" w:rsidRPr="008B2DDA">
        <w:rPr>
          <w:i/>
        </w:rPr>
        <w:t> </w:t>
      </w:r>
      <w:r w:rsidRPr="008B2DDA">
        <w:rPr>
          <w:i/>
        </w:rPr>
        <w:t>:</w:t>
      </w:r>
    </w:p>
    <w:p w14:paraId="5BAF9D49" w14:textId="1372C808" w:rsidR="007079A8" w:rsidRPr="008B2DDA" w:rsidRDefault="003806E2" w:rsidP="008B2DDA">
      <w:pPr>
        <w:ind w:left="567"/>
        <w:rPr>
          <w:i/>
        </w:rPr>
      </w:pPr>
      <w:r w:rsidRPr="008B2DDA">
        <w:rPr>
          <w:i/>
        </w:rPr>
        <w:tab/>
      </w:r>
      <w:r w:rsidR="007079A8" w:rsidRPr="008B2DDA">
        <w:rPr>
          <w:i/>
        </w:rPr>
        <w:t>a)</w:t>
      </w:r>
      <w:r w:rsidR="007079A8" w:rsidRPr="008B2DDA">
        <w:rPr>
          <w:i/>
        </w:rPr>
        <w:tab/>
        <w:t>toute utilisation de l</w:t>
      </w:r>
      <w:r w:rsidR="00A341C2" w:rsidRPr="008B2DDA">
        <w:rPr>
          <w:i/>
        </w:rPr>
        <w:t>’</w:t>
      </w:r>
      <w:r w:rsidR="007079A8" w:rsidRPr="008B2DDA">
        <w:rPr>
          <w:i/>
        </w:rPr>
        <w:t>appellation d</w:t>
      </w:r>
      <w:r w:rsidR="00A341C2" w:rsidRPr="008B2DDA">
        <w:rPr>
          <w:i/>
        </w:rPr>
        <w:t>’</w:t>
      </w:r>
      <w:r w:rsidR="007079A8" w:rsidRPr="008B2DDA">
        <w:rPr>
          <w:i/>
        </w:rPr>
        <w:t>origine ou de l</w:t>
      </w:r>
      <w:r w:rsidR="00A341C2" w:rsidRPr="008B2DDA">
        <w:rPr>
          <w:i/>
        </w:rPr>
        <w:t>’</w:t>
      </w:r>
      <w:r w:rsidR="007079A8" w:rsidRPr="008B2DDA">
        <w:rPr>
          <w:i/>
        </w:rPr>
        <w:t>indication géographique</w:t>
      </w:r>
    </w:p>
    <w:p w14:paraId="7B31E484" w14:textId="078DA4CF" w:rsidR="007079A8" w:rsidRPr="008B2DDA" w:rsidRDefault="00311638" w:rsidP="008B2DDA">
      <w:pPr>
        <w:ind w:left="567"/>
        <w:rPr>
          <w:i/>
        </w:rPr>
      </w:pPr>
      <w:r w:rsidRPr="008B2DDA">
        <w:rPr>
          <w:i/>
        </w:rPr>
        <w:tab/>
      </w:r>
      <w:r w:rsidRPr="008B2DDA">
        <w:rPr>
          <w:i/>
        </w:rPr>
        <w:tab/>
      </w:r>
      <w:r w:rsidR="007079A8" w:rsidRPr="008B2DDA">
        <w:rPr>
          <w:i/>
        </w:rPr>
        <w:t>i)</w:t>
      </w:r>
      <w:r w:rsidR="007079A8" w:rsidRPr="008B2DDA">
        <w:rPr>
          <w:i/>
        </w:rPr>
        <w:tab/>
      </w:r>
      <w:r w:rsidR="00A341C2" w:rsidRPr="008B2DDA">
        <w:rPr>
          <w:i/>
        </w:rPr>
        <w:t>à l’égard</w:t>
      </w:r>
      <w:r w:rsidR="007079A8" w:rsidRPr="008B2DDA">
        <w:rPr>
          <w:i/>
        </w:rPr>
        <w:t xml:space="preserve"> de produits du même type que ceux auxquels l</w:t>
      </w:r>
      <w:r w:rsidR="00A341C2" w:rsidRPr="008B2DDA">
        <w:rPr>
          <w:i/>
        </w:rPr>
        <w:t>’</w:t>
      </w:r>
      <w:r w:rsidR="007079A8" w:rsidRPr="008B2DDA">
        <w:rPr>
          <w:i/>
        </w:rPr>
        <w:t>appellation d</w:t>
      </w:r>
      <w:r w:rsidR="00A341C2" w:rsidRPr="008B2DDA">
        <w:rPr>
          <w:i/>
        </w:rPr>
        <w:t>’</w:t>
      </w:r>
      <w:r w:rsidR="007079A8" w:rsidRPr="008B2DDA">
        <w:rPr>
          <w:i/>
        </w:rPr>
        <w:t>origine ou l</w:t>
      </w:r>
      <w:r w:rsidR="00A341C2" w:rsidRPr="008B2DDA">
        <w:rPr>
          <w:i/>
        </w:rPr>
        <w:t>’</w:t>
      </w:r>
      <w:r w:rsidR="007079A8" w:rsidRPr="008B2DDA">
        <w:rPr>
          <w:i/>
        </w:rPr>
        <w:t>indication géographique s</w:t>
      </w:r>
      <w:r w:rsidR="00A341C2" w:rsidRPr="008B2DDA">
        <w:rPr>
          <w:i/>
        </w:rPr>
        <w:t>’</w:t>
      </w:r>
      <w:r w:rsidR="007079A8" w:rsidRPr="008B2DDA">
        <w:rPr>
          <w:i/>
        </w:rPr>
        <w:t>applique qui ne sont pas originaires de l</w:t>
      </w:r>
      <w:r w:rsidR="00A341C2" w:rsidRPr="008B2DDA">
        <w:rPr>
          <w:i/>
        </w:rPr>
        <w:t>’</w:t>
      </w:r>
      <w:r w:rsidR="007079A8" w:rsidRPr="008B2DDA">
        <w:rPr>
          <w:i/>
        </w:rPr>
        <w:t>aire géographique d</w:t>
      </w:r>
      <w:r w:rsidR="00A341C2" w:rsidRPr="008B2DDA">
        <w:rPr>
          <w:i/>
        </w:rPr>
        <w:t>’</w:t>
      </w:r>
      <w:r w:rsidR="007079A8" w:rsidRPr="008B2DDA">
        <w:rPr>
          <w:i/>
        </w:rPr>
        <w:t>origine ou qui ne remplissent pas l</w:t>
      </w:r>
      <w:r w:rsidR="00A341C2" w:rsidRPr="008B2DDA">
        <w:rPr>
          <w:i/>
        </w:rPr>
        <w:t>’</w:t>
      </w:r>
      <w:r w:rsidR="007079A8" w:rsidRPr="008B2DDA">
        <w:rPr>
          <w:i/>
        </w:rPr>
        <w:t>une des autres conditions requises pour utiliser l</w:t>
      </w:r>
      <w:r w:rsidR="00A341C2" w:rsidRPr="008B2DDA">
        <w:rPr>
          <w:i/>
        </w:rPr>
        <w:t>’</w:t>
      </w:r>
      <w:r w:rsidR="007079A8" w:rsidRPr="008B2DDA">
        <w:rPr>
          <w:i/>
        </w:rPr>
        <w:t>appellation d</w:t>
      </w:r>
      <w:r w:rsidR="00A341C2" w:rsidRPr="008B2DDA">
        <w:rPr>
          <w:i/>
        </w:rPr>
        <w:t>’</w:t>
      </w:r>
      <w:r w:rsidR="007079A8" w:rsidRPr="008B2DDA">
        <w:rPr>
          <w:i/>
        </w:rPr>
        <w:t>origine ou l</w:t>
      </w:r>
      <w:r w:rsidR="00A341C2" w:rsidRPr="008B2DDA">
        <w:rPr>
          <w:i/>
        </w:rPr>
        <w:t>’</w:t>
      </w:r>
      <w:r w:rsidR="007079A8" w:rsidRPr="008B2DDA">
        <w:rPr>
          <w:i/>
        </w:rPr>
        <w:t>indication géographique;  ou</w:t>
      </w:r>
    </w:p>
    <w:p w14:paraId="4418847A" w14:textId="63E184DF" w:rsidR="007079A8" w:rsidRPr="008B2DDA" w:rsidRDefault="00311638" w:rsidP="008B2DDA">
      <w:pPr>
        <w:ind w:left="567"/>
        <w:rPr>
          <w:i/>
        </w:rPr>
      </w:pPr>
      <w:r w:rsidRPr="008B2DDA">
        <w:rPr>
          <w:i/>
        </w:rPr>
        <w:tab/>
      </w:r>
      <w:r w:rsidRPr="008B2DDA">
        <w:rPr>
          <w:i/>
        </w:rPr>
        <w:tab/>
      </w:r>
      <w:r w:rsidR="00AC2237" w:rsidRPr="008B2DDA">
        <w:rPr>
          <w:i/>
        </w:rPr>
        <w:t>ii)</w:t>
      </w:r>
      <w:r w:rsidR="00AC2237" w:rsidRPr="008B2DDA">
        <w:rPr>
          <w:i/>
        </w:rPr>
        <w:tab/>
      </w:r>
      <w:r w:rsidR="00A341C2" w:rsidRPr="008B2DDA">
        <w:rPr>
          <w:i/>
        </w:rPr>
        <w:t>à l’égard</w:t>
      </w:r>
      <w:r w:rsidR="00AC2237" w:rsidRPr="008B2DDA">
        <w:rPr>
          <w:i/>
        </w:rPr>
        <w:t xml:space="preserve"> de produits qui ne sont pas du même type que ceux auxquels l</w:t>
      </w:r>
      <w:r w:rsidR="00A341C2" w:rsidRPr="008B2DDA">
        <w:rPr>
          <w:i/>
        </w:rPr>
        <w:t>’</w:t>
      </w:r>
      <w:r w:rsidR="00AC2237" w:rsidRPr="008B2DDA">
        <w:rPr>
          <w:i/>
        </w:rPr>
        <w:t>appellation d</w:t>
      </w:r>
      <w:r w:rsidR="00A341C2" w:rsidRPr="008B2DDA">
        <w:rPr>
          <w:i/>
        </w:rPr>
        <w:t>’</w:t>
      </w:r>
      <w:r w:rsidR="00AC2237" w:rsidRPr="008B2DDA">
        <w:rPr>
          <w:i/>
        </w:rPr>
        <w:t>origine ou l</w:t>
      </w:r>
      <w:r w:rsidR="00A341C2" w:rsidRPr="008B2DDA">
        <w:rPr>
          <w:i/>
        </w:rPr>
        <w:t>’</w:t>
      </w:r>
      <w:r w:rsidR="00AC2237" w:rsidRPr="008B2DDA">
        <w:rPr>
          <w:i/>
        </w:rPr>
        <w:t>indication géographique s</w:t>
      </w:r>
      <w:r w:rsidR="00A341C2" w:rsidRPr="008B2DDA">
        <w:rPr>
          <w:i/>
        </w:rPr>
        <w:t>’</w:t>
      </w:r>
      <w:r w:rsidR="00AC2237" w:rsidRPr="008B2DDA">
        <w:rPr>
          <w:i/>
        </w:rPr>
        <w:t>applique si cette utilisation est de nature à indiquer ou suggérer un lien entre ces produits et les bénéficiaires et risque de nuire aux intérêts des bénéficiaires, même si l</w:t>
      </w:r>
      <w:r w:rsidR="00A341C2" w:rsidRPr="008B2DDA">
        <w:rPr>
          <w:i/>
        </w:rPr>
        <w:t>’</w:t>
      </w:r>
      <w:r w:rsidR="00AC2237" w:rsidRPr="008B2DDA">
        <w:rPr>
          <w:i/>
        </w:rPr>
        <w:t>appellation d</w:t>
      </w:r>
      <w:r w:rsidR="00A341C2" w:rsidRPr="008B2DDA">
        <w:rPr>
          <w:i/>
        </w:rPr>
        <w:t>’</w:t>
      </w:r>
      <w:r w:rsidR="00AC2237" w:rsidRPr="008B2DDA">
        <w:rPr>
          <w:i/>
        </w:rPr>
        <w:t>origine ou l</w:t>
      </w:r>
      <w:r w:rsidR="00A341C2" w:rsidRPr="008B2DDA">
        <w:rPr>
          <w:i/>
        </w:rPr>
        <w:t>’</w:t>
      </w:r>
      <w:r w:rsidR="00AC2237" w:rsidRPr="008B2DDA">
        <w:rPr>
          <w:i/>
        </w:rPr>
        <w:t>indication géographique utilisée présente des différences minimes;  si l</w:t>
      </w:r>
      <w:r w:rsidR="00A341C2" w:rsidRPr="008B2DDA">
        <w:rPr>
          <w:i/>
        </w:rPr>
        <w:t>’</w:t>
      </w:r>
      <w:r w:rsidR="00AC2237" w:rsidRPr="008B2DDA">
        <w:rPr>
          <w:i/>
        </w:rPr>
        <w:t>origine véritable du produit est indiquée;  ou si l</w:t>
      </w:r>
      <w:r w:rsidR="00A341C2" w:rsidRPr="008B2DDA">
        <w:rPr>
          <w:i/>
        </w:rPr>
        <w:t>’</w:t>
      </w:r>
      <w:r w:rsidR="00AC2237" w:rsidRPr="008B2DDA">
        <w:rPr>
          <w:i/>
        </w:rPr>
        <w:t>appellation d</w:t>
      </w:r>
      <w:r w:rsidR="00A341C2" w:rsidRPr="008B2DDA">
        <w:rPr>
          <w:i/>
        </w:rPr>
        <w:t>’</w:t>
      </w:r>
      <w:r w:rsidR="00AC2237" w:rsidRPr="008B2DDA">
        <w:rPr>
          <w:i/>
        </w:rPr>
        <w:t>origine ou l</w:t>
      </w:r>
      <w:r w:rsidR="00A341C2" w:rsidRPr="008B2DDA">
        <w:rPr>
          <w:i/>
        </w:rPr>
        <w:t>’</w:t>
      </w:r>
      <w:r w:rsidR="00AC2237" w:rsidRPr="008B2DDA">
        <w:rPr>
          <w:i/>
        </w:rPr>
        <w:t>indication géographique est employée en traduction ou accompagnée d</w:t>
      </w:r>
      <w:r w:rsidR="00A341C2" w:rsidRPr="008B2DDA">
        <w:rPr>
          <w:i/>
        </w:rPr>
        <w:t>’</w:t>
      </w:r>
      <w:r w:rsidR="00AC2237" w:rsidRPr="008B2DDA">
        <w:rPr>
          <w:i/>
        </w:rPr>
        <w:t>expressions telles que “style”, “genre”, “type”, “façon”, “imitation”, “méthode”, “comme produit en”, “comme”, “analogue” ou autres</w:t>
      </w:r>
      <w:r w:rsidRPr="008B2DDA">
        <w:rPr>
          <w:i/>
        </w:rPr>
        <w:t>;</w:t>
      </w:r>
    </w:p>
    <w:p w14:paraId="7B9F2524" w14:textId="4272F405" w:rsidR="007079A8" w:rsidRPr="008B2DDA" w:rsidRDefault="00CF7E3A" w:rsidP="008B2DDA">
      <w:pPr>
        <w:ind w:left="567"/>
        <w:rPr>
          <w:i/>
        </w:rPr>
      </w:pPr>
      <w:r w:rsidRPr="008B2DDA">
        <w:rPr>
          <w:i/>
        </w:rPr>
        <w:tab/>
      </w:r>
      <w:r w:rsidR="007079A8" w:rsidRPr="008B2DDA">
        <w:rPr>
          <w:i/>
        </w:rPr>
        <w:t>b)</w:t>
      </w:r>
      <w:r w:rsidR="007079A8" w:rsidRPr="008B2DDA">
        <w:rPr>
          <w:i/>
        </w:rPr>
        <w:tab/>
        <w:t>toute autre pratique susceptible d</w:t>
      </w:r>
      <w:r w:rsidR="00A341C2" w:rsidRPr="008B2DDA">
        <w:rPr>
          <w:i/>
        </w:rPr>
        <w:t>’</w:t>
      </w:r>
      <w:r w:rsidR="007079A8" w:rsidRPr="008B2DDA">
        <w:rPr>
          <w:i/>
        </w:rPr>
        <w:t>induire le consommateur en erreur quant à la véritable origine, la provenance ou la nature des produits.</w:t>
      </w:r>
    </w:p>
    <w:p w14:paraId="2360DAB4" w14:textId="77777777" w:rsidR="007079A8" w:rsidRPr="008B2DDA" w:rsidRDefault="007079A8" w:rsidP="008B2DDA"/>
    <w:p w14:paraId="55B2F259" w14:textId="77777777" w:rsidR="007079A8" w:rsidRPr="008B2DDA" w:rsidRDefault="007079A8" w:rsidP="008B2DDA"/>
    <w:p w14:paraId="4D081AB2" w14:textId="77777777" w:rsidR="007079A8" w:rsidRPr="008B2DDA" w:rsidRDefault="007079A8" w:rsidP="008B2DDA"/>
    <w:p w14:paraId="4AF4FAC0" w14:textId="6D9A4915" w:rsidR="007079A8" w:rsidRPr="008B2DDA" w:rsidRDefault="00355FAD" w:rsidP="008B2DDA">
      <w:pPr>
        <w:pStyle w:val="Endofdocument-Annex"/>
      </w:pPr>
      <w:r w:rsidRPr="008B2DDA">
        <w:t>[L</w:t>
      </w:r>
      <w:r w:rsidR="00A341C2" w:rsidRPr="008B2DDA">
        <w:t>’</w:t>
      </w:r>
      <w:r w:rsidRPr="008B2DDA">
        <w:t>annexe</w:t>
      </w:r>
      <w:r w:rsidR="00E26A2C" w:rsidRPr="008B2DDA">
        <w:t> </w:t>
      </w:r>
      <w:r w:rsidRPr="008B2DDA">
        <w:t>I</w:t>
      </w:r>
      <w:r w:rsidR="00D67EA4" w:rsidRPr="008B2DDA">
        <w:t>V</w:t>
      </w:r>
      <w:r w:rsidRPr="008B2DDA">
        <w:t xml:space="preserve"> suit]</w:t>
      </w:r>
    </w:p>
    <w:p w14:paraId="33447AA8" w14:textId="77777777" w:rsidR="007079A8" w:rsidRPr="008B2DDA" w:rsidRDefault="007079A8" w:rsidP="008B2DDA">
      <w:pPr>
        <w:pStyle w:val="ListParagraph"/>
        <w:tabs>
          <w:tab w:val="left" w:pos="1134"/>
        </w:tabs>
        <w:ind w:left="1134" w:firstLine="11"/>
        <w:jc w:val="both"/>
        <w:rPr>
          <w:i/>
        </w:rPr>
      </w:pPr>
    </w:p>
    <w:p w14:paraId="705F4433" w14:textId="77777777" w:rsidR="00A0069A" w:rsidRPr="008B2DDA" w:rsidRDefault="00A0069A" w:rsidP="008B2DDA">
      <w:pPr>
        <w:rPr>
          <w:i/>
        </w:rPr>
        <w:sectPr w:rsidR="00A0069A" w:rsidRPr="008B2DDA" w:rsidSect="00A341C2">
          <w:headerReference w:type="default" r:id="rId20"/>
          <w:headerReference w:type="first" r:id="rId21"/>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14:paraId="60A9C607" w14:textId="610ECA0A" w:rsidR="004E7085" w:rsidRDefault="004E7085" w:rsidP="008B2DDA">
      <w:pPr>
        <w:jc w:val="center"/>
        <w:rPr>
          <w:b/>
          <w:bCs/>
          <w:szCs w:val="22"/>
        </w:rPr>
      </w:pPr>
      <w:r>
        <w:rPr>
          <w:b/>
          <w:bCs/>
          <w:szCs w:val="22"/>
        </w:rPr>
        <w:lastRenderedPageBreak/>
        <w:t>ISRAËL</w:t>
      </w:r>
    </w:p>
    <w:p w14:paraId="6C1EE0D2" w14:textId="77777777" w:rsidR="004E7085" w:rsidRDefault="004E7085" w:rsidP="008B2DDA">
      <w:pPr>
        <w:jc w:val="center"/>
        <w:rPr>
          <w:b/>
          <w:bCs/>
          <w:szCs w:val="22"/>
        </w:rPr>
      </w:pPr>
    </w:p>
    <w:p w14:paraId="7EE2D782" w14:textId="1AE2043F" w:rsidR="00861355" w:rsidRPr="008B2DDA" w:rsidRDefault="00861355" w:rsidP="008B2DDA">
      <w:pPr>
        <w:jc w:val="center"/>
        <w:rPr>
          <w:b/>
          <w:bCs/>
          <w:szCs w:val="22"/>
        </w:rPr>
      </w:pPr>
      <w:r w:rsidRPr="008B2DDA">
        <w:rPr>
          <w:b/>
          <w:bCs/>
          <w:szCs w:val="22"/>
        </w:rPr>
        <w:t xml:space="preserve">Conférence diplomatique pour l’adoption d’un nouvel Acte </w:t>
      </w:r>
      <w:r w:rsidR="00796CE4">
        <w:rPr>
          <w:b/>
          <w:bCs/>
          <w:szCs w:val="22"/>
        </w:rPr>
        <w:br/>
      </w:r>
      <w:r w:rsidRPr="008B2DDA">
        <w:rPr>
          <w:b/>
          <w:bCs/>
          <w:szCs w:val="22"/>
        </w:rPr>
        <w:t xml:space="preserve">de l’Arrangement de Lisbonne concernant la protection </w:t>
      </w:r>
      <w:r w:rsidR="00796CE4">
        <w:rPr>
          <w:b/>
          <w:bCs/>
          <w:szCs w:val="22"/>
        </w:rPr>
        <w:br/>
      </w:r>
      <w:r w:rsidRPr="008B2DDA">
        <w:rPr>
          <w:b/>
          <w:bCs/>
          <w:szCs w:val="22"/>
        </w:rPr>
        <w:t>des appellations d’origine et leur enregistrement international</w:t>
      </w:r>
    </w:p>
    <w:p w14:paraId="5F7285F1" w14:textId="77777777" w:rsidR="00861355" w:rsidRPr="008B2DDA" w:rsidRDefault="00861355" w:rsidP="008B2DDA">
      <w:pPr>
        <w:jc w:val="center"/>
        <w:rPr>
          <w:b/>
          <w:bCs/>
          <w:szCs w:val="22"/>
          <w:u w:val="single"/>
        </w:rPr>
      </w:pPr>
    </w:p>
    <w:p w14:paraId="47896829" w14:textId="7FD4A367" w:rsidR="00861355" w:rsidRPr="008B2DDA" w:rsidRDefault="00861355" w:rsidP="008B2DDA">
      <w:pPr>
        <w:pStyle w:val="Default"/>
        <w:jc w:val="center"/>
        <w:rPr>
          <w:b/>
          <w:bCs/>
          <w:i/>
          <w:color w:val="auto"/>
          <w:sz w:val="22"/>
          <w:szCs w:val="22"/>
          <w:u w:val="single"/>
        </w:rPr>
      </w:pPr>
      <w:r w:rsidRPr="008B2DDA">
        <w:rPr>
          <w:b/>
          <w:bCs/>
          <w:color w:val="auto"/>
          <w:sz w:val="22"/>
          <w:szCs w:val="22"/>
          <w:u w:val="single"/>
        </w:rPr>
        <w:t>Proposition</w:t>
      </w:r>
      <w:r w:rsidRPr="008B2DDA">
        <w:rPr>
          <w:rStyle w:val="FootnoteReference"/>
          <w:rFonts w:cs="Arial"/>
          <w:b/>
          <w:bCs/>
          <w:color w:val="auto"/>
          <w:sz w:val="22"/>
          <w:szCs w:val="22"/>
          <w:u w:val="single"/>
        </w:rPr>
        <w:footnoteReference w:id="3"/>
      </w:r>
      <w:r w:rsidRPr="008B2DDA">
        <w:rPr>
          <w:b/>
          <w:bCs/>
          <w:color w:val="auto"/>
          <w:sz w:val="22"/>
          <w:szCs w:val="22"/>
          <w:u w:val="single"/>
        </w:rPr>
        <w:t xml:space="preserve"> du Gouvernement d’Israël suite à la demande du Groupe de travail sur le</w:t>
      </w:r>
      <w:r w:rsidR="00E43680" w:rsidRPr="008B2DDA">
        <w:rPr>
          <w:b/>
          <w:bCs/>
          <w:color w:val="auto"/>
          <w:sz w:val="22"/>
          <w:szCs w:val="22"/>
          <w:u w:val="single"/>
        </w:rPr>
        <w:t> </w:t>
      </w:r>
      <w:r w:rsidRPr="008B2DDA">
        <w:rPr>
          <w:b/>
          <w:bCs/>
          <w:color w:val="auto"/>
          <w:sz w:val="22"/>
          <w:szCs w:val="22"/>
          <w:u w:val="single"/>
        </w:rPr>
        <w:t xml:space="preserve">développement du système de Lisbonne visant la modification de la proposition de base s’agissant des questions indiquées comme étant en suspens et énoncées au point 4 du document LI/DC/5 (22 décembre 2014), </w:t>
      </w:r>
      <w:r w:rsidRPr="008B2DDA">
        <w:rPr>
          <w:b/>
          <w:bCs/>
          <w:i/>
          <w:color w:val="auto"/>
          <w:sz w:val="22"/>
          <w:szCs w:val="22"/>
          <w:u w:val="single"/>
        </w:rPr>
        <w:t xml:space="preserve">Notes relatives à la proposition de base pour le nouvel Acte de l’Arrangement de Lisbonne </w:t>
      </w:r>
      <w:r w:rsidR="00E43680" w:rsidRPr="008B2DDA">
        <w:rPr>
          <w:b/>
          <w:bCs/>
          <w:i/>
          <w:color w:val="auto"/>
          <w:sz w:val="22"/>
          <w:szCs w:val="22"/>
          <w:u w:val="single"/>
        </w:rPr>
        <w:t>sur les appellations d’origine et les indications géographiques</w:t>
      </w:r>
      <w:r w:rsidRPr="008B2DDA">
        <w:rPr>
          <w:b/>
          <w:bCs/>
          <w:i/>
          <w:color w:val="auto"/>
          <w:sz w:val="22"/>
          <w:szCs w:val="22"/>
          <w:u w:val="single"/>
        </w:rPr>
        <w:t>.</w:t>
      </w:r>
    </w:p>
    <w:p w14:paraId="7D6DBF2A" w14:textId="77777777" w:rsidR="00861355" w:rsidRPr="008B2DDA" w:rsidRDefault="00861355" w:rsidP="008B2DDA">
      <w:pPr>
        <w:jc w:val="center"/>
        <w:rPr>
          <w:b/>
          <w:bCs/>
          <w:szCs w:val="22"/>
        </w:rPr>
      </w:pPr>
      <w:r w:rsidRPr="008B2DDA">
        <w:rPr>
          <w:b/>
          <w:bCs/>
          <w:szCs w:val="22"/>
        </w:rPr>
        <w:t>1</w:t>
      </w:r>
      <w:r w:rsidRPr="008B2DDA">
        <w:rPr>
          <w:b/>
          <w:bCs/>
          <w:szCs w:val="22"/>
          <w:vertAlign w:val="superscript"/>
        </w:rPr>
        <w:t>er</w:t>
      </w:r>
      <w:r w:rsidRPr="008B2DDA">
        <w:rPr>
          <w:b/>
          <w:bCs/>
          <w:szCs w:val="22"/>
        </w:rPr>
        <w:t> février 2015</w:t>
      </w:r>
    </w:p>
    <w:p w14:paraId="764B9907" w14:textId="77777777" w:rsidR="00861355" w:rsidRPr="008B2DDA" w:rsidRDefault="00861355" w:rsidP="008B2DDA">
      <w:pPr>
        <w:rPr>
          <w:szCs w:val="22"/>
        </w:rPr>
      </w:pPr>
    </w:p>
    <w:p w14:paraId="4D3A9B9A" w14:textId="77777777" w:rsidR="00861355" w:rsidRPr="008B2DDA" w:rsidRDefault="00861355" w:rsidP="008B2DDA">
      <w:pPr>
        <w:rPr>
          <w:b/>
          <w:bCs/>
          <w:szCs w:val="22"/>
        </w:rPr>
      </w:pPr>
      <w:r w:rsidRPr="008B2DDA">
        <w:rPr>
          <w:b/>
          <w:bCs/>
          <w:szCs w:val="22"/>
        </w:rPr>
        <w:t>i)</w:t>
      </w:r>
      <w:r w:rsidRPr="008B2DDA">
        <w:rPr>
          <w:b/>
          <w:bCs/>
          <w:szCs w:val="22"/>
        </w:rPr>
        <w:tab/>
        <w:t>Aspects relatifs à l’application de l’article 1.xiv)</w:t>
      </w:r>
    </w:p>
    <w:p w14:paraId="5C7038BD" w14:textId="77777777" w:rsidR="00861355" w:rsidRPr="008B2DDA" w:rsidRDefault="00861355" w:rsidP="008B2DDA">
      <w:pPr>
        <w:rPr>
          <w:szCs w:val="22"/>
        </w:rPr>
      </w:pPr>
    </w:p>
    <w:p w14:paraId="583D83AC" w14:textId="77777777" w:rsidR="00861355" w:rsidRPr="008B2DDA" w:rsidRDefault="00861355" w:rsidP="008B2DDA">
      <w:pPr>
        <w:rPr>
          <w:szCs w:val="22"/>
        </w:rPr>
      </w:pPr>
      <w:r w:rsidRPr="008B2DDA">
        <w:rPr>
          <w:szCs w:val="22"/>
        </w:rPr>
        <w:t>En ce qui concerne les aspects relatifs à l’application de l’article 1.xiv), le Gouvernement d’Israël propose que la référence faite aux organisations intergouvernementales soit calquée sur les dispositions de l’article 14 du Protocole relatif à l’Arrangement de Madrid concernant l’enregistrement international des marques traitant des organisations intergouvernementales.</w:t>
      </w:r>
    </w:p>
    <w:p w14:paraId="4AF15598" w14:textId="77777777" w:rsidR="00861355" w:rsidRPr="008B2DDA" w:rsidRDefault="00861355" w:rsidP="008B2DDA">
      <w:pPr>
        <w:rPr>
          <w:szCs w:val="22"/>
          <w:highlight w:val="yellow"/>
        </w:rPr>
      </w:pPr>
    </w:p>
    <w:p w14:paraId="276D8894" w14:textId="77777777" w:rsidR="00861355" w:rsidRPr="008B2DDA" w:rsidRDefault="00861355" w:rsidP="008B2DDA">
      <w:pPr>
        <w:ind w:left="567" w:hanging="567"/>
        <w:rPr>
          <w:b/>
          <w:bCs/>
          <w:szCs w:val="22"/>
        </w:rPr>
      </w:pPr>
      <w:r w:rsidRPr="008B2DDA">
        <w:rPr>
          <w:b/>
          <w:bCs/>
          <w:szCs w:val="22"/>
        </w:rPr>
        <w:t>ii)</w:t>
      </w:r>
      <w:r w:rsidRPr="008B2DDA">
        <w:rPr>
          <w:b/>
          <w:bCs/>
          <w:szCs w:val="22"/>
        </w:rPr>
        <w:tab/>
        <w:t>Contenu de l’article 2.2) et de l’article 5.4) sur les aires géographiques transfrontalières d’origine</w:t>
      </w:r>
    </w:p>
    <w:p w14:paraId="301D5FDF" w14:textId="77777777" w:rsidR="00861355" w:rsidRPr="008B2DDA" w:rsidRDefault="00861355" w:rsidP="008B2DDA">
      <w:pPr>
        <w:rPr>
          <w:b/>
          <w:bCs/>
          <w:szCs w:val="22"/>
        </w:rPr>
      </w:pPr>
    </w:p>
    <w:p w14:paraId="71F3BA23" w14:textId="77777777" w:rsidR="00861355" w:rsidRPr="008B2DDA" w:rsidRDefault="00861355" w:rsidP="008B2DDA">
      <w:pPr>
        <w:rPr>
          <w:i/>
          <w:iCs/>
          <w:szCs w:val="22"/>
        </w:rPr>
      </w:pPr>
      <w:r w:rsidRPr="008B2DDA">
        <w:rPr>
          <w:rStyle w:val="hps"/>
        </w:rPr>
        <w:t>Le Gouvernement</w:t>
      </w:r>
      <w:r w:rsidRPr="008B2DDA">
        <w:t xml:space="preserve"> </w:t>
      </w:r>
      <w:r w:rsidRPr="008B2DDA">
        <w:rPr>
          <w:rStyle w:val="hps"/>
        </w:rPr>
        <w:t>d’Israël propose</w:t>
      </w:r>
      <w:r w:rsidRPr="008B2DDA">
        <w:t xml:space="preserve"> </w:t>
      </w:r>
      <w:r w:rsidRPr="008B2DDA">
        <w:rPr>
          <w:rStyle w:val="hps"/>
        </w:rPr>
        <w:t>que le texte de</w:t>
      </w:r>
      <w:r w:rsidRPr="008B2DDA">
        <w:t xml:space="preserve"> </w:t>
      </w:r>
      <w:r w:rsidRPr="008B2DDA">
        <w:rPr>
          <w:rStyle w:val="hps"/>
        </w:rPr>
        <w:t>la proposition de base</w:t>
      </w:r>
      <w:r w:rsidRPr="008B2DDA">
        <w:t xml:space="preserve"> </w:t>
      </w:r>
      <w:r w:rsidRPr="008B2DDA">
        <w:rPr>
          <w:rStyle w:val="hps"/>
        </w:rPr>
        <w:t>soit modifié pour</w:t>
      </w:r>
      <w:r w:rsidRPr="008B2DDA">
        <w:t xml:space="preserve"> </w:t>
      </w:r>
      <w:r w:rsidRPr="008B2DDA">
        <w:rPr>
          <w:rStyle w:val="hps"/>
        </w:rPr>
        <w:t>indiquer expressément</w:t>
      </w:r>
      <w:r w:rsidRPr="008B2DDA">
        <w:t xml:space="preserve"> </w:t>
      </w:r>
      <w:r w:rsidRPr="008B2DDA">
        <w:rPr>
          <w:rStyle w:val="hps"/>
        </w:rPr>
        <w:t>que les demandes</w:t>
      </w:r>
      <w:r w:rsidRPr="008B2DDA">
        <w:t xml:space="preserve"> </w:t>
      </w:r>
      <w:r w:rsidRPr="008B2DDA">
        <w:rPr>
          <w:rStyle w:val="hps"/>
        </w:rPr>
        <w:t>à l’égard</w:t>
      </w:r>
      <w:r w:rsidRPr="008B2DDA">
        <w:t xml:space="preserve"> </w:t>
      </w:r>
      <w:r w:rsidRPr="008B2DDA">
        <w:rPr>
          <w:rStyle w:val="hps"/>
        </w:rPr>
        <w:t>d’une aire</w:t>
      </w:r>
      <w:r w:rsidRPr="008B2DDA">
        <w:t xml:space="preserve"> </w:t>
      </w:r>
      <w:r w:rsidRPr="008B2DDA">
        <w:rPr>
          <w:rStyle w:val="hps"/>
        </w:rPr>
        <w:t>transfrontalière</w:t>
      </w:r>
      <w:r w:rsidRPr="008B2DDA">
        <w:t xml:space="preserve"> </w:t>
      </w:r>
      <w:r w:rsidRPr="008B2DDA">
        <w:rPr>
          <w:rStyle w:val="hps"/>
        </w:rPr>
        <w:t>puissent être déposées conjointement</w:t>
      </w:r>
      <w:r w:rsidRPr="008B2DDA">
        <w:t xml:space="preserve"> </w:t>
      </w:r>
      <w:r w:rsidRPr="008B2DDA">
        <w:rPr>
          <w:rStyle w:val="hps"/>
        </w:rPr>
        <w:t>ou individuellement,</w:t>
      </w:r>
      <w:r w:rsidRPr="008B2DDA">
        <w:t xml:space="preserve"> </w:t>
      </w:r>
      <w:r w:rsidRPr="008B2DDA">
        <w:rPr>
          <w:rStyle w:val="hps"/>
        </w:rPr>
        <w:t>conformément à ce qui est actuellement</w:t>
      </w:r>
      <w:r w:rsidRPr="008B2DDA">
        <w:t xml:space="preserve"> </w:t>
      </w:r>
      <w:r w:rsidRPr="008B2DDA">
        <w:rPr>
          <w:rStyle w:val="hps"/>
        </w:rPr>
        <w:t>expressément énoncé</w:t>
      </w:r>
      <w:r w:rsidRPr="008B2DDA">
        <w:t xml:space="preserve"> </w:t>
      </w:r>
      <w:r w:rsidRPr="008B2DDA">
        <w:rPr>
          <w:rStyle w:val="hps"/>
        </w:rPr>
        <w:t>dans la note explicative</w:t>
      </w:r>
      <w:r w:rsidRPr="008B2DDA">
        <w:t> </w:t>
      </w:r>
      <w:r w:rsidRPr="008B2DDA">
        <w:rPr>
          <w:rStyle w:val="hps"/>
        </w:rPr>
        <w:t>5.04</w:t>
      </w:r>
      <w:r w:rsidRPr="008B2DDA">
        <w:t xml:space="preserve"> </w:t>
      </w:r>
      <w:r w:rsidRPr="008B2DDA">
        <w:rPr>
          <w:rStyle w:val="hps"/>
        </w:rPr>
        <w:t>(document</w:t>
      </w:r>
      <w:r w:rsidRPr="008B2DDA">
        <w:t xml:space="preserve"> </w:t>
      </w:r>
      <w:r w:rsidRPr="008B2DDA">
        <w:rPr>
          <w:rStyle w:val="hps"/>
        </w:rPr>
        <w:t>LI/DC/5</w:t>
      </w:r>
      <w:r w:rsidRPr="008B2DDA">
        <w:t xml:space="preserve">, </w:t>
      </w:r>
      <w:r w:rsidRPr="008B2DDA">
        <w:rPr>
          <w:rStyle w:val="hps"/>
        </w:rPr>
        <w:t>22 décembre 2014</w:t>
      </w:r>
      <w:r w:rsidRPr="008B2DDA">
        <w:t>), à savoir que</w:t>
      </w:r>
      <w:r w:rsidRPr="008B2DDA">
        <w:rPr>
          <w:rStyle w:val="hps"/>
        </w:rPr>
        <w:t> :</w:t>
      </w:r>
      <w:r w:rsidRPr="008B2DDA">
        <w:rPr>
          <w:szCs w:val="22"/>
        </w:rPr>
        <w:t xml:space="preserve"> </w:t>
      </w:r>
      <w:r w:rsidRPr="008B2DDA">
        <w:rPr>
          <w:i/>
          <w:iCs/>
          <w:szCs w:val="22"/>
        </w:rPr>
        <w:t>“Chaque partie contractante peut en effet préférer déposer une demande distincte se rapportant uniquement à la portion de l’aire transfrontalière située sur son territoire, étant entendu qu’une telle demande ne peut se rapporter à la totalité de cette aire”.</w:t>
      </w:r>
    </w:p>
    <w:p w14:paraId="2E38BF89" w14:textId="77777777" w:rsidR="00861355" w:rsidRPr="008B2DDA" w:rsidRDefault="00861355" w:rsidP="008B2DDA">
      <w:pPr>
        <w:rPr>
          <w:szCs w:val="22"/>
        </w:rPr>
      </w:pPr>
    </w:p>
    <w:p w14:paraId="5218B71F" w14:textId="77777777" w:rsidR="00861355" w:rsidRPr="008B2DDA" w:rsidRDefault="00861355" w:rsidP="008B2DDA">
      <w:pPr>
        <w:rPr>
          <w:szCs w:val="22"/>
        </w:rPr>
      </w:pPr>
      <w:r w:rsidRPr="008B2DDA">
        <w:rPr>
          <w:rStyle w:val="hps"/>
        </w:rPr>
        <w:t>En conséquence</w:t>
      </w:r>
      <w:r w:rsidRPr="008B2DDA">
        <w:rPr>
          <w:rStyle w:val="shorttext"/>
        </w:rPr>
        <w:t>, il est proposé :</w:t>
      </w:r>
    </w:p>
    <w:p w14:paraId="1935FDA0" w14:textId="77777777" w:rsidR="00861355" w:rsidRPr="008B2DDA" w:rsidRDefault="00861355" w:rsidP="008B2DDA">
      <w:pPr>
        <w:rPr>
          <w:szCs w:val="22"/>
        </w:rPr>
      </w:pPr>
    </w:p>
    <w:p w14:paraId="474FA30A" w14:textId="77777777" w:rsidR="00861355" w:rsidRPr="008B2DDA" w:rsidRDefault="00861355" w:rsidP="008B2DDA">
      <w:pPr>
        <w:spacing w:after="200"/>
        <w:ind w:left="1134" w:hanging="567"/>
        <w:rPr>
          <w:szCs w:val="22"/>
        </w:rPr>
      </w:pPr>
      <w:r w:rsidRPr="008B2DDA">
        <w:rPr>
          <w:szCs w:val="22"/>
        </w:rPr>
        <w:t>1)</w:t>
      </w:r>
      <w:r w:rsidRPr="008B2DDA">
        <w:rPr>
          <w:szCs w:val="22"/>
        </w:rPr>
        <w:tab/>
        <w:t>de conserver la phrase entre crochets figurant à la fin de l’article 2.2) et d’ajouter l’expression “</w:t>
      </w:r>
      <w:r w:rsidRPr="008B2DDA">
        <w:rPr>
          <w:i/>
          <w:iCs/>
          <w:szCs w:val="22"/>
        </w:rPr>
        <w:t>ou une partie de ladite aire”</w:t>
      </w:r>
      <w:r w:rsidRPr="008B2DDA">
        <w:rPr>
          <w:szCs w:val="22"/>
        </w:rPr>
        <w:t xml:space="preserve"> juste après l’expression “aire géographique transfrontalière” ce qui donne le texte suivant : “[</w:t>
      </w:r>
      <w:r w:rsidRPr="008B2DDA">
        <w:t xml:space="preserve">Cela n’exclut pas l’application du présent Acte à l’égard d’une aire géographique d’origine décrite à l’alinéa 1) consistant en une aire géographique transfrontalière, </w:t>
      </w:r>
      <w:r w:rsidRPr="008B2DDA">
        <w:rPr>
          <w:i/>
          <w:iCs/>
          <w:szCs w:val="22"/>
          <w:u w:val="single"/>
        </w:rPr>
        <w:t>ou une partie de ladite aire</w:t>
      </w:r>
      <w:r w:rsidRPr="008B2DDA">
        <w:rPr>
          <w:i/>
          <w:iCs/>
          <w:szCs w:val="22"/>
        </w:rPr>
        <w:t xml:space="preserve">, </w:t>
      </w:r>
      <w:r w:rsidRPr="008B2DDA">
        <w:t>sous réserve de l’article 5.4)</w:t>
      </w:r>
      <w:r w:rsidRPr="008B2DDA">
        <w:rPr>
          <w:szCs w:val="22"/>
        </w:rPr>
        <w:t>]</w:t>
      </w:r>
      <w:r w:rsidRPr="008B2DDA">
        <w:t>”</w:t>
      </w:r>
      <w:r w:rsidRPr="008B2DDA">
        <w:rPr>
          <w:szCs w:val="22"/>
        </w:rPr>
        <w:t>;</w:t>
      </w:r>
    </w:p>
    <w:p w14:paraId="30A4B0EC" w14:textId="2237A5FA" w:rsidR="00796CE4" w:rsidRDefault="00861355" w:rsidP="0002751B">
      <w:pPr>
        <w:spacing w:after="200"/>
        <w:ind w:left="1134" w:hanging="567"/>
        <w:rPr>
          <w:b/>
          <w:bCs/>
          <w:szCs w:val="22"/>
        </w:rPr>
      </w:pPr>
      <w:r w:rsidRPr="008B2DDA">
        <w:rPr>
          <w:szCs w:val="22"/>
        </w:rPr>
        <w:t>2)</w:t>
      </w:r>
      <w:r w:rsidRPr="008B2DDA">
        <w:rPr>
          <w:szCs w:val="22"/>
        </w:rPr>
        <w:tab/>
        <w:t xml:space="preserve">d’ajouter, dans l’article 5.4), l’expression </w:t>
      </w:r>
      <w:r w:rsidRPr="008B2DDA">
        <w:rPr>
          <w:i/>
          <w:iCs/>
          <w:szCs w:val="22"/>
        </w:rPr>
        <w:t>“</w:t>
      </w:r>
      <w:r w:rsidRPr="008B2DDA">
        <w:rPr>
          <w:i/>
          <w:iCs/>
          <w:szCs w:val="22"/>
          <w:u w:val="single"/>
        </w:rPr>
        <w:t>peuvent agir individuellement en ce qui concerne la partie de l’aire transfrontalière située sur leurs territoires respectifs ou</w:t>
      </w:r>
      <w:r w:rsidRPr="008B2DDA">
        <w:t>”</w:t>
      </w:r>
      <w:r w:rsidRPr="008B2DDA">
        <w:rPr>
          <w:szCs w:val="22"/>
        </w:rPr>
        <w:t xml:space="preserve"> immédiatement après l’expression “</w:t>
      </w:r>
      <w:r w:rsidRPr="008B2DDA">
        <w:t>les parties contractantes adjacentes”</w:t>
      </w:r>
      <w:r w:rsidRPr="008B2DDA">
        <w:rPr>
          <w:szCs w:val="22"/>
        </w:rPr>
        <w:t>, ce qui donne le texte suivant : “a) </w:t>
      </w:r>
      <w:r w:rsidRPr="008B2DDA">
        <w:t xml:space="preserve">Dans le cas d’une aire géographique d’origine qui consiste en une aire géographique transfrontalière, les parties contractantes adjacentes </w:t>
      </w:r>
      <w:r w:rsidRPr="008B2DDA">
        <w:rPr>
          <w:i/>
          <w:iCs/>
          <w:szCs w:val="22"/>
          <w:u w:val="single"/>
        </w:rPr>
        <w:t xml:space="preserve">peuvent agir individuellement en ce qui concerne la partie de l’aire </w:t>
      </w:r>
      <w:r w:rsidRPr="008B2DDA">
        <w:rPr>
          <w:i/>
          <w:iCs/>
          <w:szCs w:val="22"/>
        </w:rPr>
        <w:t xml:space="preserve">géographique </w:t>
      </w:r>
      <w:r w:rsidRPr="008B2DDA">
        <w:rPr>
          <w:i/>
          <w:iCs/>
          <w:szCs w:val="22"/>
          <w:u w:val="single"/>
        </w:rPr>
        <w:t>transfrontalière située sur leurs territoires respectifs ou</w:t>
      </w:r>
      <w:r w:rsidRPr="008B2DDA">
        <w:t xml:space="preserve"> peuvent convenir d’agir comme une unique partie contractante d’origine en déposant une demande conjointement, par l’intermédiaire d’une administration compétente désignée en commun</w:t>
      </w:r>
      <w:r w:rsidRPr="008B2DDA">
        <w:rPr>
          <w:szCs w:val="22"/>
        </w:rPr>
        <w:t>”.</w:t>
      </w:r>
      <w:r w:rsidR="00796CE4">
        <w:rPr>
          <w:b/>
          <w:bCs/>
          <w:szCs w:val="22"/>
        </w:rPr>
        <w:br w:type="page"/>
      </w:r>
    </w:p>
    <w:p w14:paraId="64CD7E44" w14:textId="6BC99D4E" w:rsidR="00861355" w:rsidRPr="008B2DDA" w:rsidRDefault="00861355" w:rsidP="008B2DDA">
      <w:pPr>
        <w:ind w:left="567" w:hanging="567"/>
        <w:rPr>
          <w:b/>
          <w:bCs/>
          <w:szCs w:val="22"/>
        </w:rPr>
      </w:pPr>
      <w:r w:rsidRPr="008B2DDA">
        <w:rPr>
          <w:b/>
          <w:bCs/>
          <w:szCs w:val="22"/>
        </w:rPr>
        <w:lastRenderedPageBreak/>
        <w:t>iii)</w:t>
      </w:r>
      <w:r w:rsidRPr="008B2DDA">
        <w:rPr>
          <w:b/>
          <w:bCs/>
          <w:szCs w:val="22"/>
        </w:rPr>
        <w:tab/>
        <w:t>Droit de dépôt d’une demande en vertu de l’article 5.2)</w:t>
      </w:r>
    </w:p>
    <w:p w14:paraId="3A71DFD4" w14:textId="77777777" w:rsidR="00861355" w:rsidRPr="008B2DDA" w:rsidRDefault="00861355" w:rsidP="008B2DDA">
      <w:pPr>
        <w:rPr>
          <w:b/>
          <w:bCs/>
          <w:szCs w:val="22"/>
        </w:rPr>
      </w:pPr>
    </w:p>
    <w:p w14:paraId="3DA49BC9" w14:textId="77777777" w:rsidR="00861355" w:rsidRPr="008B2DDA" w:rsidRDefault="00861355" w:rsidP="008B2DDA">
      <w:pPr>
        <w:rPr>
          <w:szCs w:val="22"/>
        </w:rPr>
      </w:pPr>
      <w:r w:rsidRPr="008B2DDA">
        <w:rPr>
          <w:szCs w:val="22"/>
        </w:rPr>
        <w:t>Encore soumis à examen interministériel.</w:t>
      </w:r>
    </w:p>
    <w:p w14:paraId="6EF94AB4" w14:textId="77777777" w:rsidR="00861355" w:rsidRPr="008B2DDA" w:rsidRDefault="00861355" w:rsidP="008B2DDA">
      <w:pPr>
        <w:rPr>
          <w:szCs w:val="22"/>
        </w:rPr>
      </w:pPr>
    </w:p>
    <w:p w14:paraId="6CB3CFAD" w14:textId="77777777" w:rsidR="00861355" w:rsidRPr="008B2DDA" w:rsidRDefault="00861355" w:rsidP="008B2DDA">
      <w:pPr>
        <w:ind w:left="567" w:hanging="567"/>
        <w:rPr>
          <w:b/>
          <w:bCs/>
          <w:szCs w:val="22"/>
        </w:rPr>
      </w:pPr>
      <w:r w:rsidRPr="008B2DDA">
        <w:rPr>
          <w:b/>
          <w:bCs/>
          <w:szCs w:val="22"/>
        </w:rPr>
        <w:t>iv)</w:t>
      </w:r>
      <w:r w:rsidRPr="008B2DDA">
        <w:rPr>
          <w:b/>
          <w:bCs/>
          <w:szCs w:val="22"/>
        </w:rPr>
        <w:tab/>
        <w:t>Article 7.3), article 8.3), article 24.3</w:t>
      </w:r>
      <w:proofErr w:type="gramStart"/>
      <w:r w:rsidRPr="008B2DDA">
        <w:rPr>
          <w:b/>
          <w:bCs/>
          <w:szCs w:val="22"/>
        </w:rPr>
        <w:t>)vi</w:t>
      </w:r>
      <w:proofErr w:type="gramEnd"/>
      <w:r w:rsidRPr="008B2DDA">
        <w:rPr>
          <w:b/>
          <w:bCs/>
          <w:szCs w:val="22"/>
        </w:rPr>
        <w:t>) et disposition connexe en ce qui concerne l’introduction éventuelle de taxes de maintien en vigueur</w:t>
      </w:r>
    </w:p>
    <w:p w14:paraId="49331C74" w14:textId="77777777" w:rsidR="00861355" w:rsidRPr="008B2DDA" w:rsidRDefault="00861355" w:rsidP="008B2DDA">
      <w:pPr>
        <w:rPr>
          <w:b/>
          <w:bCs/>
          <w:szCs w:val="22"/>
        </w:rPr>
      </w:pPr>
    </w:p>
    <w:p w14:paraId="48D76AAD" w14:textId="77777777" w:rsidR="00861355" w:rsidRPr="008B2DDA" w:rsidRDefault="00861355" w:rsidP="008B2DDA">
      <w:pPr>
        <w:rPr>
          <w:szCs w:val="22"/>
        </w:rPr>
      </w:pPr>
      <w:r w:rsidRPr="008B2DDA">
        <w:rPr>
          <w:szCs w:val="22"/>
        </w:rPr>
        <w:t>Encore en discussion interministérielle.</w:t>
      </w:r>
    </w:p>
    <w:p w14:paraId="0B245534" w14:textId="77777777" w:rsidR="00861355" w:rsidRPr="008B2DDA" w:rsidRDefault="00861355" w:rsidP="008B2DDA">
      <w:pPr>
        <w:rPr>
          <w:szCs w:val="22"/>
        </w:rPr>
      </w:pPr>
    </w:p>
    <w:p w14:paraId="0BE56404" w14:textId="77777777" w:rsidR="00861355" w:rsidRPr="008B2DDA" w:rsidRDefault="00861355" w:rsidP="008B2DDA">
      <w:pPr>
        <w:ind w:left="567" w:hanging="567"/>
        <w:rPr>
          <w:b/>
          <w:bCs/>
          <w:szCs w:val="22"/>
        </w:rPr>
      </w:pPr>
      <w:r w:rsidRPr="008B2DDA">
        <w:rPr>
          <w:b/>
          <w:bCs/>
          <w:szCs w:val="22"/>
        </w:rPr>
        <w:t>v)</w:t>
      </w:r>
      <w:r w:rsidRPr="008B2DDA">
        <w:rPr>
          <w:b/>
          <w:bCs/>
          <w:szCs w:val="22"/>
        </w:rPr>
        <w:tab/>
        <w:t>Réintroduction possible des dispositions de l’Arrangement de Lisbonne en vigueur relatives aux contributions des membres de l’Union particulière</w:t>
      </w:r>
    </w:p>
    <w:p w14:paraId="7A3AA2CD" w14:textId="77777777" w:rsidR="00861355" w:rsidRPr="008B2DDA" w:rsidRDefault="00861355" w:rsidP="008B2DDA">
      <w:pPr>
        <w:rPr>
          <w:b/>
          <w:bCs/>
          <w:szCs w:val="22"/>
        </w:rPr>
      </w:pPr>
    </w:p>
    <w:p w14:paraId="368478E7" w14:textId="77777777" w:rsidR="00861355" w:rsidRPr="008B2DDA" w:rsidRDefault="00861355" w:rsidP="008B2DDA">
      <w:pPr>
        <w:rPr>
          <w:szCs w:val="22"/>
        </w:rPr>
      </w:pPr>
      <w:r w:rsidRPr="008B2DDA">
        <w:rPr>
          <w:szCs w:val="22"/>
        </w:rPr>
        <w:t>Encore en discussion interministérielle.</w:t>
      </w:r>
    </w:p>
    <w:p w14:paraId="131EF516" w14:textId="77777777" w:rsidR="00861355" w:rsidRPr="008B2DDA" w:rsidRDefault="00861355" w:rsidP="008B2DDA">
      <w:pPr>
        <w:rPr>
          <w:szCs w:val="22"/>
        </w:rPr>
      </w:pPr>
    </w:p>
    <w:p w14:paraId="25AD0531" w14:textId="77777777" w:rsidR="00861355" w:rsidRPr="008B2DDA" w:rsidRDefault="00861355" w:rsidP="008B2DDA">
      <w:pPr>
        <w:ind w:left="567" w:hanging="567"/>
        <w:rPr>
          <w:b/>
          <w:bCs/>
          <w:szCs w:val="22"/>
        </w:rPr>
      </w:pPr>
      <w:r w:rsidRPr="008B2DDA">
        <w:rPr>
          <w:b/>
          <w:bCs/>
          <w:szCs w:val="22"/>
        </w:rPr>
        <w:t>vi)</w:t>
      </w:r>
      <w:r w:rsidRPr="008B2DDA">
        <w:rPr>
          <w:b/>
          <w:bCs/>
          <w:szCs w:val="22"/>
        </w:rPr>
        <w:tab/>
        <w:t>Article 7.5) et dispositions connexes en ce qui concerne l’introduction éventuelle de taxes individuelles</w:t>
      </w:r>
    </w:p>
    <w:p w14:paraId="79ACE51D" w14:textId="77777777" w:rsidR="00861355" w:rsidRPr="008B2DDA" w:rsidRDefault="00861355" w:rsidP="008B2DDA">
      <w:pPr>
        <w:rPr>
          <w:b/>
          <w:bCs/>
          <w:szCs w:val="22"/>
        </w:rPr>
      </w:pPr>
    </w:p>
    <w:p w14:paraId="78DE9234" w14:textId="77777777" w:rsidR="00861355" w:rsidRPr="008B2DDA" w:rsidRDefault="00861355" w:rsidP="008B2DDA">
      <w:pPr>
        <w:rPr>
          <w:szCs w:val="22"/>
        </w:rPr>
      </w:pPr>
      <w:r w:rsidRPr="008B2DDA">
        <w:rPr>
          <w:szCs w:val="22"/>
        </w:rPr>
        <w:t>S’agissant de l’article 7.5), le Gouvernement d’Israël approuve la variante A (taxe visant à couvrir le coût de l’examen et taxe de renouvellement).</w:t>
      </w:r>
    </w:p>
    <w:p w14:paraId="0D9BBAB9" w14:textId="77777777" w:rsidR="00861355" w:rsidRPr="008B2DDA" w:rsidRDefault="00861355" w:rsidP="008B2DDA">
      <w:pPr>
        <w:rPr>
          <w:szCs w:val="22"/>
        </w:rPr>
      </w:pPr>
    </w:p>
    <w:p w14:paraId="2A56F8FD" w14:textId="77777777" w:rsidR="00861355" w:rsidRPr="008B2DDA" w:rsidRDefault="00861355" w:rsidP="008B2DDA">
      <w:pPr>
        <w:ind w:left="567" w:hanging="567"/>
        <w:rPr>
          <w:b/>
          <w:bCs/>
          <w:szCs w:val="22"/>
        </w:rPr>
      </w:pPr>
      <w:r w:rsidRPr="008B2DDA">
        <w:rPr>
          <w:b/>
          <w:bCs/>
          <w:szCs w:val="22"/>
        </w:rPr>
        <w:t>vii)</w:t>
      </w:r>
      <w:r w:rsidRPr="008B2DDA">
        <w:rPr>
          <w:b/>
          <w:bCs/>
          <w:szCs w:val="22"/>
        </w:rPr>
        <w:tab/>
        <w:t>Les différentes variantes en ce qui concerne l’article 11.1)a) et l’article 11.3)</w:t>
      </w:r>
    </w:p>
    <w:p w14:paraId="659ADB13" w14:textId="77777777" w:rsidR="00861355" w:rsidRPr="008B2DDA" w:rsidRDefault="00861355" w:rsidP="008B2DDA">
      <w:pPr>
        <w:rPr>
          <w:b/>
          <w:bCs/>
          <w:szCs w:val="22"/>
        </w:rPr>
      </w:pPr>
    </w:p>
    <w:p w14:paraId="00D34797" w14:textId="77777777" w:rsidR="00861355" w:rsidRPr="008B2DDA" w:rsidRDefault="00861355" w:rsidP="008B2DDA">
      <w:pPr>
        <w:spacing w:after="200"/>
        <w:ind w:left="1134" w:hanging="567"/>
        <w:rPr>
          <w:szCs w:val="22"/>
        </w:rPr>
      </w:pPr>
      <w:r w:rsidRPr="008B2DDA">
        <w:rPr>
          <w:szCs w:val="22"/>
        </w:rPr>
        <w:t>1)</w:t>
      </w:r>
      <w:r w:rsidRPr="008B2DDA">
        <w:rPr>
          <w:szCs w:val="22"/>
        </w:rPr>
        <w:tab/>
        <w:t xml:space="preserve">S’agissant de l’article 11.1)a), le Gouvernement d’Israël approuve la variante B (sachant que la variante A, de même que la variante B, s’applique aux </w:t>
      </w:r>
      <w:r w:rsidRPr="008B2DDA">
        <w:t>produits qui ne sont pas du même type que ceux auxquels l’enregistrement s’applique</w:t>
      </w:r>
      <w:r w:rsidRPr="008B2DDA">
        <w:rPr>
          <w:szCs w:val="22"/>
        </w:rPr>
        <w:t>).</w:t>
      </w:r>
    </w:p>
    <w:p w14:paraId="446E1D9C" w14:textId="77777777" w:rsidR="00861355" w:rsidRPr="008B2DDA" w:rsidRDefault="00861355" w:rsidP="008B2DDA">
      <w:pPr>
        <w:spacing w:after="200"/>
        <w:ind w:left="1134" w:hanging="567"/>
        <w:rPr>
          <w:szCs w:val="22"/>
        </w:rPr>
      </w:pPr>
      <w:r w:rsidRPr="008B2DDA">
        <w:rPr>
          <w:szCs w:val="22"/>
        </w:rPr>
        <w:t>2)</w:t>
      </w:r>
      <w:r w:rsidRPr="008B2DDA">
        <w:rPr>
          <w:szCs w:val="22"/>
        </w:rPr>
        <w:tab/>
        <w:t>S’agissant de l’article 11.3), le Gouvernement d’Israël approuve l’insertion de la variante D.</w:t>
      </w:r>
    </w:p>
    <w:p w14:paraId="4F72B487" w14:textId="77777777" w:rsidR="00861355" w:rsidRPr="008B2DDA" w:rsidRDefault="00861355" w:rsidP="008B2DDA">
      <w:pPr>
        <w:ind w:left="567" w:hanging="567"/>
        <w:rPr>
          <w:b/>
          <w:bCs/>
          <w:szCs w:val="22"/>
        </w:rPr>
      </w:pPr>
      <w:r w:rsidRPr="008B2DDA">
        <w:rPr>
          <w:b/>
          <w:bCs/>
          <w:szCs w:val="22"/>
        </w:rPr>
        <w:t>viii)</w:t>
      </w:r>
      <w:r w:rsidRPr="008B2DDA">
        <w:rPr>
          <w:b/>
          <w:bCs/>
          <w:szCs w:val="22"/>
        </w:rPr>
        <w:tab/>
        <w:t>Le projet de déclaration commune figurant dans la note de bas de page 1 de l’article 11 et les dispositions connexes</w:t>
      </w:r>
    </w:p>
    <w:p w14:paraId="7E846F96" w14:textId="77777777" w:rsidR="00861355" w:rsidRPr="008B2DDA" w:rsidRDefault="00861355" w:rsidP="008B2DDA">
      <w:pPr>
        <w:rPr>
          <w:b/>
          <w:bCs/>
          <w:szCs w:val="22"/>
        </w:rPr>
      </w:pPr>
    </w:p>
    <w:p w14:paraId="39B9D7CF" w14:textId="77777777" w:rsidR="00861355" w:rsidRPr="008B2DDA" w:rsidRDefault="00861355" w:rsidP="008B2DDA">
      <w:pPr>
        <w:rPr>
          <w:szCs w:val="22"/>
        </w:rPr>
      </w:pPr>
      <w:r w:rsidRPr="008B2DDA">
        <w:rPr>
          <w:szCs w:val="22"/>
        </w:rPr>
        <w:t>Le Gouvernement d’Israël approuve le maintien du contenu de la note de bas de page 1 de l’article 11 figurant dans la proposition de base, de préférence dans le corps de l’article 11, sinon en note de bas de page.</w:t>
      </w:r>
    </w:p>
    <w:p w14:paraId="29990607" w14:textId="77777777" w:rsidR="00861355" w:rsidRPr="008B2DDA" w:rsidRDefault="00861355" w:rsidP="008B2DDA">
      <w:pPr>
        <w:rPr>
          <w:szCs w:val="22"/>
        </w:rPr>
      </w:pPr>
    </w:p>
    <w:p w14:paraId="6E890E9C" w14:textId="77777777" w:rsidR="00861355" w:rsidRPr="008B2DDA" w:rsidRDefault="00861355" w:rsidP="008B2DDA">
      <w:pPr>
        <w:ind w:left="567" w:hanging="567"/>
        <w:rPr>
          <w:b/>
          <w:bCs/>
          <w:szCs w:val="22"/>
        </w:rPr>
      </w:pPr>
      <w:r w:rsidRPr="008B2DDA">
        <w:rPr>
          <w:b/>
          <w:bCs/>
          <w:szCs w:val="22"/>
        </w:rPr>
        <w:t>ix)</w:t>
      </w:r>
      <w:r w:rsidRPr="008B2DDA">
        <w:rPr>
          <w:b/>
          <w:bCs/>
          <w:szCs w:val="22"/>
        </w:rPr>
        <w:tab/>
        <w:t>Le contenu de l’article 12 relatif à la protection pour éviter de devenir générique</w:t>
      </w:r>
    </w:p>
    <w:p w14:paraId="1B026F3C" w14:textId="77777777" w:rsidR="00861355" w:rsidRPr="008B2DDA" w:rsidRDefault="00861355" w:rsidP="008B2DDA">
      <w:pPr>
        <w:rPr>
          <w:b/>
          <w:bCs/>
          <w:szCs w:val="22"/>
        </w:rPr>
      </w:pPr>
    </w:p>
    <w:p w14:paraId="47720E50" w14:textId="77777777" w:rsidR="00861355" w:rsidRPr="008B2DDA" w:rsidRDefault="00861355" w:rsidP="008B2DDA">
      <w:pPr>
        <w:rPr>
          <w:szCs w:val="22"/>
        </w:rPr>
      </w:pPr>
      <w:r w:rsidRPr="008B2DDA">
        <w:rPr>
          <w:szCs w:val="22"/>
        </w:rPr>
        <w:t>Le Gouvernement d’Israël approuve la conservation de tous les termes entre crochets dans l’article 12 ainsi que la conservation du contenu de la note de bas de page 3 de l’article 12.</w:t>
      </w:r>
    </w:p>
    <w:p w14:paraId="7D9BF1C5" w14:textId="77777777" w:rsidR="00861355" w:rsidRPr="008B2DDA" w:rsidRDefault="00861355" w:rsidP="008B2DDA">
      <w:pPr>
        <w:rPr>
          <w:szCs w:val="22"/>
        </w:rPr>
      </w:pPr>
    </w:p>
    <w:p w14:paraId="6297032F" w14:textId="77777777" w:rsidR="00861355" w:rsidRPr="008B2DDA" w:rsidRDefault="00861355" w:rsidP="008B2DDA">
      <w:pPr>
        <w:ind w:left="567" w:hanging="567"/>
        <w:rPr>
          <w:b/>
          <w:bCs/>
          <w:szCs w:val="22"/>
        </w:rPr>
      </w:pPr>
      <w:r w:rsidRPr="008B2DDA">
        <w:rPr>
          <w:b/>
          <w:bCs/>
          <w:szCs w:val="22"/>
        </w:rPr>
        <w:t>x)</w:t>
      </w:r>
      <w:r w:rsidRPr="008B2DDA">
        <w:rPr>
          <w:b/>
          <w:bCs/>
          <w:szCs w:val="22"/>
        </w:rPr>
        <w:tab/>
        <w:t>Le contenu de l’article 13.1) relatif aux garanties à l’égard des droits antérieurs sur des marques</w:t>
      </w:r>
    </w:p>
    <w:p w14:paraId="5661FC36" w14:textId="77777777" w:rsidR="00861355" w:rsidRPr="008B2DDA" w:rsidRDefault="00861355" w:rsidP="008B2DDA">
      <w:pPr>
        <w:rPr>
          <w:b/>
          <w:bCs/>
          <w:szCs w:val="22"/>
        </w:rPr>
      </w:pPr>
    </w:p>
    <w:p w14:paraId="0815912B" w14:textId="77777777" w:rsidR="00861355" w:rsidRPr="008B2DDA" w:rsidRDefault="00861355" w:rsidP="008B2DDA">
      <w:pPr>
        <w:rPr>
          <w:szCs w:val="22"/>
        </w:rPr>
      </w:pPr>
      <w:r w:rsidRPr="008B2DDA">
        <w:rPr>
          <w:szCs w:val="22"/>
        </w:rPr>
        <w:t>S’agissant de l’article 13.1), le Gouvernement d’Israël approuve la variante B.</w:t>
      </w:r>
    </w:p>
    <w:p w14:paraId="3E6EC12A" w14:textId="77777777" w:rsidR="00861355" w:rsidRPr="008B2DDA" w:rsidRDefault="00861355" w:rsidP="008B2DDA">
      <w:pPr>
        <w:rPr>
          <w:szCs w:val="22"/>
        </w:rPr>
      </w:pPr>
    </w:p>
    <w:p w14:paraId="39F537FB" w14:textId="77777777" w:rsidR="00861355" w:rsidRPr="008B2DDA" w:rsidRDefault="00861355" w:rsidP="008B2DDA">
      <w:pPr>
        <w:ind w:left="567" w:hanging="567"/>
        <w:rPr>
          <w:b/>
          <w:bCs/>
          <w:szCs w:val="22"/>
        </w:rPr>
      </w:pPr>
      <w:r w:rsidRPr="008B2DDA">
        <w:rPr>
          <w:b/>
          <w:bCs/>
          <w:szCs w:val="22"/>
        </w:rPr>
        <w:t>xi)</w:t>
      </w:r>
      <w:r w:rsidRPr="008B2DDA">
        <w:rPr>
          <w:b/>
          <w:bCs/>
          <w:szCs w:val="22"/>
        </w:rPr>
        <w:tab/>
        <w:t>Le contenu de l’article 16.2) relatif aux négociations suite à un refus</w:t>
      </w:r>
    </w:p>
    <w:p w14:paraId="0F717C37" w14:textId="77777777" w:rsidR="00861355" w:rsidRPr="008B2DDA" w:rsidRDefault="00861355" w:rsidP="008B2DDA">
      <w:pPr>
        <w:rPr>
          <w:b/>
          <w:bCs/>
          <w:szCs w:val="22"/>
        </w:rPr>
      </w:pPr>
    </w:p>
    <w:p w14:paraId="0FB71044" w14:textId="77777777" w:rsidR="00861355" w:rsidRPr="008B2DDA" w:rsidRDefault="00861355" w:rsidP="008B2DDA">
      <w:pPr>
        <w:rPr>
          <w:szCs w:val="22"/>
        </w:rPr>
      </w:pPr>
      <w:r w:rsidRPr="008B2DDA">
        <w:rPr>
          <w:szCs w:val="22"/>
        </w:rPr>
        <w:t>S’agissant de l’article 16.2), le Gouvernement d’Israël propose la suppression du passage entre crochets.</w:t>
      </w:r>
    </w:p>
    <w:p w14:paraId="7CF7C2B6" w14:textId="77777777" w:rsidR="00861355" w:rsidRPr="008B2DDA" w:rsidRDefault="00861355" w:rsidP="008B2DDA">
      <w:pPr>
        <w:rPr>
          <w:szCs w:val="22"/>
        </w:rPr>
      </w:pPr>
    </w:p>
    <w:p w14:paraId="47F5C14B" w14:textId="77777777" w:rsidR="00861355" w:rsidRPr="008B2DDA" w:rsidRDefault="00861355" w:rsidP="008B2DDA">
      <w:pPr>
        <w:keepNext/>
        <w:keepLines/>
        <w:ind w:left="567" w:hanging="567"/>
        <w:rPr>
          <w:b/>
          <w:bCs/>
          <w:szCs w:val="22"/>
        </w:rPr>
      </w:pPr>
      <w:r w:rsidRPr="008B2DDA">
        <w:rPr>
          <w:b/>
          <w:bCs/>
          <w:szCs w:val="22"/>
        </w:rPr>
        <w:lastRenderedPageBreak/>
        <w:t>xii)</w:t>
      </w:r>
      <w:r w:rsidRPr="008B2DDA">
        <w:rPr>
          <w:b/>
          <w:bCs/>
          <w:szCs w:val="22"/>
        </w:rPr>
        <w:tab/>
        <w:t>Le contenu de l’article 17 relatif à l’élimination progressive d’une utilisation antérieure</w:t>
      </w:r>
    </w:p>
    <w:p w14:paraId="3A0539C8" w14:textId="77777777" w:rsidR="00861355" w:rsidRPr="008B2DDA" w:rsidRDefault="00861355" w:rsidP="008B2DDA">
      <w:pPr>
        <w:keepNext/>
        <w:keepLines/>
        <w:rPr>
          <w:b/>
          <w:bCs/>
          <w:szCs w:val="22"/>
        </w:rPr>
      </w:pPr>
    </w:p>
    <w:p w14:paraId="758677D5" w14:textId="77777777" w:rsidR="00861355" w:rsidRPr="008B2DDA" w:rsidRDefault="00861355" w:rsidP="008B2DDA">
      <w:pPr>
        <w:keepNext/>
        <w:keepLines/>
        <w:rPr>
          <w:szCs w:val="22"/>
        </w:rPr>
      </w:pPr>
      <w:r w:rsidRPr="008B2DDA">
        <w:rPr>
          <w:szCs w:val="22"/>
        </w:rPr>
        <w:t>S’agissant du contenu de l’article 17, le Gouvernement d’Israël approuve la conservation de l’alinéa 1).</w:t>
      </w:r>
    </w:p>
    <w:p w14:paraId="42B01FD6" w14:textId="77777777" w:rsidR="00861355" w:rsidRPr="008B2DDA" w:rsidRDefault="00861355" w:rsidP="008B2DDA">
      <w:pPr>
        <w:rPr>
          <w:szCs w:val="22"/>
        </w:rPr>
      </w:pPr>
    </w:p>
    <w:p w14:paraId="79C23F83" w14:textId="77777777" w:rsidR="00861355" w:rsidRPr="008B2DDA" w:rsidRDefault="00861355" w:rsidP="008B2DDA">
      <w:pPr>
        <w:ind w:left="567" w:hanging="567"/>
        <w:rPr>
          <w:b/>
          <w:bCs/>
          <w:szCs w:val="22"/>
        </w:rPr>
      </w:pPr>
      <w:r w:rsidRPr="008B2DDA">
        <w:rPr>
          <w:b/>
          <w:bCs/>
          <w:szCs w:val="22"/>
        </w:rPr>
        <w:t>xiii)</w:t>
      </w:r>
      <w:r w:rsidRPr="008B2DDA">
        <w:rPr>
          <w:b/>
          <w:bCs/>
          <w:szCs w:val="22"/>
        </w:rPr>
        <w:tab/>
        <w:t>Statuer si l’article 19.1) doit dresser une liste exhaustive ou non exhaustive des motifs d’invalidation</w:t>
      </w:r>
    </w:p>
    <w:p w14:paraId="2C0B7E93" w14:textId="77777777" w:rsidR="00861355" w:rsidRPr="008B2DDA" w:rsidRDefault="00861355" w:rsidP="008B2DDA">
      <w:pPr>
        <w:rPr>
          <w:b/>
          <w:bCs/>
          <w:szCs w:val="22"/>
        </w:rPr>
      </w:pPr>
    </w:p>
    <w:p w14:paraId="50039C27" w14:textId="77777777" w:rsidR="00861355" w:rsidRPr="008B2DDA" w:rsidRDefault="00861355" w:rsidP="008B2DDA">
      <w:pPr>
        <w:rPr>
          <w:szCs w:val="22"/>
        </w:rPr>
      </w:pPr>
      <w:r w:rsidRPr="008B2DDA">
        <w:rPr>
          <w:szCs w:val="22"/>
        </w:rPr>
        <w:t>S’agissant de l’article 19.1), le Gouvernement d’Israël approuve la variante A (liste non exhaustive).</w:t>
      </w:r>
    </w:p>
    <w:p w14:paraId="358A5A56" w14:textId="77777777" w:rsidR="00861355" w:rsidRPr="008B2DDA" w:rsidRDefault="00861355" w:rsidP="008B2DDA">
      <w:pPr>
        <w:rPr>
          <w:szCs w:val="22"/>
        </w:rPr>
      </w:pPr>
    </w:p>
    <w:p w14:paraId="17B86ABD" w14:textId="77777777" w:rsidR="00861355" w:rsidRPr="008B2DDA" w:rsidRDefault="00861355" w:rsidP="008B2DDA">
      <w:pPr>
        <w:ind w:left="567" w:hanging="567"/>
        <w:rPr>
          <w:b/>
          <w:bCs/>
          <w:szCs w:val="22"/>
        </w:rPr>
      </w:pPr>
      <w:r w:rsidRPr="008B2DDA">
        <w:rPr>
          <w:b/>
          <w:bCs/>
          <w:szCs w:val="22"/>
        </w:rPr>
        <w:t>xiv)</w:t>
      </w:r>
      <w:r w:rsidRPr="008B2DDA">
        <w:rPr>
          <w:b/>
          <w:bCs/>
          <w:szCs w:val="22"/>
        </w:rPr>
        <w:tab/>
        <w:t>Statuer si la règle 5.3) doit être facultative ou obligatoire</w:t>
      </w:r>
    </w:p>
    <w:p w14:paraId="18E391CE" w14:textId="77777777" w:rsidR="00861355" w:rsidRPr="008B2DDA" w:rsidRDefault="00861355" w:rsidP="008B2DDA">
      <w:pPr>
        <w:rPr>
          <w:b/>
          <w:bCs/>
          <w:szCs w:val="22"/>
        </w:rPr>
      </w:pPr>
    </w:p>
    <w:p w14:paraId="6D5D47B4" w14:textId="77777777" w:rsidR="00861355" w:rsidRPr="008B2DDA" w:rsidRDefault="00861355" w:rsidP="008B2DDA">
      <w:pPr>
        <w:rPr>
          <w:szCs w:val="22"/>
        </w:rPr>
      </w:pPr>
      <w:r w:rsidRPr="008B2DDA">
        <w:rPr>
          <w:szCs w:val="22"/>
        </w:rPr>
        <w:t>S’agissant de la règle 5.3), le Gouvernement d’Israël approuve la variante A.</w:t>
      </w:r>
    </w:p>
    <w:p w14:paraId="2E94A340" w14:textId="77777777" w:rsidR="00861355" w:rsidRPr="008B2DDA" w:rsidRDefault="00861355" w:rsidP="008B2DDA">
      <w:pPr>
        <w:rPr>
          <w:szCs w:val="22"/>
        </w:rPr>
      </w:pPr>
    </w:p>
    <w:p w14:paraId="1747A698" w14:textId="77777777" w:rsidR="00861355" w:rsidRPr="008B2DDA" w:rsidRDefault="00861355" w:rsidP="008B2DDA">
      <w:pPr>
        <w:ind w:left="567" w:hanging="567"/>
        <w:rPr>
          <w:b/>
          <w:bCs/>
          <w:szCs w:val="22"/>
        </w:rPr>
      </w:pPr>
      <w:r w:rsidRPr="008B2DDA">
        <w:rPr>
          <w:b/>
          <w:bCs/>
          <w:szCs w:val="22"/>
        </w:rPr>
        <w:t>xv)</w:t>
      </w:r>
      <w:r w:rsidRPr="008B2DDA">
        <w:rPr>
          <w:b/>
          <w:bCs/>
          <w:szCs w:val="22"/>
        </w:rPr>
        <w:tab/>
        <w:t>Insertion de la règle 5.4) autorisant une partie contractante à exiger une déclaration d’intention d’utilisation d’une appellation d’origine enregistrée ou d’une indication géographique enregistrée</w:t>
      </w:r>
    </w:p>
    <w:p w14:paraId="32CECE9D" w14:textId="77777777" w:rsidR="00861355" w:rsidRPr="008B2DDA" w:rsidRDefault="00861355" w:rsidP="008B2DDA">
      <w:pPr>
        <w:rPr>
          <w:b/>
          <w:bCs/>
          <w:szCs w:val="22"/>
        </w:rPr>
      </w:pPr>
    </w:p>
    <w:p w14:paraId="42D93C1F" w14:textId="77777777" w:rsidR="00861355" w:rsidRPr="008B2DDA" w:rsidRDefault="00861355" w:rsidP="008B2DDA">
      <w:pPr>
        <w:rPr>
          <w:szCs w:val="22"/>
        </w:rPr>
      </w:pPr>
      <w:r w:rsidRPr="008B2DDA">
        <w:rPr>
          <w:szCs w:val="22"/>
        </w:rPr>
        <w:t>Encore soumis à examen interministériel.</w:t>
      </w:r>
    </w:p>
    <w:p w14:paraId="22E437FF" w14:textId="77777777" w:rsidR="00861355" w:rsidRPr="008B2DDA" w:rsidRDefault="00861355" w:rsidP="008B2DDA">
      <w:pPr>
        <w:rPr>
          <w:szCs w:val="22"/>
        </w:rPr>
      </w:pPr>
    </w:p>
    <w:p w14:paraId="2844F719" w14:textId="77777777" w:rsidR="00861355" w:rsidRPr="008B2DDA" w:rsidRDefault="00861355" w:rsidP="008B2DDA">
      <w:pPr>
        <w:ind w:left="567" w:hanging="567"/>
        <w:rPr>
          <w:b/>
          <w:bCs/>
          <w:szCs w:val="22"/>
        </w:rPr>
      </w:pPr>
      <w:r w:rsidRPr="008B2DDA">
        <w:rPr>
          <w:b/>
          <w:bCs/>
          <w:szCs w:val="22"/>
        </w:rPr>
        <w:t>xvi)</w:t>
      </w:r>
      <w:r w:rsidRPr="008B2DDA">
        <w:rPr>
          <w:b/>
          <w:bCs/>
          <w:szCs w:val="22"/>
        </w:rPr>
        <w:tab/>
        <w:t>Promotion de la transparence au titre de la règle 5.5)</w:t>
      </w:r>
    </w:p>
    <w:p w14:paraId="78C83C2A" w14:textId="77777777" w:rsidR="00861355" w:rsidRPr="008B2DDA" w:rsidRDefault="00861355" w:rsidP="008B2DDA">
      <w:pPr>
        <w:ind w:left="567" w:hanging="567"/>
        <w:rPr>
          <w:b/>
          <w:bCs/>
          <w:szCs w:val="22"/>
        </w:rPr>
      </w:pPr>
    </w:p>
    <w:p w14:paraId="34B91F67" w14:textId="77777777" w:rsidR="00861355" w:rsidRPr="008B2DDA" w:rsidRDefault="00861355" w:rsidP="008B2DDA">
      <w:pPr>
        <w:rPr>
          <w:szCs w:val="22"/>
        </w:rPr>
      </w:pPr>
      <w:r w:rsidRPr="008B2DDA">
        <w:rPr>
          <w:szCs w:val="22"/>
        </w:rPr>
        <w:t>S’agissant de la règle 5.5), le Gouvernement d’Israël approuve la variante A.</w:t>
      </w:r>
    </w:p>
    <w:p w14:paraId="3CF68DE8" w14:textId="77777777" w:rsidR="00861355" w:rsidRPr="008B2DDA" w:rsidRDefault="00861355" w:rsidP="008B2DDA">
      <w:pPr>
        <w:rPr>
          <w:szCs w:val="22"/>
        </w:rPr>
      </w:pPr>
    </w:p>
    <w:p w14:paraId="59AECECD" w14:textId="77777777" w:rsidR="00861355" w:rsidRPr="008B2DDA" w:rsidRDefault="00861355" w:rsidP="008B2DDA">
      <w:pPr>
        <w:ind w:left="567" w:hanging="567"/>
        <w:rPr>
          <w:b/>
          <w:bCs/>
          <w:szCs w:val="22"/>
        </w:rPr>
      </w:pPr>
      <w:r w:rsidRPr="008B2DDA">
        <w:rPr>
          <w:b/>
          <w:bCs/>
          <w:szCs w:val="22"/>
        </w:rPr>
        <w:t>xvii)</w:t>
      </w:r>
      <w:r w:rsidRPr="008B2DDA">
        <w:rPr>
          <w:b/>
          <w:bCs/>
          <w:szCs w:val="22"/>
        </w:rPr>
        <w:tab/>
        <w:t>Montant des taxes en vertu de la règle 8.1)</w:t>
      </w:r>
    </w:p>
    <w:p w14:paraId="2240804A" w14:textId="77777777" w:rsidR="00861355" w:rsidRPr="008B2DDA" w:rsidRDefault="00861355" w:rsidP="008B2DDA">
      <w:pPr>
        <w:rPr>
          <w:b/>
          <w:bCs/>
          <w:szCs w:val="22"/>
        </w:rPr>
      </w:pPr>
    </w:p>
    <w:p w14:paraId="1F866D5A" w14:textId="77777777" w:rsidR="00861355" w:rsidRPr="008B2DDA" w:rsidRDefault="00861355" w:rsidP="008B2DDA">
      <w:pPr>
        <w:rPr>
          <w:szCs w:val="22"/>
        </w:rPr>
      </w:pPr>
      <w:r w:rsidRPr="008B2DDA">
        <w:rPr>
          <w:szCs w:val="22"/>
        </w:rPr>
        <w:t>Encore en discussion interministérielle.</w:t>
      </w:r>
    </w:p>
    <w:p w14:paraId="691AFEFE" w14:textId="77777777" w:rsidR="00861355" w:rsidRPr="008B2DDA" w:rsidRDefault="00861355" w:rsidP="008B2DDA">
      <w:pPr>
        <w:pStyle w:val="Endofdocument-Annex"/>
      </w:pPr>
    </w:p>
    <w:p w14:paraId="754B1120" w14:textId="77777777" w:rsidR="00CF15C6" w:rsidRPr="008B2DDA" w:rsidRDefault="00CF15C6" w:rsidP="008B2DDA">
      <w:pPr>
        <w:pStyle w:val="Endofdocument-Annex"/>
      </w:pPr>
    </w:p>
    <w:p w14:paraId="6EE6EE35" w14:textId="77777777" w:rsidR="00CF15C6" w:rsidRPr="008B2DDA" w:rsidRDefault="00CF15C6" w:rsidP="008B2DDA">
      <w:pPr>
        <w:pStyle w:val="Endofdocument-Annex"/>
      </w:pPr>
    </w:p>
    <w:p w14:paraId="70779375" w14:textId="5C31C73C" w:rsidR="00CF15C6" w:rsidRPr="008B2DDA" w:rsidRDefault="00CF15C6" w:rsidP="008B2DDA">
      <w:pPr>
        <w:pStyle w:val="Endofdocument-Annex"/>
      </w:pPr>
      <w:r w:rsidRPr="008B2DDA">
        <w:t>[L’annexe V suit]</w:t>
      </w:r>
    </w:p>
    <w:p w14:paraId="4E5E4CD8" w14:textId="77777777" w:rsidR="00861355" w:rsidRPr="008B2DDA" w:rsidRDefault="00861355" w:rsidP="008B2DDA">
      <w:pPr>
        <w:rPr>
          <w:b/>
        </w:rPr>
      </w:pPr>
    </w:p>
    <w:p w14:paraId="0519EB23" w14:textId="77777777" w:rsidR="00861355" w:rsidRPr="008B2DDA" w:rsidRDefault="00861355" w:rsidP="008B2DDA">
      <w:pPr>
        <w:jc w:val="center"/>
        <w:rPr>
          <w:b/>
        </w:rPr>
        <w:sectPr w:rsidR="00861355" w:rsidRPr="008B2DDA" w:rsidSect="00A341C2">
          <w:headerReference w:type="default" r:id="rId22"/>
          <w:headerReference w:type="first" r:id="rId23"/>
          <w:endnotePr>
            <w:numFmt w:val="decimal"/>
          </w:endnotePr>
          <w:pgSz w:w="11907" w:h="16840" w:code="9"/>
          <w:pgMar w:top="567" w:right="1134" w:bottom="1417" w:left="1417" w:header="510" w:footer="1020" w:gutter="0"/>
          <w:pgNumType w:start="1"/>
          <w:cols w:space="720"/>
          <w:titlePg/>
          <w:docGrid w:linePitch="299"/>
        </w:sectPr>
      </w:pPr>
    </w:p>
    <w:p w14:paraId="0F69CF8E" w14:textId="201BC63F" w:rsidR="004E7085" w:rsidRDefault="004E7085" w:rsidP="008B2DDA">
      <w:pPr>
        <w:jc w:val="center"/>
        <w:rPr>
          <w:b/>
        </w:rPr>
      </w:pPr>
      <w:r>
        <w:rPr>
          <w:b/>
        </w:rPr>
        <w:lastRenderedPageBreak/>
        <w:t>RÉPUBLIQUE DE CORÉE</w:t>
      </w:r>
    </w:p>
    <w:p w14:paraId="694C3FF8" w14:textId="77777777" w:rsidR="004E7085" w:rsidRDefault="004E7085" w:rsidP="008B2DDA">
      <w:pPr>
        <w:jc w:val="center"/>
        <w:rPr>
          <w:b/>
        </w:rPr>
      </w:pPr>
    </w:p>
    <w:p w14:paraId="576E095E" w14:textId="39FDAADE" w:rsidR="009C526F" w:rsidRPr="008B2DDA" w:rsidRDefault="00012AF1" w:rsidP="008B2DDA">
      <w:pPr>
        <w:jc w:val="center"/>
        <w:rPr>
          <w:b/>
        </w:rPr>
      </w:pPr>
      <w:r w:rsidRPr="008B2DDA">
        <w:rPr>
          <w:b/>
        </w:rPr>
        <w:t xml:space="preserve">Commentaires sur la proposition de base </w:t>
      </w:r>
      <w:r w:rsidR="00CF15C6" w:rsidRPr="008B2DDA">
        <w:rPr>
          <w:b/>
        </w:rPr>
        <w:br/>
      </w:r>
      <w:r w:rsidRPr="008B2DDA">
        <w:rPr>
          <w:b/>
        </w:rPr>
        <w:t xml:space="preserve">pour </w:t>
      </w:r>
      <w:r w:rsidR="00D67CCD" w:rsidRPr="008B2DDA">
        <w:rPr>
          <w:b/>
        </w:rPr>
        <w:t xml:space="preserve">la révision </w:t>
      </w:r>
      <w:r w:rsidR="00314F4F" w:rsidRPr="008B2DDA">
        <w:rPr>
          <w:b/>
        </w:rPr>
        <w:t>de l</w:t>
      </w:r>
      <w:r w:rsidR="00A341C2" w:rsidRPr="008B2DDA">
        <w:rPr>
          <w:b/>
        </w:rPr>
        <w:t>’</w:t>
      </w:r>
      <w:r w:rsidR="00314F4F" w:rsidRPr="008B2DDA">
        <w:rPr>
          <w:b/>
        </w:rPr>
        <w:t>Arrangement</w:t>
      </w:r>
      <w:r w:rsidRPr="008B2DDA">
        <w:rPr>
          <w:b/>
        </w:rPr>
        <w:t xml:space="preserve"> de Lisbonne </w:t>
      </w:r>
      <w:r w:rsidR="00796CE4">
        <w:rPr>
          <w:b/>
        </w:rPr>
        <w:br/>
      </w:r>
      <w:r w:rsidRPr="008B2DDA">
        <w:rPr>
          <w:b/>
        </w:rPr>
        <w:t>sur les appellations d</w:t>
      </w:r>
      <w:r w:rsidR="00A341C2" w:rsidRPr="008B2DDA">
        <w:rPr>
          <w:b/>
        </w:rPr>
        <w:t>’</w:t>
      </w:r>
      <w:r w:rsidRPr="008B2DDA">
        <w:rPr>
          <w:b/>
        </w:rPr>
        <w:t>origine et leur enregistrement international</w:t>
      </w:r>
    </w:p>
    <w:p w14:paraId="5B1E8159" w14:textId="77777777" w:rsidR="00610F03" w:rsidRPr="008B2DDA" w:rsidRDefault="00610F03" w:rsidP="008B2DDA">
      <w:pPr>
        <w:rPr>
          <w:highlight w:val="cyan"/>
        </w:rPr>
      </w:pPr>
    </w:p>
    <w:p w14:paraId="3C550C92" w14:textId="2FA66C69" w:rsidR="00012AF1" w:rsidRPr="008B2DDA" w:rsidRDefault="00012AF1" w:rsidP="008B2DDA">
      <w:pPr>
        <w:pStyle w:val="ONUMFS"/>
        <w:numPr>
          <w:ilvl w:val="0"/>
          <w:numId w:val="0"/>
        </w:numPr>
      </w:pPr>
      <w:r w:rsidRPr="008B2DDA">
        <w:t xml:space="preserve">La République de Corée se félicite de </w:t>
      </w:r>
      <w:r w:rsidR="00314F4F" w:rsidRPr="008B2DDA">
        <w:t>l</w:t>
      </w:r>
      <w:r w:rsidR="00A341C2" w:rsidRPr="008B2DDA">
        <w:t>’</w:t>
      </w:r>
      <w:r w:rsidRPr="008B2DDA">
        <w:t xml:space="preserve">occasion </w:t>
      </w:r>
      <w:r w:rsidR="00A001D8" w:rsidRPr="008B2DDA">
        <w:t>qui lui est donnée</w:t>
      </w:r>
      <w:r w:rsidR="00314F4F" w:rsidRPr="008B2DDA">
        <w:t xml:space="preserve"> de</w:t>
      </w:r>
      <w:r w:rsidRPr="008B2DDA">
        <w:t xml:space="preserve"> </w:t>
      </w:r>
      <w:r w:rsidR="00314F4F" w:rsidRPr="008B2DDA">
        <w:t>formuler</w:t>
      </w:r>
      <w:r w:rsidRPr="008B2DDA">
        <w:t xml:space="preserve"> des observations sur la proposition de base pour </w:t>
      </w:r>
      <w:r w:rsidR="00D67CCD" w:rsidRPr="008B2DDA">
        <w:t xml:space="preserve">la révision </w:t>
      </w:r>
      <w:r w:rsidR="00314F4F" w:rsidRPr="008B2DDA">
        <w:t>de l</w:t>
      </w:r>
      <w:r w:rsidR="00A341C2" w:rsidRPr="008B2DDA">
        <w:t>’</w:t>
      </w:r>
      <w:r w:rsidR="00314F4F" w:rsidRPr="008B2DDA">
        <w:t>Arrangement</w:t>
      </w:r>
      <w:r w:rsidRPr="008B2DDA">
        <w:t xml:space="preserve"> de Lisbonne sur les appellations d</w:t>
      </w:r>
      <w:r w:rsidR="00A341C2" w:rsidRPr="008B2DDA">
        <w:t>’</w:t>
      </w:r>
      <w:r w:rsidRPr="008B2DDA">
        <w:t>origine et leur enregistrement international.</w:t>
      </w:r>
    </w:p>
    <w:p w14:paraId="25D023B1" w14:textId="7E9216B1" w:rsidR="00012AF1" w:rsidRPr="008B2DDA" w:rsidRDefault="00012AF1" w:rsidP="008B2DDA">
      <w:pPr>
        <w:pStyle w:val="ONUMFS"/>
        <w:numPr>
          <w:ilvl w:val="0"/>
          <w:numId w:val="0"/>
        </w:numPr>
      </w:pPr>
      <w:r w:rsidRPr="008B2DDA">
        <w:t xml:space="preserve">Nous </w:t>
      </w:r>
      <w:r w:rsidR="00314F4F" w:rsidRPr="008B2DDA">
        <w:t>reconnaissons l</w:t>
      </w:r>
      <w:r w:rsidR="00A341C2" w:rsidRPr="008B2DDA">
        <w:t>’</w:t>
      </w:r>
      <w:r w:rsidR="00314F4F" w:rsidRPr="008B2DDA">
        <w:t>intérêt grandissant de</w:t>
      </w:r>
      <w:r w:rsidRPr="008B2DDA">
        <w:t xml:space="preserve"> la protection </w:t>
      </w:r>
      <w:r w:rsidR="00314F4F" w:rsidRPr="008B2DDA">
        <w:t>des indications géographiques à l</w:t>
      </w:r>
      <w:r w:rsidR="00A341C2" w:rsidRPr="008B2DDA">
        <w:t>’</w:t>
      </w:r>
      <w:r w:rsidR="00314F4F" w:rsidRPr="008B2DDA">
        <w:t>échelle mondiale dans l</w:t>
      </w:r>
      <w:r w:rsidR="00A341C2" w:rsidRPr="008B2DDA">
        <w:t>’</w:t>
      </w:r>
      <w:r w:rsidR="00314F4F" w:rsidRPr="008B2DDA">
        <w:t>optique du</w:t>
      </w:r>
      <w:r w:rsidRPr="008B2DDA">
        <w:t xml:space="preserve"> renforcement de la compétitivité </w:t>
      </w:r>
      <w:r w:rsidR="00314F4F" w:rsidRPr="008B2DDA">
        <w:t>des</w:t>
      </w:r>
      <w:r w:rsidRPr="008B2DDA">
        <w:t xml:space="preserve"> marque</w:t>
      </w:r>
      <w:r w:rsidR="00314F4F" w:rsidRPr="008B2DDA">
        <w:t>s</w:t>
      </w:r>
      <w:r w:rsidRPr="008B2DDA">
        <w:t xml:space="preserve"> pour les producteurs, les entreprises et les nations. </w:t>
      </w:r>
      <w:r w:rsidR="00314F4F" w:rsidRPr="008B2DDA">
        <w:t xml:space="preserve"> </w:t>
      </w:r>
      <w:r w:rsidRPr="008B2DDA">
        <w:t>Si cette proposition est adoptée à la</w:t>
      </w:r>
      <w:r w:rsidR="00314F4F" w:rsidRPr="008B2DDA">
        <w:t xml:space="preserve"> </w:t>
      </w:r>
      <w:r w:rsidR="00D357CB" w:rsidRPr="008B2DDA">
        <w:t>c</w:t>
      </w:r>
      <w:r w:rsidR="00314F4F" w:rsidRPr="008B2DDA">
        <w:t>onférence diplomatique de mai </w:t>
      </w:r>
      <w:r w:rsidRPr="008B2DDA">
        <w:t xml:space="preserve">2015, </w:t>
      </w:r>
      <w:r w:rsidR="00E25471" w:rsidRPr="008B2DDA">
        <w:t>sa portée sera considérable</w:t>
      </w:r>
      <w:r w:rsidRPr="008B2DDA">
        <w:t xml:space="preserve">, </w:t>
      </w:r>
      <w:r w:rsidR="00314F4F" w:rsidRPr="008B2DDA">
        <w:t>non</w:t>
      </w:r>
      <w:r w:rsidRPr="008B2DDA">
        <w:t xml:space="preserve"> seulement </w:t>
      </w:r>
      <w:r w:rsidR="00314F4F" w:rsidRPr="008B2DDA">
        <w:t>pour</w:t>
      </w:r>
      <w:r w:rsidR="00E25471" w:rsidRPr="008B2DDA">
        <w:t xml:space="preserve"> les 28 </w:t>
      </w:r>
      <w:r w:rsidRPr="008B2DDA">
        <w:t>États membres de l</w:t>
      </w:r>
      <w:r w:rsidR="00A341C2" w:rsidRPr="008B2DDA">
        <w:t>’</w:t>
      </w:r>
      <w:r w:rsidRPr="008B2DDA">
        <w:t xml:space="preserve">Union de Lisbonne, mais aussi </w:t>
      </w:r>
      <w:r w:rsidR="00314F4F" w:rsidRPr="008B2DDA">
        <w:t>pour</w:t>
      </w:r>
      <w:r w:rsidR="00E25471" w:rsidRPr="008B2DDA">
        <w:t xml:space="preserve"> les 160 </w:t>
      </w:r>
      <w:r w:rsidRPr="008B2DDA">
        <w:t>autres États membres de l</w:t>
      </w:r>
      <w:r w:rsidR="00A341C2" w:rsidRPr="008B2DDA">
        <w:t>’</w:t>
      </w:r>
      <w:r w:rsidRPr="008B2DDA">
        <w:t xml:space="preserve">OMPI. </w:t>
      </w:r>
      <w:r w:rsidR="00314F4F" w:rsidRPr="008B2DDA">
        <w:t xml:space="preserve"> </w:t>
      </w:r>
      <w:r w:rsidRPr="008B2DDA">
        <w:t>Cependant, nous craignons que</w:t>
      </w:r>
      <w:r w:rsidR="00BA5307" w:rsidRPr="008B2DDA">
        <w:t xml:space="preserve"> les règles de procédure de la c</w:t>
      </w:r>
      <w:r w:rsidRPr="008B2DDA">
        <w:t xml:space="preserve">onférence diplomatique </w:t>
      </w:r>
      <w:r w:rsidR="00E25471" w:rsidRPr="008B2DDA">
        <w:t>actuellement vigueur ne permettent pas</w:t>
      </w:r>
      <w:r w:rsidRPr="008B2DDA">
        <w:t xml:space="preserve"> la participation </w:t>
      </w:r>
      <w:r w:rsidR="00D67CCD" w:rsidRPr="008B2DDA">
        <w:t xml:space="preserve">pleine et entière </w:t>
      </w:r>
      <w:r w:rsidRPr="008B2DDA">
        <w:t>de tous les États membres de l</w:t>
      </w:r>
      <w:r w:rsidR="00A341C2" w:rsidRPr="008B2DDA">
        <w:t>’</w:t>
      </w:r>
      <w:r w:rsidRPr="008B2DDA">
        <w:t>OMPI.</w:t>
      </w:r>
    </w:p>
    <w:p w14:paraId="3CF6114C" w14:textId="5A0A8BB8" w:rsidR="007079A8" w:rsidRPr="008B2DDA" w:rsidRDefault="00D67CCD" w:rsidP="008B2DDA">
      <w:pPr>
        <w:pStyle w:val="ONUMFS"/>
        <w:numPr>
          <w:ilvl w:val="0"/>
          <w:numId w:val="0"/>
        </w:numPr>
      </w:pPr>
      <w:r w:rsidRPr="008B2DDA">
        <w:t>Nous sommes convaincus</w:t>
      </w:r>
      <w:r w:rsidR="00012AF1" w:rsidRPr="008B2DDA">
        <w:t xml:space="preserve"> que la Conférence diplomatique </w:t>
      </w:r>
      <w:r w:rsidR="00196308" w:rsidRPr="008B2DDA">
        <w:t>pour la révision de</w:t>
      </w:r>
      <w:r w:rsidR="00012AF1" w:rsidRPr="008B2DDA">
        <w:t xml:space="preserve"> </w:t>
      </w:r>
      <w:r w:rsidRPr="008B2DDA">
        <w:t>l</w:t>
      </w:r>
      <w:r w:rsidR="00A341C2" w:rsidRPr="008B2DDA">
        <w:t>’</w:t>
      </w:r>
      <w:r w:rsidRPr="008B2DDA">
        <w:t>Arrangement</w:t>
      </w:r>
      <w:r w:rsidR="00012AF1" w:rsidRPr="008B2DDA">
        <w:t xml:space="preserve"> de Lisbonne </w:t>
      </w:r>
      <w:r w:rsidRPr="008B2DDA">
        <w:t>doit</w:t>
      </w:r>
      <w:r w:rsidR="00012AF1" w:rsidRPr="008B2DDA">
        <w:t xml:space="preserve"> être ouvert</w:t>
      </w:r>
      <w:r w:rsidRPr="008B2DDA">
        <w:t>e</w:t>
      </w:r>
      <w:r w:rsidR="00012AF1" w:rsidRPr="008B2DDA">
        <w:t xml:space="preserve"> à tous les États membres de l</w:t>
      </w:r>
      <w:r w:rsidR="00A341C2" w:rsidRPr="008B2DDA">
        <w:t>’</w:t>
      </w:r>
      <w:r w:rsidR="00012AF1" w:rsidRPr="008B2DDA">
        <w:t xml:space="preserve">OMPI et </w:t>
      </w:r>
      <w:r w:rsidRPr="008B2DDA">
        <w:t>permettre leur</w:t>
      </w:r>
      <w:r w:rsidR="00012AF1" w:rsidRPr="008B2DDA">
        <w:t xml:space="preserve"> participation </w:t>
      </w:r>
      <w:r w:rsidRPr="008B2DDA">
        <w:t>pleine et entière</w:t>
      </w:r>
      <w:r w:rsidR="00FE5791" w:rsidRPr="008B2DDA">
        <w:t>,</w:t>
      </w:r>
      <w:r w:rsidRPr="008B2DDA">
        <w:t xml:space="preserve"> </w:t>
      </w:r>
      <w:r w:rsidR="00A639B8" w:rsidRPr="008B2DDA">
        <w:t xml:space="preserve">laquelle passe par </w:t>
      </w:r>
      <w:r w:rsidR="00FE5791" w:rsidRPr="008B2DDA">
        <w:t>l</w:t>
      </w:r>
      <w:r w:rsidR="00A341C2" w:rsidRPr="008B2DDA">
        <w:t>’</w:t>
      </w:r>
      <w:r w:rsidR="00FE5791" w:rsidRPr="008B2DDA">
        <w:t xml:space="preserve">égalité </w:t>
      </w:r>
      <w:r w:rsidR="00196308" w:rsidRPr="008B2DDA">
        <w:t>en matière de</w:t>
      </w:r>
      <w:r w:rsidR="00FE5791" w:rsidRPr="008B2DDA">
        <w:t xml:space="preserve"> droit de vote</w:t>
      </w:r>
      <w:r w:rsidR="00012AF1" w:rsidRPr="008B2DDA">
        <w:t xml:space="preserve">, </w:t>
      </w:r>
      <w:r w:rsidR="00A639B8" w:rsidRPr="008B2DDA">
        <w:t>dans l</w:t>
      </w:r>
      <w:r w:rsidR="00A341C2" w:rsidRPr="008B2DDA">
        <w:t>’</w:t>
      </w:r>
      <w:r w:rsidR="00A639B8" w:rsidRPr="008B2DDA">
        <w:t>éventualité où</w:t>
      </w:r>
      <w:r w:rsidR="00196308" w:rsidRPr="008B2DDA">
        <w:t xml:space="preserve"> </w:t>
      </w:r>
      <w:r w:rsidR="00A639B8" w:rsidRPr="008B2DDA">
        <w:t xml:space="preserve">le nouvel Acte entraînerait un </w:t>
      </w:r>
      <w:r w:rsidR="00196308" w:rsidRPr="008B2DDA">
        <w:t>élargissement de l</w:t>
      </w:r>
      <w:r w:rsidR="00A341C2" w:rsidRPr="008B2DDA">
        <w:t>’</w:t>
      </w:r>
      <w:r w:rsidR="00196308" w:rsidRPr="008B2DDA">
        <w:t>étendue</w:t>
      </w:r>
      <w:r w:rsidR="00012AF1" w:rsidRPr="008B2DDA">
        <w:t xml:space="preserve"> de la protection par rapport </w:t>
      </w:r>
      <w:r w:rsidR="00A639B8" w:rsidRPr="008B2DDA">
        <w:t>à</w:t>
      </w:r>
      <w:r w:rsidR="00012AF1" w:rsidRPr="008B2DDA">
        <w:t xml:space="preserve"> </w:t>
      </w:r>
      <w:r w:rsidR="00196308" w:rsidRPr="008B2DDA">
        <w:t>l</w:t>
      </w:r>
      <w:r w:rsidR="00A341C2" w:rsidRPr="008B2DDA">
        <w:t>’</w:t>
      </w:r>
      <w:r w:rsidR="00012AF1" w:rsidRPr="008B2DDA">
        <w:t>Arrangement de Lisbonne</w:t>
      </w:r>
      <w:r w:rsidR="00196308" w:rsidRPr="008B2DDA">
        <w:t xml:space="preserve"> en vigueur</w:t>
      </w:r>
      <w:r w:rsidR="00012AF1" w:rsidRPr="008B2DDA">
        <w:t>.</w:t>
      </w:r>
      <w:r w:rsidR="00196308" w:rsidRPr="008B2DDA">
        <w:t xml:space="preserve"> </w:t>
      </w:r>
      <w:r w:rsidR="00012AF1" w:rsidRPr="008B2DDA">
        <w:t xml:space="preserve"> Nous </w:t>
      </w:r>
      <w:r w:rsidR="00A639B8" w:rsidRPr="008B2DDA">
        <w:t>pensons</w:t>
      </w:r>
      <w:r w:rsidR="00012AF1" w:rsidRPr="008B2DDA">
        <w:t xml:space="preserve"> également que plusieurs questions fondamentales doivent être pleinement pris</w:t>
      </w:r>
      <w:r w:rsidR="00A639B8" w:rsidRPr="008B2DDA">
        <w:t>es</w:t>
      </w:r>
      <w:r w:rsidR="00012AF1" w:rsidRPr="008B2DDA">
        <w:t xml:space="preserve"> en considération pour que le système de Lisbonne </w:t>
      </w:r>
      <w:r w:rsidR="00A639B8" w:rsidRPr="008B2DDA">
        <w:t>puisse</w:t>
      </w:r>
      <w:r w:rsidR="00012AF1" w:rsidRPr="008B2DDA">
        <w:t xml:space="preserve"> </w:t>
      </w:r>
      <w:r w:rsidR="006B28FD" w:rsidRPr="008B2DDA">
        <w:t>susciter</w:t>
      </w:r>
      <w:r w:rsidR="00012AF1" w:rsidRPr="008B2DDA">
        <w:t xml:space="preserve"> une </w:t>
      </w:r>
      <w:r w:rsidR="006B28FD" w:rsidRPr="008B2DDA">
        <w:t xml:space="preserve">plus large </w:t>
      </w:r>
      <w:r w:rsidR="00012AF1" w:rsidRPr="008B2DDA">
        <w:t>adhésion de l</w:t>
      </w:r>
      <w:r w:rsidR="00A341C2" w:rsidRPr="008B2DDA">
        <w:t>’</w:t>
      </w:r>
      <w:r w:rsidR="00012AF1" w:rsidRPr="008B2DDA">
        <w:t xml:space="preserve">OMPI et former </w:t>
      </w:r>
      <w:r w:rsidR="006B28FD" w:rsidRPr="008B2DDA">
        <w:t xml:space="preserve">ainsi </w:t>
      </w:r>
      <w:r w:rsidR="00012AF1" w:rsidRPr="008B2DDA">
        <w:t xml:space="preserve">un système véritablement mondial. </w:t>
      </w:r>
      <w:r w:rsidR="006B28FD" w:rsidRPr="008B2DDA">
        <w:t xml:space="preserve"> </w:t>
      </w:r>
      <w:r w:rsidR="00012AF1" w:rsidRPr="008B2DDA">
        <w:t xml:space="preserve">Par conséquent, nous réaffirmons </w:t>
      </w:r>
      <w:r w:rsidR="006B28FD" w:rsidRPr="008B2DDA">
        <w:t xml:space="preserve">notre souhait </w:t>
      </w:r>
      <w:r w:rsidR="000D69D1" w:rsidRPr="008B2DDA">
        <w:t>de modifier la</w:t>
      </w:r>
      <w:r w:rsidR="006B28FD" w:rsidRPr="008B2DDA">
        <w:t xml:space="preserve"> proposition de base </w:t>
      </w:r>
      <w:r w:rsidR="000D69D1" w:rsidRPr="008B2DDA">
        <w:t>comme suit</w:t>
      </w:r>
      <w:r w:rsidR="006B28FD" w:rsidRPr="008B2DDA">
        <w:t> :</w:t>
      </w:r>
    </w:p>
    <w:p w14:paraId="47025BD6" w14:textId="46DE5520" w:rsidR="007079A8" w:rsidRPr="0002751B" w:rsidRDefault="00610F03" w:rsidP="008B2DDA">
      <w:pPr>
        <w:pStyle w:val="ONUMFS"/>
        <w:numPr>
          <w:ilvl w:val="0"/>
          <w:numId w:val="0"/>
        </w:numPr>
        <w:rPr>
          <w:b/>
        </w:rPr>
      </w:pPr>
      <w:r w:rsidRPr="0002751B">
        <w:rPr>
          <w:b/>
        </w:rPr>
        <w:t>1.</w:t>
      </w:r>
      <w:r w:rsidRPr="0002751B">
        <w:rPr>
          <w:b/>
        </w:rPr>
        <w:tab/>
      </w:r>
      <w:r w:rsidR="00223D69" w:rsidRPr="0002751B">
        <w:rPr>
          <w:b/>
        </w:rPr>
        <w:t>Article</w:t>
      </w:r>
      <w:r w:rsidR="00E26A2C" w:rsidRPr="0002751B">
        <w:rPr>
          <w:b/>
        </w:rPr>
        <w:t> </w:t>
      </w:r>
      <w:r w:rsidR="00223D69" w:rsidRPr="0002751B">
        <w:rPr>
          <w:b/>
        </w:rPr>
        <w:t>7</w:t>
      </w:r>
      <w:r w:rsidRPr="0002751B">
        <w:rPr>
          <w:b/>
        </w:rPr>
        <w:t>.</w:t>
      </w:r>
      <w:r w:rsidR="00223D69" w:rsidRPr="0002751B">
        <w:rPr>
          <w:b/>
        </w:rPr>
        <w:t xml:space="preserve">3) </w:t>
      </w:r>
      <w:r w:rsidRPr="0002751B">
        <w:rPr>
          <w:b/>
        </w:rPr>
        <w:t>Taxe de maintien en vigueur</w:t>
      </w:r>
    </w:p>
    <w:p w14:paraId="408A08AB" w14:textId="221C4A3A" w:rsidR="007079A8" w:rsidRPr="008B2DDA" w:rsidRDefault="00BD631A" w:rsidP="008B2DDA">
      <w:pPr>
        <w:pStyle w:val="ONUMFS"/>
        <w:numPr>
          <w:ilvl w:val="0"/>
          <w:numId w:val="0"/>
        </w:numPr>
      </w:pPr>
      <w:r w:rsidRPr="008B2DDA">
        <w:t xml:space="preserve">Nous sommes préoccupés par le manque de viabilité financière du système de Lisbonne. </w:t>
      </w:r>
      <w:r w:rsidR="00DA1D24" w:rsidRPr="008B2DDA">
        <w:t xml:space="preserve"> Il est nécessaire d</w:t>
      </w:r>
      <w:r w:rsidR="00A341C2" w:rsidRPr="008B2DDA">
        <w:t>’</w:t>
      </w:r>
      <w:r w:rsidR="00DA1D24" w:rsidRPr="008B2DDA">
        <w:t>améliorer le</w:t>
      </w:r>
      <w:r w:rsidRPr="008B2DDA">
        <w:t xml:space="preserve"> système </w:t>
      </w:r>
      <w:r w:rsidR="00DA1D24" w:rsidRPr="008B2DDA">
        <w:t>de taxes en vigueur</w:t>
      </w:r>
      <w:r w:rsidRPr="008B2DDA">
        <w:t xml:space="preserve"> </w:t>
      </w:r>
      <w:r w:rsidR="00DA1D24" w:rsidRPr="008B2DDA">
        <w:t xml:space="preserve">afin que la </w:t>
      </w:r>
      <w:r w:rsidRPr="008B2DDA">
        <w:t xml:space="preserve">structure </w:t>
      </w:r>
      <w:r w:rsidR="00DA1D24" w:rsidRPr="008B2DDA">
        <w:t>puisse s</w:t>
      </w:r>
      <w:r w:rsidR="00A341C2" w:rsidRPr="008B2DDA">
        <w:t>’</w:t>
      </w:r>
      <w:r w:rsidR="00BE2682" w:rsidRPr="008B2DDA">
        <w:t>autofinancer</w:t>
      </w:r>
      <w:r w:rsidR="00DA1D24" w:rsidRPr="008B2DDA">
        <w:t xml:space="preserve"> et suivre le principe du bénéfice</w:t>
      </w:r>
      <w:r w:rsidRPr="008B2DDA">
        <w:t>.</w:t>
      </w:r>
      <w:r w:rsidR="00DA1D24" w:rsidRPr="008B2DDA">
        <w:t xml:space="preserve"> </w:t>
      </w:r>
      <w:r w:rsidRPr="008B2DDA">
        <w:t xml:space="preserve"> Par conséquent, nous </w:t>
      </w:r>
      <w:r w:rsidR="00DA1D24" w:rsidRPr="008B2DDA">
        <w:t>approuvons</w:t>
      </w:r>
      <w:r w:rsidRPr="008B2DDA">
        <w:t xml:space="preserve"> l</w:t>
      </w:r>
      <w:r w:rsidR="00A341C2" w:rsidRPr="008B2DDA">
        <w:t>’</w:t>
      </w:r>
      <w:r w:rsidR="00DA1D24" w:rsidRPr="008B2DDA">
        <w:t>article 7.</w:t>
      </w:r>
      <w:r w:rsidRPr="008B2DDA">
        <w:t>3), qui appelle à l</w:t>
      </w:r>
      <w:r w:rsidR="00A341C2" w:rsidRPr="008B2DDA">
        <w:t>’</w:t>
      </w:r>
      <w:r w:rsidRPr="008B2DDA">
        <w:t>introduction d</w:t>
      </w:r>
      <w:r w:rsidR="00A341C2" w:rsidRPr="008B2DDA">
        <w:t>’</w:t>
      </w:r>
      <w:r w:rsidRPr="008B2DDA">
        <w:t>une taxe de maintien</w:t>
      </w:r>
      <w:r w:rsidR="00DA1D24" w:rsidRPr="008B2DDA">
        <w:t xml:space="preserve"> en vigueur</w:t>
      </w:r>
      <w:r w:rsidRPr="008B2DDA">
        <w:t>.</w:t>
      </w:r>
    </w:p>
    <w:p w14:paraId="0A7B5F7E" w14:textId="42715F40" w:rsidR="007079A8" w:rsidRPr="0002751B" w:rsidRDefault="00610F03" w:rsidP="008B2DDA">
      <w:pPr>
        <w:pStyle w:val="ONUMFS"/>
        <w:numPr>
          <w:ilvl w:val="0"/>
          <w:numId w:val="0"/>
        </w:numPr>
        <w:rPr>
          <w:rFonts w:eastAsia="Gulim"/>
          <w:b/>
        </w:rPr>
      </w:pPr>
      <w:r w:rsidRPr="0002751B">
        <w:rPr>
          <w:b/>
        </w:rPr>
        <w:t>2.</w:t>
      </w:r>
      <w:r w:rsidRPr="0002751B">
        <w:rPr>
          <w:b/>
        </w:rPr>
        <w:tab/>
      </w:r>
      <w:r w:rsidR="00223D69" w:rsidRPr="0002751B">
        <w:rPr>
          <w:b/>
        </w:rPr>
        <w:t>Article</w:t>
      </w:r>
      <w:r w:rsidR="00E26A2C" w:rsidRPr="0002751B">
        <w:rPr>
          <w:b/>
        </w:rPr>
        <w:t> </w:t>
      </w:r>
      <w:r w:rsidR="00223D69" w:rsidRPr="0002751B">
        <w:rPr>
          <w:b/>
        </w:rPr>
        <w:t>11</w:t>
      </w:r>
      <w:r w:rsidR="00A72A3C" w:rsidRPr="0002751B">
        <w:rPr>
          <w:b/>
        </w:rPr>
        <w:t>.</w:t>
      </w:r>
      <w:r w:rsidR="00223D69" w:rsidRPr="0002751B">
        <w:rPr>
          <w:b/>
        </w:rPr>
        <w:t xml:space="preserve">1) </w:t>
      </w:r>
      <w:r w:rsidRPr="0002751B">
        <w:rPr>
          <w:b/>
        </w:rPr>
        <w:t>Contenu de la protection</w:t>
      </w:r>
    </w:p>
    <w:p w14:paraId="3A0B104F" w14:textId="593BBA88" w:rsidR="007079A8" w:rsidRPr="008B2DDA" w:rsidRDefault="00BD631A" w:rsidP="008B2DDA">
      <w:pPr>
        <w:pStyle w:val="ONUMFS"/>
        <w:numPr>
          <w:ilvl w:val="0"/>
          <w:numId w:val="0"/>
        </w:numPr>
      </w:pPr>
      <w:r w:rsidRPr="008B2DDA">
        <w:t xml:space="preserve">Nous craignons que la protection </w:t>
      </w:r>
      <w:r w:rsidR="00A341C2" w:rsidRPr="008B2DDA">
        <w:t>à l’égard</w:t>
      </w:r>
      <w:r w:rsidR="00086233" w:rsidRPr="008B2DDA">
        <w:t xml:space="preserve"> des indications géographiques </w:t>
      </w:r>
      <w:r w:rsidRPr="008B2DDA">
        <w:t>dépasse le niveau de protection assuré par d</w:t>
      </w:r>
      <w:r w:rsidR="00A341C2" w:rsidRPr="008B2DDA">
        <w:t>’</w:t>
      </w:r>
      <w:r w:rsidRPr="008B2DDA">
        <w:t xml:space="preserve">autres traités internationaux. </w:t>
      </w:r>
      <w:r w:rsidR="00DA1D24" w:rsidRPr="008B2DDA">
        <w:t xml:space="preserve"> </w:t>
      </w:r>
      <w:r w:rsidRPr="008B2DDA">
        <w:t xml:space="preserve">Par conséquent, </w:t>
      </w:r>
      <w:r w:rsidR="00DA1D24" w:rsidRPr="008B2DDA">
        <w:t>nous n</w:t>
      </w:r>
      <w:r w:rsidR="00A341C2" w:rsidRPr="008B2DDA">
        <w:t>’</w:t>
      </w:r>
      <w:r w:rsidR="00DA1D24" w:rsidRPr="008B2DDA">
        <w:t>approuvons pas</w:t>
      </w:r>
      <w:r w:rsidRPr="008B2DDA">
        <w:t xml:space="preserve"> l</w:t>
      </w:r>
      <w:r w:rsidR="00A341C2" w:rsidRPr="008B2DDA">
        <w:t>’</w:t>
      </w:r>
      <w:r w:rsidR="00DA1D24" w:rsidRPr="008B2DDA">
        <w:t>article 11.</w:t>
      </w:r>
      <w:r w:rsidRPr="008B2DDA">
        <w:t>1).</w:t>
      </w:r>
    </w:p>
    <w:p w14:paraId="557D6EA1" w14:textId="03BCC3B5" w:rsidR="007079A8" w:rsidRPr="0002751B" w:rsidRDefault="00250B06" w:rsidP="008B2DDA">
      <w:pPr>
        <w:pStyle w:val="ONUMFS"/>
        <w:numPr>
          <w:ilvl w:val="0"/>
          <w:numId w:val="0"/>
        </w:numPr>
        <w:rPr>
          <w:rFonts w:eastAsia="Gulim"/>
          <w:b/>
        </w:rPr>
      </w:pPr>
      <w:r w:rsidRPr="0002751B">
        <w:rPr>
          <w:rFonts w:eastAsia="Gulim"/>
          <w:b/>
        </w:rPr>
        <w:t>3.</w:t>
      </w:r>
      <w:r w:rsidRPr="0002751B">
        <w:rPr>
          <w:rFonts w:eastAsia="Gulim"/>
          <w:b/>
        </w:rPr>
        <w:tab/>
        <w:t>Article</w:t>
      </w:r>
      <w:r w:rsidR="00E26A2C" w:rsidRPr="0002751B">
        <w:rPr>
          <w:rFonts w:eastAsia="Gulim"/>
          <w:b/>
        </w:rPr>
        <w:t> </w:t>
      </w:r>
      <w:r w:rsidRPr="0002751B">
        <w:rPr>
          <w:rFonts w:eastAsia="Gulim"/>
          <w:b/>
        </w:rPr>
        <w:t>12 Protection pour éviter de devenir générique</w:t>
      </w:r>
    </w:p>
    <w:p w14:paraId="4809FEB7" w14:textId="463E59BA" w:rsidR="007079A8" w:rsidRPr="008B2DDA" w:rsidRDefault="00BD631A" w:rsidP="008B2DDA">
      <w:pPr>
        <w:pStyle w:val="ONUMFS"/>
        <w:numPr>
          <w:ilvl w:val="0"/>
          <w:numId w:val="0"/>
        </w:numPr>
      </w:pPr>
      <w:r w:rsidRPr="008B2DDA">
        <w:t xml:space="preserve">Nous </w:t>
      </w:r>
      <w:r w:rsidR="00086233" w:rsidRPr="008B2DDA">
        <w:t>sommes préoccupés par</w:t>
      </w:r>
      <w:r w:rsidRPr="008B2DDA">
        <w:t xml:space="preserve"> la complexité qui résulterait </w:t>
      </w:r>
      <w:r w:rsidR="00086233" w:rsidRPr="008B2DDA">
        <w:t>de l</w:t>
      </w:r>
      <w:r w:rsidR="00A341C2" w:rsidRPr="008B2DDA">
        <w:t>’</w:t>
      </w:r>
      <w:r w:rsidR="00086233" w:rsidRPr="008B2DDA">
        <w:t>interdiction soudaine au public</w:t>
      </w:r>
      <w:r w:rsidRPr="008B2DDA">
        <w:t xml:space="preserve"> d</w:t>
      </w:r>
      <w:r w:rsidR="00A341C2" w:rsidRPr="008B2DDA">
        <w:t>’</w:t>
      </w:r>
      <w:r w:rsidRPr="008B2DDA">
        <w:t xml:space="preserve">utiliser des termes génériques. </w:t>
      </w:r>
      <w:r w:rsidR="00086233" w:rsidRPr="008B2DDA">
        <w:t xml:space="preserve"> </w:t>
      </w:r>
      <w:r w:rsidRPr="008B2DDA">
        <w:t>Par conséquent, nous proposons d</w:t>
      </w:r>
      <w:r w:rsidR="00A341C2" w:rsidRPr="008B2DDA">
        <w:t>’</w:t>
      </w:r>
      <w:r w:rsidRPr="008B2DDA">
        <w:t>ajouter l</w:t>
      </w:r>
      <w:r w:rsidR="00A341C2" w:rsidRPr="008B2DDA">
        <w:t>’</w:t>
      </w:r>
      <w:r w:rsidRPr="008B2DDA">
        <w:t xml:space="preserve">expression </w:t>
      </w:r>
      <w:r w:rsidR="00E26A2C" w:rsidRPr="008B2DDA">
        <w:t>“</w:t>
      </w:r>
      <w:r w:rsidR="003848D2" w:rsidRPr="008B2DDA">
        <w:t>et que les exigences de la législation nationale ou régionale dans la partie contractante concernée en matière d</w:t>
      </w:r>
      <w:r w:rsidR="00A341C2" w:rsidRPr="008B2DDA">
        <w:t>’</w:t>
      </w:r>
      <w:r w:rsidR="003848D2" w:rsidRPr="008B2DDA">
        <w:t>utilisation, de maintien en vigueur et de renouvellement sont observées</w:t>
      </w:r>
      <w:r w:rsidR="00E26A2C" w:rsidRPr="008B2DDA">
        <w:t>”</w:t>
      </w:r>
      <w:r w:rsidRPr="008B2DDA">
        <w:t>.</w:t>
      </w:r>
    </w:p>
    <w:p w14:paraId="427D7F5B" w14:textId="29E8ECA9" w:rsidR="007079A8" w:rsidRPr="0002751B" w:rsidRDefault="00610F03" w:rsidP="008B2DDA">
      <w:pPr>
        <w:pStyle w:val="ONUMFS"/>
        <w:numPr>
          <w:ilvl w:val="0"/>
          <w:numId w:val="0"/>
        </w:numPr>
        <w:rPr>
          <w:rFonts w:eastAsia="Gulim"/>
          <w:b/>
        </w:rPr>
      </w:pPr>
      <w:r w:rsidRPr="0002751B">
        <w:rPr>
          <w:b/>
        </w:rPr>
        <w:t>4.</w:t>
      </w:r>
      <w:r w:rsidRPr="0002751B">
        <w:rPr>
          <w:b/>
        </w:rPr>
        <w:tab/>
      </w:r>
      <w:r w:rsidR="00223D69" w:rsidRPr="0002751B">
        <w:rPr>
          <w:b/>
        </w:rPr>
        <w:t>Article</w:t>
      </w:r>
      <w:r w:rsidR="00E26A2C" w:rsidRPr="0002751B">
        <w:rPr>
          <w:b/>
        </w:rPr>
        <w:t> </w:t>
      </w:r>
      <w:r w:rsidR="00223D69" w:rsidRPr="0002751B">
        <w:rPr>
          <w:b/>
        </w:rPr>
        <w:t>13</w:t>
      </w:r>
      <w:r w:rsidR="00A72A3C" w:rsidRPr="0002751B">
        <w:rPr>
          <w:b/>
        </w:rPr>
        <w:t>.</w:t>
      </w:r>
      <w:r w:rsidR="00223D69" w:rsidRPr="0002751B">
        <w:rPr>
          <w:b/>
        </w:rPr>
        <w:t xml:space="preserve">1) </w:t>
      </w:r>
      <w:r w:rsidRPr="0002751B">
        <w:rPr>
          <w:b/>
        </w:rPr>
        <w:t>Droits antérieurs sur des marques</w:t>
      </w:r>
    </w:p>
    <w:p w14:paraId="638BADD5" w14:textId="586266F1" w:rsidR="007079A8" w:rsidRPr="008B2DDA" w:rsidRDefault="00543D31" w:rsidP="008B2DDA">
      <w:pPr>
        <w:pStyle w:val="ONUMFS"/>
        <w:numPr>
          <w:ilvl w:val="0"/>
          <w:numId w:val="0"/>
        </w:numPr>
      </w:pPr>
      <w:r w:rsidRPr="008B2DDA">
        <w:t>La variante</w:t>
      </w:r>
      <w:r w:rsidR="00BD631A" w:rsidRPr="008B2DDA">
        <w:t xml:space="preserve"> B semble être en </w:t>
      </w:r>
      <w:r w:rsidRPr="008B2DDA">
        <w:t>adéquation</w:t>
      </w:r>
      <w:r w:rsidR="00BD631A" w:rsidRPr="008B2DDA">
        <w:t xml:space="preserve"> avec le principe général </w:t>
      </w:r>
      <w:r w:rsidRPr="008B2DDA">
        <w:t xml:space="preserve">du </w:t>
      </w:r>
      <w:r w:rsidR="00E26A2C" w:rsidRPr="008B2DDA">
        <w:t>“</w:t>
      </w:r>
      <w:r w:rsidRPr="008B2DDA">
        <w:t>premier arrivé, premier servi</w:t>
      </w:r>
      <w:r w:rsidR="00E26A2C" w:rsidRPr="008B2DDA">
        <w:t>”</w:t>
      </w:r>
      <w:r w:rsidRPr="008B2DDA">
        <w:t xml:space="preserve"> énoncé dans</w:t>
      </w:r>
      <w:r w:rsidR="00BD631A" w:rsidRPr="008B2DDA">
        <w:t xml:space="preserve"> l</w:t>
      </w:r>
      <w:r w:rsidR="00A341C2" w:rsidRPr="008B2DDA">
        <w:t>’</w:t>
      </w:r>
      <w:r w:rsidR="00BD631A" w:rsidRPr="008B2DDA">
        <w:t>Accord sur</w:t>
      </w:r>
      <w:r w:rsidR="00A341C2" w:rsidRPr="008B2DDA">
        <w:t xml:space="preserve"> les ADP</w:t>
      </w:r>
      <w:r w:rsidR="00BD631A" w:rsidRPr="008B2DDA">
        <w:t xml:space="preserve">IC </w:t>
      </w:r>
      <w:r w:rsidRPr="008B2DDA">
        <w:t>en ce qui concerne</w:t>
      </w:r>
      <w:r w:rsidR="00BD631A" w:rsidRPr="008B2DDA">
        <w:t xml:space="preserve"> la relation entre les marques et les indications géographiques. </w:t>
      </w:r>
      <w:r w:rsidRPr="008B2DDA">
        <w:t xml:space="preserve"> </w:t>
      </w:r>
      <w:r w:rsidR="00BD631A" w:rsidRPr="008B2DDA">
        <w:t xml:space="preserve">En outre, </w:t>
      </w:r>
      <w:r w:rsidRPr="008B2DDA">
        <w:t>la variante</w:t>
      </w:r>
      <w:r w:rsidR="00BD631A" w:rsidRPr="008B2DDA">
        <w:t xml:space="preserve"> A est trop subjective et imprécise.</w:t>
      </w:r>
    </w:p>
    <w:p w14:paraId="0098B42D" w14:textId="1C21B73E" w:rsidR="007079A8" w:rsidRPr="008B2DDA" w:rsidRDefault="00BD631A" w:rsidP="008B2DDA">
      <w:pPr>
        <w:pStyle w:val="ONUMFS"/>
        <w:numPr>
          <w:ilvl w:val="0"/>
          <w:numId w:val="0"/>
        </w:numPr>
      </w:pPr>
      <w:r w:rsidRPr="008B2DDA">
        <w:t xml:space="preserve">La République de Corée espère que les questions en suspens </w:t>
      </w:r>
      <w:r w:rsidR="001F13AE" w:rsidRPr="008B2DDA">
        <w:t>relatives à</w:t>
      </w:r>
      <w:r w:rsidRPr="008B2DDA">
        <w:t xml:space="preserve"> la révision de </w:t>
      </w:r>
      <w:r w:rsidR="006F4E74" w:rsidRPr="008B2DDA">
        <w:t>l</w:t>
      </w:r>
      <w:r w:rsidR="00A341C2" w:rsidRPr="008B2DDA">
        <w:t>’</w:t>
      </w:r>
      <w:r w:rsidR="006F4E74" w:rsidRPr="008B2DDA">
        <w:t>Arrangement</w:t>
      </w:r>
      <w:r w:rsidRPr="008B2DDA">
        <w:t xml:space="preserve"> de Lisbonne sur les appellations d</w:t>
      </w:r>
      <w:r w:rsidR="00A341C2" w:rsidRPr="008B2DDA">
        <w:t>’</w:t>
      </w:r>
      <w:r w:rsidRPr="008B2DDA">
        <w:t xml:space="preserve">origine et leur enregistrement international, </w:t>
      </w:r>
      <w:r w:rsidR="00A341C2" w:rsidRPr="008B2DDA">
        <w:lastRenderedPageBreak/>
        <w:t>y compris</w:t>
      </w:r>
      <w:r w:rsidRPr="008B2DDA">
        <w:t xml:space="preserve"> les questions de procédure</w:t>
      </w:r>
      <w:r w:rsidR="006F4E74" w:rsidRPr="008B2DDA">
        <w:t>,</w:t>
      </w:r>
      <w:r w:rsidRPr="008B2DDA">
        <w:t xml:space="preserve"> </w:t>
      </w:r>
      <w:r w:rsidR="006F4E74" w:rsidRPr="008B2DDA">
        <w:t>feront l</w:t>
      </w:r>
      <w:r w:rsidR="00A341C2" w:rsidRPr="008B2DDA">
        <w:t>’</w:t>
      </w:r>
      <w:r w:rsidR="006F4E74" w:rsidRPr="008B2DDA">
        <w:t>objet d</w:t>
      </w:r>
      <w:r w:rsidR="00A341C2" w:rsidRPr="008B2DDA">
        <w:t>’</w:t>
      </w:r>
      <w:r w:rsidR="006F4E74" w:rsidRPr="008B2DDA">
        <w:t xml:space="preserve">un débat raisonnable </w:t>
      </w:r>
      <w:r w:rsidR="001F13AE" w:rsidRPr="008B2DDA">
        <w:t>permettant d</w:t>
      </w:r>
      <w:r w:rsidR="00A341C2" w:rsidRPr="008B2DDA">
        <w:t>’</w:t>
      </w:r>
      <w:r w:rsidR="001F13AE" w:rsidRPr="008B2DDA">
        <w:t>aboutir</w:t>
      </w:r>
      <w:r w:rsidR="00B06F7E" w:rsidRPr="008B2DDA">
        <w:t xml:space="preserve"> à</w:t>
      </w:r>
      <w:r w:rsidRPr="008B2DDA">
        <w:t xml:space="preserve"> un consensus </w:t>
      </w:r>
      <w:r w:rsidR="001F13AE" w:rsidRPr="008B2DDA">
        <w:t>à l</w:t>
      </w:r>
      <w:r w:rsidR="00A341C2" w:rsidRPr="008B2DDA">
        <w:t>’</w:t>
      </w:r>
      <w:r w:rsidR="001F13AE" w:rsidRPr="008B2DDA">
        <w:t>issue de</w:t>
      </w:r>
      <w:r w:rsidRPr="008B2DDA">
        <w:t xml:space="preserve"> la </w:t>
      </w:r>
      <w:r w:rsidR="00D357CB" w:rsidRPr="008B2DDA">
        <w:t>c</w:t>
      </w:r>
      <w:r w:rsidRPr="008B2DDA">
        <w:t xml:space="preserve">onférence diplomatique de </w:t>
      </w:r>
      <w:r w:rsidR="00E5042E" w:rsidRPr="008B2DDA">
        <w:t>mai </w:t>
      </w:r>
      <w:r w:rsidRPr="008B2DDA">
        <w:t xml:space="preserve">2015. </w:t>
      </w:r>
      <w:r w:rsidR="004F4C75" w:rsidRPr="008B2DDA">
        <w:t xml:space="preserve"> L</w:t>
      </w:r>
      <w:r w:rsidRPr="008B2DDA">
        <w:t xml:space="preserve">a République de Corée se réserve le droit de </w:t>
      </w:r>
      <w:r w:rsidR="00B06F7E" w:rsidRPr="008B2DDA">
        <w:t>formuler</w:t>
      </w:r>
      <w:r w:rsidRPr="008B2DDA">
        <w:t xml:space="preserve"> d</w:t>
      </w:r>
      <w:r w:rsidR="00A341C2" w:rsidRPr="008B2DDA">
        <w:t>’</w:t>
      </w:r>
      <w:r w:rsidRPr="008B2DDA">
        <w:t xml:space="preserve">autres commentaires sur les </w:t>
      </w:r>
      <w:r w:rsidR="001F13AE" w:rsidRPr="008B2DDA">
        <w:t>questions qui ne sont pas</w:t>
      </w:r>
      <w:r w:rsidRPr="008B2DDA">
        <w:t xml:space="preserve"> abordées dans le présent document.</w:t>
      </w:r>
    </w:p>
    <w:p w14:paraId="7D44D61F" w14:textId="77777777" w:rsidR="007079A8" w:rsidRPr="008B2DDA" w:rsidRDefault="007079A8" w:rsidP="008B2DDA"/>
    <w:p w14:paraId="54D750CF" w14:textId="77777777" w:rsidR="007079A8" w:rsidRPr="008B2DDA" w:rsidRDefault="007079A8" w:rsidP="008B2DDA"/>
    <w:p w14:paraId="0617ECE4" w14:textId="7058E389" w:rsidR="00861355" w:rsidRPr="008B2DDA" w:rsidRDefault="00355FAD" w:rsidP="008B2DDA">
      <w:pPr>
        <w:pStyle w:val="Endofdocument-Annex"/>
        <w:sectPr w:rsidR="00861355" w:rsidRPr="008B2DDA" w:rsidSect="00A341C2">
          <w:headerReference w:type="default" r:id="rId24"/>
          <w:headerReference w:type="first" r:id="rId25"/>
          <w:endnotePr>
            <w:numFmt w:val="decimal"/>
          </w:endnotePr>
          <w:pgSz w:w="11907" w:h="16840" w:code="9"/>
          <w:pgMar w:top="567" w:right="1134" w:bottom="1417" w:left="1417" w:header="510" w:footer="1020" w:gutter="0"/>
          <w:pgNumType w:start="1"/>
          <w:cols w:space="720"/>
          <w:titlePg/>
          <w:docGrid w:linePitch="299"/>
        </w:sectPr>
      </w:pPr>
      <w:r w:rsidRPr="008B2DDA">
        <w:t>[L</w:t>
      </w:r>
      <w:r w:rsidR="00A341C2" w:rsidRPr="008B2DDA">
        <w:t>’</w:t>
      </w:r>
      <w:r w:rsidRPr="008B2DDA">
        <w:t>annexe</w:t>
      </w:r>
      <w:r w:rsidR="00E26A2C" w:rsidRPr="008B2DDA">
        <w:t> </w:t>
      </w:r>
      <w:r w:rsidR="00CF15C6" w:rsidRPr="008B2DDA">
        <w:t>V</w:t>
      </w:r>
      <w:r w:rsidRPr="008B2DDA">
        <w:t>I suit]</w:t>
      </w:r>
    </w:p>
    <w:p w14:paraId="63616B12" w14:textId="2D23339F" w:rsidR="0099664D" w:rsidRDefault="0099664D" w:rsidP="008B2DDA">
      <w:pPr>
        <w:jc w:val="center"/>
        <w:rPr>
          <w:b/>
          <w:lang w:val="fr-CH"/>
        </w:rPr>
      </w:pPr>
      <w:r>
        <w:rPr>
          <w:b/>
          <w:lang w:val="fr-CH"/>
        </w:rPr>
        <w:lastRenderedPageBreak/>
        <w:t>FÉDÉRATION DE RUSSIE</w:t>
      </w:r>
    </w:p>
    <w:p w14:paraId="2B558B86" w14:textId="77777777" w:rsidR="0099664D" w:rsidRDefault="0099664D" w:rsidP="008B2DDA">
      <w:pPr>
        <w:jc w:val="center"/>
        <w:rPr>
          <w:b/>
          <w:lang w:val="fr-CH"/>
        </w:rPr>
      </w:pPr>
    </w:p>
    <w:p w14:paraId="385F1798" w14:textId="42282339" w:rsidR="00861355" w:rsidRPr="008B2DDA" w:rsidRDefault="00861355" w:rsidP="008B2DDA">
      <w:pPr>
        <w:jc w:val="center"/>
        <w:rPr>
          <w:b/>
          <w:lang w:val="fr-CH"/>
        </w:rPr>
      </w:pPr>
      <w:r w:rsidRPr="008B2DDA">
        <w:rPr>
          <w:b/>
          <w:lang w:val="fr-CH"/>
        </w:rPr>
        <w:t xml:space="preserve">Proposition de </w:t>
      </w:r>
      <w:proofErr w:type="spellStart"/>
      <w:r w:rsidRPr="008B2DDA">
        <w:rPr>
          <w:b/>
          <w:lang w:val="fr-CH"/>
        </w:rPr>
        <w:t>Rospatent</w:t>
      </w:r>
      <w:proofErr w:type="spellEnd"/>
      <w:r w:rsidRPr="008B2DDA">
        <w:rPr>
          <w:b/>
          <w:lang w:val="fr-CH"/>
        </w:rPr>
        <w:t xml:space="preserve"> au sujet de l’article 7.5) de la proposition de base </w:t>
      </w:r>
      <w:r w:rsidR="00CF15C6" w:rsidRPr="008B2DDA">
        <w:rPr>
          <w:b/>
          <w:lang w:val="fr-CH"/>
        </w:rPr>
        <w:br/>
      </w:r>
      <w:r w:rsidRPr="008B2DDA">
        <w:rPr>
          <w:b/>
          <w:lang w:val="fr-CH"/>
        </w:rPr>
        <w:t xml:space="preserve">pour le nouvel Acte de l’Arrangement de Lisbonne sur les appellations d’origine </w:t>
      </w:r>
      <w:r w:rsidR="00CF15C6" w:rsidRPr="008B2DDA">
        <w:rPr>
          <w:b/>
          <w:lang w:val="fr-CH"/>
        </w:rPr>
        <w:br/>
      </w:r>
      <w:r w:rsidRPr="008B2DDA">
        <w:rPr>
          <w:b/>
          <w:lang w:val="fr-CH"/>
        </w:rPr>
        <w:t>et les indications g</w:t>
      </w:r>
      <w:r w:rsidR="00CF15C6" w:rsidRPr="008B2DDA">
        <w:rPr>
          <w:b/>
          <w:lang w:val="fr-CH"/>
        </w:rPr>
        <w:t>éographiques (document LI/DC/3)</w:t>
      </w:r>
    </w:p>
    <w:p w14:paraId="331903C7" w14:textId="77777777" w:rsidR="00861355" w:rsidRPr="008B2DDA" w:rsidRDefault="00861355" w:rsidP="008B2DDA">
      <w:pPr>
        <w:rPr>
          <w:lang w:val="fr-CH"/>
        </w:rPr>
      </w:pPr>
    </w:p>
    <w:p w14:paraId="61B2AFCC" w14:textId="77777777" w:rsidR="00861355" w:rsidRPr="008B2DDA" w:rsidRDefault="00861355" w:rsidP="008B2DDA">
      <w:pPr>
        <w:rPr>
          <w:szCs w:val="22"/>
          <w:lang w:val="fr-CH"/>
        </w:rPr>
      </w:pPr>
      <w:r w:rsidRPr="008B2DDA">
        <w:rPr>
          <w:szCs w:val="22"/>
          <w:lang w:val="fr-CH"/>
        </w:rPr>
        <w:t>S’agissant de l’alinéa 5 de l’article 7 (Taxes) de la proposition de base pour le nouvel Acte de l’Arrangement de Lisbonne sur les appellations d’origine et les indications géographiques (document LI/DC/3), il est proposé :</w:t>
      </w:r>
    </w:p>
    <w:p w14:paraId="1F0F2264" w14:textId="77777777" w:rsidR="00861355" w:rsidRPr="008B2DDA" w:rsidRDefault="00861355" w:rsidP="008B2DDA">
      <w:pPr>
        <w:rPr>
          <w:szCs w:val="22"/>
          <w:lang w:val="fr-CH"/>
        </w:rPr>
      </w:pPr>
    </w:p>
    <w:p w14:paraId="22A724C8" w14:textId="50369CD2" w:rsidR="00861355" w:rsidRPr="008B2DDA" w:rsidRDefault="00861355" w:rsidP="008B2DDA">
      <w:pPr>
        <w:pStyle w:val="ListParagraph"/>
        <w:numPr>
          <w:ilvl w:val="0"/>
          <w:numId w:val="27"/>
        </w:numPr>
        <w:ind w:left="0" w:firstLine="0"/>
        <w:rPr>
          <w:szCs w:val="22"/>
          <w:lang w:val="fr-CH"/>
        </w:rPr>
      </w:pPr>
      <w:r w:rsidRPr="008B2DDA">
        <w:rPr>
          <w:szCs w:val="22"/>
          <w:lang w:val="fr-CH"/>
        </w:rPr>
        <w:t xml:space="preserve">dans la </w:t>
      </w:r>
      <w:r w:rsidR="00CF15C6" w:rsidRPr="008B2DDA">
        <w:rPr>
          <w:szCs w:val="22"/>
          <w:lang w:val="fr-CH"/>
        </w:rPr>
        <w:t>v</w:t>
      </w:r>
      <w:r w:rsidRPr="008B2DDA">
        <w:rPr>
          <w:szCs w:val="22"/>
          <w:lang w:val="fr-CH"/>
        </w:rPr>
        <w:t xml:space="preserve">ariante A, point b), d’ajouter l’expression “afin de couvrir les coûts de l’examen quant au fond de l’enregistrement international ou le renouvellement de l’enregistrement international” après les mots “taxe individuelle”, et d’ajouter l’expression “ou au renouvellement de la </w:t>
      </w:r>
      <w:r w:rsidRPr="008B2DDA">
        <w:rPr>
          <w:rFonts w:eastAsia="휴먼명조"/>
          <w:szCs w:val="22"/>
          <w:lang w:val="fr-CH"/>
        </w:rPr>
        <w:t>protection</w:t>
      </w:r>
      <w:r w:rsidRPr="008B2DDA">
        <w:rPr>
          <w:szCs w:val="22"/>
          <w:lang w:val="fr-CH"/>
        </w:rPr>
        <w:t xml:space="preserve">” après les mots “renoncé à la </w:t>
      </w:r>
      <w:r w:rsidRPr="008B2DDA">
        <w:rPr>
          <w:rFonts w:eastAsia="휴먼명조"/>
          <w:szCs w:val="22"/>
          <w:lang w:val="fr-CH"/>
        </w:rPr>
        <w:t>protection</w:t>
      </w:r>
      <w:r w:rsidRPr="008B2DDA">
        <w:rPr>
          <w:szCs w:val="22"/>
          <w:lang w:val="fr-CH"/>
        </w:rPr>
        <w:t>”;</w:t>
      </w:r>
    </w:p>
    <w:p w14:paraId="6BDDE98E" w14:textId="77777777" w:rsidR="00CF15C6" w:rsidRPr="008B2DDA" w:rsidRDefault="00CF15C6" w:rsidP="008B2DDA">
      <w:pPr>
        <w:pStyle w:val="ListParagraph"/>
        <w:ind w:left="0"/>
        <w:rPr>
          <w:szCs w:val="22"/>
          <w:lang w:val="fr-CH"/>
        </w:rPr>
      </w:pPr>
    </w:p>
    <w:p w14:paraId="013AC6F4" w14:textId="43DED522" w:rsidR="00861355" w:rsidRPr="008B2DDA" w:rsidRDefault="00861355" w:rsidP="008B2DDA">
      <w:pPr>
        <w:pStyle w:val="ListParagraph"/>
        <w:numPr>
          <w:ilvl w:val="0"/>
          <w:numId w:val="27"/>
        </w:numPr>
        <w:autoSpaceDE w:val="0"/>
        <w:autoSpaceDN w:val="0"/>
        <w:adjustRightInd w:val="0"/>
        <w:ind w:left="0" w:firstLine="0"/>
        <w:rPr>
          <w:szCs w:val="22"/>
          <w:lang w:val="fr-CH"/>
        </w:rPr>
      </w:pPr>
      <w:r w:rsidRPr="008B2DDA">
        <w:rPr>
          <w:szCs w:val="22"/>
          <w:lang w:val="fr-CH"/>
        </w:rPr>
        <w:t xml:space="preserve">dans la </w:t>
      </w:r>
      <w:r w:rsidR="00CF15C6" w:rsidRPr="008B2DDA">
        <w:rPr>
          <w:szCs w:val="22"/>
          <w:lang w:val="fr-CH"/>
        </w:rPr>
        <w:t>v</w:t>
      </w:r>
      <w:r w:rsidRPr="008B2DDA">
        <w:rPr>
          <w:szCs w:val="22"/>
          <w:lang w:val="fr-CH"/>
        </w:rPr>
        <w:t>ariante B, point a), d’ajouter l’expression “et de renouvellement des enregistrements internationaux” après les mots “enregistrements internationaux”;</w:t>
      </w:r>
    </w:p>
    <w:p w14:paraId="46EF3E41" w14:textId="0DB24B3D" w:rsidR="00861355" w:rsidRPr="008B2DDA" w:rsidRDefault="00861355" w:rsidP="008B2DDA">
      <w:pPr>
        <w:pStyle w:val="ListParagraph"/>
        <w:autoSpaceDE w:val="0"/>
        <w:autoSpaceDN w:val="0"/>
        <w:adjustRightInd w:val="0"/>
        <w:ind w:left="0" w:firstLine="567"/>
        <w:rPr>
          <w:szCs w:val="22"/>
          <w:lang w:val="fr-CH"/>
        </w:rPr>
      </w:pPr>
      <w:proofErr w:type="gramStart"/>
      <w:r w:rsidRPr="008B2DDA">
        <w:rPr>
          <w:szCs w:val="22"/>
          <w:lang w:val="fr-CH"/>
        </w:rPr>
        <w:t>dans</w:t>
      </w:r>
      <w:proofErr w:type="gramEnd"/>
      <w:r w:rsidRPr="008B2DDA">
        <w:rPr>
          <w:szCs w:val="22"/>
          <w:lang w:val="fr-CH"/>
        </w:rPr>
        <w:t xml:space="preserve"> la </w:t>
      </w:r>
      <w:r w:rsidR="00CF15C6" w:rsidRPr="008B2DDA">
        <w:rPr>
          <w:szCs w:val="22"/>
          <w:lang w:val="fr-CH"/>
        </w:rPr>
        <w:t>v</w:t>
      </w:r>
      <w:r w:rsidRPr="008B2DDA">
        <w:rPr>
          <w:szCs w:val="22"/>
          <w:lang w:val="fr-CH"/>
        </w:rPr>
        <w:t xml:space="preserve">ariante B, point b), d’ajouter l’expression “afin de couvrir les coûts de l’examen quant au fond de l’enregistrement international ou le renouvellement de l’enregistrement international” après les mots “taxe individuelle”, et d’ajouter l’expression “ou au renouvellement de la </w:t>
      </w:r>
      <w:r w:rsidRPr="008B2DDA">
        <w:rPr>
          <w:rFonts w:eastAsia="휴먼명조"/>
          <w:szCs w:val="22"/>
          <w:lang w:val="fr-CH"/>
        </w:rPr>
        <w:t>protection”</w:t>
      </w:r>
      <w:r w:rsidRPr="008B2DDA">
        <w:rPr>
          <w:szCs w:val="22"/>
          <w:lang w:val="fr-CH"/>
        </w:rPr>
        <w:t xml:space="preserve"> après les mots “renoncé à la </w:t>
      </w:r>
      <w:r w:rsidRPr="008B2DDA">
        <w:rPr>
          <w:rFonts w:eastAsia="휴먼명조"/>
          <w:szCs w:val="22"/>
          <w:lang w:val="fr-CH"/>
        </w:rPr>
        <w:t>protection</w:t>
      </w:r>
      <w:r w:rsidRPr="008B2DDA">
        <w:rPr>
          <w:szCs w:val="22"/>
          <w:lang w:val="fr-CH"/>
        </w:rPr>
        <w:t>”.</w:t>
      </w:r>
    </w:p>
    <w:p w14:paraId="6334259E" w14:textId="77777777" w:rsidR="00861355" w:rsidRPr="008B2DDA" w:rsidRDefault="00861355" w:rsidP="008B2DDA">
      <w:pPr>
        <w:pStyle w:val="ListParagraph"/>
        <w:autoSpaceDE w:val="0"/>
        <w:autoSpaceDN w:val="0"/>
        <w:adjustRightInd w:val="0"/>
        <w:ind w:left="0"/>
        <w:rPr>
          <w:szCs w:val="22"/>
          <w:lang w:val="fr-CH"/>
        </w:rPr>
      </w:pPr>
    </w:p>
    <w:p w14:paraId="62941A2E" w14:textId="72227708" w:rsidR="00861355" w:rsidRPr="008B2DDA" w:rsidRDefault="00861355" w:rsidP="008B2DDA">
      <w:pPr>
        <w:autoSpaceDE w:val="0"/>
        <w:autoSpaceDN w:val="0"/>
        <w:adjustRightInd w:val="0"/>
        <w:rPr>
          <w:szCs w:val="22"/>
          <w:lang w:val="fr-CH"/>
        </w:rPr>
      </w:pPr>
      <w:r w:rsidRPr="008B2DDA">
        <w:rPr>
          <w:szCs w:val="22"/>
          <w:lang w:val="fr-CH"/>
        </w:rPr>
        <w:t xml:space="preserve">Compte tenu de ce qui précède, les </w:t>
      </w:r>
      <w:r w:rsidR="00CF15C6" w:rsidRPr="008B2DDA">
        <w:rPr>
          <w:szCs w:val="22"/>
          <w:lang w:val="fr-CH"/>
        </w:rPr>
        <w:t>v</w:t>
      </w:r>
      <w:r w:rsidRPr="008B2DDA">
        <w:rPr>
          <w:szCs w:val="22"/>
          <w:lang w:val="fr-CH"/>
        </w:rPr>
        <w:t>ariantes A et B proposées pour l’alinéa 5 de l’article 7 (Taxes) seront libellées ainsi (modifications indiquées en italique) :</w:t>
      </w:r>
    </w:p>
    <w:p w14:paraId="66BD333F" w14:textId="77777777" w:rsidR="00861355" w:rsidRPr="008B2DDA" w:rsidRDefault="00861355" w:rsidP="008B2DDA">
      <w:pPr>
        <w:autoSpaceDE w:val="0"/>
        <w:autoSpaceDN w:val="0"/>
        <w:adjustRightInd w:val="0"/>
        <w:rPr>
          <w:szCs w:val="22"/>
          <w:lang w:val="fr-CH"/>
        </w:rPr>
      </w:pPr>
    </w:p>
    <w:p w14:paraId="0363DE3E" w14:textId="77777777" w:rsidR="00861355" w:rsidRPr="008B2DDA" w:rsidRDefault="00861355" w:rsidP="008B2DDA">
      <w:pPr>
        <w:autoSpaceDE w:val="0"/>
        <w:autoSpaceDN w:val="0"/>
        <w:adjustRightInd w:val="0"/>
        <w:rPr>
          <w:szCs w:val="22"/>
          <w:lang w:val="fr-CH"/>
        </w:rPr>
      </w:pPr>
      <w:r w:rsidRPr="008B2DDA">
        <w:rPr>
          <w:szCs w:val="22"/>
          <w:lang w:val="fr-CH"/>
        </w:rPr>
        <w:t>VARIANTE A</w:t>
      </w:r>
    </w:p>
    <w:p w14:paraId="05FD3279" w14:textId="77777777" w:rsidR="00CF15C6" w:rsidRPr="008B2DDA" w:rsidRDefault="00CF15C6" w:rsidP="008B2DDA">
      <w:pPr>
        <w:autoSpaceDE w:val="0"/>
        <w:autoSpaceDN w:val="0"/>
        <w:adjustRightInd w:val="0"/>
        <w:rPr>
          <w:szCs w:val="22"/>
          <w:lang w:val="fr-CH"/>
        </w:rPr>
      </w:pPr>
    </w:p>
    <w:p w14:paraId="2951A8A5" w14:textId="5F1855C3" w:rsidR="00861355" w:rsidRPr="008B2DDA" w:rsidRDefault="00CF15C6" w:rsidP="008B2DDA">
      <w:pPr>
        <w:autoSpaceDE w:val="0"/>
        <w:autoSpaceDN w:val="0"/>
        <w:adjustRightInd w:val="0"/>
        <w:rPr>
          <w:szCs w:val="22"/>
          <w:lang w:val="fr-CH"/>
        </w:rPr>
      </w:pPr>
      <w:r w:rsidRPr="008B2DDA">
        <w:rPr>
          <w:szCs w:val="22"/>
          <w:lang w:val="fr-CH"/>
        </w:rPr>
        <w:t>a)</w:t>
      </w:r>
      <w:r w:rsidR="00861355" w:rsidRPr="008B2DDA">
        <w:rPr>
          <w:szCs w:val="22"/>
          <w:lang w:val="fr-CH"/>
        </w:rPr>
        <w:tab/>
        <w:t>Toute partie contractante peut, dans une déclaration, notifier au Directeur général que la protection découlant de l’enregistrement international ne s’étend à elle que si une taxe est acquittée pour couvrir le coût de l’examen quant au fond de l’enregistrement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  En outre, la partie contractante peut, dans une déclaration, notifier au Directeur général que la protection résultant de l’enregistrement international est subordonnée à des conditions de maintien en vigueur ou de renouvellement et au paiement de taxes.</w:t>
      </w:r>
    </w:p>
    <w:p w14:paraId="3CBF9DA7" w14:textId="77777777" w:rsidR="00861355" w:rsidRPr="008B2DDA" w:rsidRDefault="00861355" w:rsidP="008B2DDA">
      <w:pPr>
        <w:autoSpaceDE w:val="0"/>
        <w:autoSpaceDN w:val="0"/>
        <w:adjustRightInd w:val="0"/>
        <w:rPr>
          <w:szCs w:val="22"/>
          <w:lang w:val="fr-CH"/>
        </w:rPr>
      </w:pPr>
    </w:p>
    <w:p w14:paraId="1E0FF619" w14:textId="55BFC2EF" w:rsidR="00861355" w:rsidRPr="008B2DDA" w:rsidRDefault="00CF15C6" w:rsidP="008B2DDA">
      <w:pPr>
        <w:autoSpaceDE w:val="0"/>
        <w:autoSpaceDN w:val="0"/>
        <w:adjustRightInd w:val="0"/>
        <w:rPr>
          <w:szCs w:val="22"/>
          <w:lang w:val="fr-CH"/>
        </w:rPr>
      </w:pPr>
      <w:r w:rsidRPr="008B2DDA">
        <w:rPr>
          <w:szCs w:val="22"/>
          <w:lang w:val="fr-CH"/>
        </w:rPr>
        <w:t>b)</w:t>
      </w:r>
      <w:r w:rsidR="00861355" w:rsidRPr="008B2DDA">
        <w:rPr>
          <w:szCs w:val="22"/>
          <w:lang w:val="fr-CH"/>
        </w:rPr>
        <w:tab/>
        <w:t>Le non</w:t>
      </w:r>
      <w:r w:rsidR="00D67EA4" w:rsidRPr="008B2DDA">
        <w:rPr>
          <w:szCs w:val="22"/>
          <w:lang w:val="fr-CH"/>
        </w:rPr>
        <w:noBreakHyphen/>
      </w:r>
      <w:r w:rsidR="00861355" w:rsidRPr="008B2DDA">
        <w:rPr>
          <w:szCs w:val="22"/>
          <w:lang w:val="fr-CH"/>
        </w:rPr>
        <w:t xml:space="preserve">paiement d’une taxe individuelle afin de couvrir les coûts de l’examen quant au fond de l’enregistrement international ou le renouvellement de l’enregistrement international a pour effet qu’il est renoncé à la protection ou au renouvellement de la </w:t>
      </w:r>
      <w:r w:rsidR="00861355" w:rsidRPr="008B2DDA">
        <w:rPr>
          <w:rFonts w:eastAsia="휴먼명조"/>
          <w:szCs w:val="22"/>
          <w:lang w:val="fr-CH"/>
        </w:rPr>
        <w:t xml:space="preserve">protection </w:t>
      </w:r>
      <w:r w:rsidR="00861355" w:rsidRPr="008B2DDA">
        <w:rPr>
          <w:szCs w:val="22"/>
          <w:lang w:val="fr-CH"/>
        </w:rPr>
        <w:t>à l’égard de la partie contractante exigeant la taxe.</w:t>
      </w:r>
    </w:p>
    <w:p w14:paraId="6560DC2B" w14:textId="77777777" w:rsidR="00861355" w:rsidRPr="008B2DDA" w:rsidRDefault="00861355" w:rsidP="008B2DDA">
      <w:pPr>
        <w:autoSpaceDE w:val="0"/>
        <w:autoSpaceDN w:val="0"/>
        <w:adjustRightInd w:val="0"/>
        <w:rPr>
          <w:szCs w:val="22"/>
          <w:lang w:val="fr-CH"/>
        </w:rPr>
      </w:pPr>
    </w:p>
    <w:p w14:paraId="4FEB5B93" w14:textId="77777777" w:rsidR="00861355" w:rsidRPr="008B2DDA" w:rsidRDefault="00861355" w:rsidP="008B2DDA">
      <w:pPr>
        <w:autoSpaceDE w:val="0"/>
        <w:autoSpaceDN w:val="0"/>
        <w:adjustRightInd w:val="0"/>
        <w:rPr>
          <w:szCs w:val="22"/>
          <w:lang w:val="fr-CH"/>
        </w:rPr>
      </w:pPr>
      <w:r w:rsidRPr="008B2DDA">
        <w:rPr>
          <w:szCs w:val="22"/>
          <w:lang w:val="fr-CH"/>
        </w:rPr>
        <w:t>VARIANTE B</w:t>
      </w:r>
    </w:p>
    <w:p w14:paraId="43AF1E2A" w14:textId="77777777" w:rsidR="00CF15C6" w:rsidRPr="008B2DDA" w:rsidRDefault="00CF15C6" w:rsidP="008B2DDA">
      <w:pPr>
        <w:autoSpaceDE w:val="0"/>
        <w:autoSpaceDN w:val="0"/>
        <w:adjustRightInd w:val="0"/>
        <w:rPr>
          <w:szCs w:val="22"/>
          <w:lang w:val="fr-CH"/>
        </w:rPr>
      </w:pPr>
    </w:p>
    <w:p w14:paraId="1324FD35" w14:textId="3034BC0A" w:rsidR="00861355" w:rsidRPr="008B2DDA" w:rsidRDefault="00CF15C6" w:rsidP="008B2DDA">
      <w:pPr>
        <w:autoSpaceDE w:val="0"/>
        <w:autoSpaceDN w:val="0"/>
        <w:adjustRightInd w:val="0"/>
        <w:rPr>
          <w:szCs w:val="22"/>
          <w:lang w:val="fr-CH"/>
        </w:rPr>
      </w:pPr>
      <w:r w:rsidRPr="008B2DDA">
        <w:rPr>
          <w:szCs w:val="22"/>
          <w:lang w:val="fr-CH"/>
        </w:rPr>
        <w:t>a)</w:t>
      </w:r>
      <w:r w:rsidR="00861355" w:rsidRPr="008B2DDA">
        <w:rPr>
          <w:szCs w:val="22"/>
          <w:lang w:val="fr-CH"/>
        </w:rPr>
        <w:tab/>
        <w:t>L’Assemblée peut prévoir la possibilité pour les parties contractantes d’adopter des taxes individuelles afin de couvrir les coûts de l’examen quant au fond des enregistrements internationaux et le renouvellement des enregistrements internationaux.</w:t>
      </w:r>
    </w:p>
    <w:p w14:paraId="0D1295D3" w14:textId="77777777" w:rsidR="00861355" w:rsidRPr="008B2DDA" w:rsidRDefault="00861355" w:rsidP="008B2DDA">
      <w:pPr>
        <w:autoSpaceDE w:val="0"/>
        <w:autoSpaceDN w:val="0"/>
        <w:adjustRightInd w:val="0"/>
        <w:rPr>
          <w:szCs w:val="22"/>
          <w:lang w:val="fr-CH"/>
        </w:rPr>
      </w:pPr>
    </w:p>
    <w:p w14:paraId="1D0A82A4" w14:textId="72E8B7F4" w:rsidR="00861355" w:rsidRPr="008B2DDA" w:rsidRDefault="00CF15C6" w:rsidP="008B2DDA">
      <w:pPr>
        <w:autoSpaceDE w:val="0"/>
        <w:autoSpaceDN w:val="0"/>
        <w:adjustRightInd w:val="0"/>
        <w:rPr>
          <w:szCs w:val="22"/>
          <w:lang w:val="fr-CH"/>
        </w:rPr>
      </w:pPr>
      <w:r w:rsidRPr="008B2DDA">
        <w:rPr>
          <w:szCs w:val="22"/>
          <w:lang w:val="fr-CH"/>
        </w:rPr>
        <w:t>b)</w:t>
      </w:r>
      <w:r w:rsidR="00861355" w:rsidRPr="008B2DDA">
        <w:rPr>
          <w:szCs w:val="22"/>
          <w:lang w:val="fr-CH"/>
        </w:rPr>
        <w:tab/>
        <w:t>Le non</w:t>
      </w:r>
      <w:r w:rsidR="00D67EA4" w:rsidRPr="008B2DDA">
        <w:rPr>
          <w:szCs w:val="22"/>
          <w:lang w:val="fr-CH"/>
        </w:rPr>
        <w:noBreakHyphen/>
      </w:r>
      <w:r w:rsidR="00861355" w:rsidRPr="008B2DDA">
        <w:rPr>
          <w:szCs w:val="22"/>
          <w:lang w:val="fr-CH"/>
        </w:rPr>
        <w:t xml:space="preserve">paiement d’une taxe individuelle afin de couvrir les coûts de l’examen quant au fond de l’enregistrement international ou le renouvellement de l’enregistrement international a pour effet qu’il est renoncé à la protection ou au renouvellement de la </w:t>
      </w:r>
      <w:r w:rsidR="00861355" w:rsidRPr="008B2DDA">
        <w:rPr>
          <w:rFonts w:eastAsia="휴먼명조"/>
          <w:szCs w:val="22"/>
          <w:lang w:val="fr-CH"/>
        </w:rPr>
        <w:t xml:space="preserve">protection </w:t>
      </w:r>
      <w:r w:rsidR="00861355" w:rsidRPr="008B2DDA">
        <w:rPr>
          <w:szCs w:val="22"/>
          <w:lang w:val="fr-CH"/>
        </w:rPr>
        <w:t>à l’égard de la partie contractante exigeant la taxe.</w:t>
      </w:r>
    </w:p>
    <w:p w14:paraId="37428FE4" w14:textId="77777777" w:rsidR="00861355" w:rsidRDefault="00861355" w:rsidP="008B2DDA">
      <w:pPr>
        <w:autoSpaceDE w:val="0"/>
        <w:autoSpaceDN w:val="0"/>
        <w:adjustRightInd w:val="0"/>
        <w:rPr>
          <w:szCs w:val="22"/>
          <w:lang w:val="fr-CH"/>
        </w:rPr>
      </w:pPr>
    </w:p>
    <w:p w14:paraId="028DBCF4" w14:textId="77777777" w:rsidR="0002751B" w:rsidRDefault="0099664D" w:rsidP="0002751B">
      <w:pPr>
        <w:pStyle w:val="Endofdocument-Annex"/>
        <w:sectPr w:rsidR="0002751B" w:rsidSect="00A341C2">
          <w:headerReference w:type="default" r:id="rId26"/>
          <w:headerReference w:type="first" r:id="rId27"/>
          <w:endnotePr>
            <w:numFmt w:val="decimal"/>
          </w:endnotePr>
          <w:pgSz w:w="11907" w:h="16840" w:code="9"/>
          <w:pgMar w:top="567" w:right="1134" w:bottom="1417" w:left="1417" w:header="510" w:footer="1020" w:gutter="0"/>
          <w:pgNumType w:start="1"/>
          <w:cols w:space="720"/>
          <w:titlePg/>
          <w:docGrid w:linePitch="299"/>
        </w:sectPr>
      </w:pPr>
      <w:r w:rsidRPr="0002751B">
        <w:t>[L’annexe VII suit]</w:t>
      </w:r>
    </w:p>
    <w:p w14:paraId="6FD5B25D" w14:textId="48558B8C" w:rsidR="0099664D" w:rsidRDefault="0099664D" w:rsidP="008B2DDA">
      <w:pPr>
        <w:jc w:val="center"/>
        <w:rPr>
          <w:b/>
        </w:rPr>
      </w:pPr>
      <w:r>
        <w:rPr>
          <w:b/>
        </w:rPr>
        <w:lastRenderedPageBreak/>
        <w:t>THAÏLANDE</w:t>
      </w:r>
    </w:p>
    <w:p w14:paraId="74289CC2" w14:textId="77777777" w:rsidR="0099664D" w:rsidRDefault="0099664D" w:rsidP="008B2DDA">
      <w:pPr>
        <w:jc w:val="center"/>
        <w:rPr>
          <w:b/>
        </w:rPr>
      </w:pPr>
    </w:p>
    <w:p w14:paraId="14D75CEB" w14:textId="67CBCD82" w:rsidR="0099664D" w:rsidRDefault="0099664D" w:rsidP="00FF1FB4">
      <w:pPr>
        <w:jc w:val="center"/>
        <w:rPr>
          <w:b/>
        </w:rPr>
      </w:pPr>
      <w:r>
        <w:rPr>
          <w:b/>
        </w:rPr>
        <w:t xml:space="preserve">Commentaires sur les </w:t>
      </w:r>
      <w:r w:rsidR="00FF1FB4">
        <w:rPr>
          <w:b/>
        </w:rPr>
        <w:t xml:space="preserve">questions </w:t>
      </w:r>
      <w:r w:rsidRPr="0099664D">
        <w:rPr>
          <w:b/>
        </w:rPr>
        <w:t xml:space="preserve">que le Groupe de travail sur le développement </w:t>
      </w:r>
      <w:r w:rsidR="000F705C">
        <w:rPr>
          <w:b/>
        </w:rPr>
        <w:br/>
      </w:r>
      <w:r w:rsidRPr="0099664D">
        <w:rPr>
          <w:b/>
        </w:rPr>
        <w:t>du système de Lisbonne a indiquées comme étant en suspens</w:t>
      </w:r>
    </w:p>
    <w:p w14:paraId="25145BCB" w14:textId="77777777" w:rsidR="0099664D" w:rsidRDefault="0099664D" w:rsidP="008B2DDA">
      <w:pPr>
        <w:jc w:val="center"/>
        <w:rPr>
          <w:b/>
        </w:rPr>
      </w:pPr>
    </w:p>
    <w:p w14:paraId="1097E453" w14:textId="77777777" w:rsidR="000F705C" w:rsidRDefault="000F705C" w:rsidP="0099664D">
      <w:pPr>
        <w:rPr>
          <w:b/>
        </w:rPr>
      </w:pPr>
    </w:p>
    <w:p w14:paraId="1B0DBF77" w14:textId="74BF5295" w:rsidR="000274BC" w:rsidRPr="008B2DDA" w:rsidRDefault="000274BC" w:rsidP="0099664D">
      <w:pPr>
        <w:rPr>
          <w:b/>
        </w:rPr>
      </w:pPr>
      <w:r w:rsidRPr="008B2DDA">
        <w:rPr>
          <w:b/>
        </w:rPr>
        <w:t>Groupe A : Questions en suspens concernant les procédures en matière de demandes et d’enregistrement international</w:t>
      </w:r>
    </w:p>
    <w:p w14:paraId="7976F7B1" w14:textId="77777777" w:rsidR="000274BC" w:rsidRPr="008B2DDA" w:rsidRDefault="000274BC" w:rsidP="008B2DDA"/>
    <w:p w14:paraId="64093BBB" w14:textId="77777777" w:rsidR="000274BC" w:rsidRPr="008B2DDA" w:rsidRDefault="000274BC" w:rsidP="008B2DDA">
      <w:pPr>
        <w:pStyle w:val="ONUMFS"/>
        <w:numPr>
          <w:ilvl w:val="0"/>
          <w:numId w:val="0"/>
        </w:numPr>
      </w:pPr>
      <w:r w:rsidRPr="008B2DDA">
        <w:t>1.</w:t>
      </w:r>
      <w:r w:rsidRPr="008B2DDA">
        <w:tab/>
        <w:t>Les aspects relatifs à la mise en œuvre de l’article 1.xiv)</w:t>
      </w:r>
    </w:p>
    <w:p w14:paraId="51456DA4" w14:textId="1F8612D3" w:rsidR="000274BC" w:rsidRPr="008B2DDA" w:rsidRDefault="000274BC" w:rsidP="008B2DDA">
      <w:pPr>
        <w:pStyle w:val="ONUMFS"/>
        <w:numPr>
          <w:ilvl w:val="0"/>
          <w:numId w:val="0"/>
        </w:numPr>
      </w:pPr>
      <w:r w:rsidRPr="008B2DDA">
        <w:t>La législation nationale de la Thaïlande ne fait pas référence aux organisations intergouvernementales.  La demande d’enregistrement national doit être déposée par les bénéficiaires ou le gouvernement au nom des bénéficiair</w:t>
      </w:r>
      <w:r w:rsidR="00CF15C6" w:rsidRPr="008B2DDA">
        <w:t xml:space="preserve">es, conformément aux articles 7 </w:t>
      </w:r>
      <w:r w:rsidRPr="008B2DDA">
        <w:t xml:space="preserve">et 8 de la </w:t>
      </w:r>
      <w:r w:rsidR="00CF15C6" w:rsidRPr="008B2DDA">
        <w:t>l</w:t>
      </w:r>
      <w:r w:rsidRPr="008B2DDA">
        <w:t>oi sur la protection des indications géographiques B.E. 2546 (2003).</w:t>
      </w:r>
    </w:p>
    <w:p w14:paraId="6F8C1E51" w14:textId="77777777" w:rsidR="000274BC" w:rsidRPr="008B2DDA" w:rsidRDefault="000274BC" w:rsidP="008B2DDA">
      <w:pPr>
        <w:pStyle w:val="ONUMFS"/>
        <w:numPr>
          <w:ilvl w:val="0"/>
          <w:numId w:val="0"/>
        </w:numPr>
      </w:pPr>
      <w:r w:rsidRPr="008B2DDA">
        <w:t>2.</w:t>
      </w:r>
      <w:r w:rsidRPr="008B2DDA">
        <w:tab/>
        <w:t>La question de savoir si la règle 5.3) doit être facultative ou obligatoire</w:t>
      </w:r>
    </w:p>
    <w:p w14:paraId="6D73FF49" w14:textId="77777777" w:rsidR="000274BC" w:rsidRPr="008B2DDA" w:rsidRDefault="000274BC" w:rsidP="008B2DDA">
      <w:pPr>
        <w:pStyle w:val="ONUMFS"/>
        <w:numPr>
          <w:ilvl w:val="0"/>
          <w:numId w:val="0"/>
        </w:numPr>
      </w:pPr>
      <w:r w:rsidRPr="008B2DDA">
        <w:t>La Thaïlande estime que la règle 5.3) doit être obligatoire pour faciliter l’enregistrement international au niveau national.  Les informations sur le lien entre un produit et son origine géographique sont une caractéristique unique d’une appellation d’origine enregistrée ou d’une indication géographique enregistrée et sont cruciales pour justifier l’octroi de droits exclusifs.</w:t>
      </w:r>
    </w:p>
    <w:p w14:paraId="16158916" w14:textId="77777777" w:rsidR="000274BC" w:rsidRPr="008B2DDA" w:rsidRDefault="000274BC" w:rsidP="008B2DDA">
      <w:pPr>
        <w:pStyle w:val="ONUMFS"/>
        <w:numPr>
          <w:ilvl w:val="0"/>
          <w:numId w:val="0"/>
        </w:numPr>
      </w:pPr>
      <w:r w:rsidRPr="008B2DDA">
        <w:t>3.</w:t>
      </w:r>
      <w:r w:rsidRPr="008B2DDA">
        <w:tab/>
        <w:t>La question de l’inclusion de la règle 5.4) autorisant une partie contractante à exiger une déclaration d’intention d’utilisation à l’égard d’une appellation d’origine enregistrée ou d’une indication géographique enregistrée</w:t>
      </w:r>
    </w:p>
    <w:p w14:paraId="5338C451" w14:textId="4C89DC3D" w:rsidR="000274BC" w:rsidRPr="008B2DDA" w:rsidRDefault="000274BC" w:rsidP="008B2DDA">
      <w:pPr>
        <w:pStyle w:val="ONUMFS"/>
        <w:numPr>
          <w:ilvl w:val="0"/>
          <w:numId w:val="0"/>
        </w:numPr>
      </w:pPr>
      <w:r w:rsidRPr="008B2DDA">
        <w:t xml:space="preserve">La Thaïlande est d’avis qu’une déclaration d’intention d’utilisation n’est pas nécessaire pour une appellation d’origine enregistrée ou une indication géographique enregistrée sachant que, dans la plupart des cas, sinon tous, avant de demander l’enregistrement, une appellation d’origine ou une </w:t>
      </w:r>
      <w:r w:rsidR="00AB2EF0" w:rsidRPr="008B2DDA">
        <w:t>indication géographique</w:t>
      </w:r>
      <w:r w:rsidRPr="008B2DDA">
        <w:t xml:space="preserve"> existe déjà et appartient à un groupe de producteurs bien organisés, à la notoriété bien établie grâce à des méthodes de production traditionnelles transmises au fil du temps.</w:t>
      </w:r>
    </w:p>
    <w:p w14:paraId="43D04186" w14:textId="77777777" w:rsidR="000274BC" w:rsidRPr="008B2DDA" w:rsidRDefault="000274BC" w:rsidP="008B2DDA">
      <w:pPr>
        <w:pStyle w:val="ONUMFS"/>
        <w:numPr>
          <w:ilvl w:val="0"/>
          <w:numId w:val="0"/>
        </w:numPr>
      </w:pPr>
      <w:r w:rsidRPr="008B2DDA">
        <w:t>4.</w:t>
      </w:r>
      <w:r w:rsidRPr="008B2DDA">
        <w:tab/>
        <w:t>La question du renforcement de la transparence en vertu de la règle 5.5</w:t>
      </w:r>
      <w:proofErr w:type="gramStart"/>
      <w:r w:rsidRPr="008B2DDA">
        <w:t>)ii</w:t>
      </w:r>
      <w:proofErr w:type="gramEnd"/>
      <w:r w:rsidRPr="008B2DDA">
        <w:t>)</w:t>
      </w:r>
    </w:p>
    <w:p w14:paraId="276E9350" w14:textId="77777777" w:rsidR="000274BC" w:rsidRPr="008B2DDA" w:rsidRDefault="000274BC" w:rsidP="008B2DDA">
      <w:pPr>
        <w:pStyle w:val="ONUMFS"/>
        <w:numPr>
          <w:ilvl w:val="0"/>
          <w:numId w:val="0"/>
        </w:numPr>
      </w:pPr>
      <w:r w:rsidRPr="008B2DDA">
        <w:t>La protection peut être totale ou partielle.  La règle 5.5) doit rester optionnelle.  La décision d’indiquer, dans la demande, si la protection a été revendiquée ou non pour certains éléments de l’appellation d’origine ou de l’indication géographique doit incomber à la partie contractante d’origine.</w:t>
      </w:r>
    </w:p>
    <w:p w14:paraId="2E1EED70" w14:textId="77777777" w:rsidR="000F705C" w:rsidRPr="000F705C" w:rsidRDefault="000F705C" w:rsidP="000F705C"/>
    <w:p w14:paraId="5816318A" w14:textId="77777777" w:rsidR="000274BC" w:rsidRPr="008B2DDA" w:rsidRDefault="000274BC" w:rsidP="0002751B">
      <w:pPr>
        <w:pStyle w:val="ONUMFS"/>
        <w:numPr>
          <w:ilvl w:val="0"/>
          <w:numId w:val="0"/>
        </w:numPr>
        <w:rPr>
          <w:b/>
        </w:rPr>
      </w:pPr>
      <w:r w:rsidRPr="008B2DDA">
        <w:rPr>
          <w:b/>
        </w:rPr>
        <w:t>Groupe B : Questions en suspens concernant l’étendue de la protection</w:t>
      </w:r>
    </w:p>
    <w:p w14:paraId="66774DED" w14:textId="77777777" w:rsidR="000274BC" w:rsidRPr="008B2DDA" w:rsidRDefault="000274BC" w:rsidP="008B2DDA">
      <w:pPr>
        <w:pStyle w:val="ONUMFS"/>
        <w:numPr>
          <w:ilvl w:val="0"/>
          <w:numId w:val="0"/>
        </w:numPr>
      </w:pPr>
      <w:r w:rsidRPr="008B2DDA">
        <w:t>5.</w:t>
      </w:r>
      <w:r w:rsidRPr="008B2DDA">
        <w:tab/>
        <w:t>Les différentes options concernant l’article 11.1)a) et l’article 11.3)</w:t>
      </w:r>
    </w:p>
    <w:p w14:paraId="09F5724A" w14:textId="39067535" w:rsidR="000274BC" w:rsidRPr="008B2DDA" w:rsidRDefault="000274BC" w:rsidP="008B2DDA">
      <w:pPr>
        <w:pStyle w:val="ONUMFS"/>
        <w:numPr>
          <w:ilvl w:val="0"/>
          <w:numId w:val="0"/>
        </w:numPr>
      </w:pPr>
      <w:r w:rsidRPr="008B2DDA">
        <w:t xml:space="preserve">Le terme “évocation” ne fait pas partie du jargon des législateurs ni des organismes </w:t>
      </w:r>
      <w:r w:rsidR="008D2596" w:rsidRPr="008B2DDA">
        <w:t>chargés de l’application des droits</w:t>
      </w:r>
      <w:r w:rsidRPr="008B2DDA">
        <w:t xml:space="preserve"> en Thaïlande.  L’adoption de ce terme peut être source d’incertitude juridique.  La Thaïlande se prononce donc en faveur de la suppression de ce terme dans le nouvel Acte.</w:t>
      </w:r>
    </w:p>
    <w:p w14:paraId="282E37A8" w14:textId="229FEC3D" w:rsidR="000274BC" w:rsidRPr="008B2DDA" w:rsidRDefault="000274BC" w:rsidP="008B2DDA">
      <w:pPr>
        <w:pStyle w:val="ONUMFS"/>
        <w:numPr>
          <w:ilvl w:val="0"/>
          <w:numId w:val="0"/>
        </w:numPr>
      </w:pPr>
      <w:r w:rsidRPr="008B2DDA">
        <w:t xml:space="preserve">D’une manière générale, la législation thaïlandaise sur les </w:t>
      </w:r>
      <w:r w:rsidR="00AB2EF0" w:rsidRPr="008B2DDA">
        <w:t>indications géographiques</w:t>
      </w:r>
      <w:r w:rsidRPr="008B2DDA">
        <w:t xml:space="preserve"> accorde la protection aux indications géographiques enregistrées d’une manière similaire à la variante B de l’article 11.1)a), par exemple.  Néanmoins, nous estimons que les variantes proposées pour l’article 11.1)a) et l’article 11.3) sont détaillées et prescriptives – ce qui rend difficile, pour un pays qui n’a pas encore établi de jurisprudence en matière </w:t>
      </w:r>
      <w:r w:rsidR="008D2596" w:rsidRPr="008B2DDA">
        <w:t>d’application des droits, de se prononcer pour une</w:t>
      </w:r>
      <w:r w:rsidRPr="008B2DDA">
        <w:t xml:space="preserve"> formule en particulier.</w:t>
      </w:r>
    </w:p>
    <w:p w14:paraId="1019F968" w14:textId="6385BD4E" w:rsidR="000274BC" w:rsidRPr="008B2DDA" w:rsidRDefault="000274BC" w:rsidP="008B2DDA">
      <w:pPr>
        <w:pStyle w:val="ONUMFS"/>
        <w:numPr>
          <w:ilvl w:val="0"/>
          <w:numId w:val="0"/>
        </w:numPr>
      </w:pPr>
      <w:r w:rsidRPr="008B2DDA">
        <w:lastRenderedPageBreak/>
        <w:t>6.</w:t>
      </w:r>
      <w:r w:rsidRPr="008B2DDA">
        <w:tab/>
        <w:t>La teneur de l’article 12 concernant la protection contre l’acquisition d’un caractère générique</w:t>
      </w:r>
    </w:p>
    <w:p w14:paraId="4F81C84C" w14:textId="77777777" w:rsidR="000274BC" w:rsidRPr="008B2DDA" w:rsidRDefault="000274BC" w:rsidP="008B2DDA">
      <w:pPr>
        <w:pStyle w:val="ONUMFS"/>
        <w:numPr>
          <w:ilvl w:val="0"/>
          <w:numId w:val="0"/>
        </w:numPr>
      </w:pPr>
      <w:r w:rsidRPr="008B2DDA">
        <w:t>La Thaïlande approuve la suppression des crochets autour de l’expression “être considérées comme ayant” et la suppression du passage entre crochets “et que les exigences de la législation nationale ou régionale dans la partie contractante concernée en matière d’utilisation, de maintien en vigueur et de renouvellement sont observées” dans l’article 12.</w:t>
      </w:r>
    </w:p>
    <w:p w14:paraId="40EDEA52" w14:textId="77777777" w:rsidR="000274BC" w:rsidRPr="008B2DDA" w:rsidRDefault="000274BC" w:rsidP="008B2DDA">
      <w:pPr>
        <w:pStyle w:val="ONUMFS"/>
        <w:keepNext/>
        <w:numPr>
          <w:ilvl w:val="0"/>
          <w:numId w:val="0"/>
        </w:numPr>
      </w:pPr>
      <w:r w:rsidRPr="008B2DDA">
        <w:t>7.</w:t>
      </w:r>
      <w:r w:rsidRPr="008B2DDA">
        <w:tab/>
        <w:t>La teneur de l’article 13.1) concernant les garanties à l’égard de droits antérieurs sur des marques</w:t>
      </w:r>
    </w:p>
    <w:p w14:paraId="0243160C" w14:textId="5F1DE274" w:rsidR="000274BC" w:rsidRPr="008B2DDA" w:rsidRDefault="000274BC" w:rsidP="008B2DDA">
      <w:pPr>
        <w:pStyle w:val="ONUMFS"/>
        <w:numPr>
          <w:ilvl w:val="0"/>
          <w:numId w:val="0"/>
        </w:numPr>
      </w:pPr>
      <w:r w:rsidRPr="008B2DDA">
        <w:t>La</w:t>
      </w:r>
      <w:r w:rsidR="000F4364" w:rsidRPr="008B2DDA">
        <w:t xml:space="preserve"> Thaïlande approuve la variante </w:t>
      </w:r>
      <w:r w:rsidRPr="008B2DDA">
        <w:t>A en ce qui concerne la coexistence d’une indication géographique revendiquée ultérieurement avec des droits antérieurs sur des marques.</w:t>
      </w:r>
    </w:p>
    <w:p w14:paraId="7387BEBF" w14:textId="77777777" w:rsidR="000F705C" w:rsidRPr="000F705C" w:rsidRDefault="000F705C" w:rsidP="000F705C"/>
    <w:p w14:paraId="62B17E0F" w14:textId="60C1EABE" w:rsidR="000274BC" w:rsidRPr="008B2DDA" w:rsidRDefault="000274BC" w:rsidP="0002751B">
      <w:pPr>
        <w:pStyle w:val="ONUMFS"/>
        <w:numPr>
          <w:ilvl w:val="0"/>
          <w:numId w:val="0"/>
        </w:numPr>
        <w:rPr>
          <w:b/>
        </w:rPr>
      </w:pPr>
      <w:r w:rsidRPr="008B2DDA">
        <w:rPr>
          <w:b/>
        </w:rPr>
        <w:t>Groupe C : Questions en suspens concernant les autres dispositions relatives</w:t>
      </w:r>
      <w:r w:rsidR="0002751B">
        <w:rPr>
          <w:b/>
        </w:rPr>
        <w:t xml:space="preserve"> </w:t>
      </w:r>
      <w:r w:rsidR="004D5315">
        <w:rPr>
          <w:b/>
        </w:rPr>
        <w:br/>
      </w:r>
      <w:r w:rsidRPr="008B2DDA">
        <w:rPr>
          <w:b/>
        </w:rPr>
        <w:t>aux effets juridiques des enregistrements internationaux.</w:t>
      </w:r>
    </w:p>
    <w:p w14:paraId="4E3DEC07" w14:textId="77777777" w:rsidR="000274BC" w:rsidRPr="008B2DDA" w:rsidRDefault="000274BC" w:rsidP="008B2DDA">
      <w:pPr>
        <w:pStyle w:val="ONUMFS"/>
        <w:numPr>
          <w:ilvl w:val="0"/>
          <w:numId w:val="0"/>
        </w:numPr>
      </w:pPr>
      <w:r w:rsidRPr="008B2DDA">
        <w:t>8.</w:t>
      </w:r>
      <w:r w:rsidRPr="008B2DDA">
        <w:tab/>
        <w:t>La teneur de l’article 16.2) concernant les négociations faisant suite à un refus</w:t>
      </w:r>
    </w:p>
    <w:p w14:paraId="3894AC93" w14:textId="77777777" w:rsidR="000274BC" w:rsidRPr="008B2DDA" w:rsidRDefault="000274BC" w:rsidP="008B2DDA">
      <w:pPr>
        <w:pStyle w:val="ONUMFS"/>
        <w:numPr>
          <w:ilvl w:val="0"/>
          <w:numId w:val="0"/>
        </w:numPr>
      </w:pPr>
      <w:r w:rsidRPr="008B2DDA">
        <w:t>Sachant que rien n’empêche les parties contractantes d’engager des consultations en vue d’un retrait de refus en l’absence de l’article 16.2) en vertu de l’Arrangement de Lisbonne en vigueur, la Thaïlande souhaiterait suggérer la suppression de l’article 16.2).</w:t>
      </w:r>
    </w:p>
    <w:p w14:paraId="3AAD49B0" w14:textId="77777777" w:rsidR="000274BC" w:rsidRPr="008B2DDA" w:rsidRDefault="000274BC" w:rsidP="008B2DDA">
      <w:pPr>
        <w:pStyle w:val="ONUMFS"/>
        <w:numPr>
          <w:ilvl w:val="0"/>
          <w:numId w:val="0"/>
        </w:numPr>
      </w:pPr>
      <w:r w:rsidRPr="008B2DDA">
        <w:t>9.</w:t>
      </w:r>
      <w:r w:rsidRPr="008B2DDA">
        <w:tab/>
        <w:t>La question de savoir si l’article 19.1) devrait établir une liste exhaustive ou non exhaustive des motifs d’invalidation</w:t>
      </w:r>
    </w:p>
    <w:p w14:paraId="24F0A6F4" w14:textId="7F083E4C" w:rsidR="000274BC" w:rsidRPr="008B2DDA" w:rsidRDefault="000274BC" w:rsidP="008B2DDA">
      <w:pPr>
        <w:pStyle w:val="ONUMFS"/>
        <w:numPr>
          <w:ilvl w:val="0"/>
          <w:numId w:val="0"/>
        </w:numPr>
      </w:pPr>
      <w:r w:rsidRPr="008B2DDA">
        <w:t xml:space="preserve">La Thaïlande approuve la variante B, mais ajouterait le terme </w:t>
      </w:r>
      <w:r w:rsidR="000F4364" w:rsidRPr="008B2DDA">
        <w:t>“notamment” à la fin du premier </w:t>
      </w:r>
      <w:r w:rsidRPr="008B2DDA">
        <w:t>alinéa, ce qui donnerait la phrase suivante :</w:t>
      </w:r>
    </w:p>
    <w:p w14:paraId="3F419317" w14:textId="77777777" w:rsidR="000274BC" w:rsidRPr="008B2DDA" w:rsidRDefault="000274BC" w:rsidP="008B2DDA">
      <w:pPr>
        <w:pStyle w:val="ONUMFS"/>
        <w:numPr>
          <w:ilvl w:val="0"/>
          <w:numId w:val="0"/>
        </w:numPr>
      </w:pPr>
      <w:r w:rsidRPr="008B2DDA">
        <w:t>“Les motifs sur la base desquels une partie contractante peut prononcer l’invalidation, totale ou partielle, des effets d’un enregistrement international sur son territoire comprennent notamment : …”</w:t>
      </w:r>
    </w:p>
    <w:p w14:paraId="413A49B6" w14:textId="77777777" w:rsidR="000F4364" w:rsidRPr="008B2DDA" w:rsidRDefault="000F4364" w:rsidP="008B2DDA">
      <w:pPr>
        <w:pStyle w:val="Endofdocument-Annex"/>
      </w:pPr>
    </w:p>
    <w:p w14:paraId="27860F5E" w14:textId="77777777" w:rsidR="000F4364" w:rsidRPr="008B2DDA" w:rsidRDefault="000F4364" w:rsidP="008B2DDA">
      <w:pPr>
        <w:pStyle w:val="Endofdocument-Annex"/>
      </w:pPr>
    </w:p>
    <w:p w14:paraId="4D8FE339" w14:textId="77777777" w:rsidR="000F4364" w:rsidRPr="008B2DDA" w:rsidRDefault="000F4364" w:rsidP="008B2DDA">
      <w:pPr>
        <w:pStyle w:val="Endofdocument-Annex"/>
      </w:pPr>
    </w:p>
    <w:p w14:paraId="66B76A85" w14:textId="0E3184CD" w:rsidR="000F4364" w:rsidRPr="008B2DDA" w:rsidRDefault="000F4364" w:rsidP="008B2DDA">
      <w:pPr>
        <w:pStyle w:val="Endofdocument-Annex"/>
      </w:pPr>
      <w:r w:rsidRPr="008B2DDA">
        <w:t>[L’annexe VIII suit]</w:t>
      </w:r>
    </w:p>
    <w:p w14:paraId="15CB5478" w14:textId="77777777" w:rsidR="000F4364" w:rsidRPr="008B2DDA" w:rsidRDefault="000F4364" w:rsidP="008B2DDA">
      <w:pPr>
        <w:pStyle w:val="ONUMFS"/>
        <w:numPr>
          <w:ilvl w:val="0"/>
          <w:numId w:val="0"/>
        </w:numPr>
      </w:pPr>
    </w:p>
    <w:p w14:paraId="1D25CD02" w14:textId="77777777" w:rsidR="000274BC" w:rsidRPr="008B2DDA" w:rsidRDefault="000274BC" w:rsidP="008B2DDA">
      <w:pPr>
        <w:jc w:val="center"/>
        <w:rPr>
          <w:b/>
          <w:sz w:val="28"/>
          <w:szCs w:val="28"/>
        </w:rPr>
        <w:sectPr w:rsidR="000274BC" w:rsidRPr="008B2DDA" w:rsidSect="00A341C2">
          <w:headerReference w:type="default" r:id="rId28"/>
          <w:headerReference w:type="first" r:id="rId29"/>
          <w:endnotePr>
            <w:numFmt w:val="decimal"/>
          </w:endnotePr>
          <w:pgSz w:w="11907" w:h="16840" w:code="9"/>
          <w:pgMar w:top="567" w:right="1134" w:bottom="1417" w:left="1417" w:header="510" w:footer="1020" w:gutter="0"/>
          <w:pgNumType w:start="1"/>
          <w:cols w:space="720"/>
          <w:titlePg/>
          <w:docGrid w:linePitch="299"/>
        </w:sectPr>
      </w:pPr>
    </w:p>
    <w:p w14:paraId="49A1F0D7" w14:textId="49B01522" w:rsidR="00FF1FB4" w:rsidRDefault="00FF1FB4" w:rsidP="00FF1FB4">
      <w:pPr>
        <w:jc w:val="center"/>
        <w:rPr>
          <w:rStyle w:val="FontStyle22"/>
          <w:rFonts w:ascii="Arial" w:hAnsi="Arial" w:cs="Arial"/>
          <w:sz w:val="22"/>
          <w:szCs w:val="22"/>
          <w:lang w:eastAsia="fr-FR"/>
        </w:rPr>
      </w:pPr>
      <w:r>
        <w:rPr>
          <w:rStyle w:val="FontStyle22"/>
          <w:rFonts w:ascii="Arial" w:hAnsi="Arial" w:cs="Arial"/>
          <w:sz w:val="22"/>
          <w:szCs w:val="22"/>
          <w:lang w:eastAsia="fr-FR"/>
        </w:rPr>
        <w:lastRenderedPageBreak/>
        <w:t>TOGO</w:t>
      </w:r>
    </w:p>
    <w:p w14:paraId="1A51A83E" w14:textId="77777777" w:rsidR="00FF1FB4" w:rsidRDefault="00FF1FB4" w:rsidP="00FF1FB4">
      <w:pPr>
        <w:jc w:val="center"/>
        <w:rPr>
          <w:rStyle w:val="FontStyle22"/>
          <w:rFonts w:ascii="Arial" w:hAnsi="Arial" w:cs="Arial"/>
          <w:sz w:val="22"/>
          <w:szCs w:val="22"/>
          <w:lang w:eastAsia="fr-FR"/>
        </w:rPr>
      </w:pPr>
    </w:p>
    <w:p w14:paraId="3536C633" w14:textId="39AD9628" w:rsidR="00FF1FB4" w:rsidRDefault="00FF1FB4" w:rsidP="00FF1FB4">
      <w:pPr>
        <w:jc w:val="center"/>
        <w:rPr>
          <w:rStyle w:val="FontStyle22"/>
          <w:rFonts w:ascii="Arial" w:hAnsi="Arial" w:cs="Arial"/>
          <w:sz w:val="22"/>
          <w:szCs w:val="22"/>
          <w:lang w:eastAsia="fr-FR"/>
        </w:rPr>
      </w:pPr>
      <w:r>
        <w:rPr>
          <w:rStyle w:val="FontStyle22"/>
          <w:rFonts w:ascii="Arial" w:hAnsi="Arial" w:cs="Arial"/>
          <w:sz w:val="22"/>
          <w:szCs w:val="22"/>
          <w:lang w:eastAsia="fr-FR"/>
        </w:rPr>
        <w:t xml:space="preserve">Propositions relatives aux </w:t>
      </w:r>
      <w:r w:rsidRPr="00FF1FB4">
        <w:rPr>
          <w:rStyle w:val="FontStyle22"/>
          <w:rFonts w:ascii="Arial" w:hAnsi="Arial" w:cs="Arial"/>
          <w:sz w:val="22"/>
          <w:szCs w:val="22"/>
          <w:lang w:eastAsia="fr-FR"/>
        </w:rPr>
        <w:t xml:space="preserve">questions que le Groupe de travail sur le développement </w:t>
      </w:r>
      <w:r w:rsidR="000F705C">
        <w:rPr>
          <w:rStyle w:val="FontStyle22"/>
          <w:rFonts w:ascii="Arial" w:hAnsi="Arial" w:cs="Arial"/>
          <w:sz w:val="22"/>
          <w:szCs w:val="22"/>
          <w:lang w:eastAsia="fr-FR"/>
        </w:rPr>
        <w:br/>
      </w:r>
      <w:r w:rsidRPr="00FF1FB4">
        <w:rPr>
          <w:rStyle w:val="FontStyle22"/>
          <w:rFonts w:ascii="Arial" w:hAnsi="Arial" w:cs="Arial"/>
          <w:sz w:val="22"/>
          <w:szCs w:val="22"/>
          <w:lang w:eastAsia="fr-FR"/>
        </w:rPr>
        <w:t>du système de Lisbonne a indiquées comme étant en suspens</w:t>
      </w:r>
    </w:p>
    <w:p w14:paraId="64A147F0" w14:textId="77777777" w:rsidR="00FF1FB4" w:rsidRDefault="00FF1FB4" w:rsidP="008B2DDA">
      <w:pPr>
        <w:rPr>
          <w:rStyle w:val="FontStyle22"/>
          <w:rFonts w:ascii="Arial" w:hAnsi="Arial" w:cs="Arial"/>
          <w:sz w:val="22"/>
          <w:szCs w:val="22"/>
          <w:lang w:eastAsia="fr-FR"/>
        </w:rPr>
      </w:pPr>
    </w:p>
    <w:p w14:paraId="7EA5FB62" w14:textId="6C01F842" w:rsidR="000274BC" w:rsidRPr="008B2DDA" w:rsidRDefault="00FF1FB4" w:rsidP="008B2DDA">
      <w:pPr>
        <w:rPr>
          <w:rStyle w:val="FontStyle24"/>
          <w:rFonts w:ascii="Arial" w:hAnsi="Arial" w:cs="Arial"/>
          <w:sz w:val="22"/>
          <w:szCs w:val="22"/>
          <w:lang w:eastAsia="fr-FR"/>
        </w:rPr>
      </w:pPr>
      <w:r>
        <w:rPr>
          <w:rStyle w:val="FontStyle22"/>
          <w:rFonts w:ascii="Arial" w:hAnsi="Arial" w:cs="Arial"/>
          <w:sz w:val="22"/>
          <w:szCs w:val="22"/>
          <w:lang w:eastAsia="fr-FR"/>
        </w:rPr>
        <w:t>I</w:t>
      </w:r>
      <w:r w:rsidR="000274BC" w:rsidRPr="008B2DDA">
        <w:rPr>
          <w:rStyle w:val="FontStyle22"/>
          <w:rFonts w:ascii="Arial" w:hAnsi="Arial" w:cs="Arial"/>
          <w:sz w:val="22"/>
          <w:szCs w:val="22"/>
          <w:lang w:eastAsia="fr-FR"/>
        </w:rPr>
        <w:t xml:space="preserve">ntroduction </w:t>
      </w:r>
      <w:r w:rsidR="000274BC" w:rsidRPr="008B2DDA">
        <w:rPr>
          <w:rStyle w:val="FontStyle24"/>
          <w:rFonts w:ascii="Arial" w:hAnsi="Arial" w:cs="Arial"/>
          <w:b/>
          <w:sz w:val="22"/>
          <w:szCs w:val="22"/>
          <w:lang w:eastAsia="fr-FR"/>
        </w:rPr>
        <w:t>éventuelle d</w:t>
      </w:r>
      <w:r>
        <w:rPr>
          <w:rStyle w:val="FontStyle24"/>
          <w:rFonts w:ascii="Arial" w:hAnsi="Arial" w:cs="Arial"/>
          <w:b/>
          <w:sz w:val="22"/>
          <w:szCs w:val="22"/>
          <w:lang w:eastAsia="fr-FR"/>
        </w:rPr>
        <w:t>’un</w:t>
      </w:r>
      <w:r w:rsidR="000274BC" w:rsidRPr="008B2DDA">
        <w:rPr>
          <w:rStyle w:val="FontStyle24"/>
          <w:rFonts w:ascii="Arial" w:hAnsi="Arial" w:cs="Arial"/>
          <w:b/>
          <w:sz w:val="22"/>
          <w:szCs w:val="22"/>
          <w:lang w:eastAsia="fr-FR"/>
        </w:rPr>
        <w:t>e</w:t>
      </w:r>
      <w:r w:rsidR="000274BC" w:rsidRPr="008B2DDA">
        <w:rPr>
          <w:rStyle w:val="FontStyle24"/>
          <w:rFonts w:ascii="Arial" w:hAnsi="Arial" w:cs="Arial"/>
          <w:sz w:val="22"/>
          <w:szCs w:val="22"/>
          <w:lang w:eastAsia="fr-FR"/>
        </w:rPr>
        <w:t xml:space="preserve"> </w:t>
      </w:r>
      <w:r w:rsidR="000274BC" w:rsidRPr="008B2DDA">
        <w:rPr>
          <w:rStyle w:val="FontStyle22"/>
          <w:rFonts w:ascii="Arial" w:hAnsi="Arial" w:cs="Arial"/>
          <w:sz w:val="22"/>
          <w:szCs w:val="22"/>
          <w:lang w:eastAsia="fr-FR"/>
        </w:rPr>
        <w:t xml:space="preserve">taxe </w:t>
      </w:r>
      <w:r w:rsidR="000274BC" w:rsidRPr="008B2DDA">
        <w:rPr>
          <w:rStyle w:val="FontStyle24"/>
          <w:rFonts w:ascii="Arial" w:hAnsi="Arial" w:cs="Arial"/>
          <w:b/>
          <w:sz w:val="22"/>
          <w:szCs w:val="22"/>
          <w:lang w:eastAsia="fr-FR"/>
        </w:rPr>
        <w:t>de</w:t>
      </w:r>
      <w:r w:rsidR="000274BC" w:rsidRPr="008B2DDA">
        <w:rPr>
          <w:rStyle w:val="FontStyle24"/>
          <w:rFonts w:ascii="Arial" w:hAnsi="Arial" w:cs="Arial"/>
          <w:sz w:val="22"/>
          <w:szCs w:val="22"/>
          <w:lang w:eastAsia="fr-FR"/>
        </w:rPr>
        <w:t xml:space="preserve"> </w:t>
      </w:r>
      <w:r w:rsidR="000274BC" w:rsidRPr="008B2DDA">
        <w:rPr>
          <w:rStyle w:val="FontStyle22"/>
          <w:rFonts w:ascii="Arial" w:hAnsi="Arial" w:cs="Arial"/>
          <w:sz w:val="22"/>
          <w:szCs w:val="22"/>
          <w:lang w:eastAsia="fr-FR"/>
        </w:rPr>
        <w:t xml:space="preserve">maintien </w:t>
      </w:r>
      <w:r w:rsidR="000274BC" w:rsidRPr="008B2DDA">
        <w:rPr>
          <w:rStyle w:val="FontStyle24"/>
          <w:rFonts w:ascii="Arial" w:hAnsi="Arial" w:cs="Arial"/>
          <w:b/>
          <w:sz w:val="22"/>
          <w:szCs w:val="22"/>
          <w:lang w:eastAsia="fr-FR"/>
        </w:rPr>
        <w:t>en vigueur</w:t>
      </w:r>
    </w:p>
    <w:p w14:paraId="40A9D8CF" w14:textId="77777777" w:rsidR="000274BC" w:rsidRPr="008B2DDA" w:rsidRDefault="000274BC" w:rsidP="008B2DDA">
      <w:pPr>
        <w:rPr>
          <w:rStyle w:val="FontStyle23"/>
          <w:rFonts w:ascii="Arial" w:hAnsi="Arial" w:cs="Arial"/>
          <w:sz w:val="22"/>
          <w:szCs w:val="22"/>
          <w:lang w:eastAsia="fr-FR"/>
        </w:rPr>
      </w:pPr>
    </w:p>
    <w:p w14:paraId="4EEF60EE" w14:textId="1633F900" w:rsidR="000274BC" w:rsidRPr="008B2DDA" w:rsidRDefault="00FF1FB4" w:rsidP="008B2DDA">
      <w:pPr>
        <w:rPr>
          <w:rStyle w:val="FontStyle23"/>
          <w:rFonts w:ascii="Arial" w:hAnsi="Arial" w:cs="Arial"/>
          <w:sz w:val="22"/>
          <w:szCs w:val="22"/>
          <w:lang w:eastAsia="fr-FR"/>
        </w:rPr>
      </w:pPr>
      <w:r>
        <w:rPr>
          <w:rStyle w:val="FontStyle23"/>
          <w:rFonts w:ascii="Arial" w:hAnsi="Arial" w:cs="Arial"/>
          <w:sz w:val="22"/>
          <w:szCs w:val="22"/>
          <w:lang w:eastAsia="fr-FR"/>
        </w:rPr>
        <w:t>L</w:t>
      </w:r>
      <w:r w:rsidR="000274BC" w:rsidRPr="008B2DDA">
        <w:rPr>
          <w:rStyle w:val="FontStyle23"/>
          <w:rFonts w:ascii="Arial" w:hAnsi="Arial" w:cs="Arial"/>
          <w:sz w:val="22"/>
          <w:szCs w:val="22"/>
          <w:lang w:eastAsia="fr-FR"/>
        </w:rPr>
        <w:t>e Togo en tant que pays en développement n’est pas favorable pour l’introduction d’une telle taxe qui viendrait alourdir les charges des déposants.</w:t>
      </w:r>
    </w:p>
    <w:p w14:paraId="50665B3C" w14:textId="77777777" w:rsidR="000274BC" w:rsidRPr="008B2DDA" w:rsidRDefault="000274BC" w:rsidP="008B2DDA">
      <w:pPr>
        <w:rPr>
          <w:szCs w:val="22"/>
          <w:lang w:val="fr-CH"/>
        </w:rPr>
      </w:pPr>
    </w:p>
    <w:p w14:paraId="01C6DF4C" w14:textId="66E31720" w:rsidR="000274BC" w:rsidRPr="008B2DDA" w:rsidRDefault="00FF1FB4" w:rsidP="008B2DDA">
      <w:pPr>
        <w:rPr>
          <w:rStyle w:val="FontStyle22"/>
          <w:rFonts w:ascii="Arial" w:hAnsi="Arial" w:cs="Arial"/>
          <w:sz w:val="22"/>
          <w:szCs w:val="22"/>
          <w:lang w:eastAsia="fr-FR"/>
        </w:rPr>
      </w:pPr>
      <w:r>
        <w:rPr>
          <w:rStyle w:val="FontStyle22"/>
          <w:rFonts w:ascii="Arial" w:hAnsi="Arial" w:cs="Arial"/>
          <w:sz w:val="22"/>
          <w:szCs w:val="22"/>
          <w:lang w:eastAsia="fr-FR"/>
        </w:rPr>
        <w:t>I</w:t>
      </w:r>
      <w:r w:rsidR="000274BC" w:rsidRPr="008B2DDA">
        <w:rPr>
          <w:rStyle w:val="FontStyle22"/>
          <w:rFonts w:ascii="Arial" w:hAnsi="Arial" w:cs="Arial"/>
          <w:sz w:val="22"/>
          <w:szCs w:val="22"/>
          <w:lang w:eastAsia="fr-FR"/>
        </w:rPr>
        <w:t xml:space="preserve">ntroduction </w:t>
      </w:r>
      <w:r w:rsidR="000274BC" w:rsidRPr="008B2DDA">
        <w:rPr>
          <w:rStyle w:val="FontStyle24"/>
          <w:rFonts w:ascii="Arial" w:hAnsi="Arial" w:cs="Arial"/>
          <w:b/>
          <w:sz w:val="22"/>
          <w:szCs w:val="22"/>
          <w:lang w:eastAsia="fr-FR"/>
        </w:rPr>
        <w:t>de taxes</w:t>
      </w:r>
      <w:r w:rsidR="000274BC" w:rsidRPr="008B2DDA">
        <w:rPr>
          <w:rStyle w:val="FontStyle24"/>
          <w:rFonts w:ascii="Arial" w:hAnsi="Arial" w:cs="Arial"/>
          <w:sz w:val="22"/>
          <w:szCs w:val="22"/>
          <w:lang w:eastAsia="fr-FR"/>
        </w:rPr>
        <w:t xml:space="preserve"> </w:t>
      </w:r>
      <w:r w:rsidR="000274BC" w:rsidRPr="008B2DDA">
        <w:rPr>
          <w:rStyle w:val="FontStyle22"/>
          <w:rFonts w:ascii="Arial" w:hAnsi="Arial" w:cs="Arial"/>
          <w:sz w:val="22"/>
          <w:szCs w:val="22"/>
          <w:lang w:eastAsia="fr-FR"/>
        </w:rPr>
        <w:t>individuelles</w:t>
      </w:r>
    </w:p>
    <w:p w14:paraId="45711990" w14:textId="77777777" w:rsidR="000274BC" w:rsidRPr="008B2DDA" w:rsidRDefault="000274BC" w:rsidP="008B2DDA">
      <w:pPr>
        <w:rPr>
          <w:szCs w:val="22"/>
          <w:lang w:val="fr-CH"/>
        </w:rPr>
      </w:pPr>
    </w:p>
    <w:p w14:paraId="1EEE7093" w14:textId="2DD9A704" w:rsidR="000274BC" w:rsidRPr="008B2DDA" w:rsidRDefault="00FF1FB4" w:rsidP="008B2DDA">
      <w:pPr>
        <w:rPr>
          <w:rStyle w:val="FontStyle23"/>
          <w:rFonts w:ascii="Arial" w:hAnsi="Arial" w:cs="Arial"/>
          <w:sz w:val="22"/>
          <w:szCs w:val="22"/>
          <w:lang w:eastAsia="fr-FR"/>
        </w:rPr>
      </w:pPr>
      <w:r>
        <w:rPr>
          <w:rStyle w:val="FontStyle23"/>
          <w:rFonts w:ascii="Arial" w:hAnsi="Arial" w:cs="Arial"/>
          <w:sz w:val="22"/>
          <w:szCs w:val="22"/>
          <w:lang w:eastAsia="fr-FR"/>
        </w:rPr>
        <w:t>L</w:t>
      </w:r>
      <w:r w:rsidR="000274BC" w:rsidRPr="008B2DDA">
        <w:rPr>
          <w:rStyle w:val="FontStyle23"/>
          <w:rFonts w:ascii="Arial" w:hAnsi="Arial" w:cs="Arial"/>
          <w:sz w:val="22"/>
          <w:szCs w:val="22"/>
          <w:lang w:eastAsia="fr-FR"/>
        </w:rPr>
        <w:t>e T</w:t>
      </w:r>
      <w:r w:rsidR="000F4364" w:rsidRPr="008B2DDA">
        <w:rPr>
          <w:rStyle w:val="FontStyle23"/>
          <w:rFonts w:ascii="Arial" w:hAnsi="Arial" w:cs="Arial"/>
          <w:sz w:val="22"/>
          <w:szCs w:val="22"/>
          <w:lang w:eastAsia="fr-FR"/>
        </w:rPr>
        <w:t>ogo est favorable à la variante </w:t>
      </w:r>
      <w:r w:rsidR="000274BC" w:rsidRPr="008B2DDA">
        <w:rPr>
          <w:rStyle w:val="FontStyle23"/>
          <w:rFonts w:ascii="Arial" w:hAnsi="Arial" w:cs="Arial"/>
          <w:sz w:val="22"/>
          <w:szCs w:val="22"/>
          <w:lang w:eastAsia="fr-FR"/>
        </w:rPr>
        <w:t xml:space="preserve">B, qui est plus souple pour les déposants issus des pays en développement parties </w:t>
      </w:r>
      <w:r w:rsidR="000274BC" w:rsidRPr="008B2DDA">
        <w:rPr>
          <w:rStyle w:val="FontStyle13"/>
          <w:rFonts w:ascii="Arial" w:hAnsi="Arial" w:cs="Arial"/>
          <w:sz w:val="22"/>
          <w:szCs w:val="22"/>
          <w:lang w:eastAsia="fr-FR"/>
        </w:rPr>
        <w:t xml:space="preserve">à </w:t>
      </w:r>
      <w:r w:rsidR="000274BC" w:rsidRPr="008B2DDA">
        <w:rPr>
          <w:rStyle w:val="FontStyle23"/>
          <w:rFonts w:ascii="Arial" w:hAnsi="Arial" w:cs="Arial"/>
          <w:sz w:val="22"/>
          <w:szCs w:val="22"/>
          <w:lang w:eastAsia="fr-FR"/>
        </w:rPr>
        <w:t>l’Arrangement de Lisbonne.</w:t>
      </w:r>
    </w:p>
    <w:p w14:paraId="3C6177EB" w14:textId="77777777" w:rsidR="000274BC" w:rsidRPr="008B2DDA" w:rsidRDefault="000274BC" w:rsidP="008B2DDA">
      <w:pPr>
        <w:rPr>
          <w:rStyle w:val="FontStyle24"/>
          <w:rFonts w:ascii="Arial" w:hAnsi="Arial" w:cs="Arial"/>
          <w:b/>
          <w:sz w:val="22"/>
          <w:szCs w:val="22"/>
          <w:lang w:eastAsia="fr-FR"/>
        </w:rPr>
      </w:pPr>
    </w:p>
    <w:p w14:paraId="024234E9" w14:textId="4AB397A0" w:rsidR="000274BC" w:rsidRPr="008B2DDA" w:rsidRDefault="00FF1FB4" w:rsidP="008B2DDA">
      <w:pPr>
        <w:rPr>
          <w:rStyle w:val="FontStyle24"/>
          <w:rFonts w:ascii="Arial" w:hAnsi="Arial" w:cs="Arial"/>
          <w:b/>
          <w:sz w:val="22"/>
          <w:szCs w:val="22"/>
          <w:lang w:eastAsia="fr-FR"/>
        </w:rPr>
      </w:pPr>
      <w:r>
        <w:rPr>
          <w:rStyle w:val="FontStyle24"/>
          <w:rFonts w:ascii="Arial" w:hAnsi="Arial" w:cs="Arial"/>
          <w:b/>
          <w:sz w:val="22"/>
          <w:szCs w:val="22"/>
          <w:lang w:eastAsia="fr-FR"/>
        </w:rPr>
        <w:t>Q</w:t>
      </w:r>
      <w:r w:rsidR="000274BC" w:rsidRPr="008B2DDA">
        <w:rPr>
          <w:rStyle w:val="FontStyle24"/>
          <w:rFonts w:ascii="Arial" w:hAnsi="Arial" w:cs="Arial"/>
          <w:b/>
          <w:sz w:val="22"/>
          <w:szCs w:val="22"/>
          <w:lang w:eastAsia="fr-FR"/>
        </w:rPr>
        <w:t xml:space="preserve">uestions relatives, entre autres, aux aires </w:t>
      </w:r>
      <w:r w:rsidR="000274BC" w:rsidRPr="008B2DDA">
        <w:rPr>
          <w:rStyle w:val="FontStyle22"/>
          <w:rFonts w:ascii="Arial" w:hAnsi="Arial" w:cs="Arial"/>
          <w:sz w:val="22"/>
          <w:szCs w:val="22"/>
          <w:lang w:eastAsia="fr-FR"/>
        </w:rPr>
        <w:t>géographiques</w:t>
      </w:r>
      <w:r w:rsidR="000274BC" w:rsidRPr="008B2DDA">
        <w:rPr>
          <w:rStyle w:val="FontStyle22"/>
          <w:rFonts w:ascii="Arial" w:hAnsi="Arial" w:cs="Arial"/>
          <w:b w:val="0"/>
          <w:sz w:val="22"/>
          <w:szCs w:val="22"/>
          <w:lang w:eastAsia="fr-FR"/>
        </w:rPr>
        <w:t xml:space="preserve"> </w:t>
      </w:r>
      <w:r w:rsidR="000274BC" w:rsidRPr="008B2DDA">
        <w:rPr>
          <w:rStyle w:val="FontStyle24"/>
          <w:rFonts w:ascii="Arial" w:hAnsi="Arial" w:cs="Arial"/>
          <w:b/>
          <w:sz w:val="22"/>
          <w:szCs w:val="22"/>
          <w:lang w:eastAsia="fr-FR"/>
        </w:rPr>
        <w:t>d’origine transfrontalières, aux garanties à l’égard des droits antérieurs aux marques e</w:t>
      </w:r>
      <w:r w:rsidR="0002751B">
        <w:rPr>
          <w:rStyle w:val="FontStyle24"/>
          <w:rFonts w:ascii="Arial" w:hAnsi="Arial" w:cs="Arial"/>
          <w:b/>
          <w:sz w:val="22"/>
          <w:szCs w:val="22"/>
          <w:lang w:eastAsia="fr-FR"/>
        </w:rPr>
        <w:t>t à la qualité du déposant, etc.</w:t>
      </w:r>
    </w:p>
    <w:p w14:paraId="40F48D82" w14:textId="77777777" w:rsidR="000274BC" w:rsidRPr="008B2DDA" w:rsidRDefault="000274BC" w:rsidP="008B2DDA">
      <w:pPr>
        <w:rPr>
          <w:szCs w:val="22"/>
          <w:lang w:val="fr-CH"/>
        </w:rPr>
      </w:pPr>
    </w:p>
    <w:p w14:paraId="00E59D48" w14:textId="766BA02D" w:rsidR="000274BC" w:rsidRPr="008B2DDA" w:rsidRDefault="00FF1FB4" w:rsidP="008B2DDA">
      <w:pPr>
        <w:rPr>
          <w:rStyle w:val="FontStyle23"/>
          <w:rFonts w:ascii="Arial" w:hAnsi="Arial" w:cs="Arial"/>
          <w:sz w:val="22"/>
          <w:szCs w:val="22"/>
          <w:lang w:eastAsia="fr-FR"/>
        </w:rPr>
      </w:pPr>
      <w:r>
        <w:rPr>
          <w:rStyle w:val="FontStyle23"/>
          <w:rFonts w:ascii="Arial" w:hAnsi="Arial" w:cs="Arial"/>
          <w:sz w:val="22"/>
          <w:szCs w:val="22"/>
          <w:lang w:eastAsia="fr-FR"/>
        </w:rPr>
        <w:t>L</w:t>
      </w:r>
      <w:r w:rsidR="000274BC" w:rsidRPr="008B2DDA">
        <w:rPr>
          <w:rStyle w:val="FontStyle23"/>
          <w:rFonts w:ascii="Arial" w:hAnsi="Arial" w:cs="Arial"/>
          <w:sz w:val="22"/>
          <w:szCs w:val="22"/>
          <w:lang w:eastAsia="fr-FR"/>
        </w:rPr>
        <w:t>e Togo n’a pas d’objection.</w:t>
      </w:r>
    </w:p>
    <w:p w14:paraId="0FDB3A3A" w14:textId="77777777" w:rsidR="000F4364" w:rsidRPr="008B2DDA" w:rsidRDefault="000F4364" w:rsidP="008B2DDA">
      <w:pPr>
        <w:pStyle w:val="Endofdocument-Annex"/>
        <w:rPr>
          <w:rStyle w:val="FontStyle23"/>
          <w:rFonts w:ascii="Arial" w:hAnsi="Arial" w:cs="Arial"/>
          <w:szCs w:val="22"/>
          <w:lang w:eastAsia="fr-FR"/>
        </w:rPr>
      </w:pPr>
    </w:p>
    <w:p w14:paraId="21B99797" w14:textId="77777777" w:rsidR="000F4364" w:rsidRPr="008B2DDA" w:rsidRDefault="000F4364" w:rsidP="008B2DDA">
      <w:pPr>
        <w:pStyle w:val="Endofdocument-Annex"/>
        <w:rPr>
          <w:rStyle w:val="FontStyle23"/>
          <w:rFonts w:ascii="Arial" w:hAnsi="Arial" w:cs="Arial"/>
          <w:szCs w:val="22"/>
          <w:lang w:eastAsia="fr-FR"/>
        </w:rPr>
      </w:pPr>
    </w:p>
    <w:p w14:paraId="749ACBB1" w14:textId="77777777" w:rsidR="000F4364" w:rsidRPr="008B2DDA" w:rsidRDefault="000F4364" w:rsidP="008B2DDA">
      <w:pPr>
        <w:pStyle w:val="Endofdocument-Annex"/>
        <w:rPr>
          <w:rStyle w:val="FontStyle23"/>
          <w:rFonts w:ascii="Arial" w:hAnsi="Arial" w:cs="Arial"/>
          <w:szCs w:val="22"/>
          <w:lang w:eastAsia="fr-FR"/>
        </w:rPr>
      </w:pPr>
    </w:p>
    <w:p w14:paraId="3FF4F090" w14:textId="458F9C0D" w:rsidR="000F4364" w:rsidRPr="008B2DDA" w:rsidRDefault="000F4364" w:rsidP="008B2DDA">
      <w:pPr>
        <w:pStyle w:val="Endofdocument-Annex"/>
        <w:rPr>
          <w:rStyle w:val="FontStyle23"/>
          <w:rFonts w:ascii="Arial" w:hAnsi="Arial" w:cs="Arial"/>
          <w:szCs w:val="22"/>
          <w:lang w:eastAsia="fr-FR"/>
        </w:rPr>
      </w:pPr>
      <w:r w:rsidRPr="008B2DDA">
        <w:rPr>
          <w:rStyle w:val="FontStyle23"/>
          <w:rFonts w:ascii="Arial" w:hAnsi="Arial" w:cs="Arial"/>
          <w:szCs w:val="22"/>
          <w:lang w:eastAsia="fr-FR"/>
        </w:rPr>
        <w:t>[L’annexe IX suit]</w:t>
      </w:r>
    </w:p>
    <w:p w14:paraId="30076C20" w14:textId="77777777" w:rsidR="000F4364" w:rsidRPr="008B2DDA" w:rsidRDefault="000F4364" w:rsidP="008B2DDA"/>
    <w:p w14:paraId="05DB7C22" w14:textId="77777777" w:rsidR="000274BC" w:rsidRPr="008B2DDA" w:rsidRDefault="000274BC" w:rsidP="008B2DDA">
      <w:pPr>
        <w:jc w:val="center"/>
        <w:rPr>
          <w:b/>
          <w:sz w:val="28"/>
          <w:szCs w:val="28"/>
        </w:rPr>
        <w:sectPr w:rsidR="000274BC" w:rsidRPr="008B2DDA" w:rsidSect="00A341C2">
          <w:headerReference w:type="first" r:id="rId30"/>
          <w:endnotePr>
            <w:numFmt w:val="decimal"/>
          </w:endnotePr>
          <w:pgSz w:w="11907" w:h="16840" w:code="9"/>
          <w:pgMar w:top="567" w:right="1134" w:bottom="1417" w:left="1417" w:header="510" w:footer="1020" w:gutter="0"/>
          <w:pgNumType w:start="1"/>
          <w:cols w:space="720"/>
          <w:titlePg/>
          <w:docGrid w:linePitch="299"/>
        </w:sectPr>
      </w:pPr>
    </w:p>
    <w:p w14:paraId="19ECE78B" w14:textId="69EEBE93" w:rsidR="00FF1FB4" w:rsidRDefault="00FF1FB4" w:rsidP="008B2DDA">
      <w:pPr>
        <w:jc w:val="center"/>
        <w:rPr>
          <w:b/>
          <w:szCs w:val="22"/>
          <w:lang w:val="fr-CH"/>
        </w:rPr>
      </w:pPr>
      <w:r>
        <w:rPr>
          <w:b/>
          <w:szCs w:val="22"/>
          <w:lang w:val="fr-CH"/>
        </w:rPr>
        <w:lastRenderedPageBreak/>
        <w:t>TUNISIE</w:t>
      </w:r>
    </w:p>
    <w:p w14:paraId="0E54E556" w14:textId="77777777" w:rsidR="00FF1FB4" w:rsidRDefault="00FF1FB4" w:rsidP="008B2DDA">
      <w:pPr>
        <w:jc w:val="center"/>
        <w:rPr>
          <w:b/>
          <w:szCs w:val="22"/>
          <w:lang w:val="fr-CH"/>
        </w:rPr>
      </w:pPr>
    </w:p>
    <w:p w14:paraId="530D67D2" w14:textId="5455B76E" w:rsidR="000274BC" w:rsidRPr="008B2DDA" w:rsidRDefault="0002751B" w:rsidP="008B2DDA">
      <w:pPr>
        <w:jc w:val="center"/>
        <w:rPr>
          <w:b/>
          <w:szCs w:val="22"/>
          <w:lang w:val="fr-CH"/>
        </w:rPr>
      </w:pPr>
      <w:r>
        <w:rPr>
          <w:b/>
          <w:szCs w:val="22"/>
          <w:lang w:val="fr-CH"/>
        </w:rPr>
        <w:t>O</w:t>
      </w:r>
      <w:r w:rsidR="000274BC" w:rsidRPr="008B2DDA">
        <w:rPr>
          <w:b/>
          <w:szCs w:val="22"/>
          <w:lang w:val="fr-CH"/>
        </w:rPr>
        <w:t>bservations de la Tunisie sur les questions rest</w:t>
      </w:r>
      <w:r w:rsidR="00FF1FB4">
        <w:rPr>
          <w:b/>
          <w:szCs w:val="22"/>
          <w:lang w:val="fr-CH"/>
        </w:rPr>
        <w:t>ées</w:t>
      </w:r>
      <w:r w:rsidR="000274BC" w:rsidRPr="008B2DDA">
        <w:rPr>
          <w:b/>
          <w:szCs w:val="22"/>
          <w:lang w:val="fr-CH"/>
        </w:rPr>
        <w:t xml:space="preserve"> en suspens </w:t>
      </w:r>
      <w:r w:rsidR="000F4364" w:rsidRPr="008B2DDA">
        <w:rPr>
          <w:b/>
          <w:szCs w:val="22"/>
          <w:lang w:val="fr-CH"/>
        </w:rPr>
        <w:br/>
      </w:r>
      <w:r w:rsidR="000274BC" w:rsidRPr="008B2DDA">
        <w:rPr>
          <w:b/>
          <w:szCs w:val="22"/>
          <w:lang w:val="fr-CH"/>
        </w:rPr>
        <w:t xml:space="preserve">lors de la dixième session du Groupe de travail sur le développement </w:t>
      </w:r>
      <w:r w:rsidR="000F4364" w:rsidRPr="008B2DDA">
        <w:rPr>
          <w:b/>
          <w:szCs w:val="22"/>
          <w:lang w:val="fr-CH"/>
        </w:rPr>
        <w:br/>
      </w:r>
      <w:r w:rsidR="000274BC" w:rsidRPr="008B2DDA">
        <w:rPr>
          <w:b/>
          <w:szCs w:val="22"/>
          <w:lang w:val="fr-CH"/>
        </w:rPr>
        <w:t>du système de Lisbonne</w:t>
      </w:r>
    </w:p>
    <w:p w14:paraId="4454CA64" w14:textId="77777777" w:rsidR="000274BC" w:rsidRPr="008B2DDA" w:rsidRDefault="000274BC" w:rsidP="008B2DDA">
      <w:pPr>
        <w:rPr>
          <w:szCs w:val="22"/>
          <w:lang w:val="fr-CH"/>
        </w:rPr>
      </w:pPr>
    </w:p>
    <w:p w14:paraId="03E535C6" w14:textId="77777777" w:rsidR="000274BC" w:rsidRPr="008B2DDA" w:rsidRDefault="000274BC" w:rsidP="008B2DDA">
      <w:pPr>
        <w:rPr>
          <w:szCs w:val="22"/>
          <w:lang w:val="fr-CH"/>
        </w:rPr>
      </w:pPr>
    </w:p>
    <w:p w14:paraId="0B4C9F6F" w14:textId="77777777" w:rsidR="000274BC" w:rsidRPr="008B2DDA" w:rsidRDefault="000274BC" w:rsidP="008B2DDA">
      <w:pPr>
        <w:rPr>
          <w:szCs w:val="22"/>
          <w:lang w:val="fr-CH"/>
        </w:rPr>
      </w:pPr>
      <w:r w:rsidRPr="008B2DDA">
        <w:rPr>
          <w:szCs w:val="22"/>
          <w:lang w:val="fr-CH"/>
        </w:rPr>
        <w:t>Avant de formuler ses observations sur les questions en suspens, la Tunisie confirme son appui au processus de révision en cours visant à améliorer l’Arrangement de Lisbonne afin de rendre le système plus attrayant pour les utilisateurs et les potentiels nouveaux membres, tout en préservant les principes et les objectifs de l’actuel Arrangement de Lisbonne.</w:t>
      </w:r>
    </w:p>
    <w:p w14:paraId="158D2923" w14:textId="77777777" w:rsidR="000274BC" w:rsidRPr="008B2DDA" w:rsidRDefault="000274BC" w:rsidP="008B2DDA">
      <w:pPr>
        <w:rPr>
          <w:szCs w:val="22"/>
          <w:lang w:val="fr-CH"/>
        </w:rPr>
      </w:pPr>
    </w:p>
    <w:p w14:paraId="59422BCE" w14:textId="76424FAB" w:rsidR="000274BC" w:rsidRPr="008B2DDA" w:rsidRDefault="000274BC" w:rsidP="008B2DDA">
      <w:pPr>
        <w:rPr>
          <w:szCs w:val="22"/>
          <w:lang w:val="fr-CH"/>
        </w:rPr>
      </w:pPr>
      <w:r w:rsidRPr="008B2DDA">
        <w:rPr>
          <w:szCs w:val="22"/>
          <w:lang w:val="fr-CH"/>
        </w:rPr>
        <w:t>Dans ce contexte, la Tunisie salue les progrès accomplis au sein du groupe de travail sur le projet du nouvel instrument qui couvre à la fois les appellations d’origine et les indications géographiques et permet l’adhésion des organisations intergouvernementales.</w:t>
      </w:r>
      <w:r w:rsidR="000F705C">
        <w:rPr>
          <w:szCs w:val="22"/>
          <w:lang w:val="fr-CH"/>
        </w:rPr>
        <w:t xml:space="preserve">  </w:t>
      </w:r>
      <w:r w:rsidR="000F4364" w:rsidRPr="008B2DDA">
        <w:rPr>
          <w:szCs w:val="22"/>
          <w:lang w:val="fr-CH"/>
        </w:rPr>
        <w:t>Par </w:t>
      </w:r>
      <w:r w:rsidRPr="008B2DDA">
        <w:rPr>
          <w:szCs w:val="22"/>
          <w:lang w:val="fr-CH"/>
        </w:rPr>
        <w:t>ailleurs, l’INNORPI, de par ses missions qui consistent entre autres en la représentation de la Tunisie auprès des instances internationales et régionales et auprès des organismes similaires étrangers concernant la propriété industrielle, ne ménagera pas ses efforts pour participer activement à la réussite des travaux de la conférence diplomatique prévue en mai 2015.</w:t>
      </w:r>
    </w:p>
    <w:p w14:paraId="5A976F80" w14:textId="77777777" w:rsidR="000274BC" w:rsidRPr="008B2DDA" w:rsidRDefault="000274BC" w:rsidP="008B2DDA">
      <w:pPr>
        <w:rPr>
          <w:szCs w:val="22"/>
          <w:lang w:val="fr-CH"/>
        </w:rPr>
      </w:pPr>
    </w:p>
    <w:p w14:paraId="7E9D7064" w14:textId="139B46F9" w:rsidR="000274BC" w:rsidRPr="008B2DDA" w:rsidRDefault="000274BC" w:rsidP="0002751B">
      <w:pPr>
        <w:rPr>
          <w:b/>
          <w:lang w:val="fr-CH"/>
        </w:rPr>
      </w:pPr>
      <w:r w:rsidRPr="008B2DDA">
        <w:rPr>
          <w:b/>
          <w:lang w:val="fr-CH"/>
        </w:rPr>
        <w:t>I.</w:t>
      </w:r>
      <w:r w:rsidRPr="008B2DDA">
        <w:rPr>
          <w:b/>
          <w:lang w:val="fr-CH"/>
        </w:rPr>
        <w:tab/>
        <w:t>Les questions telles que modifiées à la dixième session du Groupe de travail sur le dévelo</w:t>
      </w:r>
      <w:r w:rsidR="000F4364" w:rsidRPr="008B2DDA">
        <w:rPr>
          <w:b/>
          <w:lang w:val="fr-CH"/>
        </w:rPr>
        <w:t>ppement du système de Lisbonne</w:t>
      </w:r>
    </w:p>
    <w:p w14:paraId="78EDA5EF" w14:textId="77777777" w:rsidR="000274BC" w:rsidRPr="008B2DDA" w:rsidRDefault="000274BC" w:rsidP="008B2DDA">
      <w:pPr>
        <w:rPr>
          <w:lang w:val="fr-CH"/>
        </w:rPr>
      </w:pPr>
    </w:p>
    <w:p w14:paraId="5003BA88" w14:textId="0FBD13F4" w:rsidR="000274BC" w:rsidRPr="008B2DDA" w:rsidRDefault="000274BC" w:rsidP="008B2DDA">
      <w:pPr>
        <w:rPr>
          <w:szCs w:val="22"/>
          <w:lang w:val="fr-CH"/>
        </w:rPr>
      </w:pPr>
      <w:r w:rsidRPr="008B2DDA">
        <w:rPr>
          <w:b/>
          <w:bCs/>
          <w:szCs w:val="22"/>
          <w:lang w:val="fr-CH"/>
        </w:rPr>
        <w:t>v)</w:t>
      </w:r>
      <w:r w:rsidRPr="008B2DDA">
        <w:rPr>
          <w:b/>
          <w:bCs/>
          <w:szCs w:val="22"/>
          <w:lang w:val="fr-CH"/>
        </w:rPr>
        <w:tab/>
      </w:r>
      <w:r w:rsidR="000F4364" w:rsidRPr="008B2DDA">
        <w:rPr>
          <w:b/>
          <w:bCs/>
          <w:szCs w:val="22"/>
          <w:lang w:val="fr-CH"/>
        </w:rPr>
        <w:t>L</w:t>
      </w:r>
      <w:r w:rsidRPr="008B2DDA">
        <w:rPr>
          <w:b/>
          <w:szCs w:val="22"/>
          <w:lang w:val="fr-CH"/>
        </w:rPr>
        <w:t>’article 7.3), l’article 8.3), l’article 24.3</w:t>
      </w:r>
      <w:proofErr w:type="gramStart"/>
      <w:r w:rsidRPr="008B2DDA">
        <w:rPr>
          <w:b/>
          <w:szCs w:val="22"/>
          <w:lang w:val="fr-CH"/>
        </w:rPr>
        <w:t>)vi</w:t>
      </w:r>
      <w:proofErr w:type="gramEnd"/>
      <w:r w:rsidRPr="008B2DDA">
        <w:rPr>
          <w:b/>
          <w:szCs w:val="22"/>
          <w:lang w:val="fr-CH"/>
        </w:rPr>
        <w:t>) et les dispositions connexes concernant l’introduction éventuelle d</w:t>
      </w:r>
      <w:r w:rsidR="000F4364" w:rsidRPr="008B2DDA">
        <w:rPr>
          <w:b/>
          <w:szCs w:val="22"/>
          <w:lang w:val="fr-CH"/>
        </w:rPr>
        <w:t>e taxes de maintien en vigueur</w:t>
      </w:r>
    </w:p>
    <w:p w14:paraId="3A17E539" w14:textId="77777777" w:rsidR="000274BC" w:rsidRPr="008B2DDA" w:rsidRDefault="000274BC" w:rsidP="008B2DDA">
      <w:pPr>
        <w:rPr>
          <w:szCs w:val="22"/>
          <w:lang w:val="fr-CH"/>
        </w:rPr>
      </w:pPr>
    </w:p>
    <w:p w14:paraId="41C1922D" w14:textId="77777777" w:rsidR="000274BC" w:rsidRPr="008B2DDA" w:rsidRDefault="000274BC" w:rsidP="008B2DDA">
      <w:pPr>
        <w:rPr>
          <w:szCs w:val="22"/>
          <w:lang w:val="fr-CH"/>
        </w:rPr>
      </w:pPr>
      <w:r w:rsidRPr="008B2DDA">
        <w:rPr>
          <w:szCs w:val="22"/>
          <w:lang w:val="fr-CH"/>
        </w:rPr>
        <w:t xml:space="preserve">La question des taxes constitue l’une de principales divergences entre les pays surtout en ce qui concerne les taxes de maintien en vigueur de la protection.  Certains pays comme la Tunisie protègent les indications géographiques et les appellations d’origine par un système </w:t>
      </w:r>
      <w:r w:rsidRPr="008B2DDA">
        <w:rPr>
          <w:i/>
          <w:szCs w:val="22"/>
          <w:lang w:val="fr-CH"/>
        </w:rPr>
        <w:t>sui generis</w:t>
      </w:r>
      <w:r w:rsidRPr="008B2DDA">
        <w:rPr>
          <w:szCs w:val="22"/>
          <w:lang w:val="fr-CH"/>
        </w:rPr>
        <w:t xml:space="preserve"> et prévoient dans leurs législations le paiement d’une seule taxe individuelle, contrairement aux pays qui protègent les indications géographiques et les appellations d’origine par le droit sur les marques qui exige le paiement de taxes de renouvellement pour le maintien en vigueur de la protection.</w:t>
      </w:r>
    </w:p>
    <w:p w14:paraId="3A11935A" w14:textId="77777777" w:rsidR="000274BC" w:rsidRPr="008B2DDA" w:rsidRDefault="000274BC" w:rsidP="008B2DDA">
      <w:pPr>
        <w:rPr>
          <w:szCs w:val="22"/>
          <w:lang w:val="fr-CH"/>
        </w:rPr>
      </w:pPr>
    </w:p>
    <w:p w14:paraId="4F4EB6B7" w14:textId="77777777" w:rsidR="000274BC" w:rsidRPr="008B2DDA" w:rsidRDefault="000274BC" w:rsidP="008B2DDA">
      <w:pPr>
        <w:rPr>
          <w:szCs w:val="22"/>
          <w:lang w:val="fr-CH"/>
        </w:rPr>
      </w:pPr>
      <w:r w:rsidRPr="008B2DDA">
        <w:rPr>
          <w:szCs w:val="22"/>
          <w:lang w:val="fr-CH"/>
        </w:rPr>
        <w:t>Par ailleurs, l’article 7 de l’Arrangement de Lisbonne révisé prévoit un régime de taxes réduites pour les pays en développement et les pays les moins avancés, tout en gardant la possibilité d’une taxe de renouvellement.</w:t>
      </w:r>
    </w:p>
    <w:p w14:paraId="19C46E36" w14:textId="77777777" w:rsidR="000274BC" w:rsidRPr="008B2DDA" w:rsidRDefault="000274BC" w:rsidP="008B2DDA">
      <w:pPr>
        <w:rPr>
          <w:szCs w:val="22"/>
          <w:lang w:val="fr-CH"/>
        </w:rPr>
      </w:pPr>
    </w:p>
    <w:p w14:paraId="1FC4DE64" w14:textId="3A22DCAB" w:rsidR="000274BC" w:rsidRPr="0002751B" w:rsidRDefault="000274BC" w:rsidP="008B2DDA">
      <w:pPr>
        <w:rPr>
          <w:b/>
          <w:bCs/>
          <w:iCs/>
          <w:szCs w:val="22"/>
          <w:lang w:val="fr-CH"/>
        </w:rPr>
      </w:pPr>
      <w:r w:rsidRPr="0002751B">
        <w:rPr>
          <w:b/>
          <w:bCs/>
          <w:iCs/>
          <w:szCs w:val="22"/>
          <w:lang w:val="fr-CH"/>
        </w:rPr>
        <w:t xml:space="preserve">L’INNORPI est en faveur de cette </w:t>
      </w:r>
      <w:r w:rsidR="00FF1FB4" w:rsidRPr="0002751B">
        <w:rPr>
          <w:b/>
          <w:bCs/>
          <w:iCs/>
          <w:szCs w:val="22"/>
          <w:lang w:val="fr-CH"/>
        </w:rPr>
        <w:t>variante</w:t>
      </w:r>
      <w:r w:rsidRPr="0002751B">
        <w:rPr>
          <w:b/>
          <w:bCs/>
          <w:iCs/>
          <w:szCs w:val="22"/>
          <w:lang w:val="fr-CH"/>
        </w:rPr>
        <w:t>.</w:t>
      </w:r>
    </w:p>
    <w:p w14:paraId="5E9474D3" w14:textId="77777777" w:rsidR="000274BC" w:rsidRPr="008B2DDA" w:rsidRDefault="000274BC" w:rsidP="008B2DDA">
      <w:pPr>
        <w:rPr>
          <w:szCs w:val="22"/>
          <w:lang w:val="fr-CH"/>
        </w:rPr>
      </w:pPr>
    </w:p>
    <w:p w14:paraId="7C364059" w14:textId="45738566" w:rsidR="000274BC" w:rsidRPr="008B2DDA" w:rsidRDefault="000274BC" w:rsidP="008B2DDA">
      <w:pPr>
        <w:rPr>
          <w:b/>
          <w:szCs w:val="22"/>
          <w:lang w:val="fr-CH"/>
        </w:rPr>
      </w:pPr>
      <w:r w:rsidRPr="008B2DDA">
        <w:rPr>
          <w:b/>
          <w:bCs/>
          <w:szCs w:val="22"/>
          <w:lang w:val="fr-CH"/>
        </w:rPr>
        <w:t>vi)</w:t>
      </w:r>
      <w:r w:rsidRPr="008B2DDA">
        <w:rPr>
          <w:b/>
          <w:bCs/>
          <w:szCs w:val="22"/>
          <w:lang w:val="fr-CH"/>
        </w:rPr>
        <w:tab/>
      </w:r>
      <w:r w:rsidR="000F4364" w:rsidRPr="008B2DDA">
        <w:rPr>
          <w:b/>
          <w:bCs/>
          <w:szCs w:val="22"/>
          <w:lang w:val="fr-CH"/>
        </w:rPr>
        <w:t>L</w:t>
      </w:r>
      <w:r w:rsidRPr="008B2DDA">
        <w:rPr>
          <w:b/>
          <w:szCs w:val="22"/>
          <w:lang w:val="fr-CH"/>
        </w:rPr>
        <w:t xml:space="preserve">’éventuelle réintroduction des dispositions de l’Arrangement de Lisbonne actuellement en vigueur traitant des contributions des </w:t>
      </w:r>
      <w:r w:rsidR="000F4364" w:rsidRPr="008B2DDA">
        <w:rPr>
          <w:b/>
          <w:szCs w:val="22"/>
          <w:lang w:val="fr-CH"/>
        </w:rPr>
        <w:t>membres de l’Union de Lisbonne</w:t>
      </w:r>
    </w:p>
    <w:p w14:paraId="484F8C92" w14:textId="77777777" w:rsidR="000274BC" w:rsidRPr="008B2DDA" w:rsidRDefault="000274BC" w:rsidP="008B2DDA">
      <w:pPr>
        <w:rPr>
          <w:szCs w:val="22"/>
          <w:lang w:val="fr-CH"/>
        </w:rPr>
      </w:pPr>
    </w:p>
    <w:p w14:paraId="2ED09708" w14:textId="77777777" w:rsidR="000274BC" w:rsidRPr="008B2DDA" w:rsidRDefault="000274BC" w:rsidP="008B2DDA">
      <w:pPr>
        <w:rPr>
          <w:szCs w:val="22"/>
          <w:lang w:val="fr-CH"/>
        </w:rPr>
      </w:pPr>
      <w:r w:rsidRPr="008B2DDA">
        <w:rPr>
          <w:szCs w:val="22"/>
          <w:lang w:val="fr-CH"/>
        </w:rPr>
        <w:t>Tant que la protection des indications géographiques et des appellations d’origine selon l’Arrangement de Lisbonne révisé est assujettie au paiement de taxes, la contribution des États membres n’a plus de raison d’être.  D’ailleurs, l’Arrangement de La Haye concernant l’enregistrement international des dessins et modèles industriels et le Protocole relatif à l’Arrangement de Madrid concernant l’enregistrement international des marques ne contiennent aucune disposition traitant des contributions des membres, étant donné que la protection en vertu de ces traités est tributaire du paiement des taxes exigées.</w:t>
      </w:r>
    </w:p>
    <w:p w14:paraId="133EC728" w14:textId="77777777" w:rsidR="000274BC" w:rsidRPr="008B2DDA" w:rsidRDefault="000274BC" w:rsidP="008B2DDA">
      <w:pPr>
        <w:rPr>
          <w:szCs w:val="22"/>
          <w:lang w:val="fr-CH"/>
        </w:rPr>
      </w:pPr>
    </w:p>
    <w:p w14:paraId="6A6AF450" w14:textId="6A3B4353" w:rsidR="000274BC" w:rsidRPr="0002751B" w:rsidRDefault="000274BC" w:rsidP="008B2DDA">
      <w:pPr>
        <w:rPr>
          <w:b/>
          <w:bCs/>
          <w:iCs/>
          <w:szCs w:val="22"/>
          <w:lang w:val="fr-CH"/>
        </w:rPr>
      </w:pPr>
      <w:r w:rsidRPr="0002751B">
        <w:rPr>
          <w:b/>
          <w:bCs/>
          <w:iCs/>
          <w:szCs w:val="22"/>
          <w:lang w:val="fr-CH"/>
        </w:rPr>
        <w:t xml:space="preserve">L’INNORPI n’est pas </w:t>
      </w:r>
      <w:r w:rsidR="005926F8" w:rsidRPr="0002751B">
        <w:rPr>
          <w:b/>
          <w:bCs/>
          <w:iCs/>
          <w:szCs w:val="22"/>
          <w:lang w:val="fr-CH"/>
        </w:rPr>
        <w:t>favorable à</w:t>
      </w:r>
      <w:r w:rsidRPr="0002751B">
        <w:rPr>
          <w:b/>
          <w:bCs/>
          <w:iCs/>
          <w:szCs w:val="22"/>
          <w:lang w:val="fr-CH"/>
        </w:rPr>
        <w:t xml:space="preserve"> cette éventuelle proposition.</w:t>
      </w:r>
    </w:p>
    <w:p w14:paraId="21FF651F" w14:textId="4E360F29" w:rsidR="000274BC" w:rsidRPr="008B2DDA" w:rsidRDefault="000274BC" w:rsidP="008B2DDA">
      <w:pPr>
        <w:keepNext/>
        <w:rPr>
          <w:szCs w:val="22"/>
          <w:lang w:val="fr-CH"/>
        </w:rPr>
      </w:pPr>
      <w:r w:rsidRPr="008B2DDA">
        <w:rPr>
          <w:b/>
          <w:bCs/>
          <w:szCs w:val="22"/>
          <w:lang w:val="fr-CH"/>
        </w:rPr>
        <w:lastRenderedPageBreak/>
        <w:t>vii)</w:t>
      </w:r>
      <w:r w:rsidRPr="008B2DDA">
        <w:rPr>
          <w:b/>
          <w:bCs/>
          <w:szCs w:val="22"/>
          <w:lang w:val="fr-CH"/>
        </w:rPr>
        <w:tab/>
      </w:r>
      <w:r w:rsidR="000F4364" w:rsidRPr="008B2DDA">
        <w:rPr>
          <w:b/>
          <w:szCs w:val="22"/>
          <w:lang w:val="fr-CH"/>
        </w:rPr>
        <w:t>L</w:t>
      </w:r>
      <w:r w:rsidRPr="008B2DDA">
        <w:rPr>
          <w:b/>
          <w:szCs w:val="22"/>
          <w:lang w:val="fr-CH"/>
        </w:rPr>
        <w:t>es différentes options concernant l’arti</w:t>
      </w:r>
      <w:r w:rsidR="000F4364" w:rsidRPr="008B2DDA">
        <w:rPr>
          <w:b/>
          <w:szCs w:val="22"/>
          <w:lang w:val="fr-CH"/>
        </w:rPr>
        <w:t>cle 11.1)a) et l’article 11.3)</w:t>
      </w:r>
    </w:p>
    <w:p w14:paraId="5DD71487" w14:textId="77777777" w:rsidR="000274BC" w:rsidRPr="008B2DDA" w:rsidRDefault="000274BC" w:rsidP="008B2DDA">
      <w:pPr>
        <w:keepNext/>
        <w:rPr>
          <w:szCs w:val="22"/>
          <w:lang w:val="fr-CH"/>
        </w:rPr>
      </w:pPr>
    </w:p>
    <w:p w14:paraId="1F3B56B6" w14:textId="0AFCE5F3" w:rsidR="000274BC" w:rsidRPr="008B2DDA" w:rsidRDefault="000274BC" w:rsidP="008B2DDA">
      <w:pPr>
        <w:rPr>
          <w:szCs w:val="22"/>
          <w:lang w:val="fr-CH"/>
        </w:rPr>
      </w:pPr>
      <w:r w:rsidRPr="008B2DDA">
        <w:rPr>
          <w:szCs w:val="22"/>
          <w:lang w:val="fr-CH"/>
        </w:rPr>
        <w:t>L’article 11.1)a) offre un niveau élevé de protection des appellations d’origine et des indications géographiques dans tous les pays.  En conséquence, les crochets des sous</w:t>
      </w:r>
      <w:r w:rsidR="00D67EA4" w:rsidRPr="008B2DDA">
        <w:rPr>
          <w:szCs w:val="22"/>
          <w:lang w:val="fr-CH"/>
        </w:rPr>
        <w:noBreakHyphen/>
      </w:r>
      <w:r w:rsidRPr="008B2DDA">
        <w:rPr>
          <w:szCs w:val="22"/>
          <w:lang w:val="fr-CH"/>
        </w:rPr>
        <w:t>alinéas ii) et iii) de l’article 11.1)a) devraient être supprimés.</w:t>
      </w:r>
    </w:p>
    <w:p w14:paraId="427A4B86" w14:textId="77777777" w:rsidR="000274BC" w:rsidRPr="008B2DDA" w:rsidRDefault="000274BC" w:rsidP="008B2DDA">
      <w:pPr>
        <w:rPr>
          <w:szCs w:val="22"/>
          <w:lang w:val="fr-CH"/>
        </w:rPr>
      </w:pPr>
    </w:p>
    <w:p w14:paraId="68B0317D" w14:textId="77777777" w:rsidR="000274BC" w:rsidRPr="008B2DDA" w:rsidRDefault="000274BC" w:rsidP="008B2DDA">
      <w:pPr>
        <w:rPr>
          <w:szCs w:val="22"/>
          <w:lang w:val="fr-CH"/>
        </w:rPr>
      </w:pPr>
      <w:r w:rsidRPr="008B2DDA">
        <w:rPr>
          <w:szCs w:val="22"/>
          <w:lang w:val="fr-CH"/>
        </w:rPr>
        <w:t>Par conséquent l’article 11.3 ne peut pas remplacer l’article 11.1)a) dans son ensemble.</w:t>
      </w:r>
    </w:p>
    <w:p w14:paraId="4A677222" w14:textId="77777777" w:rsidR="000274BC" w:rsidRPr="008B2DDA" w:rsidRDefault="000274BC" w:rsidP="008B2DDA">
      <w:pPr>
        <w:rPr>
          <w:szCs w:val="22"/>
          <w:lang w:val="fr-CH"/>
        </w:rPr>
      </w:pPr>
    </w:p>
    <w:p w14:paraId="7D926780" w14:textId="77777777" w:rsidR="000274BC" w:rsidRPr="0002751B" w:rsidRDefault="000274BC" w:rsidP="008B2DDA">
      <w:pPr>
        <w:rPr>
          <w:b/>
          <w:bCs/>
          <w:iCs/>
          <w:szCs w:val="22"/>
          <w:lang w:val="fr-CH"/>
        </w:rPr>
      </w:pPr>
      <w:r w:rsidRPr="0002751B">
        <w:rPr>
          <w:b/>
          <w:bCs/>
          <w:iCs/>
          <w:szCs w:val="22"/>
          <w:lang w:val="fr-CH"/>
        </w:rPr>
        <w:t>De ce fait, nous proposons l’application de l’article 11.3 à l’article 11.1)a)iii) seulement.</w:t>
      </w:r>
    </w:p>
    <w:p w14:paraId="7499A1F1" w14:textId="77777777" w:rsidR="000274BC" w:rsidRPr="008B2DDA" w:rsidRDefault="000274BC" w:rsidP="008B2DDA">
      <w:pPr>
        <w:rPr>
          <w:b/>
          <w:bCs/>
          <w:iCs/>
          <w:szCs w:val="22"/>
          <w:lang w:val="fr-CH"/>
        </w:rPr>
      </w:pPr>
    </w:p>
    <w:p w14:paraId="5C787F1E" w14:textId="7CD38036" w:rsidR="000274BC" w:rsidRPr="008B2DDA" w:rsidRDefault="000274BC" w:rsidP="008B2DDA">
      <w:pPr>
        <w:rPr>
          <w:szCs w:val="22"/>
          <w:lang w:val="fr-CH"/>
        </w:rPr>
      </w:pPr>
      <w:r w:rsidRPr="008B2DDA">
        <w:rPr>
          <w:b/>
          <w:bCs/>
          <w:szCs w:val="22"/>
          <w:lang w:val="fr-CH"/>
        </w:rPr>
        <w:t>viii)</w:t>
      </w:r>
      <w:r w:rsidRPr="008B2DDA">
        <w:rPr>
          <w:szCs w:val="22"/>
          <w:lang w:val="fr-CH"/>
        </w:rPr>
        <w:tab/>
      </w:r>
      <w:r w:rsidR="000F4364" w:rsidRPr="008B2DDA">
        <w:rPr>
          <w:b/>
          <w:szCs w:val="22"/>
          <w:lang w:val="fr-CH"/>
        </w:rPr>
        <w:t>L</w:t>
      </w:r>
      <w:r w:rsidRPr="008B2DDA">
        <w:rPr>
          <w:b/>
          <w:szCs w:val="22"/>
          <w:lang w:val="fr-CH"/>
        </w:rPr>
        <w:t>a teneur de l’article 12 concernant la protection contre l’acquis</w:t>
      </w:r>
      <w:r w:rsidR="000F4364" w:rsidRPr="008B2DDA">
        <w:rPr>
          <w:b/>
          <w:szCs w:val="22"/>
          <w:lang w:val="fr-CH"/>
        </w:rPr>
        <w:t>ition d’un caractère générique</w:t>
      </w:r>
    </w:p>
    <w:p w14:paraId="15B19C2F" w14:textId="77777777" w:rsidR="000274BC" w:rsidRPr="008B2DDA" w:rsidRDefault="000274BC" w:rsidP="008B2DDA">
      <w:pPr>
        <w:rPr>
          <w:szCs w:val="22"/>
          <w:lang w:val="fr-CH"/>
        </w:rPr>
      </w:pPr>
    </w:p>
    <w:p w14:paraId="59C17B55" w14:textId="77777777" w:rsidR="000274BC" w:rsidRPr="008B2DDA" w:rsidRDefault="000274BC" w:rsidP="008B2DDA">
      <w:pPr>
        <w:rPr>
          <w:szCs w:val="22"/>
          <w:lang w:val="fr-CH"/>
        </w:rPr>
      </w:pPr>
      <w:r w:rsidRPr="008B2DDA">
        <w:rPr>
          <w:szCs w:val="22"/>
          <w:lang w:val="fr-CH"/>
        </w:rPr>
        <w:t>La Tunisie fait part de sa préférence pour :</w:t>
      </w:r>
    </w:p>
    <w:p w14:paraId="6EA557EC" w14:textId="77777777" w:rsidR="000274BC" w:rsidRPr="008B2DDA" w:rsidRDefault="000274BC" w:rsidP="008B2DDA">
      <w:pPr>
        <w:rPr>
          <w:szCs w:val="22"/>
          <w:lang w:val="fr-CH"/>
        </w:rPr>
      </w:pPr>
    </w:p>
    <w:p w14:paraId="582AF617" w14:textId="6986722D" w:rsidR="000274BC" w:rsidRPr="008B2DDA" w:rsidRDefault="000F4364" w:rsidP="008B2DDA">
      <w:pPr>
        <w:ind w:firstLine="567"/>
        <w:rPr>
          <w:szCs w:val="22"/>
          <w:lang w:val="fr-CH"/>
        </w:rPr>
      </w:pPr>
      <w:r w:rsidRPr="008B2DDA">
        <w:rPr>
          <w:szCs w:val="22"/>
          <w:lang w:val="fr-CH"/>
        </w:rPr>
        <w:t>1)</w:t>
      </w:r>
      <w:r w:rsidR="000274BC" w:rsidRPr="008B2DDA">
        <w:rPr>
          <w:szCs w:val="22"/>
          <w:lang w:val="fr-CH"/>
        </w:rPr>
        <w:tab/>
        <w:t>l’expression “les indications géographiques et les appellations d’origine sont protégées contre l’acquisition d’un caractère générique”.  Toutefois, on peut accepter l’expression “ne peuvent pas devenir génériques” par rapport à “être considérées c</w:t>
      </w:r>
      <w:r w:rsidRPr="008B2DDA">
        <w:rPr>
          <w:szCs w:val="22"/>
          <w:lang w:val="fr-CH"/>
        </w:rPr>
        <w:t>omme étant devenues génériques”;</w:t>
      </w:r>
    </w:p>
    <w:p w14:paraId="032FA5DA" w14:textId="77777777" w:rsidR="000274BC" w:rsidRPr="008B2DDA" w:rsidRDefault="000274BC" w:rsidP="008B2DDA">
      <w:pPr>
        <w:ind w:firstLine="567"/>
        <w:rPr>
          <w:szCs w:val="22"/>
          <w:lang w:val="fr-CH"/>
        </w:rPr>
      </w:pPr>
    </w:p>
    <w:p w14:paraId="55FA5956" w14:textId="77777777" w:rsidR="000274BC" w:rsidRPr="008B2DDA" w:rsidRDefault="000274BC" w:rsidP="008B2DDA">
      <w:pPr>
        <w:ind w:firstLine="567"/>
        <w:rPr>
          <w:szCs w:val="22"/>
          <w:lang w:val="fr-CH"/>
        </w:rPr>
      </w:pPr>
      <w:r w:rsidRPr="008B2DDA">
        <w:rPr>
          <w:szCs w:val="22"/>
          <w:lang w:val="fr-CH"/>
        </w:rPr>
        <w:t>2)</w:t>
      </w:r>
      <w:r w:rsidRPr="008B2DDA">
        <w:rPr>
          <w:szCs w:val="22"/>
          <w:lang w:val="fr-CH"/>
        </w:rPr>
        <w:tab/>
        <w:t>la suppression des expressions “la dénomination constituant” et “l’indication constituant” dans la mesure où elles ne sont pas nécessaires.</w:t>
      </w:r>
    </w:p>
    <w:p w14:paraId="00421A7B" w14:textId="77777777" w:rsidR="000274BC" w:rsidRPr="008B2DDA" w:rsidRDefault="000274BC" w:rsidP="008B2DDA">
      <w:pPr>
        <w:ind w:firstLine="567"/>
        <w:rPr>
          <w:szCs w:val="22"/>
          <w:lang w:val="fr-CH"/>
        </w:rPr>
      </w:pPr>
    </w:p>
    <w:p w14:paraId="02FE89D3" w14:textId="749D0E8D" w:rsidR="000274BC" w:rsidRPr="0002751B" w:rsidRDefault="000274BC" w:rsidP="008B2DDA">
      <w:pPr>
        <w:rPr>
          <w:b/>
          <w:bCs/>
          <w:iCs/>
          <w:szCs w:val="22"/>
          <w:lang w:val="fr-CH"/>
        </w:rPr>
      </w:pPr>
      <w:r w:rsidRPr="0002751B">
        <w:rPr>
          <w:b/>
          <w:bCs/>
          <w:iCs/>
          <w:szCs w:val="22"/>
          <w:lang w:val="fr-CH"/>
        </w:rPr>
        <w:t>L’INNORPI est pour l’option visant la non</w:t>
      </w:r>
      <w:r w:rsidR="00D67EA4" w:rsidRPr="0002751B">
        <w:rPr>
          <w:b/>
          <w:bCs/>
          <w:iCs/>
          <w:szCs w:val="22"/>
          <w:lang w:val="fr-CH"/>
        </w:rPr>
        <w:noBreakHyphen/>
      </w:r>
      <w:r w:rsidRPr="0002751B">
        <w:rPr>
          <w:b/>
          <w:bCs/>
          <w:iCs/>
          <w:szCs w:val="22"/>
          <w:lang w:val="fr-CH"/>
        </w:rPr>
        <w:t>acquisition d’un caractère générique pour une indication géographique ou une appellation d’origine.</w:t>
      </w:r>
    </w:p>
    <w:p w14:paraId="79FA0C69" w14:textId="77777777" w:rsidR="000274BC" w:rsidRPr="008B2DDA" w:rsidRDefault="000274BC" w:rsidP="008B2DDA">
      <w:pPr>
        <w:rPr>
          <w:b/>
          <w:bCs/>
          <w:i/>
          <w:iCs/>
          <w:szCs w:val="22"/>
          <w:lang w:val="fr-CH"/>
        </w:rPr>
      </w:pPr>
    </w:p>
    <w:p w14:paraId="0DB560BA" w14:textId="66AB9B9B" w:rsidR="000274BC" w:rsidRPr="008B2DDA" w:rsidRDefault="000274BC" w:rsidP="008B2DDA">
      <w:pPr>
        <w:rPr>
          <w:szCs w:val="22"/>
          <w:lang w:val="fr-CH"/>
        </w:rPr>
      </w:pPr>
      <w:r w:rsidRPr="008B2DDA">
        <w:rPr>
          <w:b/>
          <w:bCs/>
          <w:szCs w:val="22"/>
          <w:lang w:val="fr-CH"/>
        </w:rPr>
        <w:t>ix)</w:t>
      </w:r>
      <w:r w:rsidR="000F4364" w:rsidRPr="008B2DDA">
        <w:rPr>
          <w:szCs w:val="22"/>
          <w:lang w:val="fr-CH"/>
        </w:rPr>
        <w:tab/>
      </w:r>
      <w:r w:rsidR="000F4364" w:rsidRPr="008B2DDA">
        <w:rPr>
          <w:b/>
          <w:szCs w:val="22"/>
          <w:lang w:val="fr-CH"/>
        </w:rPr>
        <w:t>L</w:t>
      </w:r>
      <w:r w:rsidRPr="008B2DDA">
        <w:rPr>
          <w:b/>
          <w:szCs w:val="22"/>
          <w:lang w:val="fr-CH"/>
        </w:rPr>
        <w:t>a teneur de l’article 13.1) concernant les garanties à l’égard de dro</w:t>
      </w:r>
      <w:r w:rsidR="000F4364" w:rsidRPr="008B2DDA">
        <w:rPr>
          <w:b/>
          <w:szCs w:val="22"/>
          <w:lang w:val="fr-CH"/>
        </w:rPr>
        <w:t>its antérieurs sur des marques</w:t>
      </w:r>
    </w:p>
    <w:p w14:paraId="024C7B84" w14:textId="77777777" w:rsidR="000274BC" w:rsidRPr="008B2DDA" w:rsidRDefault="000274BC" w:rsidP="008B2DDA">
      <w:pPr>
        <w:rPr>
          <w:szCs w:val="22"/>
          <w:lang w:val="fr-CH"/>
        </w:rPr>
      </w:pPr>
    </w:p>
    <w:p w14:paraId="4B2B366B" w14:textId="77777777" w:rsidR="000274BC" w:rsidRPr="008B2DDA" w:rsidRDefault="000274BC" w:rsidP="008B2DDA">
      <w:pPr>
        <w:rPr>
          <w:szCs w:val="22"/>
          <w:lang w:val="fr-CH"/>
        </w:rPr>
      </w:pPr>
      <w:r w:rsidRPr="008B2DDA">
        <w:rPr>
          <w:szCs w:val="22"/>
          <w:lang w:val="fr-CH"/>
        </w:rPr>
        <w:t>La Tunisie appui l’option A de l’article 13.1) et la formulation “compte tenu des” étant donné qu’elle est mieux harmonisée avec la législation nationale.</w:t>
      </w:r>
    </w:p>
    <w:p w14:paraId="53D37AF1" w14:textId="77777777" w:rsidR="000274BC" w:rsidRPr="008B2DDA" w:rsidRDefault="000274BC" w:rsidP="008B2DDA">
      <w:pPr>
        <w:rPr>
          <w:szCs w:val="22"/>
          <w:lang w:val="fr-CH"/>
        </w:rPr>
      </w:pPr>
    </w:p>
    <w:p w14:paraId="732058BF" w14:textId="77777777" w:rsidR="000274BC" w:rsidRPr="0002751B" w:rsidRDefault="000274BC" w:rsidP="008B2DDA">
      <w:pPr>
        <w:rPr>
          <w:b/>
          <w:bCs/>
          <w:iCs/>
          <w:szCs w:val="22"/>
          <w:lang w:val="fr-CH"/>
        </w:rPr>
      </w:pPr>
      <w:r w:rsidRPr="0002751B">
        <w:rPr>
          <w:b/>
          <w:bCs/>
          <w:iCs/>
          <w:szCs w:val="22"/>
          <w:lang w:val="fr-CH"/>
        </w:rPr>
        <w:t>L’INNORPI est en faveur de l’option A de l’article 13.1).</w:t>
      </w:r>
    </w:p>
    <w:p w14:paraId="3AF9987D" w14:textId="77777777" w:rsidR="000274BC" w:rsidRPr="008B2DDA" w:rsidRDefault="000274BC" w:rsidP="008B2DDA">
      <w:pPr>
        <w:rPr>
          <w:b/>
          <w:bCs/>
          <w:i/>
          <w:iCs/>
          <w:szCs w:val="22"/>
          <w:lang w:val="fr-CH"/>
        </w:rPr>
      </w:pPr>
    </w:p>
    <w:p w14:paraId="20AFE3FE" w14:textId="4BA54CE9" w:rsidR="000274BC" w:rsidRPr="008B2DDA" w:rsidRDefault="000274BC" w:rsidP="008B2DDA">
      <w:pPr>
        <w:rPr>
          <w:b/>
          <w:szCs w:val="22"/>
          <w:lang w:val="fr-CH"/>
        </w:rPr>
      </w:pPr>
      <w:r w:rsidRPr="008B2DDA">
        <w:rPr>
          <w:b/>
          <w:bCs/>
          <w:szCs w:val="22"/>
          <w:lang w:val="fr-CH"/>
        </w:rPr>
        <w:t>x)</w:t>
      </w:r>
      <w:r w:rsidR="000F4364" w:rsidRPr="008B2DDA">
        <w:rPr>
          <w:b/>
          <w:szCs w:val="22"/>
          <w:lang w:val="fr-CH"/>
        </w:rPr>
        <w:tab/>
        <w:t>L</w:t>
      </w:r>
      <w:r w:rsidRPr="008B2DDA">
        <w:rPr>
          <w:b/>
          <w:szCs w:val="22"/>
          <w:lang w:val="fr-CH"/>
        </w:rPr>
        <w:t>a teneur de l’article 16.2) concernant les négocia</w:t>
      </w:r>
      <w:r w:rsidR="000F4364" w:rsidRPr="008B2DDA">
        <w:rPr>
          <w:b/>
          <w:szCs w:val="22"/>
          <w:lang w:val="fr-CH"/>
        </w:rPr>
        <w:t>tions faisant suite à un refus</w:t>
      </w:r>
    </w:p>
    <w:p w14:paraId="16CA55E0" w14:textId="77777777" w:rsidR="000274BC" w:rsidRPr="008B2DDA" w:rsidRDefault="000274BC" w:rsidP="008B2DDA">
      <w:pPr>
        <w:rPr>
          <w:szCs w:val="22"/>
          <w:lang w:val="fr-CH"/>
        </w:rPr>
      </w:pPr>
    </w:p>
    <w:p w14:paraId="6B4D3A9B" w14:textId="77777777" w:rsidR="000274BC" w:rsidRPr="008B2DDA" w:rsidRDefault="000274BC" w:rsidP="008B2DDA">
      <w:pPr>
        <w:rPr>
          <w:szCs w:val="22"/>
          <w:lang w:val="fr-CH"/>
        </w:rPr>
      </w:pPr>
      <w:r w:rsidRPr="008B2DDA">
        <w:rPr>
          <w:szCs w:val="22"/>
          <w:lang w:val="fr-CH"/>
        </w:rPr>
        <w:t>L’article 16.2) indique que des négociations pourraient être possibles concernant une décision de refus.</w:t>
      </w:r>
    </w:p>
    <w:p w14:paraId="0CCE2A0C" w14:textId="77777777" w:rsidR="000274BC" w:rsidRPr="008B2DDA" w:rsidRDefault="000274BC" w:rsidP="008B2DDA">
      <w:pPr>
        <w:rPr>
          <w:szCs w:val="22"/>
          <w:lang w:val="fr-CH"/>
        </w:rPr>
      </w:pPr>
    </w:p>
    <w:p w14:paraId="5C2FCAD3" w14:textId="77777777" w:rsidR="000274BC" w:rsidRPr="0002751B" w:rsidRDefault="000274BC" w:rsidP="008B2DDA">
      <w:pPr>
        <w:rPr>
          <w:b/>
          <w:bCs/>
          <w:iCs/>
          <w:szCs w:val="22"/>
          <w:lang w:val="fr-CH"/>
        </w:rPr>
      </w:pPr>
      <w:r w:rsidRPr="0002751B">
        <w:rPr>
          <w:b/>
          <w:bCs/>
          <w:iCs/>
          <w:szCs w:val="22"/>
          <w:lang w:val="fr-CH"/>
        </w:rPr>
        <w:t>L’INNORPI accepte les dispositions de l’article 16.2.</w:t>
      </w:r>
    </w:p>
    <w:p w14:paraId="3084F0E5" w14:textId="77777777" w:rsidR="000274BC" w:rsidRPr="008B2DDA" w:rsidRDefault="000274BC" w:rsidP="008B2DDA">
      <w:pPr>
        <w:rPr>
          <w:b/>
          <w:bCs/>
          <w:i/>
          <w:iCs/>
          <w:szCs w:val="22"/>
          <w:lang w:val="fr-CH"/>
        </w:rPr>
      </w:pPr>
    </w:p>
    <w:p w14:paraId="49B2CD1D" w14:textId="24670676" w:rsidR="000274BC" w:rsidRPr="008B2DDA" w:rsidRDefault="000274BC" w:rsidP="008B2DDA">
      <w:pPr>
        <w:rPr>
          <w:szCs w:val="22"/>
          <w:lang w:val="fr-CH"/>
        </w:rPr>
      </w:pPr>
      <w:r w:rsidRPr="008B2DDA">
        <w:rPr>
          <w:b/>
          <w:bCs/>
          <w:szCs w:val="22"/>
          <w:lang w:val="fr-CH"/>
        </w:rPr>
        <w:t>xi)</w:t>
      </w:r>
      <w:r w:rsidR="000F4364" w:rsidRPr="008B2DDA">
        <w:rPr>
          <w:szCs w:val="22"/>
          <w:lang w:val="fr-CH"/>
        </w:rPr>
        <w:tab/>
      </w:r>
      <w:r w:rsidR="000F4364" w:rsidRPr="008B2DDA">
        <w:rPr>
          <w:b/>
          <w:szCs w:val="22"/>
          <w:lang w:val="fr-CH"/>
        </w:rPr>
        <w:t>L</w:t>
      </w:r>
      <w:r w:rsidRPr="008B2DDA">
        <w:rPr>
          <w:b/>
          <w:szCs w:val="22"/>
          <w:lang w:val="fr-CH"/>
        </w:rPr>
        <w:t>a teneur de l’article 17 concernant la nécessité d’un délai de transition</w:t>
      </w:r>
    </w:p>
    <w:p w14:paraId="6B739CB0" w14:textId="77777777" w:rsidR="000274BC" w:rsidRPr="008B2DDA" w:rsidRDefault="000274BC" w:rsidP="008B2DDA">
      <w:pPr>
        <w:rPr>
          <w:szCs w:val="22"/>
          <w:lang w:val="fr-CH"/>
        </w:rPr>
      </w:pPr>
    </w:p>
    <w:p w14:paraId="4D4EECE5" w14:textId="77777777" w:rsidR="000274BC" w:rsidRPr="008B2DDA" w:rsidRDefault="000274BC" w:rsidP="008B2DDA">
      <w:pPr>
        <w:rPr>
          <w:spacing w:val="-2"/>
          <w:szCs w:val="22"/>
          <w:lang w:val="fr-CH"/>
        </w:rPr>
      </w:pPr>
      <w:r w:rsidRPr="008B2DDA">
        <w:rPr>
          <w:spacing w:val="-2"/>
          <w:szCs w:val="22"/>
          <w:lang w:val="fr-CH"/>
        </w:rPr>
        <w:t>En ce qui concerne le délai de transition pour mettre progressivement fin à l’utilisation antérieure d’une appellation d’origine ou d’une indication géographique en tant que terme générique sur le territoire d’une partie contractante, la législation tunisienne ne prévoit pas un tel délai.</w:t>
      </w:r>
    </w:p>
    <w:p w14:paraId="67E2E8D4" w14:textId="77777777" w:rsidR="000274BC" w:rsidRPr="008B2DDA" w:rsidRDefault="000274BC" w:rsidP="008B2DDA">
      <w:pPr>
        <w:rPr>
          <w:szCs w:val="22"/>
          <w:lang w:val="fr-CH"/>
        </w:rPr>
      </w:pPr>
    </w:p>
    <w:p w14:paraId="070AEC7A" w14:textId="77777777" w:rsidR="000274BC" w:rsidRPr="008B2DDA" w:rsidRDefault="000274BC" w:rsidP="008B2DDA">
      <w:pPr>
        <w:rPr>
          <w:szCs w:val="22"/>
          <w:lang w:val="fr-CH"/>
        </w:rPr>
      </w:pPr>
      <w:r w:rsidRPr="008B2DDA">
        <w:rPr>
          <w:szCs w:val="22"/>
          <w:lang w:val="fr-CH"/>
        </w:rPr>
        <w:t>En effet, cette disposition ne traduit pas la législation tunisienne, mais en raison de son caractère facultatif elle ne pose aucun problème au niveau pratique.</w:t>
      </w:r>
    </w:p>
    <w:p w14:paraId="491EC788" w14:textId="77777777" w:rsidR="000274BC" w:rsidRPr="008B2DDA" w:rsidRDefault="000274BC" w:rsidP="008B2DDA">
      <w:pPr>
        <w:rPr>
          <w:szCs w:val="22"/>
          <w:lang w:val="fr-CH"/>
        </w:rPr>
      </w:pPr>
    </w:p>
    <w:p w14:paraId="3CD983A0" w14:textId="1D781325" w:rsidR="000274BC" w:rsidRDefault="000274BC" w:rsidP="008B2DDA">
      <w:pPr>
        <w:rPr>
          <w:b/>
          <w:bCs/>
          <w:iCs/>
          <w:szCs w:val="22"/>
          <w:lang w:val="fr-CH"/>
        </w:rPr>
      </w:pPr>
      <w:r w:rsidRPr="0002751B">
        <w:rPr>
          <w:b/>
          <w:bCs/>
          <w:iCs/>
          <w:szCs w:val="22"/>
          <w:lang w:val="fr-CH"/>
        </w:rPr>
        <w:t>L’INNORPI accepte les dispositions de l’article 17.</w:t>
      </w:r>
    </w:p>
    <w:p w14:paraId="228321E0" w14:textId="77777777" w:rsidR="000F705C" w:rsidRPr="0002751B" w:rsidRDefault="000F705C" w:rsidP="008B2DDA">
      <w:pPr>
        <w:rPr>
          <w:b/>
          <w:bCs/>
          <w:szCs w:val="22"/>
          <w:lang w:val="fr-CH"/>
        </w:rPr>
      </w:pPr>
    </w:p>
    <w:p w14:paraId="7F9B5515" w14:textId="571B7363" w:rsidR="000274BC" w:rsidRPr="008B2DDA" w:rsidRDefault="000274BC" w:rsidP="000F705C">
      <w:pPr>
        <w:keepNext/>
        <w:keepLines/>
        <w:rPr>
          <w:szCs w:val="22"/>
          <w:lang w:val="fr-CH"/>
        </w:rPr>
      </w:pPr>
      <w:r w:rsidRPr="008B2DDA">
        <w:rPr>
          <w:b/>
          <w:bCs/>
          <w:szCs w:val="22"/>
          <w:lang w:val="fr-CH"/>
        </w:rPr>
        <w:lastRenderedPageBreak/>
        <w:t>xii)</w:t>
      </w:r>
      <w:r w:rsidR="000F4364" w:rsidRPr="008B2DDA">
        <w:rPr>
          <w:szCs w:val="22"/>
          <w:lang w:val="fr-CH"/>
        </w:rPr>
        <w:tab/>
      </w:r>
      <w:r w:rsidR="000F4364" w:rsidRPr="008B2DDA">
        <w:rPr>
          <w:b/>
          <w:szCs w:val="22"/>
          <w:lang w:val="fr-CH"/>
        </w:rPr>
        <w:t>L</w:t>
      </w:r>
      <w:r w:rsidRPr="008B2DDA">
        <w:rPr>
          <w:b/>
          <w:szCs w:val="22"/>
          <w:lang w:val="fr-CH"/>
        </w:rPr>
        <w:t>a question de savoir si la règle 5.3) doit ê</w:t>
      </w:r>
      <w:r w:rsidR="000F4364" w:rsidRPr="008B2DDA">
        <w:rPr>
          <w:b/>
          <w:szCs w:val="22"/>
          <w:lang w:val="fr-CH"/>
        </w:rPr>
        <w:t>tre facultative ou obligatoire</w:t>
      </w:r>
    </w:p>
    <w:p w14:paraId="051BFD2B" w14:textId="77777777" w:rsidR="000274BC" w:rsidRPr="008B2DDA" w:rsidRDefault="000274BC" w:rsidP="000F705C">
      <w:pPr>
        <w:keepNext/>
        <w:keepLines/>
        <w:rPr>
          <w:szCs w:val="22"/>
          <w:lang w:val="fr-CH"/>
        </w:rPr>
      </w:pPr>
    </w:p>
    <w:p w14:paraId="1DCC1BE3" w14:textId="77777777" w:rsidR="000274BC" w:rsidRPr="008B2DDA" w:rsidRDefault="000274BC" w:rsidP="000F705C">
      <w:pPr>
        <w:keepNext/>
        <w:keepLines/>
        <w:rPr>
          <w:szCs w:val="22"/>
          <w:lang w:val="fr-CH"/>
        </w:rPr>
      </w:pPr>
      <w:r w:rsidRPr="008B2DDA">
        <w:rPr>
          <w:szCs w:val="22"/>
          <w:lang w:val="fr-CH"/>
        </w:rPr>
        <w:t>La Tunisie fait part de son soutien en faveur du caractère obligatoire des indications concernant la qualité et d’autres caractéristiques du produit.</w:t>
      </w:r>
    </w:p>
    <w:p w14:paraId="3A568EF5" w14:textId="77777777" w:rsidR="000274BC" w:rsidRPr="008B2DDA" w:rsidRDefault="000274BC" w:rsidP="008B2DDA">
      <w:pPr>
        <w:rPr>
          <w:szCs w:val="22"/>
          <w:lang w:val="fr-CH"/>
        </w:rPr>
      </w:pPr>
    </w:p>
    <w:p w14:paraId="25B72F63" w14:textId="77777777" w:rsidR="000274BC" w:rsidRPr="0002751B" w:rsidRDefault="000274BC" w:rsidP="008B2DDA">
      <w:pPr>
        <w:rPr>
          <w:b/>
          <w:bCs/>
          <w:iCs/>
          <w:szCs w:val="22"/>
          <w:lang w:val="fr-CH"/>
        </w:rPr>
      </w:pPr>
      <w:r w:rsidRPr="0002751B">
        <w:rPr>
          <w:b/>
          <w:bCs/>
          <w:iCs/>
          <w:szCs w:val="22"/>
          <w:lang w:val="fr-CH"/>
        </w:rPr>
        <w:t>L’INNORPI est en faveur du caractère obligatoire de la règle 5.3).</w:t>
      </w:r>
    </w:p>
    <w:p w14:paraId="7FA1AF65" w14:textId="77777777" w:rsidR="000274BC" w:rsidRPr="008B2DDA" w:rsidRDefault="000274BC" w:rsidP="008B2DDA">
      <w:pPr>
        <w:rPr>
          <w:b/>
          <w:bCs/>
          <w:i/>
          <w:iCs/>
          <w:szCs w:val="22"/>
          <w:lang w:val="fr-CH"/>
        </w:rPr>
      </w:pPr>
    </w:p>
    <w:p w14:paraId="451D7502" w14:textId="7A782D40" w:rsidR="000274BC" w:rsidRPr="008B2DDA" w:rsidRDefault="000274BC" w:rsidP="008B2DDA">
      <w:pPr>
        <w:rPr>
          <w:szCs w:val="22"/>
          <w:lang w:val="fr-CH"/>
        </w:rPr>
      </w:pPr>
      <w:r w:rsidRPr="008B2DDA">
        <w:rPr>
          <w:b/>
          <w:bCs/>
          <w:szCs w:val="22"/>
          <w:lang w:val="fr-CH"/>
        </w:rPr>
        <w:t>xiii)</w:t>
      </w:r>
      <w:r w:rsidR="000F4364" w:rsidRPr="008B2DDA">
        <w:rPr>
          <w:szCs w:val="22"/>
          <w:lang w:val="fr-CH"/>
        </w:rPr>
        <w:tab/>
      </w:r>
      <w:r w:rsidR="000F4364" w:rsidRPr="008B2DDA">
        <w:rPr>
          <w:b/>
          <w:szCs w:val="22"/>
          <w:lang w:val="fr-CH"/>
        </w:rPr>
        <w:t>L</w:t>
      </w:r>
      <w:r w:rsidRPr="008B2DDA">
        <w:rPr>
          <w:b/>
          <w:szCs w:val="22"/>
          <w:lang w:val="fr-CH"/>
        </w:rPr>
        <w:t>a question du renforcement de la transparenc</w:t>
      </w:r>
      <w:r w:rsidR="000F4364" w:rsidRPr="008B2DDA">
        <w:rPr>
          <w:b/>
          <w:szCs w:val="22"/>
          <w:lang w:val="fr-CH"/>
        </w:rPr>
        <w:t>e en vertu de la règle 5.5</w:t>
      </w:r>
      <w:proofErr w:type="gramStart"/>
      <w:r w:rsidR="000F4364" w:rsidRPr="008B2DDA">
        <w:rPr>
          <w:b/>
          <w:szCs w:val="22"/>
          <w:lang w:val="fr-CH"/>
        </w:rPr>
        <w:t>)ii</w:t>
      </w:r>
      <w:proofErr w:type="gramEnd"/>
      <w:r w:rsidR="000F4364" w:rsidRPr="008B2DDA">
        <w:rPr>
          <w:b/>
          <w:szCs w:val="22"/>
          <w:lang w:val="fr-CH"/>
        </w:rPr>
        <w:t>)</w:t>
      </w:r>
    </w:p>
    <w:p w14:paraId="161EB50E" w14:textId="77777777" w:rsidR="000274BC" w:rsidRPr="008B2DDA" w:rsidRDefault="000274BC" w:rsidP="008B2DDA">
      <w:pPr>
        <w:rPr>
          <w:szCs w:val="22"/>
          <w:lang w:val="fr-CH"/>
        </w:rPr>
      </w:pPr>
    </w:p>
    <w:p w14:paraId="3314A012" w14:textId="77777777" w:rsidR="000274BC" w:rsidRPr="008B2DDA" w:rsidRDefault="000274BC" w:rsidP="008B2DDA">
      <w:pPr>
        <w:rPr>
          <w:szCs w:val="22"/>
          <w:lang w:val="fr-CH"/>
        </w:rPr>
      </w:pPr>
      <w:r w:rsidRPr="008B2DDA">
        <w:rPr>
          <w:szCs w:val="22"/>
          <w:lang w:val="fr-CH"/>
        </w:rPr>
        <w:t>Vu que cette disposition à un caractère facultatif, elle est acceptable.</w:t>
      </w:r>
    </w:p>
    <w:p w14:paraId="0C018C4A" w14:textId="77777777" w:rsidR="000F4364" w:rsidRPr="008B2DDA" w:rsidRDefault="000F4364" w:rsidP="008B2DDA">
      <w:pPr>
        <w:rPr>
          <w:szCs w:val="22"/>
          <w:lang w:val="fr-CH"/>
        </w:rPr>
      </w:pPr>
    </w:p>
    <w:p w14:paraId="394D9F0B" w14:textId="77777777" w:rsidR="000274BC" w:rsidRPr="0002751B" w:rsidRDefault="000274BC" w:rsidP="008B2DDA">
      <w:pPr>
        <w:rPr>
          <w:b/>
          <w:bCs/>
          <w:iCs/>
          <w:szCs w:val="22"/>
          <w:lang w:val="fr-CH"/>
        </w:rPr>
      </w:pPr>
      <w:r w:rsidRPr="0002751B">
        <w:rPr>
          <w:b/>
          <w:bCs/>
          <w:iCs/>
          <w:szCs w:val="22"/>
          <w:lang w:val="fr-CH"/>
        </w:rPr>
        <w:t>L’INNORPI accepte la règle 5.5) ii).</w:t>
      </w:r>
    </w:p>
    <w:p w14:paraId="71DB2DED" w14:textId="77777777" w:rsidR="000274BC" w:rsidRPr="008B2DDA" w:rsidRDefault="000274BC" w:rsidP="008B2DDA">
      <w:pPr>
        <w:rPr>
          <w:b/>
          <w:bCs/>
          <w:i/>
          <w:iCs/>
          <w:szCs w:val="22"/>
          <w:lang w:val="fr-CH"/>
        </w:rPr>
      </w:pPr>
    </w:p>
    <w:p w14:paraId="007DE180" w14:textId="77777777" w:rsidR="000274BC" w:rsidRPr="008B2DDA" w:rsidRDefault="000274BC" w:rsidP="008B2DDA">
      <w:pPr>
        <w:rPr>
          <w:b/>
          <w:bCs/>
          <w:i/>
          <w:iCs/>
          <w:szCs w:val="22"/>
          <w:lang w:val="fr-CH"/>
        </w:rPr>
      </w:pPr>
    </w:p>
    <w:p w14:paraId="78409D79" w14:textId="322A6480" w:rsidR="000274BC" w:rsidRPr="008B2DDA" w:rsidRDefault="000274BC" w:rsidP="0002751B">
      <w:pPr>
        <w:rPr>
          <w:b/>
          <w:lang w:val="fr-CH"/>
        </w:rPr>
      </w:pPr>
      <w:r w:rsidRPr="008B2DDA">
        <w:rPr>
          <w:b/>
          <w:lang w:val="fr-CH"/>
        </w:rPr>
        <w:t>II.</w:t>
      </w:r>
      <w:r w:rsidRPr="008B2DDA">
        <w:rPr>
          <w:b/>
          <w:lang w:val="fr-CH"/>
        </w:rPr>
        <w:tab/>
        <w:t>Les questions telles qu’elles figurent d</w:t>
      </w:r>
      <w:r w:rsidR="000F4364" w:rsidRPr="008B2DDA">
        <w:rPr>
          <w:b/>
          <w:lang w:val="fr-CH"/>
        </w:rPr>
        <w:t>ans le document LI/WG/DEV/10/2</w:t>
      </w:r>
    </w:p>
    <w:p w14:paraId="61E63114" w14:textId="77777777" w:rsidR="000274BC" w:rsidRPr="008B2DDA" w:rsidRDefault="000274BC" w:rsidP="008B2DDA">
      <w:pPr>
        <w:rPr>
          <w:lang w:val="fr-CH"/>
        </w:rPr>
      </w:pPr>
    </w:p>
    <w:p w14:paraId="56F5B6E3" w14:textId="3831D432" w:rsidR="000274BC" w:rsidRPr="008B2DDA" w:rsidRDefault="000274BC" w:rsidP="008B2DDA">
      <w:pPr>
        <w:rPr>
          <w:szCs w:val="22"/>
          <w:lang w:val="fr-CH"/>
        </w:rPr>
      </w:pPr>
      <w:r w:rsidRPr="008B2DDA">
        <w:rPr>
          <w:b/>
          <w:bCs/>
          <w:szCs w:val="22"/>
          <w:lang w:val="fr-CH"/>
        </w:rPr>
        <w:t>xiv)</w:t>
      </w:r>
      <w:r w:rsidR="000F4364" w:rsidRPr="008B2DDA">
        <w:rPr>
          <w:szCs w:val="22"/>
          <w:lang w:val="fr-CH"/>
        </w:rPr>
        <w:tab/>
      </w:r>
      <w:r w:rsidR="000F4364" w:rsidRPr="008B2DDA">
        <w:rPr>
          <w:b/>
          <w:szCs w:val="22"/>
          <w:lang w:val="fr-CH"/>
        </w:rPr>
        <w:t>L</w:t>
      </w:r>
      <w:r w:rsidRPr="008B2DDA">
        <w:rPr>
          <w:b/>
          <w:szCs w:val="22"/>
          <w:lang w:val="fr-CH"/>
        </w:rPr>
        <w:t>es aspects relatifs à la mis</w:t>
      </w:r>
      <w:r w:rsidR="000F4364" w:rsidRPr="008B2DDA">
        <w:rPr>
          <w:b/>
          <w:szCs w:val="22"/>
          <w:lang w:val="fr-CH"/>
        </w:rPr>
        <w:t>e en œuvre de l’article 1.xiv)</w:t>
      </w:r>
    </w:p>
    <w:p w14:paraId="2B760E83" w14:textId="77777777" w:rsidR="000274BC" w:rsidRPr="008B2DDA" w:rsidRDefault="000274BC" w:rsidP="008B2DDA">
      <w:pPr>
        <w:rPr>
          <w:szCs w:val="22"/>
          <w:lang w:val="fr-CH"/>
        </w:rPr>
      </w:pPr>
    </w:p>
    <w:p w14:paraId="6B178E94" w14:textId="77777777" w:rsidR="000274BC" w:rsidRPr="008B2DDA" w:rsidRDefault="000274BC" w:rsidP="008B2DDA">
      <w:pPr>
        <w:rPr>
          <w:szCs w:val="22"/>
          <w:lang w:val="fr-CH"/>
        </w:rPr>
      </w:pPr>
      <w:r w:rsidRPr="008B2DDA">
        <w:rPr>
          <w:szCs w:val="22"/>
          <w:lang w:val="fr-CH"/>
        </w:rPr>
        <w:t>Conformément à la législation tunisienne en vigueur, l’adhésion des organisations intergouvernementales à l’Arrangement de Lisbonne révisé ne pose aucun problème au niveau pratique.</w:t>
      </w:r>
    </w:p>
    <w:p w14:paraId="01C5BF8D" w14:textId="77777777" w:rsidR="000274BC" w:rsidRPr="008B2DDA" w:rsidRDefault="000274BC" w:rsidP="008B2DDA">
      <w:pPr>
        <w:rPr>
          <w:szCs w:val="22"/>
          <w:lang w:val="fr-CH"/>
        </w:rPr>
      </w:pPr>
    </w:p>
    <w:p w14:paraId="1A523A66" w14:textId="4FF3931C" w:rsidR="000274BC" w:rsidRPr="0002751B" w:rsidRDefault="000274BC" w:rsidP="008B2DDA">
      <w:pPr>
        <w:rPr>
          <w:b/>
          <w:bCs/>
          <w:iCs/>
          <w:szCs w:val="22"/>
          <w:lang w:val="fr-CH"/>
        </w:rPr>
      </w:pPr>
      <w:r w:rsidRPr="0002751B">
        <w:rPr>
          <w:b/>
          <w:bCs/>
          <w:iCs/>
          <w:szCs w:val="22"/>
          <w:lang w:val="fr-CH"/>
        </w:rPr>
        <w:t>L’INNORPI accepte l’adhésion des organisations intergouvernementales à l’</w:t>
      </w:r>
      <w:r w:rsidR="000F4364" w:rsidRPr="0002751B">
        <w:rPr>
          <w:b/>
          <w:bCs/>
          <w:iCs/>
          <w:szCs w:val="22"/>
          <w:lang w:val="fr-CH"/>
        </w:rPr>
        <w:t>Arrangement de Lisbonne révisé.</w:t>
      </w:r>
    </w:p>
    <w:p w14:paraId="5F971B0B" w14:textId="77777777" w:rsidR="000274BC" w:rsidRPr="008B2DDA" w:rsidRDefault="000274BC" w:rsidP="008B2DDA">
      <w:pPr>
        <w:rPr>
          <w:b/>
          <w:bCs/>
          <w:i/>
          <w:iCs/>
          <w:szCs w:val="22"/>
          <w:lang w:val="fr-CH"/>
        </w:rPr>
      </w:pPr>
    </w:p>
    <w:p w14:paraId="5C02E9B1" w14:textId="5E473263" w:rsidR="000274BC" w:rsidRPr="008B2DDA" w:rsidRDefault="000274BC" w:rsidP="008B2DDA">
      <w:pPr>
        <w:rPr>
          <w:szCs w:val="22"/>
          <w:lang w:val="fr-CH"/>
        </w:rPr>
      </w:pPr>
      <w:r w:rsidRPr="008B2DDA">
        <w:rPr>
          <w:b/>
          <w:bCs/>
          <w:szCs w:val="22"/>
          <w:lang w:val="fr-CH"/>
        </w:rPr>
        <w:t>xv)</w:t>
      </w:r>
      <w:r w:rsidRPr="008B2DDA">
        <w:rPr>
          <w:b/>
          <w:bCs/>
          <w:szCs w:val="22"/>
          <w:lang w:val="fr-CH"/>
        </w:rPr>
        <w:tab/>
      </w:r>
      <w:r w:rsidR="000F4364" w:rsidRPr="008B2DDA">
        <w:rPr>
          <w:b/>
          <w:szCs w:val="22"/>
          <w:lang w:val="fr-CH"/>
        </w:rPr>
        <w:t>L</w:t>
      </w:r>
      <w:r w:rsidRPr="008B2DDA">
        <w:rPr>
          <w:b/>
          <w:szCs w:val="22"/>
          <w:lang w:val="fr-CH"/>
        </w:rPr>
        <w:t>a teneur de l’article 2.2) et de l’article 5.4) concernant les aires géogra</w:t>
      </w:r>
      <w:r w:rsidR="000F4364" w:rsidRPr="008B2DDA">
        <w:rPr>
          <w:b/>
          <w:szCs w:val="22"/>
          <w:lang w:val="fr-CH"/>
        </w:rPr>
        <w:t>phiques d’origine frontalières</w:t>
      </w:r>
    </w:p>
    <w:p w14:paraId="76CC128D" w14:textId="77777777" w:rsidR="000274BC" w:rsidRPr="008B2DDA" w:rsidRDefault="000274BC" w:rsidP="008B2DDA">
      <w:pPr>
        <w:rPr>
          <w:szCs w:val="22"/>
          <w:lang w:val="fr-CH"/>
        </w:rPr>
      </w:pPr>
    </w:p>
    <w:p w14:paraId="0DF0909B" w14:textId="77777777" w:rsidR="000274BC" w:rsidRPr="008B2DDA" w:rsidRDefault="000274BC" w:rsidP="008B2DDA">
      <w:pPr>
        <w:rPr>
          <w:szCs w:val="22"/>
          <w:lang w:val="fr-CH"/>
        </w:rPr>
      </w:pPr>
      <w:r w:rsidRPr="008B2DDA">
        <w:rPr>
          <w:szCs w:val="22"/>
          <w:lang w:val="fr-CH"/>
        </w:rPr>
        <w:t>La Tunisie fait part de sa préférence pour la suppression des crochets dans l’article 2.2 qui fait référence à l’aire géographique transfrontalière, d’autant que l’article 5.4) n’exige pas une demande conjointe pour l’enregistrement international d’une appellation d’origine ou d’une indication géographique en cas d’aire géographique transfrontalière.</w:t>
      </w:r>
    </w:p>
    <w:p w14:paraId="60E834A4" w14:textId="77777777" w:rsidR="000274BC" w:rsidRPr="008B2DDA" w:rsidRDefault="000274BC" w:rsidP="008B2DDA">
      <w:pPr>
        <w:rPr>
          <w:szCs w:val="22"/>
          <w:lang w:val="fr-CH"/>
        </w:rPr>
      </w:pPr>
    </w:p>
    <w:p w14:paraId="47386978" w14:textId="77777777" w:rsidR="000274BC" w:rsidRPr="0002751B" w:rsidRDefault="000274BC" w:rsidP="008B2DDA">
      <w:pPr>
        <w:rPr>
          <w:b/>
          <w:bCs/>
          <w:iCs/>
          <w:szCs w:val="22"/>
          <w:lang w:val="fr-CH"/>
        </w:rPr>
      </w:pPr>
      <w:r w:rsidRPr="0002751B">
        <w:rPr>
          <w:b/>
          <w:bCs/>
          <w:iCs/>
          <w:szCs w:val="22"/>
          <w:lang w:val="fr-CH"/>
        </w:rPr>
        <w:t>L’INNORPI est en faveur de l’option susmentionnée.</w:t>
      </w:r>
    </w:p>
    <w:p w14:paraId="5A32FE07" w14:textId="77777777" w:rsidR="000274BC" w:rsidRPr="008B2DDA" w:rsidRDefault="000274BC" w:rsidP="008B2DDA">
      <w:pPr>
        <w:rPr>
          <w:b/>
          <w:bCs/>
          <w:i/>
          <w:iCs/>
          <w:szCs w:val="22"/>
          <w:lang w:val="fr-CH"/>
        </w:rPr>
      </w:pPr>
    </w:p>
    <w:p w14:paraId="7BC3FBC6" w14:textId="3D44C39C" w:rsidR="000274BC" w:rsidRPr="008B2DDA" w:rsidRDefault="000274BC" w:rsidP="008B2DDA">
      <w:pPr>
        <w:rPr>
          <w:szCs w:val="22"/>
          <w:lang w:val="fr-CH"/>
        </w:rPr>
      </w:pPr>
      <w:r w:rsidRPr="008B2DDA">
        <w:rPr>
          <w:b/>
          <w:bCs/>
          <w:szCs w:val="22"/>
          <w:lang w:val="fr-CH"/>
        </w:rPr>
        <w:t>xvi)</w:t>
      </w:r>
      <w:r w:rsidRPr="008B2DDA">
        <w:rPr>
          <w:b/>
          <w:bCs/>
          <w:szCs w:val="22"/>
          <w:lang w:val="fr-CH"/>
        </w:rPr>
        <w:tab/>
      </w:r>
      <w:r w:rsidR="000F4364" w:rsidRPr="008B2DDA">
        <w:rPr>
          <w:b/>
          <w:szCs w:val="22"/>
          <w:lang w:val="fr-CH"/>
        </w:rPr>
        <w:t>L</w:t>
      </w:r>
      <w:r w:rsidRPr="008B2DDA">
        <w:rPr>
          <w:b/>
          <w:szCs w:val="22"/>
          <w:lang w:val="fr-CH"/>
        </w:rPr>
        <w:t>a question de la qualité pour déposer une dema</w:t>
      </w:r>
      <w:r w:rsidR="000F4364" w:rsidRPr="008B2DDA">
        <w:rPr>
          <w:b/>
          <w:szCs w:val="22"/>
          <w:lang w:val="fr-CH"/>
        </w:rPr>
        <w:t>nde au titre de l’article 5.2)</w:t>
      </w:r>
    </w:p>
    <w:p w14:paraId="289EE194" w14:textId="77777777" w:rsidR="000274BC" w:rsidRPr="008B2DDA" w:rsidRDefault="000274BC" w:rsidP="008B2DDA">
      <w:pPr>
        <w:rPr>
          <w:szCs w:val="22"/>
          <w:lang w:val="fr-CH"/>
        </w:rPr>
      </w:pPr>
    </w:p>
    <w:p w14:paraId="7240ADF9" w14:textId="77777777" w:rsidR="000274BC" w:rsidRPr="008B2DDA" w:rsidRDefault="000274BC" w:rsidP="008B2DDA">
      <w:pPr>
        <w:rPr>
          <w:szCs w:val="22"/>
          <w:lang w:val="fr-CH"/>
        </w:rPr>
      </w:pPr>
      <w:r w:rsidRPr="008B2DDA">
        <w:rPr>
          <w:szCs w:val="22"/>
          <w:lang w:val="fr-CH"/>
        </w:rPr>
        <w:t>Le droit de présenter une demande d’enregistrement international d’une appellation d’origine ou d’une indication géographique par l’administration compétente est acceptable en Tunisie dans la mesure ou l’appellation d’origine et l’indication géographique sont des signes publics dont le titre de propriété intellectuelle est inaliénable et collectif.</w:t>
      </w:r>
    </w:p>
    <w:p w14:paraId="365F270A" w14:textId="77777777" w:rsidR="000274BC" w:rsidRPr="008B2DDA" w:rsidRDefault="000274BC" w:rsidP="008B2DDA">
      <w:pPr>
        <w:rPr>
          <w:szCs w:val="22"/>
          <w:lang w:val="fr-CH"/>
        </w:rPr>
      </w:pPr>
    </w:p>
    <w:p w14:paraId="7B696E97" w14:textId="77777777" w:rsidR="000274BC" w:rsidRPr="0002751B" w:rsidRDefault="000274BC" w:rsidP="008B2DDA">
      <w:pPr>
        <w:rPr>
          <w:b/>
          <w:bCs/>
          <w:iCs/>
          <w:szCs w:val="22"/>
          <w:lang w:val="fr-CH"/>
        </w:rPr>
      </w:pPr>
      <w:r w:rsidRPr="0002751B">
        <w:rPr>
          <w:b/>
          <w:bCs/>
          <w:iCs/>
          <w:szCs w:val="22"/>
          <w:lang w:val="fr-CH"/>
        </w:rPr>
        <w:t>L’INNORPI accepte le droit de présenter une demande d’enregistrement international pour une appellation d’origine ou une indication géographique par l’administration compétente.</w:t>
      </w:r>
    </w:p>
    <w:p w14:paraId="16C48D65" w14:textId="77777777" w:rsidR="000274BC" w:rsidRPr="008B2DDA" w:rsidRDefault="000274BC" w:rsidP="008B2DDA">
      <w:pPr>
        <w:rPr>
          <w:b/>
          <w:bCs/>
          <w:i/>
          <w:iCs/>
          <w:szCs w:val="22"/>
          <w:lang w:val="fr-CH"/>
        </w:rPr>
      </w:pPr>
    </w:p>
    <w:p w14:paraId="47709E7F" w14:textId="72818922" w:rsidR="000274BC" w:rsidRPr="008B2DDA" w:rsidRDefault="000274BC" w:rsidP="008B2DDA">
      <w:pPr>
        <w:rPr>
          <w:szCs w:val="22"/>
          <w:lang w:val="fr-CH"/>
        </w:rPr>
      </w:pPr>
      <w:r w:rsidRPr="008B2DDA">
        <w:rPr>
          <w:b/>
          <w:bCs/>
          <w:szCs w:val="22"/>
          <w:lang w:val="fr-CH"/>
        </w:rPr>
        <w:t>xvii)</w:t>
      </w:r>
      <w:r w:rsidRPr="008B2DDA">
        <w:rPr>
          <w:b/>
          <w:bCs/>
          <w:szCs w:val="22"/>
          <w:lang w:val="fr-CH"/>
        </w:rPr>
        <w:tab/>
      </w:r>
      <w:r w:rsidR="000F4364" w:rsidRPr="008B2DDA">
        <w:rPr>
          <w:b/>
          <w:bCs/>
          <w:szCs w:val="22"/>
          <w:lang w:val="fr-CH"/>
        </w:rPr>
        <w:t>L</w:t>
      </w:r>
      <w:r w:rsidRPr="008B2DDA">
        <w:rPr>
          <w:b/>
          <w:szCs w:val="22"/>
          <w:lang w:val="fr-CH"/>
        </w:rPr>
        <w:t>’article 7.5) et 6) et les dispositions connexes concernant l’introduction éve</w:t>
      </w:r>
      <w:r w:rsidR="000F4364" w:rsidRPr="008B2DDA">
        <w:rPr>
          <w:b/>
          <w:szCs w:val="22"/>
          <w:lang w:val="fr-CH"/>
        </w:rPr>
        <w:t>ntuelle de taxes individuelles</w:t>
      </w:r>
    </w:p>
    <w:p w14:paraId="467D5084" w14:textId="77777777" w:rsidR="000274BC" w:rsidRPr="008B2DDA" w:rsidRDefault="000274BC" w:rsidP="008B2DDA">
      <w:pPr>
        <w:rPr>
          <w:szCs w:val="22"/>
          <w:lang w:val="fr-CH"/>
        </w:rPr>
      </w:pPr>
    </w:p>
    <w:p w14:paraId="5086C4C0" w14:textId="1CD9A601" w:rsidR="000274BC" w:rsidRPr="008B2DDA" w:rsidRDefault="000274BC" w:rsidP="008B2DDA">
      <w:pPr>
        <w:rPr>
          <w:szCs w:val="22"/>
          <w:lang w:val="fr-CH"/>
        </w:rPr>
      </w:pPr>
      <w:r w:rsidRPr="008B2DDA">
        <w:rPr>
          <w:szCs w:val="22"/>
          <w:lang w:val="fr-CH"/>
        </w:rPr>
        <w:t>La Tunisie fait part de sa préférence pour l’option A de l’article 7.5) dans la mesure où la loi tunisienne impose le paiement d’une seule taxe couvrant les frais d’examen quant au fond.  Par</w:t>
      </w:r>
      <w:r w:rsidR="000F4364" w:rsidRPr="008B2DDA">
        <w:rPr>
          <w:szCs w:val="22"/>
          <w:lang w:val="fr-CH"/>
        </w:rPr>
        <w:t> </w:t>
      </w:r>
      <w:r w:rsidRPr="008B2DDA">
        <w:rPr>
          <w:szCs w:val="22"/>
          <w:lang w:val="fr-CH"/>
        </w:rPr>
        <w:t>ailleurs, l’appellation d’origine et l’indication géographique sont protégées pour une durée illimitée.  C’est pour cela que les taxes de maintien en vigueur ou de renouvellement paraissent aller à l’encontre de la logique des indications géographiques et des appellations d’origine.</w:t>
      </w:r>
    </w:p>
    <w:p w14:paraId="5D36C9B2" w14:textId="77777777" w:rsidR="000274BC" w:rsidRPr="008B2DDA" w:rsidRDefault="000274BC" w:rsidP="008B2DDA">
      <w:pPr>
        <w:rPr>
          <w:szCs w:val="22"/>
          <w:lang w:val="fr-CH"/>
        </w:rPr>
      </w:pPr>
    </w:p>
    <w:p w14:paraId="19E4AA9A" w14:textId="77777777" w:rsidR="000274BC" w:rsidRPr="008B2DDA" w:rsidRDefault="000274BC" w:rsidP="008B2DDA">
      <w:pPr>
        <w:rPr>
          <w:szCs w:val="22"/>
          <w:lang w:val="fr-CH"/>
        </w:rPr>
      </w:pPr>
      <w:r w:rsidRPr="008B2DDA">
        <w:rPr>
          <w:szCs w:val="22"/>
          <w:lang w:val="fr-CH"/>
        </w:rPr>
        <w:lastRenderedPageBreak/>
        <w:t>De même, des obligations financières supplémentaires pourraient avoir un effet dissuasif sur les titulaires de droits, en particulier sur les producteurs de petite et moyenne taille surtout dans les pays en développement comme la Tunisie.</w:t>
      </w:r>
    </w:p>
    <w:p w14:paraId="74718FDD" w14:textId="77777777" w:rsidR="000274BC" w:rsidRPr="008B2DDA" w:rsidRDefault="000274BC" w:rsidP="008B2DDA">
      <w:pPr>
        <w:rPr>
          <w:szCs w:val="22"/>
          <w:lang w:val="fr-CH"/>
        </w:rPr>
      </w:pPr>
    </w:p>
    <w:p w14:paraId="43A8FAC9" w14:textId="77777777" w:rsidR="000274BC" w:rsidRPr="008B2DDA" w:rsidRDefault="000274BC" w:rsidP="008B2DDA">
      <w:pPr>
        <w:rPr>
          <w:szCs w:val="22"/>
          <w:lang w:val="fr-CH"/>
        </w:rPr>
      </w:pPr>
      <w:r w:rsidRPr="008B2DDA">
        <w:rPr>
          <w:szCs w:val="22"/>
          <w:lang w:val="fr-CH"/>
        </w:rPr>
        <w:t>Toutefois, l’article 7.3) de l’Arrangement de Lisbonne révisé prévoit un régime de taxes réduites pour les pays en développement et les moins avancés.</w:t>
      </w:r>
    </w:p>
    <w:p w14:paraId="44A9C145" w14:textId="77777777" w:rsidR="000274BC" w:rsidRPr="008B2DDA" w:rsidRDefault="000274BC" w:rsidP="008B2DDA">
      <w:pPr>
        <w:rPr>
          <w:szCs w:val="22"/>
          <w:lang w:val="fr-CH"/>
        </w:rPr>
      </w:pPr>
    </w:p>
    <w:p w14:paraId="3F683C26" w14:textId="77777777" w:rsidR="000274BC" w:rsidRPr="0002751B" w:rsidRDefault="000274BC" w:rsidP="008B2DDA">
      <w:pPr>
        <w:rPr>
          <w:b/>
          <w:bCs/>
          <w:iCs/>
          <w:szCs w:val="22"/>
          <w:lang w:val="fr-CH"/>
        </w:rPr>
      </w:pPr>
      <w:r w:rsidRPr="0002751B">
        <w:rPr>
          <w:b/>
          <w:bCs/>
          <w:iCs/>
          <w:szCs w:val="22"/>
          <w:lang w:val="fr-CH"/>
        </w:rPr>
        <w:t>L’INNORPI est en faveur de cette alternative.</w:t>
      </w:r>
    </w:p>
    <w:p w14:paraId="1CD84D9B" w14:textId="77777777" w:rsidR="000274BC" w:rsidRPr="008B2DDA" w:rsidRDefault="000274BC" w:rsidP="008B2DDA">
      <w:pPr>
        <w:rPr>
          <w:b/>
          <w:bCs/>
          <w:i/>
          <w:iCs/>
          <w:szCs w:val="22"/>
          <w:lang w:val="fr-CH"/>
        </w:rPr>
      </w:pPr>
    </w:p>
    <w:p w14:paraId="18A5C114" w14:textId="75926A65" w:rsidR="000274BC" w:rsidRPr="008B2DDA" w:rsidRDefault="000274BC" w:rsidP="008B2DDA">
      <w:pPr>
        <w:rPr>
          <w:szCs w:val="22"/>
          <w:lang w:val="fr-CH"/>
        </w:rPr>
      </w:pPr>
      <w:r w:rsidRPr="008B2DDA">
        <w:rPr>
          <w:b/>
          <w:bCs/>
          <w:szCs w:val="22"/>
          <w:lang w:val="fr-CH"/>
        </w:rPr>
        <w:t>xviii)</w:t>
      </w:r>
      <w:r w:rsidRPr="008B2DDA">
        <w:rPr>
          <w:b/>
          <w:bCs/>
          <w:szCs w:val="22"/>
          <w:lang w:val="fr-CH"/>
        </w:rPr>
        <w:tab/>
      </w:r>
      <w:r w:rsidR="000F4364" w:rsidRPr="008B2DDA">
        <w:rPr>
          <w:b/>
          <w:szCs w:val="22"/>
          <w:lang w:val="fr-CH"/>
        </w:rPr>
        <w:t>L</w:t>
      </w:r>
      <w:r w:rsidRPr="008B2DDA">
        <w:rPr>
          <w:b/>
          <w:szCs w:val="22"/>
          <w:lang w:val="fr-CH"/>
        </w:rPr>
        <w:t>a question du projet de déclaration commune figurant dans la note 1 relative à l’article 11 et des dispositions se rapportan</w:t>
      </w:r>
      <w:r w:rsidR="000F4364" w:rsidRPr="008B2DDA">
        <w:rPr>
          <w:b/>
          <w:szCs w:val="22"/>
          <w:lang w:val="fr-CH"/>
        </w:rPr>
        <w:t>t à la même question</w:t>
      </w:r>
    </w:p>
    <w:p w14:paraId="29ECDEA7" w14:textId="77777777" w:rsidR="000274BC" w:rsidRPr="008B2DDA" w:rsidRDefault="000274BC" w:rsidP="008B2DDA">
      <w:pPr>
        <w:rPr>
          <w:szCs w:val="22"/>
          <w:lang w:val="fr-CH"/>
        </w:rPr>
      </w:pPr>
    </w:p>
    <w:p w14:paraId="7F2683F5" w14:textId="77777777" w:rsidR="000274BC" w:rsidRPr="008B2DDA" w:rsidRDefault="000274BC" w:rsidP="008B2DDA">
      <w:pPr>
        <w:rPr>
          <w:szCs w:val="22"/>
          <w:lang w:val="fr-CH"/>
        </w:rPr>
      </w:pPr>
      <w:r w:rsidRPr="008B2DDA">
        <w:rPr>
          <w:szCs w:val="22"/>
          <w:lang w:val="fr-CH"/>
        </w:rPr>
        <w:t>La question de coexistence des appellations d’origine et des indications géographiques homonymes n’est pas prévue dans la législation tunisienne.</w:t>
      </w:r>
    </w:p>
    <w:p w14:paraId="03A13F4D" w14:textId="77777777" w:rsidR="000274BC" w:rsidRPr="008B2DDA" w:rsidRDefault="000274BC" w:rsidP="008B2DDA">
      <w:pPr>
        <w:rPr>
          <w:szCs w:val="22"/>
          <w:lang w:val="fr-CH"/>
        </w:rPr>
      </w:pPr>
    </w:p>
    <w:p w14:paraId="5C0612A9" w14:textId="77777777" w:rsidR="000274BC" w:rsidRPr="008B2DDA" w:rsidRDefault="000274BC" w:rsidP="008B2DDA">
      <w:pPr>
        <w:rPr>
          <w:szCs w:val="22"/>
          <w:lang w:val="fr-CH"/>
        </w:rPr>
      </w:pPr>
      <w:r w:rsidRPr="008B2DDA">
        <w:rPr>
          <w:szCs w:val="22"/>
          <w:lang w:val="fr-CH"/>
        </w:rPr>
        <w:t>Toutefois, la note 1 prévoit que le traitement des appellations d’origine et des indications géographiques homonymes relève de la législation nationale de chaque partie contractante.  Donc, elle ne crée pas d’obligation pour les parties contractantes d’octroyer une protection à ce type d’appellations d’origine et d’indications géographiques.</w:t>
      </w:r>
    </w:p>
    <w:p w14:paraId="7006C53E" w14:textId="77777777" w:rsidR="000274BC" w:rsidRPr="008B2DDA" w:rsidRDefault="000274BC" w:rsidP="008B2DDA">
      <w:pPr>
        <w:rPr>
          <w:szCs w:val="22"/>
          <w:lang w:val="fr-CH"/>
        </w:rPr>
      </w:pPr>
    </w:p>
    <w:p w14:paraId="4EC9D249" w14:textId="77777777" w:rsidR="000274BC" w:rsidRPr="0002751B" w:rsidRDefault="000274BC" w:rsidP="008B2DDA">
      <w:pPr>
        <w:rPr>
          <w:b/>
          <w:bCs/>
          <w:iCs/>
          <w:szCs w:val="22"/>
          <w:lang w:val="fr-CH"/>
        </w:rPr>
      </w:pPr>
      <w:r w:rsidRPr="0002751B">
        <w:rPr>
          <w:b/>
          <w:bCs/>
          <w:iCs/>
          <w:szCs w:val="22"/>
          <w:lang w:val="fr-CH"/>
        </w:rPr>
        <w:t>Par conséquent cette note peut être conservée.</w:t>
      </w:r>
    </w:p>
    <w:p w14:paraId="2F95109D" w14:textId="77777777" w:rsidR="000274BC" w:rsidRPr="008B2DDA" w:rsidRDefault="000274BC" w:rsidP="008B2DDA">
      <w:pPr>
        <w:rPr>
          <w:b/>
          <w:bCs/>
          <w:i/>
          <w:iCs/>
          <w:szCs w:val="22"/>
          <w:lang w:val="fr-CH"/>
        </w:rPr>
      </w:pPr>
    </w:p>
    <w:p w14:paraId="34CCC693" w14:textId="00BFC9B5" w:rsidR="000274BC" w:rsidRPr="008B2DDA" w:rsidRDefault="000274BC" w:rsidP="008B2DDA">
      <w:pPr>
        <w:rPr>
          <w:lang w:val="fr-CH"/>
        </w:rPr>
      </w:pPr>
      <w:r w:rsidRPr="008B2DDA">
        <w:rPr>
          <w:b/>
          <w:bCs/>
          <w:lang w:val="fr-CH"/>
        </w:rPr>
        <w:t>xix)</w:t>
      </w:r>
      <w:r w:rsidR="000F4364" w:rsidRPr="008B2DDA">
        <w:rPr>
          <w:lang w:val="fr-CH"/>
        </w:rPr>
        <w:tab/>
      </w:r>
      <w:r w:rsidR="000F4364" w:rsidRPr="008B2DDA">
        <w:rPr>
          <w:b/>
          <w:lang w:val="fr-CH"/>
        </w:rPr>
        <w:t>L</w:t>
      </w:r>
      <w:r w:rsidRPr="008B2DDA">
        <w:rPr>
          <w:b/>
          <w:lang w:val="fr-CH"/>
        </w:rPr>
        <w:t>a question de savoir si l’article 19.1) devrait établir une liste exhaustive ou non exhaus</w:t>
      </w:r>
      <w:r w:rsidR="000F4364" w:rsidRPr="008B2DDA">
        <w:rPr>
          <w:b/>
          <w:lang w:val="fr-CH"/>
        </w:rPr>
        <w:t>tive des motifs d’invalidation</w:t>
      </w:r>
    </w:p>
    <w:p w14:paraId="2EEAD743" w14:textId="77777777" w:rsidR="000274BC" w:rsidRPr="008B2DDA" w:rsidRDefault="000274BC" w:rsidP="008B2DDA">
      <w:pPr>
        <w:tabs>
          <w:tab w:val="left" w:pos="6450"/>
        </w:tabs>
        <w:rPr>
          <w:szCs w:val="22"/>
          <w:lang w:val="fr-CH"/>
        </w:rPr>
      </w:pPr>
    </w:p>
    <w:p w14:paraId="0250E15D" w14:textId="77777777" w:rsidR="000274BC" w:rsidRPr="008B2DDA" w:rsidRDefault="000274BC" w:rsidP="008B2DDA">
      <w:pPr>
        <w:tabs>
          <w:tab w:val="left" w:pos="6450"/>
        </w:tabs>
        <w:rPr>
          <w:szCs w:val="22"/>
          <w:lang w:val="fr-CH"/>
        </w:rPr>
      </w:pPr>
      <w:r w:rsidRPr="008B2DDA">
        <w:rPr>
          <w:szCs w:val="22"/>
          <w:lang w:val="fr-CH"/>
        </w:rPr>
        <w:t>La Tunisie exprime sa préférence pour l’option B de l’article 19.1) qui limiterait les motifs d’invalidation à deux cas à savoir :</w:t>
      </w:r>
    </w:p>
    <w:p w14:paraId="73E24CDA" w14:textId="77777777" w:rsidR="000274BC" w:rsidRPr="008B2DDA" w:rsidRDefault="000274BC" w:rsidP="008B2DDA">
      <w:pPr>
        <w:tabs>
          <w:tab w:val="left" w:pos="6450"/>
        </w:tabs>
        <w:rPr>
          <w:szCs w:val="22"/>
          <w:lang w:val="fr-CH"/>
        </w:rPr>
      </w:pPr>
    </w:p>
    <w:p w14:paraId="4BAB3D82" w14:textId="62C08611" w:rsidR="000274BC" w:rsidRPr="008B2DDA" w:rsidRDefault="000274BC" w:rsidP="008B2DDA">
      <w:pPr>
        <w:tabs>
          <w:tab w:val="left" w:pos="567"/>
          <w:tab w:val="left" w:pos="1134"/>
          <w:tab w:val="left" w:pos="6450"/>
        </w:tabs>
        <w:rPr>
          <w:szCs w:val="22"/>
          <w:lang w:val="fr-CH"/>
        </w:rPr>
      </w:pPr>
      <w:r w:rsidRPr="008B2DDA">
        <w:rPr>
          <w:szCs w:val="22"/>
          <w:lang w:val="fr-CH"/>
        </w:rPr>
        <w:tab/>
        <w:t>1)</w:t>
      </w:r>
      <w:r w:rsidRPr="008B2DDA">
        <w:rPr>
          <w:szCs w:val="22"/>
          <w:lang w:val="fr-CH"/>
        </w:rPr>
        <w:tab/>
        <w:t>l’existence d’un droit antérieur conformément à l’article 13</w:t>
      </w:r>
      <w:r w:rsidR="000F4364" w:rsidRPr="008B2DDA">
        <w:rPr>
          <w:szCs w:val="22"/>
          <w:lang w:val="fr-CH"/>
        </w:rPr>
        <w:t>;</w:t>
      </w:r>
    </w:p>
    <w:p w14:paraId="03638DCE" w14:textId="77777777" w:rsidR="000274BC" w:rsidRPr="008B2DDA" w:rsidRDefault="000274BC" w:rsidP="008B2DDA">
      <w:pPr>
        <w:tabs>
          <w:tab w:val="left" w:pos="567"/>
          <w:tab w:val="left" w:pos="1134"/>
          <w:tab w:val="left" w:pos="6450"/>
        </w:tabs>
        <w:rPr>
          <w:szCs w:val="22"/>
          <w:lang w:val="fr-CH"/>
        </w:rPr>
      </w:pPr>
    </w:p>
    <w:p w14:paraId="1D43C8B1" w14:textId="196159AA" w:rsidR="000274BC" w:rsidRPr="008B2DDA" w:rsidRDefault="000274BC" w:rsidP="008B2DDA">
      <w:pPr>
        <w:tabs>
          <w:tab w:val="left" w:pos="567"/>
          <w:tab w:val="left" w:pos="1134"/>
          <w:tab w:val="left" w:pos="6450"/>
        </w:tabs>
        <w:rPr>
          <w:szCs w:val="22"/>
          <w:lang w:val="fr-CH"/>
        </w:rPr>
      </w:pPr>
      <w:r w:rsidRPr="008B2DDA">
        <w:rPr>
          <w:szCs w:val="22"/>
          <w:lang w:val="fr-CH"/>
        </w:rPr>
        <w:tab/>
        <w:t>2)</w:t>
      </w:r>
      <w:r w:rsidRPr="008B2DDA">
        <w:rPr>
          <w:szCs w:val="22"/>
          <w:lang w:val="fr-CH"/>
        </w:rPr>
        <w:tab/>
        <w:t>la non</w:t>
      </w:r>
      <w:r w:rsidR="00D67EA4" w:rsidRPr="008B2DDA">
        <w:rPr>
          <w:szCs w:val="22"/>
          <w:lang w:val="fr-CH"/>
        </w:rPr>
        <w:noBreakHyphen/>
      </w:r>
      <w:r w:rsidRPr="008B2DDA">
        <w:rPr>
          <w:szCs w:val="22"/>
          <w:lang w:val="fr-CH"/>
        </w:rPr>
        <w:t>conformité avec la définition</w:t>
      </w:r>
      <w:r w:rsidR="000F4364" w:rsidRPr="008B2DDA">
        <w:rPr>
          <w:szCs w:val="22"/>
          <w:lang w:val="fr-CH"/>
        </w:rPr>
        <w:t>.</w:t>
      </w:r>
    </w:p>
    <w:p w14:paraId="4C76F243" w14:textId="77777777" w:rsidR="000274BC" w:rsidRPr="008B2DDA" w:rsidRDefault="000274BC" w:rsidP="008B2DDA">
      <w:pPr>
        <w:tabs>
          <w:tab w:val="left" w:pos="567"/>
          <w:tab w:val="left" w:pos="1134"/>
          <w:tab w:val="left" w:pos="6450"/>
        </w:tabs>
        <w:rPr>
          <w:szCs w:val="22"/>
          <w:lang w:val="fr-CH"/>
        </w:rPr>
      </w:pPr>
    </w:p>
    <w:p w14:paraId="0A38C484" w14:textId="77777777" w:rsidR="000274BC" w:rsidRPr="0002751B" w:rsidRDefault="000274BC" w:rsidP="008B2DDA">
      <w:pPr>
        <w:tabs>
          <w:tab w:val="left" w:pos="6450"/>
        </w:tabs>
        <w:rPr>
          <w:b/>
          <w:bCs/>
          <w:iCs/>
          <w:szCs w:val="22"/>
          <w:lang w:val="fr-CH"/>
        </w:rPr>
      </w:pPr>
      <w:r w:rsidRPr="0002751B">
        <w:rPr>
          <w:b/>
          <w:bCs/>
          <w:iCs/>
          <w:szCs w:val="22"/>
          <w:lang w:val="fr-CH"/>
        </w:rPr>
        <w:t>L’INNORPI est en faveur de l’option B de l’article 19.1).</w:t>
      </w:r>
    </w:p>
    <w:p w14:paraId="3ED7BD11" w14:textId="77777777" w:rsidR="000274BC" w:rsidRPr="008B2DDA" w:rsidRDefault="000274BC" w:rsidP="008B2DDA">
      <w:pPr>
        <w:tabs>
          <w:tab w:val="left" w:pos="6450"/>
        </w:tabs>
        <w:rPr>
          <w:b/>
          <w:bCs/>
          <w:i/>
          <w:iCs/>
          <w:szCs w:val="22"/>
          <w:lang w:val="fr-CH"/>
        </w:rPr>
      </w:pPr>
    </w:p>
    <w:p w14:paraId="58D2C857" w14:textId="5DDADCBA" w:rsidR="000274BC" w:rsidRPr="008B2DDA" w:rsidRDefault="000274BC" w:rsidP="008B2DDA">
      <w:pPr>
        <w:rPr>
          <w:lang w:val="fr-CH"/>
        </w:rPr>
      </w:pPr>
      <w:r w:rsidRPr="008B2DDA">
        <w:rPr>
          <w:b/>
          <w:bCs/>
          <w:lang w:val="fr-CH"/>
        </w:rPr>
        <w:t>xx)</w:t>
      </w:r>
      <w:r w:rsidRPr="008B2DDA">
        <w:rPr>
          <w:b/>
          <w:bCs/>
          <w:lang w:val="fr-CH"/>
        </w:rPr>
        <w:tab/>
      </w:r>
      <w:r w:rsidR="0080323D" w:rsidRPr="008B2DDA">
        <w:rPr>
          <w:b/>
          <w:lang w:val="fr-CH"/>
        </w:rPr>
        <w:t>L</w:t>
      </w:r>
      <w:r w:rsidRPr="008B2DDA">
        <w:rPr>
          <w:b/>
          <w:lang w:val="fr-CH"/>
        </w:rPr>
        <w:t>a question de l’inclusion de la règle 5.4 autorisant une partie contractante à exiger une déclaration d’intention d’utilisation à l’égard d’une appellation d’origine enregistrée ou d’une indic</w:t>
      </w:r>
      <w:r w:rsidR="0080323D" w:rsidRPr="008B2DDA">
        <w:rPr>
          <w:b/>
          <w:lang w:val="fr-CH"/>
        </w:rPr>
        <w:t>ation géographique enregistrée</w:t>
      </w:r>
    </w:p>
    <w:p w14:paraId="295C9DBB" w14:textId="77777777" w:rsidR="000274BC" w:rsidRPr="008B2DDA" w:rsidRDefault="000274BC" w:rsidP="008B2DDA">
      <w:pPr>
        <w:tabs>
          <w:tab w:val="left" w:pos="6450"/>
        </w:tabs>
        <w:rPr>
          <w:szCs w:val="22"/>
          <w:lang w:val="fr-CH"/>
        </w:rPr>
      </w:pPr>
    </w:p>
    <w:p w14:paraId="611BC687" w14:textId="77777777" w:rsidR="000274BC" w:rsidRPr="008B2DDA" w:rsidRDefault="000274BC" w:rsidP="008B2DDA">
      <w:pPr>
        <w:tabs>
          <w:tab w:val="left" w:pos="6450"/>
        </w:tabs>
        <w:rPr>
          <w:szCs w:val="22"/>
          <w:lang w:val="fr-CH"/>
        </w:rPr>
      </w:pPr>
      <w:r w:rsidRPr="008B2DDA">
        <w:rPr>
          <w:szCs w:val="22"/>
          <w:lang w:val="fr-CH"/>
        </w:rPr>
        <w:t>La législation tunisienne ne prévoit pas d’obligation d’utilisation des appellations d’origine et des indications géographiques protégées.</w:t>
      </w:r>
    </w:p>
    <w:p w14:paraId="019C20B5" w14:textId="77777777" w:rsidR="000274BC" w:rsidRPr="008B2DDA" w:rsidRDefault="000274BC" w:rsidP="008B2DDA">
      <w:pPr>
        <w:tabs>
          <w:tab w:val="left" w:pos="6450"/>
        </w:tabs>
        <w:rPr>
          <w:szCs w:val="22"/>
          <w:lang w:val="fr-CH"/>
        </w:rPr>
      </w:pPr>
    </w:p>
    <w:p w14:paraId="5D9F764D" w14:textId="77777777" w:rsidR="000274BC" w:rsidRPr="008B2DDA" w:rsidRDefault="000274BC" w:rsidP="008B2DDA">
      <w:pPr>
        <w:tabs>
          <w:tab w:val="left" w:pos="6450"/>
        </w:tabs>
        <w:rPr>
          <w:szCs w:val="22"/>
          <w:lang w:val="fr-CH"/>
        </w:rPr>
      </w:pPr>
      <w:r w:rsidRPr="008B2DDA">
        <w:rPr>
          <w:szCs w:val="22"/>
          <w:lang w:val="fr-CH"/>
        </w:rPr>
        <w:t>Par ailleurs, une exigence d’intention d’utilisation est inutile dans le cadre du système de Lisbonne révisé, d’autant que les motifs d’invalidation n’incluent pas le défaut d’utilisation comme un motif de refus.</w:t>
      </w:r>
    </w:p>
    <w:p w14:paraId="498A4ACE" w14:textId="77777777" w:rsidR="000274BC" w:rsidRPr="008B2DDA" w:rsidRDefault="000274BC" w:rsidP="008B2DDA">
      <w:pPr>
        <w:tabs>
          <w:tab w:val="left" w:pos="6450"/>
        </w:tabs>
        <w:rPr>
          <w:szCs w:val="22"/>
          <w:lang w:val="fr-CH"/>
        </w:rPr>
      </w:pPr>
    </w:p>
    <w:p w14:paraId="5964962E" w14:textId="77777777" w:rsidR="000274BC" w:rsidRPr="0002751B" w:rsidRDefault="000274BC" w:rsidP="008B2DDA">
      <w:pPr>
        <w:tabs>
          <w:tab w:val="left" w:pos="6450"/>
        </w:tabs>
        <w:rPr>
          <w:b/>
          <w:bCs/>
          <w:iCs/>
          <w:szCs w:val="22"/>
          <w:lang w:val="fr-CH"/>
        </w:rPr>
      </w:pPr>
      <w:r w:rsidRPr="0002751B">
        <w:rPr>
          <w:b/>
          <w:bCs/>
          <w:iCs/>
          <w:szCs w:val="22"/>
          <w:lang w:val="fr-CH"/>
        </w:rPr>
        <w:t>L’INNORPI n’est pas pour l’inclusion de la règle 5.4.</w:t>
      </w:r>
    </w:p>
    <w:p w14:paraId="02E23848" w14:textId="77777777" w:rsidR="000274BC" w:rsidRPr="008B2DDA" w:rsidRDefault="000274BC" w:rsidP="008B2DDA">
      <w:pPr>
        <w:tabs>
          <w:tab w:val="left" w:pos="6450"/>
        </w:tabs>
        <w:rPr>
          <w:b/>
          <w:bCs/>
          <w:i/>
          <w:iCs/>
          <w:szCs w:val="22"/>
          <w:lang w:val="fr-CH"/>
        </w:rPr>
      </w:pPr>
    </w:p>
    <w:p w14:paraId="00AF9CD2" w14:textId="5FD11F5D" w:rsidR="000274BC" w:rsidRPr="008B2DDA" w:rsidRDefault="000274BC" w:rsidP="008B2DDA">
      <w:pPr>
        <w:keepNext/>
        <w:rPr>
          <w:lang w:val="fr-CH"/>
        </w:rPr>
      </w:pPr>
      <w:r w:rsidRPr="008B2DDA">
        <w:rPr>
          <w:b/>
          <w:bCs/>
          <w:lang w:val="fr-CH"/>
        </w:rPr>
        <w:t>xxi)</w:t>
      </w:r>
      <w:r w:rsidR="0080323D" w:rsidRPr="008B2DDA">
        <w:rPr>
          <w:lang w:val="fr-CH"/>
        </w:rPr>
        <w:tab/>
      </w:r>
      <w:r w:rsidR="0080323D" w:rsidRPr="008B2DDA">
        <w:rPr>
          <w:b/>
          <w:lang w:val="fr-CH"/>
        </w:rPr>
        <w:t>L</w:t>
      </w:r>
      <w:r w:rsidRPr="008B2DDA">
        <w:rPr>
          <w:b/>
          <w:lang w:val="fr-CH"/>
        </w:rPr>
        <w:t>e montant des taxes visées à la règle 8.1)</w:t>
      </w:r>
    </w:p>
    <w:p w14:paraId="6C1FCDCC" w14:textId="77777777" w:rsidR="000274BC" w:rsidRPr="008B2DDA" w:rsidRDefault="000274BC" w:rsidP="008B2DDA">
      <w:pPr>
        <w:keepNext/>
        <w:tabs>
          <w:tab w:val="left" w:pos="6450"/>
        </w:tabs>
        <w:rPr>
          <w:szCs w:val="22"/>
          <w:lang w:val="fr-CH"/>
        </w:rPr>
      </w:pPr>
    </w:p>
    <w:p w14:paraId="1B26FD14" w14:textId="77777777" w:rsidR="000274BC" w:rsidRPr="008B2DDA" w:rsidRDefault="000274BC" w:rsidP="008B2DDA">
      <w:pPr>
        <w:tabs>
          <w:tab w:val="left" w:pos="6450"/>
        </w:tabs>
        <w:rPr>
          <w:szCs w:val="22"/>
          <w:lang w:val="fr-CH"/>
        </w:rPr>
      </w:pPr>
      <w:r w:rsidRPr="008B2DDA">
        <w:rPr>
          <w:szCs w:val="22"/>
          <w:lang w:val="fr-CH"/>
        </w:rPr>
        <w:t>L’article 7.3) de l’Arrangement de Lisbonne révisé a envisagé un régime de taxes réduites pour les pays en développement et les pays les moins avancés.</w:t>
      </w:r>
    </w:p>
    <w:p w14:paraId="41C7B1EC" w14:textId="77777777" w:rsidR="000274BC" w:rsidRPr="008B2DDA" w:rsidRDefault="000274BC" w:rsidP="008B2DDA">
      <w:pPr>
        <w:tabs>
          <w:tab w:val="left" w:pos="6450"/>
        </w:tabs>
        <w:rPr>
          <w:szCs w:val="22"/>
          <w:lang w:val="fr-CH"/>
        </w:rPr>
      </w:pPr>
    </w:p>
    <w:p w14:paraId="2501736B" w14:textId="77777777" w:rsidR="000274BC" w:rsidRPr="0002751B" w:rsidRDefault="000274BC" w:rsidP="008B2DDA">
      <w:pPr>
        <w:tabs>
          <w:tab w:val="left" w:pos="6450"/>
        </w:tabs>
        <w:rPr>
          <w:b/>
          <w:bCs/>
          <w:iCs/>
          <w:szCs w:val="22"/>
          <w:lang w:val="fr-CH"/>
        </w:rPr>
      </w:pPr>
      <w:r w:rsidRPr="0002751B">
        <w:rPr>
          <w:b/>
          <w:bCs/>
          <w:iCs/>
          <w:szCs w:val="22"/>
          <w:lang w:val="fr-CH"/>
        </w:rPr>
        <w:t>Il y a lieu de préciser les montants de ces taxes.</w:t>
      </w:r>
    </w:p>
    <w:p w14:paraId="2AD0DC0E" w14:textId="77777777" w:rsidR="0080323D" w:rsidRPr="008B2DDA" w:rsidRDefault="0080323D" w:rsidP="008B2DDA">
      <w:pPr>
        <w:pStyle w:val="Endofdocument-Annex"/>
        <w:rPr>
          <w:lang w:val="fr-CH"/>
        </w:rPr>
      </w:pPr>
    </w:p>
    <w:p w14:paraId="28E80836" w14:textId="1BB74107" w:rsidR="000274BC" w:rsidRPr="008B2DDA" w:rsidRDefault="0080323D" w:rsidP="000F705C">
      <w:pPr>
        <w:pStyle w:val="Endofdocument-Annex"/>
        <w:rPr>
          <w:szCs w:val="22"/>
        </w:rPr>
      </w:pPr>
      <w:r w:rsidRPr="008B2DDA">
        <w:rPr>
          <w:lang w:val="fr-CH"/>
        </w:rPr>
        <w:t>[L’annexe X suit]</w:t>
      </w:r>
    </w:p>
    <w:p w14:paraId="26967255" w14:textId="77777777" w:rsidR="000274BC" w:rsidRPr="008B2DDA" w:rsidRDefault="000274BC" w:rsidP="008B2DDA">
      <w:pPr>
        <w:jc w:val="center"/>
        <w:rPr>
          <w:b/>
          <w:sz w:val="28"/>
          <w:szCs w:val="28"/>
        </w:rPr>
        <w:sectPr w:rsidR="000274BC" w:rsidRPr="008B2DDA" w:rsidSect="00A341C2">
          <w:headerReference w:type="default" r:id="rId31"/>
          <w:headerReference w:type="first" r:id="rId32"/>
          <w:endnotePr>
            <w:numFmt w:val="decimal"/>
          </w:endnotePr>
          <w:pgSz w:w="11907" w:h="16840" w:code="9"/>
          <w:pgMar w:top="567" w:right="1134" w:bottom="1417" w:left="1417" w:header="510" w:footer="1020" w:gutter="0"/>
          <w:pgNumType w:start="1"/>
          <w:cols w:space="720"/>
          <w:titlePg/>
          <w:docGrid w:linePitch="299"/>
        </w:sectPr>
      </w:pPr>
    </w:p>
    <w:p w14:paraId="7E92BB70" w14:textId="2FABC599" w:rsidR="005926F8" w:rsidRDefault="005926F8" w:rsidP="008B2DDA">
      <w:pPr>
        <w:jc w:val="center"/>
        <w:rPr>
          <w:b/>
          <w:szCs w:val="22"/>
        </w:rPr>
      </w:pPr>
      <w:r>
        <w:rPr>
          <w:b/>
          <w:szCs w:val="22"/>
        </w:rPr>
        <w:lastRenderedPageBreak/>
        <w:t>ÉTATS</w:t>
      </w:r>
      <w:r>
        <w:rPr>
          <w:b/>
          <w:szCs w:val="22"/>
        </w:rPr>
        <w:noBreakHyphen/>
        <w:t>UNIS D’AMÉRIQUE</w:t>
      </w:r>
    </w:p>
    <w:p w14:paraId="5E2DB44B" w14:textId="77777777" w:rsidR="005926F8" w:rsidRDefault="005926F8" w:rsidP="008B2DDA">
      <w:pPr>
        <w:jc w:val="center"/>
        <w:rPr>
          <w:b/>
          <w:szCs w:val="22"/>
        </w:rPr>
      </w:pPr>
    </w:p>
    <w:p w14:paraId="744DD598" w14:textId="6A9754D5" w:rsidR="007079A8" w:rsidRPr="008B2DDA" w:rsidRDefault="003848D2" w:rsidP="008B2DDA">
      <w:pPr>
        <w:jc w:val="center"/>
        <w:rPr>
          <w:b/>
          <w:szCs w:val="22"/>
        </w:rPr>
      </w:pPr>
      <w:r w:rsidRPr="008B2DDA">
        <w:rPr>
          <w:b/>
          <w:szCs w:val="22"/>
        </w:rPr>
        <w:t>Commentaires des</w:t>
      </w:r>
      <w:r w:rsidR="00BD631A" w:rsidRPr="008B2DDA">
        <w:rPr>
          <w:b/>
          <w:szCs w:val="22"/>
        </w:rPr>
        <w:t xml:space="preserve"> </w:t>
      </w:r>
      <w:r w:rsidR="005C22F0" w:rsidRPr="008B2DDA">
        <w:rPr>
          <w:b/>
          <w:szCs w:val="22"/>
        </w:rPr>
        <w:t>États</w:t>
      </w:r>
      <w:r w:rsidR="00D67EA4" w:rsidRPr="008B2DDA">
        <w:rPr>
          <w:b/>
          <w:szCs w:val="22"/>
        </w:rPr>
        <w:noBreakHyphen/>
      </w:r>
      <w:r w:rsidR="005C22F0" w:rsidRPr="008B2DDA">
        <w:rPr>
          <w:b/>
          <w:szCs w:val="22"/>
        </w:rPr>
        <w:t xml:space="preserve">Unis </w:t>
      </w:r>
      <w:r w:rsidR="00BD631A" w:rsidRPr="008B2DDA">
        <w:rPr>
          <w:b/>
          <w:szCs w:val="22"/>
        </w:rPr>
        <w:t>d</w:t>
      </w:r>
      <w:r w:rsidR="00A341C2" w:rsidRPr="008B2DDA">
        <w:rPr>
          <w:b/>
          <w:szCs w:val="22"/>
        </w:rPr>
        <w:t>’</w:t>
      </w:r>
      <w:r w:rsidR="00BD631A" w:rsidRPr="008B2DDA">
        <w:rPr>
          <w:b/>
          <w:szCs w:val="22"/>
        </w:rPr>
        <w:t>Amérique sur la prop</w:t>
      </w:r>
      <w:r w:rsidR="008639A8" w:rsidRPr="008B2DDA">
        <w:rPr>
          <w:b/>
          <w:szCs w:val="22"/>
        </w:rPr>
        <w:t xml:space="preserve">osition de base </w:t>
      </w:r>
      <w:r w:rsidR="00450AF4">
        <w:rPr>
          <w:b/>
          <w:szCs w:val="22"/>
        </w:rPr>
        <w:br/>
      </w:r>
      <w:r w:rsidR="00E85C66" w:rsidRPr="008B2DDA">
        <w:rPr>
          <w:b/>
          <w:szCs w:val="22"/>
        </w:rPr>
        <w:t>p</w:t>
      </w:r>
      <w:r w:rsidR="008639A8" w:rsidRPr="008B2DDA">
        <w:rPr>
          <w:b/>
          <w:szCs w:val="22"/>
        </w:rPr>
        <w:t>our un nouvel A</w:t>
      </w:r>
      <w:r w:rsidR="00BD631A" w:rsidRPr="008B2DDA">
        <w:rPr>
          <w:b/>
          <w:szCs w:val="22"/>
        </w:rPr>
        <w:t>cte de l</w:t>
      </w:r>
      <w:r w:rsidR="00A341C2" w:rsidRPr="008B2DDA">
        <w:rPr>
          <w:b/>
          <w:szCs w:val="22"/>
        </w:rPr>
        <w:t>’</w:t>
      </w:r>
      <w:r w:rsidR="00BD631A" w:rsidRPr="008B2DDA">
        <w:rPr>
          <w:b/>
          <w:szCs w:val="22"/>
        </w:rPr>
        <w:t>Arrangement de Lisbonne sur les appellations d</w:t>
      </w:r>
      <w:r w:rsidR="00A341C2" w:rsidRPr="008B2DDA">
        <w:rPr>
          <w:b/>
          <w:szCs w:val="22"/>
        </w:rPr>
        <w:t>’</w:t>
      </w:r>
      <w:r w:rsidR="00BD631A" w:rsidRPr="008B2DDA">
        <w:rPr>
          <w:b/>
          <w:szCs w:val="22"/>
        </w:rPr>
        <w:t xml:space="preserve">origine </w:t>
      </w:r>
      <w:r w:rsidR="00450AF4">
        <w:rPr>
          <w:b/>
          <w:szCs w:val="22"/>
        </w:rPr>
        <w:br/>
      </w:r>
      <w:r w:rsidR="00BD631A" w:rsidRPr="008B2DDA">
        <w:rPr>
          <w:b/>
          <w:szCs w:val="22"/>
        </w:rPr>
        <w:t>et leur enregistrement international</w:t>
      </w:r>
      <w:r w:rsidR="00311638" w:rsidRPr="008B2DDA">
        <w:rPr>
          <w:b/>
          <w:szCs w:val="22"/>
          <w:vertAlign w:val="superscript"/>
        </w:rPr>
        <w:footnoteReference w:id="4"/>
      </w:r>
    </w:p>
    <w:p w14:paraId="69082832" w14:textId="77777777" w:rsidR="007079A8" w:rsidRPr="008B2DDA" w:rsidRDefault="007079A8" w:rsidP="008B2DDA">
      <w:pPr>
        <w:jc w:val="both"/>
      </w:pPr>
    </w:p>
    <w:p w14:paraId="43AB79F5" w14:textId="6D6C7977" w:rsidR="00461A8F" w:rsidRPr="008B2DDA" w:rsidRDefault="00BD631A" w:rsidP="008B2DDA">
      <w:pPr>
        <w:pStyle w:val="ONUMFS"/>
        <w:numPr>
          <w:ilvl w:val="0"/>
          <w:numId w:val="0"/>
        </w:numPr>
      </w:pPr>
      <w:r w:rsidRPr="008B2DDA">
        <w:t xml:space="preserve">Les </w:t>
      </w:r>
      <w:r w:rsidR="005C22F0" w:rsidRPr="008B2DDA">
        <w:t>États</w:t>
      </w:r>
      <w:r w:rsidR="00D67EA4" w:rsidRPr="008B2DDA">
        <w:noBreakHyphen/>
      </w:r>
      <w:r w:rsidR="005C22F0" w:rsidRPr="008B2DDA">
        <w:t xml:space="preserve">Unis </w:t>
      </w:r>
      <w:r w:rsidRPr="008B2DDA">
        <w:t>d</w:t>
      </w:r>
      <w:r w:rsidR="00A341C2" w:rsidRPr="008B2DDA">
        <w:t>’</w:t>
      </w:r>
      <w:r w:rsidRPr="008B2DDA">
        <w:t xml:space="preserve">Amérique </w:t>
      </w:r>
      <w:r w:rsidR="008639A8" w:rsidRPr="008B2DDA">
        <w:t>se félicitent de l</w:t>
      </w:r>
      <w:r w:rsidR="00A341C2" w:rsidRPr="008B2DDA">
        <w:t>’</w:t>
      </w:r>
      <w:r w:rsidR="008639A8" w:rsidRPr="008B2DDA">
        <w:t>occasion qui leur est donnée de formuler</w:t>
      </w:r>
      <w:r w:rsidRPr="008B2DDA">
        <w:t xml:space="preserve"> des observations sur la prop</w:t>
      </w:r>
      <w:r w:rsidR="008639A8" w:rsidRPr="008B2DDA">
        <w:t>osition de base pour un nouvel A</w:t>
      </w:r>
      <w:r w:rsidRPr="008B2DDA">
        <w:t>cte de l</w:t>
      </w:r>
      <w:r w:rsidR="00A341C2" w:rsidRPr="008B2DDA">
        <w:t>’</w:t>
      </w:r>
      <w:r w:rsidRPr="008B2DDA">
        <w:t>Arrangement de Lisbonne sur les appellations d</w:t>
      </w:r>
      <w:r w:rsidR="00A341C2" w:rsidRPr="008B2DDA">
        <w:t>’</w:t>
      </w:r>
      <w:r w:rsidRPr="008B2DDA">
        <w:t xml:space="preserve">origine et leur enregistrement international. </w:t>
      </w:r>
      <w:r w:rsidR="008639A8" w:rsidRPr="008B2DDA">
        <w:t xml:space="preserve"> </w:t>
      </w:r>
      <w:r w:rsidR="00C759D1" w:rsidRPr="008B2DDA">
        <w:t>Nous pensons que ces efforts de</w:t>
      </w:r>
      <w:r w:rsidRPr="008B2DDA">
        <w:t xml:space="preserve"> révision </w:t>
      </w:r>
      <w:r w:rsidR="00C759D1" w:rsidRPr="008B2DDA">
        <w:t>doivent permettre de</w:t>
      </w:r>
      <w:r w:rsidRPr="008B2DDA">
        <w:t xml:space="preserve"> </w:t>
      </w:r>
      <w:r w:rsidR="00444C7D" w:rsidRPr="008B2DDA">
        <w:t>trouver les moyens de concilier</w:t>
      </w:r>
      <w:r w:rsidRPr="008B2DDA">
        <w:t xml:space="preserve"> les </w:t>
      </w:r>
      <w:r w:rsidR="00E85C66" w:rsidRPr="008B2DDA">
        <w:t xml:space="preserve">différents </w:t>
      </w:r>
      <w:r w:rsidRPr="008B2DDA">
        <w:t xml:space="preserve">systèmes de protection des indications géographiques tout en </w:t>
      </w:r>
      <w:r w:rsidR="00C759D1" w:rsidRPr="008B2DDA">
        <w:t>respectant</w:t>
      </w:r>
      <w:r w:rsidRPr="008B2DDA">
        <w:t xml:space="preserve"> les différences </w:t>
      </w:r>
      <w:r w:rsidR="00C759D1" w:rsidRPr="008B2DDA">
        <w:t>en matière d</w:t>
      </w:r>
      <w:r w:rsidR="00A341C2" w:rsidRPr="008B2DDA">
        <w:t>’</w:t>
      </w:r>
      <w:r w:rsidRPr="008B2DDA">
        <w:t xml:space="preserve">approches nationales et </w:t>
      </w:r>
      <w:r w:rsidR="00C759D1" w:rsidRPr="008B2DDA">
        <w:t xml:space="preserve">de </w:t>
      </w:r>
      <w:r w:rsidRPr="008B2DDA">
        <w:t xml:space="preserve">priorités nationales, afin de permettre à un large éventail de pays </w:t>
      </w:r>
      <w:r w:rsidR="00853358" w:rsidRPr="008B2DDA">
        <w:t>d</w:t>
      </w:r>
      <w:r w:rsidR="00A341C2" w:rsidRPr="008B2DDA">
        <w:t>’</w:t>
      </w:r>
      <w:r w:rsidRPr="008B2DDA">
        <w:t xml:space="preserve">adhérer à </w:t>
      </w:r>
      <w:r w:rsidR="00853358" w:rsidRPr="008B2DDA">
        <w:t>l</w:t>
      </w:r>
      <w:r w:rsidR="00A341C2" w:rsidRPr="008B2DDA">
        <w:t>’</w:t>
      </w:r>
      <w:r w:rsidR="00853358" w:rsidRPr="008B2DDA">
        <w:t>Arrangement de Lisbonne</w:t>
      </w:r>
      <w:r w:rsidRPr="008B2DDA">
        <w:t xml:space="preserve">. </w:t>
      </w:r>
      <w:r w:rsidR="00853358" w:rsidRPr="008B2DDA">
        <w:t xml:space="preserve"> </w:t>
      </w:r>
      <w:r w:rsidR="0004068B" w:rsidRPr="008B2DDA">
        <w:t>Notre propos vise à</w:t>
      </w:r>
      <w:r w:rsidRPr="008B2DDA">
        <w:t xml:space="preserve"> fair</w:t>
      </w:r>
      <w:r w:rsidR="003848D2" w:rsidRPr="008B2DDA">
        <w:t>e avancer le dialogue important</w:t>
      </w:r>
      <w:r w:rsidRPr="008B2DDA">
        <w:t xml:space="preserve"> qui </w:t>
      </w:r>
      <w:r w:rsidR="0004068B" w:rsidRPr="008B2DDA">
        <w:t>a lieu</w:t>
      </w:r>
      <w:r w:rsidRPr="008B2DDA">
        <w:t xml:space="preserve"> </w:t>
      </w:r>
      <w:r w:rsidR="0004068B" w:rsidRPr="008B2DDA">
        <w:t>a</w:t>
      </w:r>
      <w:r w:rsidR="00853358" w:rsidRPr="008B2DDA">
        <w:t>u sein de</w:t>
      </w:r>
      <w:r w:rsidRPr="008B2DDA">
        <w:t xml:space="preserve"> l</w:t>
      </w:r>
      <w:r w:rsidR="00A341C2" w:rsidRPr="008B2DDA">
        <w:t>’</w:t>
      </w:r>
      <w:r w:rsidR="00853358" w:rsidRPr="008B2DDA">
        <w:t>Organisation M</w:t>
      </w:r>
      <w:r w:rsidRPr="008B2DDA">
        <w:t xml:space="preserve">ondiale de la </w:t>
      </w:r>
      <w:r w:rsidR="00853358" w:rsidRPr="008B2DDA">
        <w:t>P</w:t>
      </w:r>
      <w:r w:rsidRPr="008B2DDA">
        <w:t xml:space="preserve">ropriété </w:t>
      </w:r>
      <w:r w:rsidR="00853358" w:rsidRPr="008B2DDA">
        <w:t>I</w:t>
      </w:r>
      <w:r w:rsidRPr="008B2DDA">
        <w:t xml:space="preserve">ntellectuelle, et qui </w:t>
      </w:r>
      <w:r w:rsidR="00853358" w:rsidRPr="008B2DDA">
        <w:t>représente</w:t>
      </w:r>
      <w:r w:rsidRPr="008B2DDA">
        <w:t xml:space="preserve"> une occasion historique d</w:t>
      </w:r>
      <w:r w:rsidR="00A341C2" w:rsidRPr="008B2DDA">
        <w:t>’</w:t>
      </w:r>
      <w:r w:rsidRPr="008B2DDA">
        <w:t xml:space="preserve">établir un cadre international </w:t>
      </w:r>
      <w:r w:rsidR="00853358" w:rsidRPr="008B2DDA">
        <w:t>qui tienne compte des intérêts de tous les acteurs concernés</w:t>
      </w:r>
      <w:r w:rsidRPr="008B2DDA">
        <w:t xml:space="preserve"> </w:t>
      </w:r>
      <w:r w:rsidR="00853358" w:rsidRPr="008B2DDA">
        <w:t>par</w:t>
      </w:r>
      <w:r w:rsidRPr="008B2DDA">
        <w:t xml:space="preserve"> la protection des </w:t>
      </w:r>
      <w:r w:rsidR="00BA5307" w:rsidRPr="008B2DDA">
        <w:t>indications géographiques</w:t>
      </w:r>
      <w:r w:rsidRPr="008B2DDA">
        <w:t>.</w:t>
      </w:r>
    </w:p>
    <w:p w14:paraId="4CD4C800" w14:textId="7E3FA329" w:rsidR="007079A8" w:rsidRPr="008B2DDA" w:rsidRDefault="002245B5" w:rsidP="008B2DDA">
      <w:pPr>
        <w:pStyle w:val="ONUMFS"/>
        <w:numPr>
          <w:ilvl w:val="0"/>
          <w:numId w:val="0"/>
        </w:numPr>
      </w:pPr>
      <w:r w:rsidRPr="008B2DDA">
        <w:t>En l</w:t>
      </w:r>
      <w:r w:rsidR="00A341C2" w:rsidRPr="008B2DDA">
        <w:t>’</w:t>
      </w:r>
      <w:r w:rsidRPr="008B2DDA">
        <w:t>état</w:t>
      </w:r>
      <w:r w:rsidR="00BD631A" w:rsidRPr="008B2DDA">
        <w:t xml:space="preserve">, </w:t>
      </w:r>
      <w:r w:rsidR="003848D2" w:rsidRPr="008B2DDA">
        <w:t>la proposition de base n</w:t>
      </w:r>
      <w:r w:rsidR="00A341C2" w:rsidRPr="008B2DDA">
        <w:t>’</w:t>
      </w:r>
      <w:r w:rsidR="00BD631A" w:rsidRPr="008B2DDA">
        <w:t xml:space="preserve">est </w:t>
      </w:r>
      <w:r w:rsidR="00C44754" w:rsidRPr="008B2DDA">
        <w:t xml:space="preserve">malheureusement </w:t>
      </w:r>
      <w:r w:rsidR="00BD631A" w:rsidRPr="008B2DDA">
        <w:t xml:space="preserve">pas compatible avec les systèmes </w:t>
      </w:r>
      <w:r w:rsidR="00C44754" w:rsidRPr="008B2DDA">
        <w:t>d</w:t>
      </w:r>
      <w:r w:rsidR="00A341C2" w:rsidRPr="008B2DDA">
        <w:t>’</w:t>
      </w:r>
      <w:r w:rsidR="00BA5307" w:rsidRPr="008B2DDA">
        <w:t>indications géographiques</w:t>
      </w:r>
      <w:r w:rsidR="00BD631A" w:rsidRPr="008B2DDA">
        <w:t xml:space="preserve"> </w:t>
      </w:r>
      <w:r w:rsidR="00444C7D" w:rsidRPr="008B2DDA">
        <w:t xml:space="preserve">nationaux.  En effet, ces derniers </w:t>
      </w:r>
      <w:r w:rsidR="00BD631A" w:rsidRPr="008B2DDA">
        <w:t xml:space="preserve">ne fonctionnent pas comme </w:t>
      </w:r>
      <w:r w:rsidR="00C44754" w:rsidRPr="008B2DDA">
        <w:t>les systèmes d</w:t>
      </w:r>
      <w:r w:rsidR="00A341C2" w:rsidRPr="008B2DDA">
        <w:t>’</w:t>
      </w:r>
      <w:r w:rsidR="00C44754" w:rsidRPr="008B2DDA">
        <w:t xml:space="preserve">appellations </w:t>
      </w:r>
      <w:r w:rsidR="00BD631A" w:rsidRPr="008B2DDA">
        <w:t>d</w:t>
      </w:r>
      <w:r w:rsidR="00A341C2" w:rsidRPr="008B2DDA">
        <w:t>’</w:t>
      </w:r>
      <w:r w:rsidR="00BD631A" w:rsidRPr="008B2DDA">
        <w:t xml:space="preserve">origine, </w:t>
      </w:r>
      <w:r w:rsidR="00C44754" w:rsidRPr="008B2DDA">
        <w:t>ce qui limite</w:t>
      </w:r>
      <w:r w:rsidR="00BD631A" w:rsidRPr="008B2DDA">
        <w:t xml:space="preserve"> le nombre de pays qui pourraient adhérer </w:t>
      </w:r>
      <w:r w:rsidR="00C44754" w:rsidRPr="008B2DDA">
        <w:t>au nouvel Acte</w:t>
      </w:r>
      <w:r w:rsidR="00BD631A" w:rsidRPr="008B2DDA">
        <w:t>.</w:t>
      </w:r>
      <w:r w:rsidR="00C44754" w:rsidRPr="008B2DDA">
        <w:t xml:space="preserve"> </w:t>
      </w:r>
      <w:r w:rsidR="00BD631A" w:rsidRPr="008B2DDA">
        <w:t xml:space="preserve"> Le</w:t>
      </w:r>
      <w:r w:rsidR="00C464D1" w:rsidRPr="008B2DDA">
        <w:t xml:space="preserve"> </w:t>
      </w:r>
      <w:r w:rsidR="00444C7D" w:rsidRPr="008B2DDA">
        <w:t xml:space="preserve">meilleur </w:t>
      </w:r>
      <w:r w:rsidR="00C464D1" w:rsidRPr="008B2DDA">
        <w:t xml:space="preserve">moyen </w:t>
      </w:r>
      <w:r w:rsidR="00444C7D" w:rsidRPr="008B2DDA">
        <w:t xml:space="preserve">de parvenir à concilier </w:t>
      </w:r>
      <w:r w:rsidR="00BD631A" w:rsidRPr="008B2DDA">
        <w:t xml:space="preserve">les différents systèmes </w:t>
      </w:r>
      <w:r w:rsidR="00444C7D" w:rsidRPr="008B2DDA">
        <w:t>d</w:t>
      </w:r>
      <w:r w:rsidR="00A341C2" w:rsidRPr="008B2DDA">
        <w:t>’</w:t>
      </w:r>
      <w:r w:rsidR="00BA5307" w:rsidRPr="008B2DDA">
        <w:t>indications géographiques</w:t>
      </w:r>
      <w:r w:rsidR="00BD631A" w:rsidRPr="008B2DDA">
        <w:t xml:space="preserve"> est de permettre à tous les membres de l</w:t>
      </w:r>
      <w:r w:rsidR="00A341C2" w:rsidRPr="008B2DDA">
        <w:t>’</w:t>
      </w:r>
      <w:r w:rsidR="00BD631A" w:rsidRPr="008B2DDA">
        <w:t xml:space="preserve">OMPI de participer </w:t>
      </w:r>
      <w:r w:rsidR="00C464D1" w:rsidRPr="008B2DDA">
        <w:t>de façon pleine et entière</w:t>
      </w:r>
      <w:r w:rsidR="00BD631A" w:rsidRPr="008B2DDA">
        <w:t xml:space="preserve"> à la</w:t>
      </w:r>
      <w:r w:rsidR="00C464D1" w:rsidRPr="008B2DDA">
        <w:t xml:space="preserve"> </w:t>
      </w:r>
      <w:r w:rsidR="00D357CB" w:rsidRPr="008B2DDA">
        <w:t>c</w:t>
      </w:r>
      <w:r w:rsidR="00C464D1" w:rsidRPr="008B2DDA">
        <w:t>onférence diplomatique de mai </w:t>
      </w:r>
      <w:r w:rsidR="00BD631A" w:rsidRPr="008B2DDA">
        <w:t xml:space="preserve">2015. </w:t>
      </w:r>
      <w:r w:rsidR="003848D2" w:rsidRPr="008B2DDA">
        <w:t xml:space="preserve"> </w:t>
      </w:r>
      <w:r w:rsidR="00BD631A" w:rsidRPr="008B2DDA">
        <w:t>Cela exigerait que tous les membres de l</w:t>
      </w:r>
      <w:r w:rsidR="00A341C2" w:rsidRPr="008B2DDA">
        <w:t>’</w:t>
      </w:r>
      <w:r w:rsidR="00BD631A" w:rsidRPr="008B2DDA">
        <w:t xml:space="preserve">OMPI </w:t>
      </w:r>
      <w:r w:rsidR="00A7044E" w:rsidRPr="008B2DDA">
        <w:t xml:space="preserve">soient considérés comme des </w:t>
      </w:r>
      <w:r w:rsidR="00E26A2C" w:rsidRPr="008B2DDA">
        <w:t>“</w:t>
      </w:r>
      <w:r w:rsidR="00BD631A" w:rsidRPr="008B2DDA">
        <w:t>délégations membres</w:t>
      </w:r>
      <w:r w:rsidR="00E26A2C" w:rsidRPr="008B2DDA">
        <w:t>”</w:t>
      </w:r>
      <w:r w:rsidR="00BD6F08" w:rsidRPr="008B2DDA">
        <w:t xml:space="preserve"> au titre de l</w:t>
      </w:r>
      <w:r w:rsidR="00A341C2" w:rsidRPr="008B2DDA">
        <w:t>’</w:t>
      </w:r>
      <w:r w:rsidR="00BD6F08" w:rsidRPr="008B2DDA">
        <w:t>article </w:t>
      </w:r>
      <w:r w:rsidR="00BD631A" w:rsidRPr="008B2DDA">
        <w:t xml:space="preserve">2 du </w:t>
      </w:r>
      <w:r w:rsidR="0050682F" w:rsidRPr="008B2DDA">
        <w:t>p</w:t>
      </w:r>
      <w:r w:rsidR="00BD631A" w:rsidRPr="008B2DDA">
        <w:t>r</w:t>
      </w:r>
      <w:r w:rsidR="00C464D1" w:rsidRPr="008B2DDA">
        <w:t xml:space="preserve">ojet de règlement intérieur (voir </w:t>
      </w:r>
      <w:r w:rsidR="004F4C75" w:rsidRPr="008B2DDA">
        <w:t>LI/DC/2</w:t>
      </w:r>
      <w:r w:rsidR="0050682F" w:rsidRPr="008B2DDA">
        <w:t> </w:t>
      </w:r>
      <w:proofErr w:type="spellStart"/>
      <w:r w:rsidR="00BD631A" w:rsidRPr="008B2DDA">
        <w:t>Prov</w:t>
      </w:r>
      <w:proofErr w:type="spellEnd"/>
      <w:r w:rsidR="0050682F" w:rsidRPr="008B2DDA">
        <w:t>.</w:t>
      </w:r>
      <w:r w:rsidR="00C464D1" w:rsidRPr="008B2DDA">
        <w:t>)</w:t>
      </w:r>
      <w:r w:rsidR="00BD631A" w:rsidRPr="008B2DDA">
        <w:t xml:space="preserve">, avec la possibilité de proposer des </w:t>
      </w:r>
      <w:r w:rsidR="00266817" w:rsidRPr="008B2DDA">
        <w:t>modifications</w:t>
      </w:r>
      <w:r w:rsidR="00BD631A" w:rsidRPr="008B2DDA">
        <w:t xml:space="preserve">, de </w:t>
      </w:r>
      <w:r w:rsidR="0091630D" w:rsidRPr="008B2DDA">
        <w:t>présenter</w:t>
      </w:r>
      <w:r w:rsidR="00BD631A" w:rsidRPr="008B2DDA">
        <w:t xml:space="preserve"> des </w:t>
      </w:r>
      <w:r w:rsidR="00306FB6" w:rsidRPr="008B2DDA">
        <w:t>motions d</w:t>
      </w:r>
      <w:r w:rsidR="00A341C2" w:rsidRPr="008B2DDA">
        <w:t>’</w:t>
      </w:r>
      <w:r w:rsidR="00BD631A" w:rsidRPr="008B2DDA">
        <w:t xml:space="preserve">ordre, </w:t>
      </w:r>
      <w:r w:rsidR="00306FB6" w:rsidRPr="008B2DDA">
        <w:t xml:space="preserve">de </w:t>
      </w:r>
      <w:r w:rsidR="0091630D" w:rsidRPr="008B2DDA">
        <w:t>participer aux</w:t>
      </w:r>
      <w:r w:rsidR="00306FB6" w:rsidRPr="008B2DDA">
        <w:t xml:space="preserve"> divers comités</w:t>
      </w:r>
      <w:r w:rsidR="0091630D" w:rsidRPr="008B2DDA">
        <w:t xml:space="preserve"> et groupes de travail</w:t>
      </w:r>
      <w:r w:rsidR="00BD631A" w:rsidRPr="008B2DDA">
        <w:t xml:space="preserve"> et de voter. </w:t>
      </w:r>
      <w:r w:rsidR="0091630D" w:rsidRPr="008B2DDA">
        <w:t xml:space="preserve"> </w:t>
      </w:r>
      <w:r w:rsidR="00BD631A" w:rsidRPr="008B2DDA">
        <w:t>L</w:t>
      </w:r>
      <w:r w:rsidR="00A341C2" w:rsidRPr="008B2DDA">
        <w:t>’</w:t>
      </w:r>
      <w:r w:rsidR="0091630D" w:rsidRPr="008B2DDA">
        <w:t xml:space="preserve">OMPI et ses membres – </w:t>
      </w:r>
      <w:r w:rsidR="00BD631A" w:rsidRPr="008B2DDA">
        <w:t xml:space="preserve">ainsi que les producteurs et autres parties </w:t>
      </w:r>
      <w:r w:rsidR="000A0ABD" w:rsidRPr="008B2DDA">
        <w:t>intéressées par</w:t>
      </w:r>
      <w:r w:rsidR="00BD631A" w:rsidRPr="008B2DDA">
        <w:t xml:space="preserve"> </w:t>
      </w:r>
      <w:r w:rsidR="0091630D" w:rsidRPr="008B2DDA">
        <w:t>l</w:t>
      </w:r>
      <w:r w:rsidR="00A341C2" w:rsidRPr="008B2DDA">
        <w:t>’</w:t>
      </w:r>
      <w:r w:rsidR="0091630D" w:rsidRPr="008B2DDA">
        <w:t>Arrangement</w:t>
      </w:r>
      <w:r w:rsidR="00BD631A" w:rsidRPr="008B2DDA">
        <w:t xml:space="preserve"> de Lisbonne </w:t>
      </w:r>
      <w:r w:rsidR="0091630D" w:rsidRPr="008B2DDA">
        <w:t xml:space="preserve">– seront mieux servis par une </w:t>
      </w:r>
      <w:r w:rsidR="00D357CB" w:rsidRPr="008B2DDA">
        <w:t>c</w:t>
      </w:r>
      <w:r w:rsidR="00BD631A" w:rsidRPr="008B2DDA">
        <w:t>onférence diplomatique ouverte</w:t>
      </w:r>
      <w:r w:rsidR="00403440" w:rsidRPr="008B2DDA">
        <w:t xml:space="preserve"> et produisant</w:t>
      </w:r>
      <w:r w:rsidR="00BD631A" w:rsidRPr="008B2DDA">
        <w:t xml:space="preserve"> un instrument international largement accepté pour la protection des </w:t>
      </w:r>
      <w:r w:rsidR="00AB2EF0" w:rsidRPr="008B2DDA">
        <w:t>indications géographiques</w:t>
      </w:r>
      <w:r w:rsidR="00BD631A" w:rsidRPr="008B2DDA">
        <w:t>.</w:t>
      </w:r>
    </w:p>
    <w:p w14:paraId="1A097541" w14:textId="543BF9C5" w:rsidR="007079A8" w:rsidRPr="008B2DDA" w:rsidRDefault="00BD631A" w:rsidP="008B2DDA">
      <w:pPr>
        <w:pStyle w:val="ONUMFS"/>
        <w:numPr>
          <w:ilvl w:val="0"/>
          <w:numId w:val="0"/>
        </w:numPr>
      </w:pPr>
      <w:r w:rsidRPr="008B2DDA">
        <w:t xml:space="preserve">Pour </w:t>
      </w:r>
      <w:r w:rsidR="00403440" w:rsidRPr="008B2DDA">
        <w:t>obtenir cet instrument, trois </w:t>
      </w:r>
      <w:r w:rsidRPr="008B2DDA">
        <w:t>principes fondamentaux doivent être respectés dans le texte</w:t>
      </w:r>
      <w:r w:rsidR="00AB2F99" w:rsidRPr="008B2DDA">
        <w:t> </w:t>
      </w:r>
      <w:r w:rsidR="00403440" w:rsidRPr="008B2DDA">
        <w:t>: 1) </w:t>
      </w:r>
      <w:r w:rsidRPr="008B2DDA">
        <w:t>la territorialité;</w:t>
      </w:r>
      <w:r w:rsidR="00403440" w:rsidRPr="008B2DDA">
        <w:t xml:space="preserve">  2) </w:t>
      </w:r>
      <w:r w:rsidRPr="008B2DDA">
        <w:t>une procédure régulière;</w:t>
      </w:r>
      <w:r w:rsidR="00403440" w:rsidRPr="008B2DDA">
        <w:t xml:space="preserve"> </w:t>
      </w:r>
      <w:r w:rsidRPr="008B2DDA">
        <w:t xml:space="preserve"> </w:t>
      </w:r>
      <w:r w:rsidR="00403440" w:rsidRPr="008B2DDA">
        <w:t xml:space="preserve">3) les </w:t>
      </w:r>
      <w:r w:rsidR="00AB2EF0" w:rsidRPr="008B2DDA">
        <w:t>indications géographiques</w:t>
      </w:r>
      <w:r w:rsidRPr="008B2DDA">
        <w:t xml:space="preserve"> </w:t>
      </w:r>
      <w:r w:rsidR="00403440" w:rsidRPr="008B2DDA">
        <w:t>en tant que</w:t>
      </w:r>
      <w:r w:rsidRPr="008B2DDA">
        <w:t xml:space="preserve"> droits </w:t>
      </w:r>
      <w:r w:rsidR="00DF6173" w:rsidRPr="008B2DDA">
        <w:t>de propriété privée</w:t>
      </w:r>
      <w:r w:rsidRPr="008B2DDA">
        <w:t xml:space="preserve">. </w:t>
      </w:r>
      <w:r w:rsidR="00403440" w:rsidRPr="008B2DDA">
        <w:t xml:space="preserve"> </w:t>
      </w:r>
      <w:r w:rsidRPr="008B2DDA">
        <w:t xml:space="preserve">Cela signifie que les pays </w:t>
      </w:r>
      <w:r w:rsidR="00403440" w:rsidRPr="008B2DDA">
        <w:t>doivent</w:t>
      </w:r>
      <w:r w:rsidRPr="008B2DDA">
        <w:t xml:space="preserve"> avoir la capacité de prendre leurs propres décisions </w:t>
      </w:r>
      <w:r w:rsidR="00403440" w:rsidRPr="008B2DDA">
        <w:t>quant à la</w:t>
      </w:r>
      <w:r w:rsidRPr="008B2DDA">
        <w:t xml:space="preserve"> protection des </w:t>
      </w:r>
      <w:r w:rsidR="00AB2EF0" w:rsidRPr="008B2DDA">
        <w:t>indications géographiques</w:t>
      </w:r>
      <w:r w:rsidRPr="008B2DDA">
        <w:t xml:space="preserve"> </w:t>
      </w:r>
      <w:r w:rsidR="00403440" w:rsidRPr="008B2DDA">
        <w:t>au lieu d</w:t>
      </w:r>
      <w:r w:rsidR="00A341C2" w:rsidRPr="008B2DDA">
        <w:t>’</w:t>
      </w:r>
      <w:r w:rsidR="00403440" w:rsidRPr="008B2DDA">
        <w:t>être</w:t>
      </w:r>
      <w:r w:rsidRPr="008B2DDA">
        <w:t xml:space="preserve"> </w:t>
      </w:r>
      <w:r w:rsidR="00403440" w:rsidRPr="008B2DDA">
        <w:t>contraints</w:t>
      </w:r>
      <w:r w:rsidRPr="008B2DDA">
        <w:t xml:space="preserve"> </w:t>
      </w:r>
      <w:r w:rsidR="00403440" w:rsidRPr="008B2DDA">
        <w:t>d</w:t>
      </w:r>
      <w:r w:rsidR="00A341C2" w:rsidRPr="008B2DDA">
        <w:t>’</w:t>
      </w:r>
      <w:r w:rsidR="00403440" w:rsidRPr="008B2DDA">
        <w:t>adopter</w:t>
      </w:r>
      <w:r w:rsidRPr="008B2DDA">
        <w:t xml:space="preserve"> les décisions prises dans d</w:t>
      </w:r>
      <w:r w:rsidR="00A341C2" w:rsidRPr="008B2DDA">
        <w:t>’</w:t>
      </w:r>
      <w:r w:rsidRPr="008B2DDA">
        <w:t xml:space="preserve">autres pays appliquant leurs propres systèmes; </w:t>
      </w:r>
      <w:r w:rsidR="00403440" w:rsidRPr="008B2DDA">
        <w:t xml:space="preserve"> </w:t>
      </w:r>
      <w:r w:rsidRPr="008B2DDA">
        <w:t xml:space="preserve">que les utilisateurs antérieurs dans chaque pays </w:t>
      </w:r>
      <w:r w:rsidR="00403440" w:rsidRPr="008B2DDA">
        <w:t>doivent</w:t>
      </w:r>
      <w:r w:rsidRPr="008B2DDA">
        <w:t xml:space="preserve"> avoir la possibilité de faire valoir </w:t>
      </w:r>
      <w:r w:rsidR="0005685C" w:rsidRPr="008B2DDA">
        <w:t>leurs droits</w:t>
      </w:r>
      <w:r w:rsidRPr="008B2DDA">
        <w:t xml:space="preserve">; </w:t>
      </w:r>
      <w:r w:rsidR="00403440" w:rsidRPr="008B2DDA">
        <w:t xml:space="preserve"> </w:t>
      </w:r>
      <w:r w:rsidRPr="008B2DDA">
        <w:t xml:space="preserve">que les gouvernements ne peuvent pas </w:t>
      </w:r>
      <w:r w:rsidR="0005685C" w:rsidRPr="008B2DDA">
        <w:t>se substituer aux</w:t>
      </w:r>
      <w:r w:rsidRPr="008B2DDA">
        <w:t xml:space="preserve"> parties privées </w:t>
      </w:r>
      <w:r w:rsidR="0005685C" w:rsidRPr="008B2DDA">
        <w:t xml:space="preserve">en matière de poursuites </w:t>
      </w:r>
      <w:r w:rsidRPr="008B2DDA">
        <w:t xml:space="preserve">ou </w:t>
      </w:r>
      <w:r w:rsidR="0005685C" w:rsidRPr="008B2DDA">
        <w:t xml:space="preserve">de respect des droits </w:t>
      </w:r>
      <w:r w:rsidR="006B74A2" w:rsidRPr="008B2DDA">
        <w:t xml:space="preserve">en ce qui concerne les </w:t>
      </w:r>
      <w:r w:rsidR="00AB2EF0" w:rsidRPr="008B2DDA">
        <w:t>indications géographiques</w:t>
      </w:r>
      <w:r w:rsidRPr="008B2DDA">
        <w:t xml:space="preserve">. </w:t>
      </w:r>
      <w:r w:rsidR="00403440" w:rsidRPr="008B2DDA">
        <w:t xml:space="preserve"> </w:t>
      </w:r>
      <w:r w:rsidRPr="008B2DDA">
        <w:t xml:space="preserve">Un accord fondé sur les échanges </w:t>
      </w:r>
      <w:r w:rsidR="00A7044E" w:rsidRPr="008B2DDA">
        <w:t>gouvernementaux</w:t>
      </w:r>
      <w:r w:rsidRPr="008B2DDA">
        <w:t xml:space="preserve"> de demandes </w:t>
      </w:r>
      <w:r w:rsidR="006B74A2" w:rsidRPr="008B2DDA">
        <w:t xml:space="preserve">individuelles </w:t>
      </w:r>
      <w:r w:rsidRPr="008B2DDA">
        <w:t>d</w:t>
      </w:r>
      <w:r w:rsidR="00A341C2" w:rsidRPr="008B2DDA">
        <w:t>’</w:t>
      </w:r>
      <w:r w:rsidR="00AB2EF0" w:rsidRPr="008B2DDA">
        <w:t>indication géographique</w:t>
      </w:r>
      <w:r w:rsidR="00A7044E" w:rsidRPr="008B2DDA">
        <w:t xml:space="preserve"> ou </w:t>
      </w:r>
      <w:r w:rsidR="006B74A2" w:rsidRPr="008B2DDA">
        <w:t>de</w:t>
      </w:r>
      <w:r w:rsidR="00A7044E" w:rsidRPr="008B2DDA">
        <w:t xml:space="preserve"> listes d</w:t>
      </w:r>
      <w:r w:rsidR="00A341C2" w:rsidRPr="008B2DDA">
        <w:t>’</w:t>
      </w:r>
      <w:r w:rsidR="00AB2EF0" w:rsidRPr="008B2DDA">
        <w:t>indications géographiques</w:t>
      </w:r>
      <w:r w:rsidRPr="008B2DDA">
        <w:t xml:space="preserve"> protégées dans le pays d</w:t>
      </w:r>
      <w:r w:rsidR="00A341C2" w:rsidRPr="008B2DDA">
        <w:t>’</w:t>
      </w:r>
      <w:r w:rsidRPr="008B2DDA">
        <w:t xml:space="preserve">origine est susceptible de </w:t>
      </w:r>
      <w:r w:rsidR="00403440" w:rsidRPr="008B2DDA">
        <w:t xml:space="preserve">ne pas respecter </w:t>
      </w:r>
      <w:r w:rsidRPr="008B2DDA">
        <w:t>ces principes fondamentaux.</w:t>
      </w:r>
    </w:p>
    <w:p w14:paraId="77E3FC80" w14:textId="510425E4" w:rsidR="007079A8" w:rsidRPr="008B2DDA" w:rsidRDefault="00BD631A" w:rsidP="008B2DDA">
      <w:pPr>
        <w:pStyle w:val="ONUMFS"/>
        <w:numPr>
          <w:ilvl w:val="0"/>
          <w:numId w:val="0"/>
        </w:numPr>
      </w:pPr>
      <w:r w:rsidRPr="008B2DDA">
        <w:t>En ce qui concerne l</w:t>
      </w:r>
      <w:r w:rsidR="00A341C2" w:rsidRPr="008B2DDA">
        <w:t>’</w:t>
      </w:r>
      <w:r w:rsidRPr="008B2DDA">
        <w:t>objectif de l</w:t>
      </w:r>
      <w:r w:rsidR="00A341C2" w:rsidRPr="008B2DDA">
        <w:t>’</w:t>
      </w:r>
      <w:r w:rsidR="006B74A2" w:rsidRPr="008B2DDA">
        <w:t xml:space="preserve">Union de Lisbonne, </w:t>
      </w:r>
      <w:r w:rsidR="00A341C2" w:rsidRPr="008B2DDA">
        <w:t>à savoir</w:t>
      </w:r>
      <w:r w:rsidR="006B74A2" w:rsidRPr="008B2DDA">
        <w:t xml:space="preserve"> </w:t>
      </w:r>
      <w:r w:rsidRPr="008B2DDA">
        <w:t>l</w:t>
      </w:r>
      <w:r w:rsidR="00A341C2" w:rsidRPr="008B2DDA">
        <w:t>’</w:t>
      </w:r>
      <w:r w:rsidRPr="008B2DDA">
        <w:t>adhésion</w:t>
      </w:r>
      <w:r w:rsidR="006B74A2" w:rsidRPr="008B2DDA">
        <w:t xml:space="preserve"> de nouveaux membres</w:t>
      </w:r>
      <w:r w:rsidRPr="008B2DDA">
        <w:t>, d</w:t>
      </w:r>
      <w:r w:rsidR="00A341C2" w:rsidRPr="008B2DDA">
        <w:t>’</w:t>
      </w:r>
      <w:r w:rsidRPr="008B2DDA">
        <w:t xml:space="preserve">un point de vue pratique, bien que ces échanges de liste </w:t>
      </w:r>
      <w:r w:rsidR="006B74A2" w:rsidRPr="008B2DDA">
        <w:t>puissent</w:t>
      </w:r>
      <w:r w:rsidRPr="008B2DDA">
        <w:t xml:space="preserve"> bien </w:t>
      </w:r>
      <w:r w:rsidR="006B74A2" w:rsidRPr="008B2DDA">
        <w:t>fonctionner</w:t>
      </w:r>
      <w:r w:rsidRPr="008B2DDA">
        <w:t xml:space="preserve"> pour </w:t>
      </w:r>
      <w:r w:rsidR="006B74A2" w:rsidRPr="008B2DDA">
        <w:t>les</w:t>
      </w:r>
      <w:r w:rsidRPr="008B2DDA">
        <w:t xml:space="preserve"> quelques </w:t>
      </w:r>
      <w:r w:rsidR="006B74A2" w:rsidRPr="008B2DDA">
        <w:t>pays</w:t>
      </w:r>
      <w:r w:rsidRPr="008B2DDA">
        <w:t xml:space="preserve"> avec un grand nombre d</w:t>
      </w:r>
      <w:r w:rsidR="00A341C2" w:rsidRPr="008B2DDA">
        <w:t>’</w:t>
      </w:r>
      <w:r w:rsidR="00AB2EF0" w:rsidRPr="008B2DDA">
        <w:t>indications géographiques</w:t>
      </w:r>
      <w:r w:rsidRPr="008B2DDA">
        <w:t xml:space="preserve"> notifié</w:t>
      </w:r>
      <w:r w:rsidR="006B74A2" w:rsidRPr="008B2DDA">
        <w:t>e</w:t>
      </w:r>
      <w:r w:rsidRPr="008B2DDA">
        <w:t xml:space="preserve">s, il est difficile </w:t>
      </w:r>
      <w:r w:rsidR="006B74A2" w:rsidRPr="008B2DDA">
        <w:t>de cerner</w:t>
      </w:r>
      <w:r w:rsidRPr="008B2DDA">
        <w:t xml:space="preserve"> ce qui incite</w:t>
      </w:r>
      <w:r w:rsidR="006B74A2" w:rsidRPr="008B2DDA">
        <w:t>rait</w:t>
      </w:r>
      <w:r w:rsidRPr="008B2DDA">
        <w:t xml:space="preserve"> les pays avec très peu d</w:t>
      </w:r>
      <w:r w:rsidR="00A341C2" w:rsidRPr="008B2DDA">
        <w:t>’</w:t>
      </w:r>
      <w:r w:rsidR="00AB2EF0" w:rsidRPr="008B2DDA">
        <w:t>indications géographiques</w:t>
      </w:r>
      <w:r w:rsidRPr="008B2DDA">
        <w:t xml:space="preserve"> notifiée</w:t>
      </w:r>
      <w:r w:rsidR="006B74A2" w:rsidRPr="008B2DDA">
        <w:t>s</w:t>
      </w:r>
      <w:r w:rsidRPr="008B2DDA">
        <w:t xml:space="preserve"> à adhérer </w:t>
      </w:r>
      <w:r w:rsidR="006B74A2" w:rsidRPr="008B2DDA">
        <w:t>au nouvel Acte</w:t>
      </w:r>
      <w:r w:rsidRPr="008B2DDA">
        <w:t xml:space="preserve"> si des changements ne sont pas apportés à la proposition de base. </w:t>
      </w:r>
      <w:r w:rsidR="006B74A2" w:rsidRPr="008B2DDA">
        <w:t xml:space="preserve"> </w:t>
      </w:r>
      <w:r w:rsidRPr="008B2DDA">
        <w:t xml:space="preserve">Dans un tel </w:t>
      </w:r>
      <w:r w:rsidR="006B74A2" w:rsidRPr="008B2DDA">
        <w:t>scénario</w:t>
      </w:r>
      <w:r w:rsidRPr="008B2DDA">
        <w:t xml:space="preserve">, de nouvelles parties contractantes </w:t>
      </w:r>
      <w:r w:rsidR="006B74A2" w:rsidRPr="008B2DDA">
        <w:t>devraient</w:t>
      </w:r>
      <w:r w:rsidRPr="008B2DDA">
        <w:t xml:space="preserve"> examiner tous les enregistrements internationau</w:t>
      </w:r>
      <w:r w:rsidR="00BD6F08" w:rsidRPr="008B2DDA">
        <w:t>x</w:t>
      </w:r>
      <w:r w:rsidR="006B74A2" w:rsidRPr="008B2DDA">
        <w:t xml:space="preserve"> existants (soit</w:t>
      </w:r>
      <w:r w:rsidR="00BD6F08" w:rsidRPr="008B2DDA">
        <w:t xml:space="preserve"> près de 850</w:t>
      </w:r>
      <w:r w:rsidR="006B74A2" w:rsidRPr="008B2DDA">
        <w:t xml:space="preserve">) </w:t>
      </w:r>
      <w:r w:rsidRPr="008B2DDA">
        <w:t xml:space="preserve">dans </w:t>
      </w:r>
      <w:r w:rsidR="006B74A2" w:rsidRPr="008B2DDA">
        <w:t xml:space="preserve">un délai </w:t>
      </w:r>
      <w:r w:rsidR="0050682F" w:rsidRPr="008B2DDA">
        <w:t>d’</w:t>
      </w:r>
      <w:r w:rsidR="006B74A2" w:rsidRPr="008B2DDA">
        <w:t>un à deux </w:t>
      </w:r>
      <w:r w:rsidRPr="008B2DDA">
        <w:t xml:space="preserve">ans, ainsi que </w:t>
      </w:r>
      <w:r w:rsidR="006B74A2" w:rsidRPr="008B2DDA">
        <w:t>les</w:t>
      </w:r>
      <w:r w:rsidRPr="008B2DDA">
        <w:t xml:space="preserve"> nouvelles demandes déposées dans le système dans </w:t>
      </w:r>
      <w:r w:rsidR="006B74A2" w:rsidRPr="008B2DDA">
        <w:t>un délai d</w:t>
      </w:r>
      <w:r w:rsidR="00A341C2" w:rsidRPr="008B2DDA">
        <w:t>’</w:t>
      </w:r>
      <w:r w:rsidR="006B74A2" w:rsidRPr="008B2DDA">
        <w:t>un an</w:t>
      </w:r>
      <w:r w:rsidRPr="008B2DDA">
        <w:t>, sans aucun</w:t>
      </w:r>
      <w:r w:rsidR="006B74A2" w:rsidRPr="008B2DDA">
        <w:t>e</w:t>
      </w:r>
      <w:r w:rsidRPr="008B2DDA">
        <w:t xml:space="preserve"> </w:t>
      </w:r>
      <w:r w:rsidR="006B74A2" w:rsidRPr="008B2DDA">
        <w:t>taxe prévue</w:t>
      </w:r>
      <w:r w:rsidRPr="008B2DDA">
        <w:t xml:space="preserve"> pour couvrir le coût de traitement de ces demandes.</w:t>
      </w:r>
    </w:p>
    <w:p w14:paraId="005ABC0E" w14:textId="2123C1D1" w:rsidR="007079A8" w:rsidRPr="008B2DDA" w:rsidRDefault="00BD631A" w:rsidP="008B2DDA">
      <w:pPr>
        <w:pStyle w:val="ONUMFS"/>
        <w:numPr>
          <w:ilvl w:val="0"/>
          <w:numId w:val="0"/>
        </w:numPr>
      </w:pPr>
      <w:r w:rsidRPr="008B2DDA">
        <w:lastRenderedPageBreak/>
        <w:t>Afin de surm</w:t>
      </w:r>
      <w:r w:rsidR="00461A8F" w:rsidRPr="008B2DDA">
        <w:t>onter ces</w:t>
      </w:r>
      <w:r w:rsidR="00E47D1C" w:rsidRPr="008B2DDA">
        <w:t xml:space="preserve"> impacts</w:t>
      </w:r>
      <w:r w:rsidR="00461A8F" w:rsidRPr="008B2DDA">
        <w:t xml:space="preserve"> </w:t>
      </w:r>
      <w:r w:rsidR="00E47D1C" w:rsidRPr="008B2DDA">
        <w:t>importants sur le plan administratif et en matière de ressources</w:t>
      </w:r>
      <w:r w:rsidRPr="008B2DDA">
        <w:t xml:space="preserve">, les parties contractantes </w:t>
      </w:r>
      <w:r w:rsidR="00E47D1C" w:rsidRPr="008B2DDA">
        <w:t>doivent</w:t>
      </w:r>
      <w:r w:rsidRPr="008B2DDA">
        <w:t xml:space="preserve"> avoir la capacité de traiter les </w:t>
      </w:r>
      <w:r w:rsidR="00E47D1C" w:rsidRPr="008B2DDA">
        <w:t>demandes</w:t>
      </w:r>
      <w:r w:rsidRPr="008B2DDA">
        <w:t xml:space="preserve"> </w:t>
      </w:r>
      <w:r w:rsidR="00E47D1C" w:rsidRPr="008B2DDA">
        <w:t>par le biais des</w:t>
      </w:r>
      <w:r w:rsidRPr="008B2DDA">
        <w:t xml:space="preserve"> systèmes nationaux existants </w:t>
      </w:r>
      <w:r w:rsidR="00E67417" w:rsidRPr="008B2DDA">
        <w:t xml:space="preserve">qui prévoient </w:t>
      </w:r>
      <w:r w:rsidR="00E85C66" w:rsidRPr="008B2DDA">
        <w:t>d</w:t>
      </w:r>
      <w:r w:rsidR="00E67417" w:rsidRPr="008B2DDA">
        <w:t>es</w:t>
      </w:r>
      <w:r w:rsidR="00E47D1C" w:rsidRPr="008B2DDA">
        <w:t xml:space="preserve"> taxes appropriées</w:t>
      </w:r>
      <w:r w:rsidRPr="008B2DDA">
        <w:t>.</w:t>
      </w:r>
      <w:r w:rsidR="00E47D1C" w:rsidRPr="008B2DDA">
        <w:t xml:space="preserve"> </w:t>
      </w:r>
      <w:r w:rsidRPr="008B2DDA">
        <w:t xml:space="preserve"> Nos commentaires et </w:t>
      </w:r>
      <w:r w:rsidR="00E67417" w:rsidRPr="008B2DDA">
        <w:t xml:space="preserve">suggestions de </w:t>
      </w:r>
      <w:r w:rsidRPr="008B2DDA">
        <w:t xml:space="preserve">modifications sont conçus pour </w:t>
      </w:r>
      <w:r w:rsidR="001F063D" w:rsidRPr="008B2DDA">
        <w:t>y parvenir facilement</w:t>
      </w:r>
      <w:r w:rsidR="00E67417" w:rsidRPr="008B2DDA">
        <w:t xml:space="preserve"> </w:t>
      </w:r>
      <w:r w:rsidRPr="008B2DDA">
        <w:t xml:space="preserve">et ne </w:t>
      </w:r>
      <w:r w:rsidR="001F063D" w:rsidRPr="008B2DDA">
        <w:t>portent</w:t>
      </w:r>
      <w:r w:rsidRPr="008B2DDA">
        <w:t xml:space="preserve"> </w:t>
      </w:r>
      <w:r w:rsidR="00E67417" w:rsidRPr="008B2DDA">
        <w:t xml:space="preserve">donc </w:t>
      </w:r>
      <w:r w:rsidRPr="008B2DDA">
        <w:t xml:space="preserve">pas </w:t>
      </w:r>
      <w:r w:rsidR="001F063D" w:rsidRPr="008B2DDA">
        <w:t>uniquement sur les</w:t>
      </w:r>
      <w:r w:rsidRPr="008B2DDA">
        <w:t xml:space="preserve"> questions que l</w:t>
      </w:r>
      <w:r w:rsidR="00A341C2" w:rsidRPr="008B2DDA">
        <w:t>’</w:t>
      </w:r>
      <w:r w:rsidRPr="008B2DDA">
        <w:t xml:space="preserve">Union de Lisbonne considère comme </w:t>
      </w:r>
      <w:r w:rsidR="00E67417" w:rsidRPr="008B2DDA">
        <w:t>en suspens</w:t>
      </w:r>
      <w:r w:rsidRPr="008B2DDA">
        <w:t xml:space="preserve">. </w:t>
      </w:r>
      <w:r w:rsidR="00E67417" w:rsidRPr="008B2DDA">
        <w:t xml:space="preserve"> </w:t>
      </w:r>
      <w:r w:rsidRPr="008B2DDA">
        <w:t xml:space="preserve">Nous avons également </w:t>
      </w:r>
      <w:r w:rsidR="00266817" w:rsidRPr="008B2DDA">
        <w:t>proposé des modifications à apporter à</w:t>
      </w:r>
      <w:r w:rsidRPr="008B2DDA">
        <w:t xml:space="preserve"> la </w:t>
      </w:r>
      <w:r w:rsidR="00D357CB" w:rsidRPr="008B2DDA">
        <w:t>p</w:t>
      </w:r>
      <w:r w:rsidRPr="008B2DDA">
        <w:t>roposition de base</w:t>
      </w:r>
      <w:r w:rsidR="00266817" w:rsidRPr="008B2DDA">
        <w:t>,</w:t>
      </w:r>
      <w:r w:rsidRPr="008B2DDA">
        <w:t xml:space="preserve"> et </w:t>
      </w:r>
      <w:r w:rsidR="001F063D" w:rsidRPr="008B2DDA">
        <w:t>souscrivons à certaines</w:t>
      </w:r>
      <w:r w:rsidRPr="008B2DDA">
        <w:t xml:space="preserve"> solutions</w:t>
      </w:r>
      <w:r w:rsidR="00266817" w:rsidRPr="008B2DDA">
        <w:t xml:space="preserve"> possibles</w:t>
      </w:r>
      <w:r w:rsidRPr="008B2DDA">
        <w:t xml:space="preserve">, </w:t>
      </w:r>
      <w:r w:rsidR="001F063D" w:rsidRPr="008B2DDA">
        <w:t>lesquelles</w:t>
      </w:r>
      <w:r w:rsidRPr="008B2DDA">
        <w:t xml:space="preserve"> </w:t>
      </w:r>
      <w:r w:rsidR="001F063D" w:rsidRPr="008B2DDA">
        <w:t>sont énoncées</w:t>
      </w:r>
      <w:r w:rsidRPr="008B2DDA">
        <w:t xml:space="preserve"> </w:t>
      </w:r>
      <w:r w:rsidR="001F063D" w:rsidRPr="008B2DDA">
        <w:t>dans l</w:t>
      </w:r>
      <w:r w:rsidR="00A341C2" w:rsidRPr="008B2DDA">
        <w:t>’</w:t>
      </w:r>
      <w:r w:rsidR="00D357CB" w:rsidRPr="008B2DDA">
        <w:t>appendice</w:t>
      </w:r>
      <w:r w:rsidR="001F063D" w:rsidRPr="008B2DDA">
        <w:t xml:space="preserve"> du</w:t>
      </w:r>
      <w:r w:rsidRPr="008B2DDA">
        <w:t xml:space="preserve"> présent document.</w:t>
      </w:r>
    </w:p>
    <w:p w14:paraId="33ED1AD0" w14:textId="41F88585" w:rsidR="007079A8" w:rsidRPr="008B2DDA" w:rsidRDefault="0080323D" w:rsidP="008B2DDA">
      <w:pPr>
        <w:pStyle w:val="Heading3"/>
        <w:rPr>
          <w:b/>
          <w:szCs w:val="22"/>
        </w:rPr>
      </w:pPr>
      <w:r w:rsidRPr="008B2DDA">
        <w:rPr>
          <w:b/>
          <w:szCs w:val="22"/>
        </w:rPr>
        <w:t>Premier</w:t>
      </w:r>
      <w:r w:rsidR="001F063D" w:rsidRPr="008B2DDA">
        <w:rPr>
          <w:b/>
          <w:szCs w:val="22"/>
        </w:rPr>
        <w:t> </w:t>
      </w:r>
      <w:r w:rsidR="00461A8F" w:rsidRPr="008B2DDA">
        <w:rPr>
          <w:b/>
          <w:szCs w:val="22"/>
        </w:rPr>
        <w:t>principe</w:t>
      </w:r>
      <w:r w:rsidR="00BE34D2" w:rsidRPr="008B2DDA">
        <w:rPr>
          <w:b/>
          <w:szCs w:val="22"/>
        </w:rPr>
        <w:t> </w:t>
      </w:r>
      <w:r w:rsidR="00311638" w:rsidRPr="008B2DDA">
        <w:rPr>
          <w:b/>
          <w:szCs w:val="22"/>
        </w:rPr>
        <w:t xml:space="preserve">: </w:t>
      </w:r>
      <w:r w:rsidRPr="008B2DDA">
        <w:rPr>
          <w:b/>
          <w:szCs w:val="22"/>
        </w:rPr>
        <w:t>l</w:t>
      </w:r>
      <w:r w:rsidR="007D1968" w:rsidRPr="008B2DDA">
        <w:rPr>
          <w:b/>
          <w:szCs w:val="22"/>
        </w:rPr>
        <w:t>a t</w:t>
      </w:r>
      <w:r w:rsidR="00BE34D2" w:rsidRPr="008B2DDA">
        <w:rPr>
          <w:b/>
          <w:szCs w:val="22"/>
        </w:rPr>
        <w:t>erritorialité</w:t>
      </w:r>
    </w:p>
    <w:p w14:paraId="2A2A5A1C" w14:textId="77777777" w:rsidR="00471C17" w:rsidRPr="008B2DDA" w:rsidRDefault="00471C17" w:rsidP="008B2DDA">
      <w:pPr>
        <w:keepNext/>
      </w:pPr>
    </w:p>
    <w:p w14:paraId="11441189" w14:textId="35FEFE2E" w:rsidR="00A001D8" w:rsidRPr="008B2DDA" w:rsidRDefault="00BE34D2" w:rsidP="008B2DDA">
      <w:pPr>
        <w:pStyle w:val="ONUMFS"/>
        <w:numPr>
          <w:ilvl w:val="0"/>
          <w:numId w:val="0"/>
        </w:numPr>
      </w:pPr>
      <w:r w:rsidRPr="008B2DDA">
        <w:t>Les droits de propriété intellectuelle sont territoriaux et créé</w:t>
      </w:r>
      <w:r w:rsidR="004E7DF0" w:rsidRPr="008B2DDA">
        <w:t>s</w:t>
      </w:r>
      <w:r w:rsidRPr="008B2DDA">
        <w:t xml:space="preserve"> dans les conditions prévues par la législation nationale. </w:t>
      </w:r>
      <w:r w:rsidR="004E7DF0" w:rsidRPr="008B2DDA">
        <w:t xml:space="preserve"> Les p</w:t>
      </w:r>
      <w:r w:rsidRPr="008B2DDA">
        <w:t>ri</w:t>
      </w:r>
      <w:r w:rsidR="004E7DF0" w:rsidRPr="008B2DDA">
        <w:t>ncipes de protection réciproque</w:t>
      </w:r>
      <w:r w:rsidRPr="008B2DDA">
        <w:t xml:space="preserve"> </w:t>
      </w:r>
      <w:r w:rsidR="004E7DF0" w:rsidRPr="008B2DDA">
        <w:t>énoncés dans les</w:t>
      </w:r>
      <w:r w:rsidRPr="008B2DDA">
        <w:t xml:space="preserve"> conventions de propriété intellectuelle </w:t>
      </w:r>
      <w:r w:rsidR="004E7DF0" w:rsidRPr="008B2DDA">
        <w:t>antérieures</w:t>
      </w:r>
      <w:r w:rsidRPr="008B2DDA">
        <w:t xml:space="preserve"> ont été remplacés par le principe du traitement national. </w:t>
      </w:r>
      <w:r w:rsidR="004E7DF0" w:rsidRPr="008B2DDA">
        <w:t xml:space="preserve"> Dans la mesure où la </w:t>
      </w:r>
      <w:r w:rsidR="00D357CB" w:rsidRPr="008B2DDA">
        <w:t>p</w:t>
      </w:r>
      <w:r w:rsidRPr="008B2DDA">
        <w:t>roposition de base perpétue l</w:t>
      </w:r>
      <w:r w:rsidR="00A341C2" w:rsidRPr="008B2DDA">
        <w:t>’</w:t>
      </w:r>
      <w:r w:rsidRPr="008B2DDA">
        <w:t xml:space="preserve">idée que les pays </w:t>
      </w:r>
      <w:r w:rsidR="00266817" w:rsidRPr="008B2DDA">
        <w:t>bénéficiaires</w:t>
      </w:r>
      <w:r w:rsidRPr="008B2DDA">
        <w:t xml:space="preserve"> </w:t>
      </w:r>
      <w:r w:rsidR="00266817" w:rsidRPr="008B2DDA">
        <w:t xml:space="preserve">donnent leur accord les yeux fermés à la protection dans le </w:t>
      </w:r>
      <w:r w:rsidR="004E7DF0" w:rsidRPr="008B2DDA">
        <w:t>pays d</w:t>
      </w:r>
      <w:r w:rsidR="00A341C2" w:rsidRPr="008B2DDA">
        <w:t>’</w:t>
      </w:r>
      <w:r w:rsidRPr="008B2DDA">
        <w:t xml:space="preserve">origine, 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AB2F99" w:rsidRPr="008B2DDA">
        <w:t>proposent</w:t>
      </w:r>
      <w:r w:rsidRPr="008B2DDA">
        <w:t xml:space="preserve"> des modifications qui aideraient à </w:t>
      </w:r>
      <w:r w:rsidR="00266817" w:rsidRPr="008B2DDA">
        <w:t>rendre</w:t>
      </w:r>
      <w:r w:rsidRPr="008B2DDA">
        <w:t xml:space="preserve"> l</w:t>
      </w:r>
      <w:r w:rsidR="00A341C2" w:rsidRPr="008B2DDA">
        <w:t>’</w:t>
      </w:r>
      <w:r w:rsidRPr="008B2DDA">
        <w:t xml:space="preserve">accord </w:t>
      </w:r>
      <w:r w:rsidR="00266817" w:rsidRPr="008B2DDA">
        <w:t>plus attrayant aux yeux de</w:t>
      </w:r>
      <w:r w:rsidR="004E7DF0" w:rsidRPr="008B2DDA">
        <w:t xml:space="preserve"> pays</w:t>
      </w:r>
      <w:r w:rsidRPr="008B2DDA">
        <w:t xml:space="preserve"> comme les États</w:t>
      </w:r>
      <w:r w:rsidR="00D67EA4" w:rsidRPr="008B2DDA">
        <w:noBreakHyphen/>
      </w:r>
      <w:r w:rsidRPr="008B2DDA">
        <w:t>Unis</w:t>
      </w:r>
      <w:r w:rsidR="00E26A2C" w:rsidRPr="008B2DDA">
        <w:t xml:space="preserve"> d’Amérique</w:t>
      </w:r>
      <w:r w:rsidRPr="008B2DDA">
        <w:t xml:space="preserve">, qui évaluent </w:t>
      </w:r>
      <w:r w:rsidR="004E7DF0" w:rsidRPr="008B2DDA">
        <w:t xml:space="preserve">les </w:t>
      </w:r>
      <w:r w:rsidRPr="008B2DDA">
        <w:t xml:space="preserve">demandes de droits de propriété intellectuelle en </w:t>
      </w:r>
      <w:r w:rsidR="00266817" w:rsidRPr="008B2DDA">
        <w:t>cohérence</w:t>
      </w:r>
      <w:r w:rsidRPr="008B2DDA">
        <w:t xml:space="preserve"> avec la législation </w:t>
      </w:r>
      <w:r w:rsidR="00266817" w:rsidRPr="008B2DDA">
        <w:t xml:space="preserve">et la politique nationales </w:t>
      </w:r>
      <w:r w:rsidRPr="008B2DDA">
        <w:t>ainsi que les obligations de traitement national</w:t>
      </w:r>
      <w:r w:rsidR="00266817" w:rsidRPr="008B2DDA">
        <w:t>es</w:t>
      </w:r>
      <w:r w:rsidRPr="008B2DDA">
        <w:t>.</w:t>
      </w:r>
    </w:p>
    <w:p w14:paraId="78C883A9" w14:textId="1D3DC407" w:rsidR="007079A8" w:rsidRPr="008B2DDA" w:rsidRDefault="00BE34D2" w:rsidP="008B2DDA">
      <w:pPr>
        <w:pStyle w:val="ONUMFS"/>
        <w:numPr>
          <w:ilvl w:val="0"/>
          <w:numId w:val="0"/>
        </w:numPr>
      </w:pPr>
      <w:r w:rsidRPr="008B2DDA">
        <w:t xml:space="preserve">Les articles, </w:t>
      </w:r>
      <w:r w:rsidR="00266817" w:rsidRPr="008B2DDA">
        <w:t>règles</w:t>
      </w:r>
      <w:r w:rsidRPr="008B2DDA">
        <w:t xml:space="preserve"> </w:t>
      </w:r>
      <w:r w:rsidR="00266817" w:rsidRPr="008B2DDA">
        <w:t>et</w:t>
      </w:r>
      <w:r w:rsidRPr="008B2DDA">
        <w:t xml:space="preserve"> </w:t>
      </w:r>
      <w:r w:rsidR="00266817" w:rsidRPr="008B2DDA">
        <w:t>solutions possibles</w:t>
      </w:r>
      <w:r w:rsidRPr="008B2DDA">
        <w:t xml:space="preserve"> </w:t>
      </w:r>
      <w:r w:rsidR="00266817" w:rsidRPr="008B2DDA">
        <w:t>ci</w:t>
      </w:r>
      <w:r w:rsidR="00D67EA4" w:rsidRPr="008B2DDA">
        <w:noBreakHyphen/>
      </w:r>
      <w:r w:rsidR="00266817" w:rsidRPr="008B2DDA">
        <w:t xml:space="preserve">après, prévus dans la </w:t>
      </w:r>
      <w:r w:rsidR="00D357CB" w:rsidRPr="008B2DDA">
        <w:t>p</w:t>
      </w:r>
      <w:r w:rsidRPr="008B2DDA">
        <w:t>roposition de base</w:t>
      </w:r>
      <w:r w:rsidR="00266817" w:rsidRPr="008B2DDA">
        <w:t>,</w:t>
      </w:r>
      <w:r w:rsidRPr="008B2DDA">
        <w:t xml:space="preserve"> soulèvent des questions par rapport à ce principe</w:t>
      </w:r>
      <w:r w:rsidR="00266817" w:rsidRPr="008B2DDA">
        <w:t xml:space="preserve">; </w:t>
      </w:r>
      <w:r w:rsidRPr="008B2DDA">
        <w:t xml:space="preserve"> nous discutons donc </w:t>
      </w:r>
      <w:r w:rsidR="00266817" w:rsidRPr="008B2DDA">
        <w:t>des modifications</w:t>
      </w:r>
      <w:r w:rsidRPr="008B2DDA">
        <w:t xml:space="preserve"> et </w:t>
      </w:r>
      <w:r w:rsidR="00266817" w:rsidRPr="008B2DDA">
        <w:t>solutions</w:t>
      </w:r>
      <w:r w:rsidRPr="008B2DDA">
        <w:t xml:space="preserve"> possibles qui permettraient </w:t>
      </w:r>
      <w:r w:rsidR="00266817" w:rsidRPr="008B2DDA">
        <w:t>de mieux aligner</w:t>
      </w:r>
      <w:r w:rsidRPr="008B2DDA">
        <w:t xml:space="preserve"> la </w:t>
      </w:r>
      <w:r w:rsidR="00D357CB" w:rsidRPr="008B2DDA">
        <w:t>p</w:t>
      </w:r>
      <w:r w:rsidRPr="008B2DDA">
        <w:t xml:space="preserve">roposition de base </w:t>
      </w:r>
      <w:r w:rsidR="00266817" w:rsidRPr="008B2DDA">
        <w:t>sur</w:t>
      </w:r>
      <w:r w:rsidRPr="008B2DDA">
        <w:t xml:space="preserve"> le principe de territorialité.</w:t>
      </w:r>
      <w:r w:rsidR="00266817" w:rsidRPr="008B2DDA">
        <w:t xml:space="preserve"> </w:t>
      </w:r>
      <w:r w:rsidRPr="008B2DDA">
        <w:t xml:space="preserve"> Les modifications proposées visent à </w:t>
      </w:r>
      <w:r w:rsidR="008B09FF" w:rsidRPr="008B2DDA">
        <w:t>accorder</w:t>
      </w:r>
      <w:r w:rsidRPr="008B2DDA">
        <w:t xml:space="preserve"> moins de </w:t>
      </w:r>
      <w:r w:rsidR="00266817" w:rsidRPr="008B2DDA">
        <w:t>force probante</w:t>
      </w:r>
      <w:r w:rsidRPr="008B2DDA">
        <w:t xml:space="preserve"> </w:t>
      </w:r>
      <w:r w:rsidR="008B09FF" w:rsidRPr="008B2DDA">
        <w:t>au</w:t>
      </w:r>
      <w:r w:rsidRPr="008B2DDA">
        <w:t xml:space="preserve"> fait qu</w:t>
      </w:r>
      <w:r w:rsidR="00A341C2" w:rsidRPr="008B2DDA">
        <w:t>’</w:t>
      </w:r>
      <w:r w:rsidRPr="008B2DDA">
        <w:t xml:space="preserve">une </w:t>
      </w:r>
      <w:r w:rsidR="00AB2EF0" w:rsidRPr="008B2DDA">
        <w:t>indication géographique</w:t>
      </w:r>
      <w:r w:rsidRPr="008B2DDA">
        <w:t xml:space="preserve"> </w:t>
      </w:r>
      <w:r w:rsidR="00680F15" w:rsidRPr="008B2DDA">
        <w:t>soit</w:t>
      </w:r>
      <w:r w:rsidRPr="008B2DDA">
        <w:t xml:space="preserve"> protégée dans le pays d</w:t>
      </w:r>
      <w:r w:rsidR="00A341C2" w:rsidRPr="008B2DDA">
        <w:t>’</w:t>
      </w:r>
      <w:r w:rsidRPr="008B2DDA">
        <w:t xml:space="preserve">origine et plus de </w:t>
      </w:r>
      <w:r w:rsidR="008B09FF" w:rsidRPr="008B2DDA">
        <w:t>force probante</w:t>
      </w:r>
      <w:r w:rsidRPr="008B2DDA">
        <w:t xml:space="preserve"> à la perception </w:t>
      </w:r>
      <w:r w:rsidR="006675CE" w:rsidRPr="008B2DDA">
        <w:t>par le</w:t>
      </w:r>
      <w:r w:rsidRPr="008B2DDA">
        <w:t xml:space="preserve"> consomm</w:t>
      </w:r>
      <w:r w:rsidR="00680F15" w:rsidRPr="008B2DDA">
        <w:t xml:space="preserve">ateur </w:t>
      </w:r>
      <w:r w:rsidR="006675CE" w:rsidRPr="008B2DDA">
        <w:t xml:space="preserve">local </w:t>
      </w:r>
      <w:r w:rsidR="00680F15" w:rsidRPr="008B2DDA">
        <w:t xml:space="preserve">du </w:t>
      </w:r>
      <w:r w:rsidRPr="008B2DDA">
        <w:t xml:space="preserve">pays </w:t>
      </w:r>
      <w:r w:rsidR="00680F15" w:rsidRPr="008B2DDA">
        <w:t xml:space="preserve">bénéficiaire </w:t>
      </w:r>
      <w:r w:rsidRPr="008B2DDA">
        <w:t xml:space="preserve">de la dénomination ou </w:t>
      </w:r>
      <w:r w:rsidR="006675CE" w:rsidRPr="008B2DDA">
        <w:t>de l</w:t>
      </w:r>
      <w:r w:rsidR="00A341C2" w:rsidRPr="008B2DDA">
        <w:t>’</w:t>
      </w:r>
      <w:r w:rsidRPr="008B2DDA">
        <w:t>indication à des fins d</w:t>
      </w:r>
      <w:r w:rsidR="00A341C2" w:rsidRPr="008B2DDA">
        <w:t>’</w:t>
      </w:r>
      <w:r w:rsidRPr="008B2DDA">
        <w:t>évaluati</w:t>
      </w:r>
      <w:r w:rsidR="008B09FF" w:rsidRPr="008B2DDA">
        <w:t xml:space="preserve">on </w:t>
      </w:r>
      <w:r w:rsidR="006675CE" w:rsidRPr="008B2DDA">
        <w:t>de l</w:t>
      </w:r>
      <w:r w:rsidR="00A341C2" w:rsidRPr="008B2DDA">
        <w:t>’</w:t>
      </w:r>
      <w:proofErr w:type="spellStart"/>
      <w:r w:rsidR="006675CE" w:rsidRPr="008B2DDA">
        <w:t>enregistrabilité</w:t>
      </w:r>
      <w:proofErr w:type="spellEnd"/>
      <w:r w:rsidR="008B09FF" w:rsidRPr="008B2DDA">
        <w:t xml:space="preserve"> (article 2 et </w:t>
      </w:r>
      <w:r w:rsidR="00680F15" w:rsidRPr="008B2DDA">
        <w:t>règle</w:t>
      </w:r>
      <w:r w:rsidR="008B09FF" w:rsidRPr="008B2DDA">
        <w:t xml:space="preserve"> 5) et </w:t>
      </w:r>
      <w:r w:rsidR="006675CE" w:rsidRPr="008B2DDA">
        <w:t xml:space="preserve">des </w:t>
      </w:r>
      <w:r w:rsidR="00F25882" w:rsidRPr="008B2DDA">
        <w:t>atteintes</w:t>
      </w:r>
      <w:r w:rsidR="008B09FF" w:rsidRPr="008B2DDA">
        <w:t xml:space="preserve"> (article </w:t>
      </w:r>
      <w:r w:rsidRPr="008B2DDA">
        <w:t>11).</w:t>
      </w:r>
      <w:r w:rsidR="006675CE" w:rsidRPr="008B2DDA">
        <w:t xml:space="preserve"> </w:t>
      </w:r>
      <w:r w:rsidRPr="008B2DDA">
        <w:t xml:space="preserve"> En outre, ces modifications visent à reconnaître et à respecter </w:t>
      </w:r>
      <w:r w:rsidR="006675CE" w:rsidRPr="008B2DDA">
        <w:t>(</w:t>
      </w:r>
      <w:r w:rsidR="00E85C66" w:rsidRPr="008B2DDA">
        <w:t>et non pas à </w:t>
      </w:r>
      <w:r w:rsidRPr="008B2DDA">
        <w:t>ignorer</w:t>
      </w:r>
      <w:r w:rsidR="006675CE" w:rsidRPr="008B2DDA">
        <w:t>)</w:t>
      </w:r>
      <w:r w:rsidRPr="008B2DDA">
        <w:t xml:space="preserve"> les faits sur le </w:t>
      </w:r>
      <w:r w:rsidR="007B3A0F" w:rsidRPr="008B2DDA">
        <w:t>territoire</w:t>
      </w:r>
      <w:r w:rsidRPr="008B2DDA">
        <w:t xml:space="preserve"> du pays </w:t>
      </w:r>
      <w:r w:rsidR="007B3A0F" w:rsidRPr="008B2DDA">
        <w:t>bénéficiaire</w:t>
      </w:r>
      <w:r w:rsidRPr="008B2DDA">
        <w:t xml:space="preserve"> </w:t>
      </w:r>
      <w:r w:rsidR="007B3A0F" w:rsidRPr="008B2DDA">
        <w:t>lorsqu</w:t>
      </w:r>
      <w:r w:rsidR="00A341C2" w:rsidRPr="008B2DDA">
        <w:t>’</w:t>
      </w:r>
      <w:r w:rsidR="007B3A0F" w:rsidRPr="008B2DDA">
        <w:t>il s</w:t>
      </w:r>
      <w:r w:rsidR="00A341C2" w:rsidRPr="008B2DDA">
        <w:t>’</w:t>
      </w:r>
      <w:r w:rsidR="007B3A0F" w:rsidRPr="008B2DDA">
        <w:t>agit</w:t>
      </w:r>
      <w:r w:rsidRPr="008B2DDA">
        <w:t xml:space="preserve"> de s</w:t>
      </w:r>
      <w:r w:rsidR="007B3A0F" w:rsidRPr="008B2DDA">
        <w:t>avoir si un terme a été autorisé</w:t>
      </w:r>
      <w:r w:rsidRPr="008B2DDA">
        <w:t xml:space="preserve"> </w:t>
      </w:r>
      <w:r w:rsidR="007B3A0F" w:rsidRPr="008B2DDA">
        <w:t xml:space="preserve">par le </w:t>
      </w:r>
      <w:r w:rsidR="001B45E2" w:rsidRPr="008B2DDA">
        <w:t>titulaire</w:t>
      </w:r>
      <w:r w:rsidR="007B3A0F" w:rsidRPr="008B2DDA">
        <w:t xml:space="preserve"> étranger à devenir générique sur un autre territoire </w:t>
      </w:r>
      <w:r w:rsidRPr="008B2DDA">
        <w:t xml:space="preserve">de </w:t>
      </w:r>
      <w:r w:rsidR="008B09FF" w:rsidRPr="008B2DDA">
        <w:t>(article </w:t>
      </w:r>
      <w:r w:rsidRPr="008B2DDA">
        <w:t xml:space="preserve">12 </w:t>
      </w:r>
      <w:r w:rsidR="00964FD2" w:rsidRPr="008B2DDA">
        <w:t xml:space="preserve">et </w:t>
      </w:r>
      <w:r w:rsidR="001B45E2" w:rsidRPr="008B2DDA">
        <w:t>note de bas de page 2 de l</w:t>
      </w:r>
      <w:r w:rsidR="00A341C2" w:rsidRPr="008B2DDA">
        <w:t>’</w:t>
      </w:r>
      <w:r w:rsidR="001B45E2" w:rsidRPr="008B2DDA">
        <w:t>article</w:t>
      </w:r>
      <w:r w:rsidR="008B09FF" w:rsidRPr="008B2DDA">
        <w:t> </w:t>
      </w:r>
      <w:r w:rsidRPr="008B2DDA">
        <w:t>11).</w:t>
      </w:r>
    </w:p>
    <w:p w14:paraId="3F6FF456" w14:textId="780E559C" w:rsidR="007079A8" w:rsidRPr="008B2DDA" w:rsidRDefault="001F705D" w:rsidP="008B2DDA">
      <w:pPr>
        <w:pStyle w:val="ONUMFS"/>
        <w:numPr>
          <w:ilvl w:val="0"/>
          <w:numId w:val="0"/>
        </w:numPr>
      </w:pPr>
      <w:hyperlink w:anchor="Article_2_Subject_Matter" w:history="1">
        <w:r w:rsidR="00461A8F" w:rsidRPr="00450AF4">
          <w:rPr>
            <w:rStyle w:val="Hyperlink"/>
            <w:b/>
            <w:color w:val="0000FF"/>
          </w:rPr>
          <w:t>Article </w:t>
        </w:r>
        <w:r w:rsidR="00311638" w:rsidRPr="00450AF4">
          <w:rPr>
            <w:rStyle w:val="Hyperlink"/>
            <w:b/>
            <w:color w:val="0000FF"/>
          </w:rPr>
          <w:t>2</w:t>
        </w:r>
      </w:hyperlink>
      <w:r w:rsidR="00311638" w:rsidRPr="008B2DDA">
        <w:rPr>
          <w:b/>
        </w:rPr>
        <w:t xml:space="preserve"> </w:t>
      </w:r>
      <w:r w:rsidR="00466562" w:rsidRPr="008B2DDA">
        <w:rPr>
          <w:b/>
        </w:rPr>
        <w:t>Objet </w:t>
      </w:r>
      <w:r w:rsidR="00311638" w:rsidRPr="008B2DDA">
        <w:rPr>
          <w:b/>
        </w:rPr>
        <w:t>:</w:t>
      </w:r>
      <w:r w:rsidR="00311638" w:rsidRPr="008B2DDA">
        <w:t xml:space="preserve"> </w:t>
      </w:r>
      <w:r w:rsidR="00461A8F" w:rsidRPr="008B2DDA">
        <w:t>En vertu de</w:t>
      </w:r>
      <w:r w:rsidR="00BE34D2" w:rsidRPr="008B2DDA">
        <w:t xml:space="preserve"> l</w:t>
      </w:r>
      <w:r w:rsidR="00A341C2" w:rsidRPr="008B2DDA">
        <w:t>’</w:t>
      </w:r>
      <w:r w:rsidR="00461A8F" w:rsidRPr="008B2DDA">
        <w:t>article </w:t>
      </w:r>
      <w:r w:rsidR="00BE34D2" w:rsidRPr="008B2DDA">
        <w:t>2, les définitions des appellations d</w:t>
      </w:r>
      <w:r w:rsidR="00A341C2" w:rsidRPr="008B2DDA">
        <w:t>’</w:t>
      </w:r>
      <w:r w:rsidR="00BE34D2" w:rsidRPr="008B2DDA">
        <w:t>origine et indication</w:t>
      </w:r>
      <w:r w:rsidR="003143EE" w:rsidRPr="008B2DDA">
        <w:t>s</w:t>
      </w:r>
      <w:r w:rsidR="00BE34D2" w:rsidRPr="008B2DDA">
        <w:t xml:space="preserve"> géographique</w:t>
      </w:r>
      <w:r w:rsidR="003143EE" w:rsidRPr="008B2DDA">
        <w:t>s</w:t>
      </w:r>
      <w:r w:rsidR="00BE34D2" w:rsidRPr="008B2DDA">
        <w:t xml:space="preserve"> </w:t>
      </w:r>
      <w:r w:rsidR="003143EE" w:rsidRPr="008B2DDA">
        <w:t>–</w:t>
      </w:r>
      <w:r w:rsidR="00BE34D2" w:rsidRPr="008B2DDA">
        <w:t xml:space="preserve"> dans la mesure où </w:t>
      </w:r>
      <w:r w:rsidR="00026458" w:rsidRPr="008B2DDA">
        <w:t>la</w:t>
      </w:r>
      <w:r w:rsidR="00BE34D2" w:rsidRPr="008B2DDA">
        <w:t xml:space="preserve"> </w:t>
      </w:r>
      <w:r w:rsidR="00026458" w:rsidRPr="008B2DDA">
        <w:t xml:space="preserve">notion de </w:t>
      </w:r>
      <w:r w:rsidR="00402F39" w:rsidRPr="008B2DDA">
        <w:t>notoriété</w:t>
      </w:r>
      <w:r w:rsidR="00BE34D2" w:rsidRPr="008B2DDA">
        <w:t xml:space="preserve"> </w:t>
      </w:r>
      <w:r w:rsidR="00026458" w:rsidRPr="008B2DDA">
        <w:t xml:space="preserve">dans le pays bénéficiaire est exclue de la définition </w:t>
      </w:r>
      <w:r w:rsidR="003143EE" w:rsidRPr="008B2DDA">
        <w:t>–</w:t>
      </w:r>
      <w:r w:rsidR="00BE34D2" w:rsidRPr="008B2DDA">
        <w:t xml:space="preserve"> créent une présomption sur le territoire du pays </w:t>
      </w:r>
      <w:r w:rsidR="004E1FEC" w:rsidRPr="008B2DDA">
        <w:t>bénéficiaire</w:t>
      </w:r>
      <w:r w:rsidR="00BE34D2" w:rsidRPr="008B2DDA">
        <w:t xml:space="preserve"> </w:t>
      </w:r>
      <w:r w:rsidR="00026458" w:rsidRPr="008B2DDA">
        <w:t xml:space="preserve">selon laquelle </w:t>
      </w:r>
      <w:r w:rsidR="00BE34D2" w:rsidRPr="008B2DDA">
        <w:t>un</w:t>
      </w:r>
      <w:r w:rsidR="004E1FEC" w:rsidRPr="008B2DDA">
        <w:t>e</w:t>
      </w:r>
      <w:r w:rsidR="00BE34D2" w:rsidRPr="008B2DDA">
        <w:t xml:space="preserve"> dénomination ou indication est un</w:t>
      </w:r>
      <w:r w:rsidR="004E1FEC" w:rsidRPr="008B2DDA">
        <w:t xml:space="preserve">e </w:t>
      </w:r>
      <w:r w:rsidR="00AB2EF0" w:rsidRPr="008B2DDA">
        <w:t>indication géographique</w:t>
      </w:r>
      <w:r w:rsidR="00BE34D2" w:rsidRPr="008B2DDA">
        <w:t xml:space="preserve"> </w:t>
      </w:r>
      <w:r w:rsidR="004E1FEC" w:rsidRPr="008B2DDA">
        <w:t>en</w:t>
      </w:r>
      <w:r w:rsidR="00BE34D2" w:rsidRPr="008B2DDA">
        <w:t xml:space="preserve"> vertu de la protection dans le pays d</w:t>
      </w:r>
      <w:r w:rsidR="00A341C2" w:rsidRPr="008B2DDA">
        <w:t>’</w:t>
      </w:r>
      <w:r w:rsidR="00BE34D2" w:rsidRPr="008B2DDA">
        <w:t>origine</w:t>
      </w:r>
      <w:r w:rsidR="00402F39" w:rsidRPr="008B2DDA">
        <w:rPr>
          <w:rStyle w:val="FootnoteReference"/>
          <w:rFonts w:cs="Arial"/>
        </w:rPr>
        <w:footnoteReference w:id="5"/>
      </w:r>
      <w:r w:rsidR="00BE34D2" w:rsidRPr="008B2DDA">
        <w:t xml:space="preserve">. </w:t>
      </w:r>
      <w:r w:rsidR="00026458" w:rsidRPr="008B2DDA">
        <w:t xml:space="preserve"> </w:t>
      </w:r>
      <w:r w:rsidR="00BE34D2" w:rsidRPr="008B2DDA">
        <w:t xml:space="preserve">Cette présomption de protection des </w:t>
      </w:r>
      <w:r w:rsidR="00AB2EF0" w:rsidRPr="008B2DDA">
        <w:t>indications géographiques</w:t>
      </w:r>
      <w:r w:rsidR="00BE34D2" w:rsidRPr="008B2DDA">
        <w:t xml:space="preserve"> est problématique</w:t>
      </w:r>
      <w:r w:rsidR="00026458" w:rsidRPr="008B2DDA">
        <w:t>,</w:t>
      </w:r>
      <w:r w:rsidR="00BE34D2" w:rsidRPr="008B2DDA">
        <w:t xml:space="preserve"> car elle </w:t>
      </w:r>
      <w:r w:rsidR="00026458" w:rsidRPr="008B2DDA">
        <w:t>implique qu</w:t>
      </w:r>
      <w:r w:rsidR="00A341C2" w:rsidRPr="008B2DDA">
        <w:t>’</w:t>
      </w:r>
      <w:r w:rsidR="00026458" w:rsidRPr="008B2DDA">
        <w:t>il incombe à</w:t>
      </w:r>
      <w:r w:rsidR="00BE34D2" w:rsidRPr="008B2DDA">
        <w:t xml:space="preserve"> la partie contractante </w:t>
      </w:r>
      <w:r w:rsidR="00026458" w:rsidRPr="008B2DDA">
        <w:t>bénéficiaire</w:t>
      </w:r>
      <w:r w:rsidR="00BE34D2" w:rsidRPr="008B2DDA">
        <w:t xml:space="preserve"> de prouver </w:t>
      </w:r>
      <w:r w:rsidR="00026458" w:rsidRPr="008B2DDA">
        <w:t>que la dénomination/l</w:t>
      </w:r>
      <w:r w:rsidR="00A341C2" w:rsidRPr="008B2DDA">
        <w:t>’</w:t>
      </w:r>
      <w:r w:rsidR="00026458" w:rsidRPr="008B2DDA">
        <w:t>indication n</w:t>
      </w:r>
      <w:r w:rsidR="00A341C2" w:rsidRPr="008B2DDA">
        <w:t>’</w:t>
      </w:r>
      <w:r w:rsidR="00BE34D2" w:rsidRPr="008B2DDA">
        <w:t xml:space="preserve">est pas une </w:t>
      </w:r>
      <w:r w:rsidR="00AB2EF0" w:rsidRPr="008B2DDA">
        <w:t>indication géographique</w:t>
      </w:r>
      <w:r w:rsidR="00BE34D2" w:rsidRPr="008B2DDA">
        <w:t xml:space="preserve">. </w:t>
      </w:r>
      <w:r w:rsidR="00026458" w:rsidRPr="008B2DDA">
        <w:t xml:space="preserve"> </w:t>
      </w:r>
      <w:r w:rsidR="00BE34D2" w:rsidRPr="008B2DDA">
        <w:t xml:space="preserve">Si </w:t>
      </w:r>
      <w:r w:rsidR="00026458" w:rsidRPr="008B2DDA">
        <w:t xml:space="preserve">la notion de </w:t>
      </w:r>
      <w:r w:rsidR="00402F39" w:rsidRPr="008B2DDA">
        <w:t>notoriété</w:t>
      </w:r>
      <w:r w:rsidR="00BE34D2" w:rsidRPr="008B2DDA">
        <w:t xml:space="preserve"> dans le pays </w:t>
      </w:r>
      <w:r w:rsidR="00026458" w:rsidRPr="008B2DDA">
        <w:t>bénéficiaire</w:t>
      </w:r>
      <w:r w:rsidR="00BE34D2" w:rsidRPr="008B2DDA">
        <w:t xml:space="preserve"> est essentiellement </w:t>
      </w:r>
      <w:r w:rsidR="00026458" w:rsidRPr="008B2DDA">
        <w:t>exclue</w:t>
      </w:r>
      <w:r w:rsidR="00BE34D2" w:rsidRPr="008B2DDA">
        <w:t xml:space="preserve"> de la définition, le seul élément </w:t>
      </w:r>
      <w:r w:rsidR="00026458" w:rsidRPr="008B2DDA">
        <w:t>que doit examiner</w:t>
      </w:r>
      <w:r w:rsidR="00BE34D2" w:rsidRPr="008B2DDA">
        <w:t xml:space="preserve"> le pays </w:t>
      </w:r>
      <w:r w:rsidR="00026458" w:rsidRPr="008B2DDA">
        <w:t>bénéficiaire</w:t>
      </w:r>
      <w:r w:rsidR="00BE34D2" w:rsidRPr="008B2DDA">
        <w:t xml:space="preserve"> est </w:t>
      </w:r>
      <w:r w:rsidR="00685CF2" w:rsidRPr="008B2DDA">
        <w:t>l</w:t>
      </w:r>
      <w:r w:rsidR="00A341C2" w:rsidRPr="008B2DDA">
        <w:t>’</w:t>
      </w:r>
      <w:r w:rsidR="00685CF2" w:rsidRPr="008B2DDA">
        <w:t>aspect</w:t>
      </w:r>
      <w:r w:rsidR="00BE34D2" w:rsidRPr="008B2DDA">
        <w:t xml:space="preserve"> qualité qui a été reconnu par le pays d</w:t>
      </w:r>
      <w:r w:rsidR="00A341C2" w:rsidRPr="008B2DDA">
        <w:t>’</w:t>
      </w:r>
      <w:r w:rsidR="00BE34D2" w:rsidRPr="008B2DDA">
        <w:t>origine.</w:t>
      </w:r>
      <w:r w:rsidR="00026458" w:rsidRPr="008B2DDA">
        <w:t xml:space="preserve"> </w:t>
      </w:r>
      <w:r w:rsidR="00BE34D2" w:rsidRPr="008B2DDA">
        <w:t xml:space="preserve"> </w:t>
      </w:r>
      <w:r w:rsidR="00D50CAA" w:rsidRPr="008B2DDA">
        <w:t>Le</w:t>
      </w:r>
      <w:r w:rsidR="00BE34D2" w:rsidRPr="008B2DDA">
        <w:t xml:space="preserve"> pays </w:t>
      </w:r>
      <w:r w:rsidR="00D50CAA" w:rsidRPr="008B2DDA">
        <w:t>bénéficiaire</w:t>
      </w:r>
      <w:r w:rsidR="00BE34D2" w:rsidRPr="008B2DDA">
        <w:t xml:space="preserve"> </w:t>
      </w:r>
      <w:r w:rsidR="00D50CAA" w:rsidRPr="008B2DDA">
        <w:t>n</w:t>
      </w:r>
      <w:r w:rsidR="00A341C2" w:rsidRPr="008B2DDA">
        <w:t>’</w:t>
      </w:r>
      <w:r w:rsidR="00D50CAA" w:rsidRPr="008B2DDA">
        <w:t xml:space="preserve">évalue rien </w:t>
      </w:r>
      <w:r w:rsidR="00BE34D2" w:rsidRPr="008B2DDA">
        <w:t>de façon indépendante</w:t>
      </w:r>
      <w:r w:rsidR="00D50CAA" w:rsidRPr="008B2DDA">
        <w:t>;  par conséquent, il donne son accord les yeux fermés à la protection dans le pays d</w:t>
      </w:r>
      <w:r w:rsidR="00A341C2" w:rsidRPr="008B2DDA">
        <w:t>’</w:t>
      </w:r>
      <w:r w:rsidR="00D50CAA" w:rsidRPr="008B2DDA">
        <w:t>origine</w:t>
      </w:r>
      <w:r w:rsidR="00BE34D2" w:rsidRPr="008B2DDA">
        <w:t xml:space="preserve">. </w:t>
      </w:r>
      <w:r w:rsidR="00D50CAA" w:rsidRPr="008B2DDA">
        <w:t xml:space="preserve"> Cet accord sans discussion</w:t>
      </w:r>
      <w:r w:rsidR="00BE34D2" w:rsidRPr="008B2DDA">
        <w:t xml:space="preserve"> ne sert ni les titulaires de droits de propriété intellectuelle du pays </w:t>
      </w:r>
      <w:r w:rsidR="00D50CAA" w:rsidRPr="008B2DDA">
        <w:t>bénéficiaire</w:t>
      </w:r>
      <w:r w:rsidR="00BE34D2" w:rsidRPr="008B2DDA">
        <w:t xml:space="preserve"> </w:t>
      </w:r>
      <w:r w:rsidR="00D50CAA" w:rsidRPr="008B2DDA">
        <w:t>ni</w:t>
      </w:r>
      <w:r w:rsidR="00BE34D2" w:rsidRPr="008B2DDA">
        <w:t xml:space="preserve"> l</w:t>
      </w:r>
      <w:r w:rsidR="00A341C2" w:rsidRPr="008B2DDA">
        <w:t>’</w:t>
      </w:r>
      <w:r w:rsidR="00BE34D2" w:rsidRPr="008B2DDA">
        <w:t xml:space="preserve">objectif de parvenir à un système mondial </w:t>
      </w:r>
      <w:r w:rsidR="00D50CAA" w:rsidRPr="008B2DDA">
        <w:t>d</w:t>
      </w:r>
      <w:r w:rsidR="00A341C2" w:rsidRPr="008B2DDA">
        <w:t>’</w:t>
      </w:r>
      <w:r w:rsidR="00D50CAA" w:rsidRPr="008B2DDA">
        <w:t xml:space="preserve">enregistrement </w:t>
      </w:r>
      <w:r w:rsidR="00BE34D2" w:rsidRPr="008B2DDA">
        <w:t xml:space="preserve">efficace. </w:t>
      </w:r>
      <w:r w:rsidR="00D50CAA" w:rsidRPr="008B2DDA">
        <w:t xml:space="preserve"> </w:t>
      </w:r>
      <w:r w:rsidR="00D53CE0" w:rsidRPr="008B2DDA">
        <w:t>L</w:t>
      </w:r>
      <w:r w:rsidR="00A341C2" w:rsidRPr="008B2DDA">
        <w:t>’</w:t>
      </w:r>
      <w:r w:rsidR="00D53CE0" w:rsidRPr="008B2DDA">
        <w:t>exigence de notoriété</w:t>
      </w:r>
      <w:r w:rsidR="00BE34D2" w:rsidRPr="008B2DDA">
        <w:t xml:space="preserve"> </w:t>
      </w:r>
      <w:r w:rsidR="00D53CE0" w:rsidRPr="008B2DDA">
        <w:t>sur</w:t>
      </w:r>
      <w:r w:rsidR="00BE34D2" w:rsidRPr="008B2DDA">
        <w:t xml:space="preserve"> le territoire </w:t>
      </w:r>
      <w:r w:rsidR="00D53CE0" w:rsidRPr="008B2DDA">
        <w:t xml:space="preserve">du pays bénéficiaire </w:t>
      </w:r>
      <w:r w:rsidR="00BE34D2" w:rsidRPr="008B2DDA">
        <w:t>comme condition de la protection de l</w:t>
      </w:r>
      <w:r w:rsidR="00A341C2" w:rsidRPr="008B2DDA">
        <w:t>’</w:t>
      </w:r>
      <w:r w:rsidR="00AB2EF0" w:rsidRPr="008B2DDA">
        <w:t>indication géographique</w:t>
      </w:r>
      <w:r w:rsidR="00BE34D2" w:rsidRPr="008B2DDA">
        <w:t xml:space="preserve"> permettrait </w:t>
      </w:r>
      <w:r w:rsidR="00D53CE0" w:rsidRPr="008B2DDA">
        <w:t xml:space="preserve">aux </w:t>
      </w:r>
      <w:r w:rsidR="00AB2EF0" w:rsidRPr="008B2DDA">
        <w:t>indications géographiques</w:t>
      </w:r>
      <w:r w:rsidR="00BE34D2" w:rsidRPr="008B2DDA">
        <w:t xml:space="preserve"> </w:t>
      </w:r>
      <w:r w:rsidR="00D53CE0" w:rsidRPr="008B2DDA">
        <w:t>d</w:t>
      </w:r>
      <w:r w:rsidR="00A341C2" w:rsidRPr="008B2DDA">
        <w:t>’</w:t>
      </w:r>
      <w:r w:rsidR="00D53CE0" w:rsidRPr="008B2DDA">
        <w:t xml:space="preserve">être considérées </w:t>
      </w:r>
      <w:r w:rsidR="00BE34D2" w:rsidRPr="008B2DDA">
        <w:t xml:space="preserve">comme des droits privés </w:t>
      </w:r>
      <w:r w:rsidR="00D53CE0" w:rsidRPr="008B2DDA">
        <w:t>territoriaux</w:t>
      </w:r>
      <w:r w:rsidR="00BE34D2" w:rsidRPr="008B2DDA">
        <w:t>.</w:t>
      </w:r>
      <w:r w:rsidR="00D53CE0" w:rsidRPr="008B2DDA">
        <w:t xml:space="preserve"> </w:t>
      </w:r>
      <w:r w:rsidR="00BE34D2" w:rsidRPr="008B2DDA">
        <w:t xml:space="preserve"> Nous avons </w:t>
      </w:r>
      <w:r w:rsidR="005C6BCB" w:rsidRPr="008B2DDA">
        <w:t>intégré</w:t>
      </w:r>
      <w:r w:rsidR="00BE34D2" w:rsidRPr="008B2DDA">
        <w:t xml:space="preserve"> </w:t>
      </w:r>
      <w:r w:rsidR="005C6BCB" w:rsidRPr="008B2DDA">
        <w:t>dans l</w:t>
      </w:r>
      <w:r w:rsidR="00A341C2" w:rsidRPr="008B2DDA">
        <w:t>’</w:t>
      </w:r>
      <w:r w:rsidR="005C6BCB" w:rsidRPr="008B2DDA">
        <w:t>a</w:t>
      </w:r>
      <w:r w:rsidR="00D357CB" w:rsidRPr="008B2DDA">
        <w:t>ppendice</w:t>
      </w:r>
      <w:r w:rsidR="005C6BCB" w:rsidRPr="008B2DDA">
        <w:t xml:space="preserve"> le renvoi</w:t>
      </w:r>
      <w:r w:rsidR="00BE34D2" w:rsidRPr="008B2DDA">
        <w:t xml:space="preserve"> à la </w:t>
      </w:r>
      <w:r w:rsidR="00402F39" w:rsidRPr="008B2DDA">
        <w:t>notoriété</w:t>
      </w:r>
      <w:r w:rsidR="00BE34D2" w:rsidRPr="008B2DDA">
        <w:t xml:space="preserve"> </w:t>
      </w:r>
      <w:r w:rsidR="005C6BCB" w:rsidRPr="008B2DDA">
        <w:t>dans la définition de</w:t>
      </w:r>
      <w:r w:rsidR="00BE34D2" w:rsidRPr="008B2DDA">
        <w:t xml:space="preserve"> l</w:t>
      </w:r>
      <w:r w:rsidR="00A341C2" w:rsidRPr="008B2DDA">
        <w:t>’</w:t>
      </w:r>
      <w:r w:rsidR="00BE34D2" w:rsidRPr="008B2DDA">
        <w:t xml:space="preserve">appellation </w:t>
      </w:r>
      <w:r w:rsidR="005C6BCB" w:rsidRPr="008B2DDA">
        <w:t>d</w:t>
      </w:r>
      <w:r w:rsidR="00A341C2" w:rsidRPr="008B2DDA">
        <w:t>’</w:t>
      </w:r>
      <w:r w:rsidR="005C6BCB" w:rsidRPr="008B2DDA">
        <w:t xml:space="preserve">origine figurant dans </w:t>
      </w:r>
      <w:r w:rsidR="00BE34D2" w:rsidRPr="008B2DDA">
        <w:t>l</w:t>
      </w:r>
      <w:r w:rsidR="00A341C2" w:rsidRPr="008B2DDA">
        <w:t>’</w:t>
      </w:r>
      <w:r w:rsidR="004E1FEC" w:rsidRPr="008B2DDA">
        <w:t>article </w:t>
      </w:r>
      <w:r w:rsidR="00BE34D2" w:rsidRPr="008B2DDA">
        <w:t>2.</w:t>
      </w:r>
    </w:p>
    <w:p w14:paraId="44FD7084" w14:textId="75E0A852" w:rsidR="007079A8" w:rsidRPr="008B2DDA" w:rsidRDefault="001F705D" w:rsidP="008B2DDA">
      <w:pPr>
        <w:pStyle w:val="ONUMFS"/>
        <w:numPr>
          <w:ilvl w:val="0"/>
          <w:numId w:val="0"/>
        </w:numPr>
      </w:pPr>
      <w:hyperlink w:anchor="Rule_5_3" w:history="1">
        <w:r w:rsidR="003848D2" w:rsidRPr="00450AF4">
          <w:rPr>
            <w:rStyle w:val="Hyperlink"/>
            <w:b/>
            <w:color w:val="0000FF"/>
          </w:rPr>
          <w:t>Règle </w:t>
        </w:r>
        <w:r w:rsidR="001D5989" w:rsidRPr="00450AF4">
          <w:rPr>
            <w:rStyle w:val="Hyperlink"/>
            <w:b/>
            <w:color w:val="0000FF"/>
          </w:rPr>
          <w:t>5.</w:t>
        </w:r>
        <w:r w:rsidR="00311638" w:rsidRPr="00450AF4">
          <w:rPr>
            <w:rStyle w:val="Hyperlink"/>
            <w:b/>
            <w:color w:val="0000FF"/>
          </w:rPr>
          <w:t>3)</w:t>
        </w:r>
      </w:hyperlink>
      <w:r w:rsidR="00311638" w:rsidRPr="008B2DDA">
        <w:rPr>
          <w:b/>
        </w:rPr>
        <w:t xml:space="preserve"> </w:t>
      </w:r>
      <w:r w:rsidR="005C6BCB" w:rsidRPr="008B2DDA">
        <w:rPr>
          <w:b/>
        </w:rPr>
        <w:t>Demande – Indications concernant la qualité :</w:t>
      </w:r>
      <w:r w:rsidR="00311638" w:rsidRPr="008B2DDA">
        <w:rPr>
          <w:b/>
        </w:rPr>
        <w:t xml:space="preserve"> </w:t>
      </w:r>
      <w:r w:rsidR="00D03F54" w:rsidRPr="008B2DDA">
        <w:t>Le déposant ne doit pas avoir l</w:t>
      </w:r>
      <w:r w:rsidR="00A341C2" w:rsidRPr="008B2DDA">
        <w:t>’</w:t>
      </w:r>
      <w:r w:rsidR="00D03F54" w:rsidRPr="008B2DDA">
        <w:t>obligation d</w:t>
      </w:r>
      <w:r w:rsidR="00A341C2" w:rsidRPr="008B2DDA">
        <w:t>’</w:t>
      </w:r>
      <w:r w:rsidR="00D03F54" w:rsidRPr="008B2DDA">
        <w:t>apporter la preuve des conclusions du</w:t>
      </w:r>
      <w:r w:rsidR="00BE34D2" w:rsidRPr="008B2DDA">
        <w:t xml:space="preserve"> pays d</w:t>
      </w:r>
      <w:r w:rsidR="00A341C2" w:rsidRPr="008B2DDA">
        <w:t>’</w:t>
      </w:r>
      <w:r w:rsidR="00BE34D2" w:rsidRPr="008B2DDA">
        <w:t xml:space="preserve">origine sur </w:t>
      </w:r>
      <w:r w:rsidR="00685CF2" w:rsidRPr="008B2DDA">
        <w:t>l</w:t>
      </w:r>
      <w:r w:rsidR="00A341C2" w:rsidRPr="008B2DDA">
        <w:t>’</w:t>
      </w:r>
      <w:r w:rsidR="00685CF2" w:rsidRPr="008B2DDA">
        <w:t>aspect</w:t>
      </w:r>
      <w:r w:rsidR="00BE34D2" w:rsidRPr="008B2DDA">
        <w:t xml:space="preserve"> qualité </w:t>
      </w:r>
      <w:r w:rsidR="00D03F54" w:rsidRPr="008B2DDA">
        <w:t>stipulé</w:t>
      </w:r>
      <w:r w:rsidR="00685CF2" w:rsidRPr="008B2DDA">
        <w:t xml:space="preserve"> </w:t>
      </w:r>
      <w:r w:rsidR="00BE34D2" w:rsidRPr="008B2DDA">
        <w:t>dans l</w:t>
      </w:r>
      <w:r w:rsidR="00A341C2" w:rsidRPr="008B2DDA">
        <w:t>’</w:t>
      </w:r>
      <w:r w:rsidR="00D03F54" w:rsidRPr="008B2DDA">
        <w:t>article</w:t>
      </w:r>
      <w:r w:rsidR="00E26A2C" w:rsidRPr="008B2DDA">
        <w:t> </w:t>
      </w:r>
      <w:r w:rsidR="00D03F54" w:rsidRPr="008B2DDA">
        <w:t>5</w:t>
      </w:r>
      <w:r w:rsidR="001D5989" w:rsidRPr="008B2DDA">
        <w:t>.</w:t>
      </w:r>
      <w:r w:rsidR="00BE34D2" w:rsidRPr="008B2DDA">
        <w:t>3), même si les parties contractantes</w:t>
      </w:r>
      <w:r w:rsidR="00D03F54" w:rsidRPr="008B2DDA">
        <w:t xml:space="preserve"> peuvent l</w:t>
      </w:r>
      <w:r w:rsidR="00A341C2" w:rsidRPr="008B2DDA">
        <w:t>’</w:t>
      </w:r>
      <w:r w:rsidR="00D03F54" w:rsidRPr="008B2DDA">
        <w:t>exiger de manière facultative</w:t>
      </w:r>
      <w:r w:rsidR="00BE34D2" w:rsidRPr="008B2DDA">
        <w:t xml:space="preserve">. </w:t>
      </w:r>
      <w:r w:rsidR="005C6BCB" w:rsidRPr="008B2DDA">
        <w:t xml:space="preserve"> </w:t>
      </w:r>
      <w:r w:rsidR="00D03F54" w:rsidRPr="008B2DDA">
        <w:t>Le fait de rendre cette preuve obligatoire –</w:t>
      </w:r>
      <w:r w:rsidR="002C0DC4" w:rsidRPr="008B2DDA">
        <w:t xml:space="preserve"> </w:t>
      </w:r>
      <w:r w:rsidR="00D03F54" w:rsidRPr="008B2DDA">
        <w:t>la demande</w:t>
      </w:r>
      <w:r w:rsidR="00BE34D2" w:rsidRPr="008B2DDA">
        <w:t xml:space="preserve"> ne sera </w:t>
      </w:r>
      <w:r w:rsidR="00D03F54" w:rsidRPr="008B2DDA">
        <w:t xml:space="preserve">donc </w:t>
      </w:r>
      <w:r w:rsidR="00BE34D2" w:rsidRPr="008B2DDA">
        <w:t xml:space="preserve">pas </w:t>
      </w:r>
      <w:r w:rsidR="00D03F54" w:rsidRPr="008B2DDA">
        <w:t>examinée en l</w:t>
      </w:r>
      <w:r w:rsidR="00A341C2" w:rsidRPr="008B2DDA">
        <w:t>’</w:t>
      </w:r>
      <w:r w:rsidR="00D03F54" w:rsidRPr="008B2DDA">
        <w:t>absence de</w:t>
      </w:r>
      <w:r w:rsidR="00BE34D2" w:rsidRPr="008B2DDA">
        <w:t xml:space="preserve"> preuve</w:t>
      </w:r>
      <w:r w:rsidR="00D03F54" w:rsidRPr="008B2DDA">
        <w:t xml:space="preserve"> – donne à penser</w:t>
      </w:r>
      <w:r w:rsidR="00BE34D2" w:rsidRPr="008B2DDA">
        <w:t xml:space="preserve"> que les parties contractantes doivent simplement accepter les conclusions du pays d</w:t>
      </w:r>
      <w:r w:rsidR="00A341C2" w:rsidRPr="008B2DDA">
        <w:t>’</w:t>
      </w:r>
      <w:r w:rsidR="00BE34D2" w:rsidRPr="008B2DDA">
        <w:t xml:space="preserve">origine sans appliquer </w:t>
      </w:r>
      <w:r w:rsidR="00F67DF3" w:rsidRPr="008B2DDA">
        <w:t>les</w:t>
      </w:r>
      <w:r w:rsidR="00BE34D2" w:rsidRPr="008B2DDA">
        <w:t xml:space="preserve"> exigences </w:t>
      </w:r>
      <w:r w:rsidR="00F67DF3" w:rsidRPr="008B2DDA">
        <w:t>imposées par</w:t>
      </w:r>
      <w:r w:rsidR="00BE34D2" w:rsidRPr="008B2DDA">
        <w:t xml:space="preserve"> </w:t>
      </w:r>
      <w:r w:rsidR="00F67DF3" w:rsidRPr="008B2DDA">
        <w:t xml:space="preserve">leur législation nationale </w:t>
      </w:r>
      <w:r w:rsidR="00D03F54" w:rsidRPr="008B2DDA">
        <w:t xml:space="preserve">en </w:t>
      </w:r>
      <w:r w:rsidR="00F67DF3" w:rsidRPr="008B2DDA">
        <w:t xml:space="preserve">matière de </w:t>
      </w:r>
      <w:r w:rsidR="00BE34D2" w:rsidRPr="008B2DDA">
        <w:t>qualité.</w:t>
      </w:r>
      <w:r w:rsidR="00D03F54" w:rsidRPr="008B2DDA">
        <w:t xml:space="preserve"> </w:t>
      </w:r>
      <w:r w:rsidR="00BE34D2" w:rsidRPr="008B2DDA">
        <w:t xml:space="preserve"> </w:t>
      </w:r>
      <w:r w:rsidR="00F67DF3" w:rsidRPr="008B2DDA">
        <w:t>Si</w:t>
      </w:r>
      <w:r w:rsidR="00BE34D2" w:rsidRPr="008B2DDA">
        <w:t xml:space="preserve"> le</w:t>
      </w:r>
      <w:r w:rsidR="00F67DF3" w:rsidRPr="008B2DDA">
        <w:t xml:space="preserve">s </w:t>
      </w:r>
      <w:r w:rsidR="00E90E07" w:rsidRPr="008B2DDA">
        <w:t>conclusions</w:t>
      </w:r>
      <w:r w:rsidR="00F67DF3" w:rsidRPr="008B2DDA">
        <w:t xml:space="preserve"> du pays d</w:t>
      </w:r>
      <w:r w:rsidR="00A341C2" w:rsidRPr="008B2DDA">
        <w:t>’</w:t>
      </w:r>
      <w:r w:rsidR="00F67DF3" w:rsidRPr="008B2DDA">
        <w:t xml:space="preserve">origine </w:t>
      </w:r>
      <w:r w:rsidR="00A341C2" w:rsidRPr="008B2DDA">
        <w:t>à l’égard</w:t>
      </w:r>
      <w:r w:rsidR="00BE34D2" w:rsidRPr="008B2DDA">
        <w:t xml:space="preserve"> de la qualité </w:t>
      </w:r>
      <w:r w:rsidR="00F67DF3" w:rsidRPr="008B2DDA">
        <w:t>peuvent revêtir un caractère</w:t>
      </w:r>
      <w:r w:rsidR="00BE34D2" w:rsidRPr="008B2DDA">
        <w:t xml:space="preserve"> informatif, elles ne </w:t>
      </w:r>
      <w:r w:rsidR="00F67DF3" w:rsidRPr="008B2DDA">
        <w:t>doivent</w:t>
      </w:r>
      <w:r w:rsidR="00BE34D2" w:rsidRPr="008B2DDA">
        <w:t xml:space="preserve"> pas être déterminante</w:t>
      </w:r>
      <w:r w:rsidR="00F67DF3" w:rsidRPr="008B2DDA">
        <w:t>s</w:t>
      </w:r>
      <w:r w:rsidR="00BE34D2" w:rsidRPr="008B2DDA">
        <w:t xml:space="preserve"> quant à la </w:t>
      </w:r>
      <w:r w:rsidR="00DA0489" w:rsidRPr="008B2DDA">
        <w:t>décision</w:t>
      </w:r>
      <w:r w:rsidR="00BE34D2" w:rsidRPr="008B2DDA">
        <w:t xml:space="preserve"> d</w:t>
      </w:r>
      <w:r w:rsidR="00A341C2" w:rsidRPr="008B2DDA">
        <w:t>’</w:t>
      </w:r>
      <w:r w:rsidR="00BE34D2" w:rsidRPr="008B2DDA">
        <w:t xml:space="preserve">un pays </w:t>
      </w:r>
      <w:r w:rsidR="00F67DF3" w:rsidRPr="008B2DDA">
        <w:t>bénéficiaire</w:t>
      </w:r>
      <w:r w:rsidR="00BE34D2" w:rsidRPr="008B2DDA">
        <w:t xml:space="preserve"> </w:t>
      </w:r>
      <w:r w:rsidR="00A341C2" w:rsidRPr="008B2DDA">
        <w:t>à l’égard</w:t>
      </w:r>
      <w:r w:rsidR="00DA0489" w:rsidRPr="008B2DDA">
        <w:t xml:space="preserve"> de</w:t>
      </w:r>
      <w:r w:rsidR="00BE34D2" w:rsidRPr="008B2DDA">
        <w:t xml:space="preserve"> </w:t>
      </w:r>
      <w:r w:rsidR="00F67DF3" w:rsidRPr="008B2DDA">
        <w:t>l</w:t>
      </w:r>
      <w:r w:rsidR="00A341C2" w:rsidRPr="008B2DDA">
        <w:t>’</w:t>
      </w:r>
      <w:r w:rsidR="00F67DF3" w:rsidRPr="008B2DDA">
        <w:t>aspect</w:t>
      </w:r>
      <w:r w:rsidR="00BE34D2" w:rsidRPr="008B2DDA">
        <w:t xml:space="preserve"> qualité des </w:t>
      </w:r>
      <w:r w:rsidR="00F67DF3" w:rsidRPr="008B2DDA">
        <w:t>demandes</w:t>
      </w:r>
      <w:r w:rsidR="00BE34D2" w:rsidRPr="008B2DDA">
        <w:t xml:space="preserve"> spécifiques.</w:t>
      </w:r>
      <w:r w:rsidR="00F67DF3" w:rsidRPr="008B2DDA">
        <w:t xml:space="preserve"> </w:t>
      </w:r>
      <w:r w:rsidR="00BE34D2" w:rsidRPr="008B2DDA">
        <w:t xml:space="preserve"> 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F67DF3" w:rsidRPr="008B2DDA">
        <w:t>approuvent la variante C de la règle 5</w:t>
      </w:r>
      <w:r w:rsidR="001D5989" w:rsidRPr="008B2DDA">
        <w:t>.</w:t>
      </w:r>
      <w:r w:rsidR="00BE34D2" w:rsidRPr="008B2DDA">
        <w:t xml:space="preserve">3) </w:t>
      </w:r>
      <w:r w:rsidR="00F67DF3" w:rsidRPr="008B2DDA">
        <w:t>sous réserve de</w:t>
      </w:r>
      <w:r w:rsidR="00BE34D2" w:rsidRPr="008B2DDA">
        <w:t xml:space="preserve"> quelques modifications mineures</w:t>
      </w:r>
      <w:r w:rsidR="00311638" w:rsidRPr="008B2DDA">
        <w:t>.</w:t>
      </w:r>
    </w:p>
    <w:p w14:paraId="6A6E1BC8" w14:textId="0755B7DC" w:rsidR="00A341C2" w:rsidRPr="008B2DDA" w:rsidRDefault="001F705D" w:rsidP="008B2DDA">
      <w:pPr>
        <w:pStyle w:val="ONUMFS"/>
        <w:numPr>
          <w:ilvl w:val="0"/>
          <w:numId w:val="0"/>
        </w:numPr>
      </w:pPr>
      <w:hyperlink w:anchor="Article_11" w:history="1">
        <w:r w:rsidR="00311638" w:rsidRPr="00450AF4">
          <w:rPr>
            <w:rStyle w:val="Hyperlink"/>
            <w:b/>
            <w:color w:val="0000FF"/>
          </w:rPr>
          <w:t>Article</w:t>
        </w:r>
        <w:r w:rsidR="003848D2" w:rsidRPr="00450AF4">
          <w:rPr>
            <w:rStyle w:val="Hyperlink"/>
            <w:b/>
            <w:color w:val="0000FF"/>
          </w:rPr>
          <w:t> </w:t>
        </w:r>
        <w:r w:rsidR="00311638" w:rsidRPr="00450AF4">
          <w:rPr>
            <w:rStyle w:val="Hyperlink"/>
            <w:b/>
            <w:color w:val="0000FF"/>
          </w:rPr>
          <w:t>11</w:t>
        </w:r>
      </w:hyperlink>
      <w:r w:rsidR="00311638" w:rsidRPr="008B2DDA">
        <w:rPr>
          <w:b/>
        </w:rPr>
        <w:t xml:space="preserve"> </w:t>
      </w:r>
      <w:r w:rsidR="00F25882" w:rsidRPr="008B2DDA">
        <w:rPr>
          <w:b/>
        </w:rPr>
        <w:t>Atteintes</w:t>
      </w:r>
      <w:r w:rsidR="00F67DF3" w:rsidRPr="008B2DDA">
        <w:rPr>
          <w:b/>
        </w:rPr>
        <w:t> :</w:t>
      </w:r>
      <w:r w:rsidR="00311638" w:rsidRPr="008B2DDA">
        <w:rPr>
          <w:b/>
        </w:rPr>
        <w:t xml:space="preserve"> </w:t>
      </w:r>
      <w:r w:rsidR="00BE34D2" w:rsidRPr="008B2DDA">
        <w:t>L</w:t>
      </w:r>
      <w:r w:rsidR="00A341C2" w:rsidRPr="008B2DDA">
        <w:t>’</w:t>
      </w:r>
      <w:r w:rsidR="00F35CC7" w:rsidRPr="008B2DDA">
        <w:t>article </w:t>
      </w:r>
      <w:r w:rsidR="001D5989" w:rsidRPr="008B2DDA">
        <w:t>11.1)a)</w:t>
      </w:r>
      <w:r w:rsidR="00BE34D2" w:rsidRPr="008B2DDA">
        <w:t xml:space="preserve">i) </w:t>
      </w:r>
      <w:r w:rsidR="00910032" w:rsidRPr="008B2DDA">
        <w:t>introduit</w:t>
      </w:r>
      <w:r w:rsidR="00BE34D2" w:rsidRPr="008B2DDA">
        <w:t xml:space="preserve"> une présomption de tromperie ou de confusion </w:t>
      </w:r>
      <w:r w:rsidR="00A341C2" w:rsidRPr="008B2DDA">
        <w:t>à l’égard</w:t>
      </w:r>
      <w:r w:rsidR="00410159" w:rsidRPr="008B2DDA">
        <w:t xml:space="preserve"> de </w:t>
      </w:r>
      <w:r w:rsidR="00910032" w:rsidRPr="008B2DDA">
        <w:t>l</w:t>
      </w:r>
      <w:r w:rsidR="00A341C2" w:rsidRPr="008B2DDA">
        <w:t>’</w:t>
      </w:r>
      <w:r w:rsidR="00910032" w:rsidRPr="008B2DDA">
        <w:t xml:space="preserve">utilisation de </w:t>
      </w:r>
      <w:r w:rsidR="00410159" w:rsidRPr="008B2DDA">
        <w:t xml:space="preserve">produits du même type </w:t>
      </w:r>
      <w:r w:rsidR="00BE34D2" w:rsidRPr="008B2DDA">
        <w:t>qui ne répondent pas aux exigences de la protection.</w:t>
      </w:r>
      <w:r w:rsidR="00410159" w:rsidRPr="008B2DDA">
        <w:t xml:space="preserve"> </w:t>
      </w:r>
      <w:r w:rsidR="00BE34D2" w:rsidRPr="008B2DDA">
        <w:t xml:space="preserve"> La présomption légale a un impact </w:t>
      </w:r>
      <w:r w:rsidR="00910032" w:rsidRPr="008B2DDA">
        <w:t xml:space="preserve">significatif en matière de </w:t>
      </w:r>
      <w:r w:rsidR="00BE34D2" w:rsidRPr="008B2DDA">
        <w:t xml:space="preserve">preuve, </w:t>
      </w:r>
      <w:r w:rsidR="00910032" w:rsidRPr="008B2DDA">
        <w:t>faisant peser</w:t>
      </w:r>
      <w:r w:rsidR="00BE34D2" w:rsidRPr="008B2DDA">
        <w:t xml:space="preserve"> le </w:t>
      </w:r>
      <w:r w:rsidR="00910032" w:rsidRPr="008B2DDA">
        <w:t>poids</w:t>
      </w:r>
      <w:r w:rsidR="00BE34D2" w:rsidRPr="008B2DDA">
        <w:t xml:space="preserve"> de la preuve </w:t>
      </w:r>
      <w:r w:rsidR="00910032" w:rsidRPr="008B2DDA">
        <w:t>non plus sur les</w:t>
      </w:r>
      <w:r w:rsidR="00BE34D2" w:rsidRPr="008B2DDA">
        <w:t xml:space="preserve"> </w:t>
      </w:r>
      <w:r w:rsidR="00910032" w:rsidRPr="008B2DDA">
        <w:t>déposants</w:t>
      </w:r>
      <w:r w:rsidR="00BE34D2" w:rsidRPr="008B2DDA">
        <w:t xml:space="preserve"> </w:t>
      </w:r>
      <w:r w:rsidR="00910032" w:rsidRPr="008B2DDA">
        <w:t xml:space="preserve">mais sur les </w:t>
      </w:r>
      <w:r w:rsidR="00BE34D2" w:rsidRPr="008B2DDA">
        <w:t xml:space="preserve">autres parties </w:t>
      </w:r>
      <w:r w:rsidR="00910032" w:rsidRPr="008B2DDA">
        <w:t xml:space="preserve">prenantes </w:t>
      </w:r>
      <w:r w:rsidR="00BE34D2" w:rsidRPr="008B2DDA">
        <w:t xml:space="preserve">intéressées, </w:t>
      </w:r>
      <w:r w:rsidR="00910032" w:rsidRPr="008B2DDA">
        <w:t>lorsqu</w:t>
      </w:r>
      <w:r w:rsidR="00A341C2" w:rsidRPr="008B2DDA">
        <w:t>’</w:t>
      </w:r>
      <w:r w:rsidR="00BE34D2" w:rsidRPr="008B2DDA">
        <w:t>il est présumé qu</w:t>
      </w:r>
      <w:r w:rsidR="00A341C2" w:rsidRPr="008B2DDA">
        <w:t>’</w:t>
      </w:r>
      <w:r w:rsidR="00BE34D2" w:rsidRPr="008B2DDA">
        <w:t xml:space="preserve">un fait sera </w:t>
      </w:r>
      <w:r w:rsidR="00910032" w:rsidRPr="008B2DDA">
        <w:t>avéré</w:t>
      </w:r>
      <w:r w:rsidR="00BE34D2" w:rsidRPr="008B2DDA">
        <w:t xml:space="preserve"> </w:t>
      </w:r>
      <w:r w:rsidR="00910032" w:rsidRPr="008B2DDA">
        <w:t>de sorte</w:t>
      </w:r>
      <w:r w:rsidR="00B45BCB" w:rsidRPr="008B2DDA">
        <w:t xml:space="preserve"> que la preuve de ce fait </w:t>
      </w:r>
      <w:r w:rsidR="00910032" w:rsidRPr="008B2DDA">
        <w:t>n</w:t>
      </w:r>
      <w:r w:rsidR="00A341C2" w:rsidRPr="008B2DDA">
        <w:t>’</w:t>
      </w:r>
      <w:r w:rsidR="00910032" w:rsidRPr="008B2DDA">
        <w:t>est</w:t>
      </w:r>
      <w:r w:rsidR="00BE34D2" w:rsidRPr="008B2DDA">
        <w:t xml:space="preserve"> pas nécessaire. </w:t>
      </w:r>
      <w:r w:rsidR="00910032" w:rsidRPr="008B2DDA">
        <w:t xml:space="preserve"> En l</w:t>
      </w:r>
      <w:r w:rsidR="00A341C2" w:rsidRPr="008B2DDA">
        <w:t>’</w:t>
      </w:r>
      <w:r w:rsidR="00910032" w:rsidRPr="008B2DDA">
        <w:t>absence</w:t>
      </w:r>
      <w:r w:rsidR="00BE34D2" w:rsidRPr="008B2DDA">
        <w:t xml:space="preserve"> de </w:t>
      </w:r>
      <w:r w:rsidR="00402F39" w:rsidRPr="008B2DDA">
        <w:t>notoriété</w:t>
      </w:r>
      <w:r w:rsidR="00910032" w:rsidRPr="008B2DDA">
        <w:t xml:space="preserve"> locale voire d</w:t>
      </w:r>
      <w:r w:rsidR="00A341C2" w:rsidRPr="008B2DDA">
        <w:t>’</w:t>
      </w:r>
      <w:r w:rsidR="00BE34D2" w:rsidRPr="008B2DDA">
        <w:t>utilisation locale d</w:t>
      </w:r>
      <w:r w:rsidR="00A341C2" w:rsidRPr="008B2DDA">
        <w:t>’</w:t>
      </w:r>
      <w:r w:rsidR="00BE34D2" w:rsidRPr="008B2DDA">
        <w:t>un</w:t>
      </w:r>
      <w:r w:rsidR="00B45BCB" w:rsidRPr="008B2DDA">
        <w:t>e</w:t>
      </w:r>
      <w:r w:rsidR="00BE34D2" w:rsidRPr="008B2DDA">
        <w:t xml:space="preserve"> </w:t>
      </w:r>
      <w:r w:rsidR="00AB2EF0" w:rsidRPr="008B2DDA">
        <w:t>indication géographique</w:t>
      </w:r>
      <w:r w:rsidR="00BE34D2" w:rsidRPr="008B2DDA">
        <w:t xml:space="preserve">, il </w:t>
      </w:r>
      <w:r w:rsidR="00910032" w:rsidRPr="008B2DDA">
        <w:t xml:space="preserve">ne </w:t>
      </w:r>
      <w:r w:rsidR="00BE34D2" w:rsidRPr="008B2DDA">
        <w:t xml:space="preserve">peut y avoir aucune tromperie </w:t>
      </w:r>
      <w:r w:rsidR="00A341C2" w:rsidRPr="008B2DDA">
        <w:t>à l’égard</w:t>
      </w:r>
      <w:r w:rsidR="00910032" w:rsidRPr="008B2DDA">
        <w:t xml:space="preserve"> de</w:t>
      </w:r>
      <w:r w:rsidR="00BE34D2" w:rsidRPr="008B2DDA">
        <w:t xml:space="preserve"> son utilisation par un autre</w:t>
      </w:r>
      <w:r w:rsidR="002148A5" w:rsidRPr="008B2DDA">
        <w:t>,</w:t>
      </w:r>
      <w:r w:rsidR="00BE34D2" w:rsidRPr="008B2DDA">
        <w:t xml:space="preserve"> et il ne </w:t>
      </w:r>
      <w:r w:rsidR="002148A5" w:rsidRPr="008B2DDA">
        <w:t>doit</w:t>
      </w:r>
      <w:r w:rsidR="00BE34D2" w:rsidRPr="008B2DDA">
        <w:t xml:space="preserve"> pas être </w:t>
      </w:r>
      <w:r w:rsidR="002148A5" w:rsidRPr="008B2DDA">
        <w:t>obligatoire</w:t>
      </w:r>
      <w:r w:rsidR="00BE34D2" w:rsidRPr="008B2DDA">
        <w:t xml:space="preserve"> d</w:t>
      </w:r>
      <w:r w:rsidR="00A341C2" w:rsidRPr="008B2DDA">
        <w:t>’</w:t>
      </w:r>
      <w:r w:rsidR="00BE34D2" w:rsidRPr="008B2DDA">
        <w:t xml:space="preserve">établir ce qui serait alors une fausse présomption en vertu </w:t>
      </w:r>
      <w:r w:rsidR="002148A5" w:rsidRPr="008B2DDA">
        <w:t>de la législation</w:t>
      </w:r>
      <w:r w:rsidR="00BE34D2" w:rsidRPr="008B2DDA">
        <w:t xml:space="preserve"> national</w:t>
      </w:r>
      <w:r w:rsidR="00BE2682" w:rsidRPr="008B2DDA">
        <w:t>e</w:t>
      </w:r>
      <w:r w:rsidR="00BE34D2" w:rsidRPr="008B2DDA">
        <w:t xml:space="preserve">. </w:t>
      </w:r>
      <w:r w:rsidR="00910032" w:rsidRPr="008B2DDA">
        <w:t xml:space="preserve"> </w:t>
      </w:r>
      <w:r w:rsidR="00BE34D2" w:rsidRPr="008B2DDA">
        <w:t xml:space="preserve">Si </w:t>
      </w:r>
      <w:r w:rsidR="00910032" w:rsidRPr="008B2DDA">
        <w:t xml:space="preserve">la </w:t>
      </w:r>
      <w:r w:rsidR="00402F39" w:rsidRPr="008B2DDA">
        <w:t>notoriété</w:t>
      </w:r>
      <w:r w:rsidR="00BE34D2" w:rsidRPr="008B2DDA">
        <w:t xml:space="preserve"> dans le pays </w:t>
      </w:r>
      <w:r w:rsidR="00910032" w:rsidRPr="008B2DDA">
        <w:t>bénéficiaire</w:t>
      </w:r>
      <w:r w:rsidR="00BE34D2" w:rsidRPr="008B2DDA">
        <w:t xml:space="preserve"> </w:t>
      </w:r>
      <w:r w:rsidR="002148A5" w:rsidRPr="008B2DDA">
        <w:t>était</w:t>
      </w:r>
      <w:r w:rsidR="00BE34D2" w:rsidRPr="008B2DDA">
        <w:t xml:space="preserve"> </w:t>
      </w:r>
      <w:r w:rsidR="002148A5" w:rsidRPr="008B2DDA">
        <w:t>intégrée</w:t>
      </w:r>
      <w:r w:rsidR="00BE34D2" w:rsidRPr="008B2DDA">
        <w:t xml:space="preserve"> à la fois dans </w:t>
      </w:r>
      <w:r w:rsidR="002148A5" w:rsidRPr="008B2DDA">
        <w:t xml:space="preserve">la définition de </w:t>
      </w:r>
      <w:r w:rsidR="00BE34D2" w:rsidRPr="008B2DDA">
        <w:t>l</w:t>
      </w:r>
      <w:r w:rsidR="00A341C2" w:rsidRPr="008B2DDA">
        <w:t>’</w:t>
      </w:r>
      <w:r w:rsidR="00BE34D2" w:rsidRPr="008B2DDA">
        <w:t>appellation d</w:t>
      </w:r>
      <w:r w:rsidR="00A341C2" w:rsidRPr="008B2DDA">
        <w:t>’</w:t>
      </w:r>
      <w:r w:rsidR="00BE34D2" w:rsidRPr="008B2DDA">
        <w:t xml:space="preserve">origine et la définition </w:t>
      </w:r>
      <w:r w:rsidR="002148A5" w:rsidRPr="008B2DDA">
        <w:t>de l</w:t>
      </w:r>
      <w:r w:rsidR="00A341C2" w:rsidRPr="008B2DDA">
        <w:t>’</w:t>
      </w:r>
      <w:r w:rsidR="00BE34D2" w:rsidRPr="008B2DDA">
        <w:t xml:space="preserve">indication </w:t>
      </w:r>
      <w:r w:rsidR="002148A5" w:rsidRPr="008B2DDA">
        <w:t xml:space="preserve">géographique de </w:t>
      </w:r>
      <w:r w:rsidR="00BE34D2" w:rsidRPr="008B2DDA">
        <w:t>l</w:t>
      </w:r>
      <w:r w:rsidR="00A341C2" w:rsidRPr="008B2DDA">
        <w:t>’</w:t>
      </w:r>
      <w:r w:rsidR="00F35CC7" w:rsidRPr="008B2DDA">
        <w:t>article </w:t>
      </w:r>
      <w:r w:rsidR="00BE34D2" w:rsidRPr="008B2DDA">
        <w:t>2, c</w:t>
      </w:r>
      <w:r w:rsidR="002148A5" w:rsidRPr="008B2DDA">
        <w:t>ette présomption de confusion/tromperie</w:t>
      </w:r>
      <w:r w:rsidR="00BE34D2" w:rsidRPr="008B2DDA">
        <w:t xml:space="preserve"> serait plus facile </w:t>
      </w:r>
      <w:r w:rsidR="00910032" w:rsidRPr="008B2DDA">
        <w:t xml:space="preserve">à appliquer </w:t>
      </w:r>
      <w:r w:rsidR="00BE34D2" w:rsidRPr="008B2DDA">
        <w:t>pour les trib</w:t>
      </w:r>
      <w:r w:rsidR="00410159" w:rsidRPr="008B2DDA">
        <w:t>unaux nationaux.  Nous</w:t>
      </w:r>
      <w:r w:rsidR="00BE34D2" w:rsidRPr="008B2DDA">
        <w:t xml:space="preserve"> proposons </w:t>
      </w:r>
      <w:r w:rsidR="00410159" w:rsidRPr="008B2DDA">
        <w:t xml:space="preserve">donc </w:t>
      </w:r>
      <w:r w:rsidR="00BE34D2" w:rsidRPr="008B2DDA">
        <w:t xml:space="preserve">de réinsérer </w:t>
      </w:r>
      <w:r w:rsidR="00910032" w:rsidRPr="008B2DDA">
        <w:t xml:space="preserve">la </w:t>
      </w:r>
      <w:r w:rsidR="00402F39" w:rsidRPr="008B2DDA">
        <w:t>notoriété</w:t>
      </w:r>
      <w:r w:rsidR="00BE34D2" w:rsidRPr="008B2DDA">
        <w:t xml:space="preserve"> comme élément facultatif potentiel de </w:t>
      </w:r>
      <w:r w:rsidR="002148A5" w:rsidRPr="008B2DDA">
        <w:t xml:space="preserve">la définition de </w:t>
      </w:r>
      <w:r w:rsidR="00BE34D2" w:rsidRPr="008B2DDA">
        <w:t>l</w:t>
      </w:r>
      <w:r w:rsidR="00A341C2" w:rsidRPr="008B2DDA">
        <w:t>’</w:t>
      </w:r>
      <w:r w:rsidR="00BE34D2" w:rsidRPr="008B2DDA">
        <w:t>appellation d</w:t>
      </w:r>
      <w:r w:rsidR="00A341C2" w:rsidRPr="008B2DDA">
        <w:t>’</w:t>
      </w:r>
      <w:r w:rsidR="00BE34D2" w:rsidRPr="008B2DDA">
        <w:t xml:space="preserve">origine </w:t>
      </w:r>
      <w:r w:rsidR="002148A5" w:rsidRPr="008B2DDA">
        <w:t>de</w:t>
      </w:r>
      <w:r w:rsidR="00BE34D2" w:rsidRPr="008B2DDA">
        <w:t xml:space="preserve"> l</w:t>
      </w:r>
      <w:r w:rsidR="00A341C2" w:rsidRPr="008B2DDA">
        <w:t>’</w:t>
      </w:r>
      <w:r w:rsidR="00F35CC7" w:rsidRPr="008B2DDA">
        <w:t>article </w:t>
      </w:r>
      <w:r w:rsidR="00BE34D2" w:rsidRPr="008B2DDA">
        <w:t>2.</w:t>
      </w:r>
    </w:p>
    <w:p w14:paraId="25C67CD7" w14:textId="7823A999" w:rsidR="007079A8" w:rsidRPr="008B2DDA" w:rsidRDefault="00910032" w:rsidP="008B2DDA">
      <w:pPr>
        <w:pStyle w:val="ONUMFS"/>
        <w:numPr>
          <w:ilvl w:val="0"/>
          <w:numId w:val="0"/>
        </w:numPr>
      </w:pPr>
      <w:r w:rsidRPr="008B2DDA">
        <w:t>S</w:t>
      </w:r>
      <w:r w:rsidR="00A341C2" w:rsidRPr="008B2DDA">
        <w:t>’</w:t>
      </w:r>
      <w:r w:rsidRPr="008B2DDA">
        <w:t>agissant</w:t>
      </w:r>
      <w:r w:rsidR="00BE34D2" w:rsidRPr="008B2DDA">
        <w:t xml:space="preserve"> de l</w:t>
      </w:r>
      <w:r w:rsidR="00A341C2" w:rsidRPr="008B2DDA">
        <w:t>’</w:t>
      </w:r>
      <w:r w:rsidR="00BE34D2" w:rsidRPr="008B2DDA">
        <w:t>application de l</w:t>
      </w:r>
      <w:r w:rsidR="00A341C2" w:rsidRPr="008B2DDA">
        <w:t>’</w:t>
      </w:r>
      <w:r w:rsidR="00F35CC7" w:rsidRPr="008B2DDA">
        <w:t xml:space="preserve">article 11.1)a)ii) ou </w:t>
      </w:r>
      <w:r w:rsidR="00BE34D2" w:rsidRPr="008B2DDA">
        <w:t xml:space="preserve">iii) </w:t>
      </w:r>
      <w:r w:rsidR="009E49E5" w:rsidRPr="008B2DDA">
        <w:t xml:space="preserve">relatif </w:t>
      </w:r>
      <w:r w:rsidR="00BE34D2" w:rsidRPr="008B2DDA">
        <w:t xml:space="preserve">aux </w:t>
      </w:r>
      <w:r w:rsidR="00F25882" w:rsidRPr="008B2DDA">
        <w:t>atteintes</w:t>
      </w:r>
      <w:r w:rsidR="00BE34D2" w:rsidRPr="008B2DDA">
        <w:t xml:space="preserve"> possibles </w:t>
      </w:r>
      <w:r w:rsidR="00F25882" w:rsidRPr="008B2DDA">
        <w:t>à</w:t>
      </w:r>
      <w:r w:rsidR="00BE34D2" w:rsidRPr="008B2DDA">
        <w:t xml:space="preserve"> des </w:t>
      </w:r>
      <w:r w:rsidR="00526D71" w:rsidRPr="008B2DDA">
        <w:t>produits</w:t>
      </w:r>
      <w:r w:rsidR="00BE34D2" w:rsidRPr="008B2DDA">
        <w:t xml:space="preserve"> qui ne sont pas </w:t>
      </w:r>
      <w:r w:rsidR="00526D71" w:rsidRPr="008B2DDA">
        <w:t>du même type</w:t>
      </w:r>
      <w:r w:rsidR="00BE34D2" w:rsidRPr="008B2DDA">
        <w:t xml:space="preserve">, </w:t>
      </w:r>
      <w:r w:rsidR="0041299F" w:rsidRPr="008B2DDA">
        <w:t>l</w:t>
      </w:r>
      <w:r w:rsidR="00A341C2" w:rsidRPr="008B2DDA">
        <w:t>’</w:t>
      </w:r>
      <w:r w:rsidR="0041299F" w:rsidRPr="008B2DDA">
        <w:t>application de dispositions telles que</w:t>
      </w:r>
      <w:r w:rsidR="00BE34D2" w:rsidRPr="008B2DDA">
        <w:t xml:space="preserve"> </w:t>
      </w:r>
      <w:r w:rsidR="00E26A2C" w:rsidRPr="008B2DDA">
        <w:t>“</w:t>
      </w:r>
      <w:r w:rsidR="0041299F" w:rsidRPr="008B2DDA">
        <w:t>qui constituerait une usurpation, une imitatio</w:t>
      </w:r>
      <w:r w:rsidR="00AC58D6" w:rsidRPr="008B2DDA">
        <w:t>n ou une évocation de celle</w:t>
      </w:r>
      <w:r w:rsidR="00D67EA4" w:rsidRPr="008B2DDA">
        <w:noBreakHyphen/>
      </w:r>
      <w:r w:rsidR="0041299F" w:rsidRPr="008B2DDA">
        <w:t>ci</w:t>
      </w:r>
      <w:r w:rsidR="00E26A2C" w:rsidRPr="008B2DDA">
        <w:t>”</w:t>
      </w:r>
      <w:r w:rsidR="00526D71" w:rsidRPr="008B2DDA">
        <w:t xml:space="preserve"> </w:t>
      </w:r>
      <w:r w:rsidR="00455BAC" w:rsidRPr="008B2DDA">
        <w:t>de</w:t>
      </w:r>
      <w:r w:rsidR="00526D71" w:rsidRPr="008B2DDA">
        <w:t xml:space="preserve"> la variante A </w:t>
      </w:r>
      <w:r w:rsidR="00BE34D2" w:rsidRPr="008B2DDA">
        <w:t xml:space="preserve">(ii) ou </w:t>
      </w:r>
      <w:r w:rsidR="00E26A2C" w:rsidRPr="008B2DDA">
        <w:t>“</w:t>
      </w:r>
      <w:r w:rsidR="00526D71" w:rsidRPr="008B2DDA">
        <w:t>tirerait indûment avantage de sa notoriété</w:t>
      </w:r>
      <w:r w:rsidR="00E26A2C" w:rsidRPr="008B2DDA">
        <w:t>”</w:t>
      </w:r>
      <w:r w:rsidR="00526D71" w:rsidRPr="008B2DDA">
        <w:t xml:space="preserve"> </w:t>
      </w:r>
      <w:r w:rsidR="00455BAC" w:rsidRPr="008B2DDA">
        <w:t>de</w:t>
      </w:r>
      <w:r w:rsidR="0041299F" w:rsidRPr="008B2DDA">
        <w:t xml:space="preserve"> la </w:t>
      </w:r>
      <w:r w:rsidR="00526D71" w:rsidRPr="008B2DDA">
        <w:t>variante A </w:t>
      </w:r>
      <w:r w:rsidR="00BE34D2" w:rsidRPr="008B2DDA">
        <w:t xml:space="preserve">(iii) </w:t>
      </w:r>
      <w:r w:rsidR="00E82723" w:rsidRPr="008B2DDA">
        <w:t>laisse</w:t>
      </w:r>
      <w:r w:rsidR="00BE34D2" w:rsidRPr="008B2DDA">
        <w:t xml:space="preserve"> les droits </w:t>
      </w:r>
      <w:r w:rsidR="0041299F" w:rsidRPr="008B2DDA">
        <w:t>des titulaires d</w:t>
      </w:r>
      <w:r w:rsidR="00A341C2" w:rsidRPr="008B2DDA">
        <w:t>’</w:t>
      </w:r>
      <w:r w:rsidR="0041299F" w:rsidRPr="008B2DDA">
        <w:t xml:space="preserve">une </w:t>
      </w:r>
      <w:r w:rsidR="00AB2EF0" w:rsidRPr="008B2DDA">
        <w:t>indication géographique</w:t>
      </w:r>
      <w:r w:rsidR="00BE34D2" w:rsidRPr="008B2DDA">
        <w:t xml:space="preserve"> </w:t>
      </w:r>
      <w:r w:rsidR="006F03E1" w:rsidRPr="008B2DDA">
        <w:t xml:space="preserve">– et les tiers concernés – </w:t>
      </w:r>
      <w:r w:rsidR="00BE34D2" w:rsidRPr="008B2DDA">
        <w:t xml:space="preserve">à la merci </w:t>
      </w:r>
      <w:r w:rsidR="0041299F" w:rsidRPr="008B2DDA">
        <w:t>de l</w:t>
      </w:r>
      <w:r w:rsidR="00A341C2" w:rsidRPr="008B2DDA">
        <w:t>’</w:t>
      </w:r>
      <w:r w:rsidR="0041299F" w:rsidRPr="008B2DDA">
        <w:t xml:space="preserve">interprétation </w:t>
      </w:r>
      <w:r w:rsidR="00BE34D2" w:rsidRPr="008B2DDA">
        <w:t>d</w:t>
      </w:r>
      <w:r w:rsidR="00A341C2" w:rsidRPr="008B2DDA">
        <w:t>’</w:t>
      </w:r>
      <w:r w:rsidR="00BE34D2" w:rsidRPr="008B2DDA">
        <w:t>un tribunal national de c</w:t>
      </w:r>
      <w:r w:rsidR="0041299F" w:rsidRPr="008B2DDA">
        <w:t>es termes non définis et ouvert</w:t>
      </w:r>
      <w:r w:rsidR="00BE34D2" w:rsidRPr="008B2DDA">
        <w:t xml:space="preserve">s. </w:t>
      </w:r>
      <w:r w:rsidR="00526D71" w:rsidRPr="008B2DDA">
        <w:t xml:space="preserve"> Ces</w:t>
      </w:r>
      <w:r w:rsidR="00BE34D2" w:rsidRPr="008B2DDA">
        <w:t xml:space="preserve"> </w:t>
      </w:r>
      <w:r w:rsidR="00526D71" w:rsidRPr="008B2DDA">
        <w:t>dispositions</w:t>
      </w:r>
      <w:r w:rsidR="00BE34D2" w:rsidRPr="008B2DDA">
        <w:t xml:space="preserve"> </w:t>
      </w:r>
      <w:r w:rsidR="00526D71" w:rsidRPr="008B2DDA">
        <w:t xml:space="preserve">sont </w:t>
      </w:r>
      <w:r w:rsidR="006F03E1" w:rsidRPr="008B2DDA">
        <w:t>mé</w:t>
      </w:r>
      <w:r w:rsidR="00526D71" w:rsidRPr="008B2DDA">
        <w:t>connues de</w:t>
      </w:r>
      <w:r w:rsidR="00BE34D2" w:rsidRPr="008B2DDA">
        <w:t xml:space="preserve"> la plupart des membres de l</w:t>
      </w:r>
      <w:r w:rsidR="00A341C2" w:rsidRPr="008B2DDA">
        <w:t>’</w:t>
      </w:r>
      <w:r w:rsidR="00BE34D2" w:rsidRPr="008B2DDA">
        <w:t xml:space="preserve">OMPI </w:t>
      </w:r>
      <w:r w:rsidR="00A635C4" w:rsidRPr="008B2DDA">
        <w:t>non dotés de</w:t>
      </w:r>
      <w:r w:rsidR="00BE34D2" w:rsidRPr="008B2DDA">
        <w:t xml:space="preserve"> </w:t>
      </w:r>
      <w:r w:rsidR="006F03E1" w:rsidRPr="008B2DDA">
        <w:t>systèmes d</w:t>
      </w:r>
      <w:r w:rsidR="00A341C2" w:rsidRPr="008B2DDA">
        <w:t>’</w:t>
      </w:r>
      <w:r w:rsidR="00BE34D2" w:rsidRPr="008B2DDA">
        <w:t>appellation d</w:t>
      </w:r>
      <w:r w:rsidR="00A341C2" w:rsidRPr="008B2DDA">
        <w:t>’</w:t>
      </w:r>
      <w:r w:rsidR="00BE34D2" w:rsidRPr="008B2DDA">
        <w:t>origine parce qu</w:t>
      </w:r>
      <w:r w:rsidR="00A341C2" w:rsidRPr="008B2DDA">
        <w:t>’</w:t>
      </w:r>
      <w:r w:rsidR="001601CD" w:rsidRPr="008B2DDA">
        <w:t>elle</w:t>
      </w:r>
      <w:r w:rsidR="00BE34D2" w:rsidRPr="008B2DDA">
        <w:t xml:space="preserve">s sont </w:t>
      </w:r>
      <w:r w:rsidR="001601CD" w:rsidRPr="008B2DDA">
        <w:t>complètement dissociées</w:t>
      </w:r>
      <w:r w:rsidR="00BE34D2" w:rsidRPr="008B2DDA">
        <w:t xml:space="preserve"> de la perception des consommateurs et </w:t>
      </w:r>
      <w:r w:rsidR="00455BAC" w:rsidRPr="008B2DDA">
        <w:t>des</w:t>
      </w:r>
      <w:r w:rsidR="00BE34D2" w:rsidRPr="008B2DDA">
        <w:t xml:space="preserve"> principes traditionnels de concurrence déloyale qui évaluent si le consommateur est, ou </w:t>
      </w:r>
      <w:r w:rsidR="00455BAC" w:rsidRPr="008B2DDA">
        <w:t>pourrait être, en quelque sorte lésé</w:t>
      </w:r>
      <w:r w:rsidR="00BE34D2" w:rsidRPr="008B2DDA">
        <w:t xml:space="preserve"> par les actions </w:t>
      </w:r>
      <w:r w:rsidR="00455BAC" w:rsidRPr="008B2DDA">
        <w:t>déloyales</w:t>
      </w:r>
      <w:r w:rsidR="00BE34D2" w:rsidRPr="008B2DDA">
        <w:t xml:space="preserve">. </w:t>
      </w:r>
      <w:r w:rsidR="001601CD" w:rsidRPr="008B2DDA">
        <w:t xml:space="preserve"> En l</w:t>
      </w:r>
      <w:r w:rsidR="00A341C2" w:rsidRPr="008B2DDA">
        <w:t>’</w:t>
      </w:r>
      <w:r w:rsidR="001601CD" w:rsidRPr="008B2DDA">
        <w:t>absence</w:t>
      </w:r>
      <w:r w:rsidR="00BE34D2" w:rsidRPr="008B2DDA">
        <w:t xml:space="preserve"> de </w:t>
      </w:r>
      <w:r w:rsidR="00402F39" w:rsidRPr="008B2DDA">
        <w:t>notoriété</w:t>
      </w:r>
      <w:r w:rsidR="001601CD" w:rsidRPr="008B2DDA">
        <w:t xml:space="preserve"> locale ou d</w:t>
      </w:r>
      <w:r w:rsidR="00A341C2" w:rsidRPr="008B2DDA">
        <w:t>’</w:t>
      </w:r>
      <w:r w:rsidR="00BE34D2" w:rsidRPr="008B2DDA">
        <w:t>utilisation locale, le</w:t>
      </w:r>
      <w:r w:rsidR="001601CD" w:rsidRPr="008B2DDA">
        <w:t>s</w:t>
      </w:r>
      <w:r w:rsidR="00BE34D2" w:rsidRPr="008B2DDA">
        <w:t xml:space="preserve"> consommateur</w:t>
      </w:r>
      <w:r w:rsidR="001601CD" w:rsidRPr="008B2DDA">
        <w:t>s</w:t>
      </w:r>
      <w:r w:rsidR="00BE34D2" w:rsidRPr="008B2DDA">
        <w:t xml:space="preserve"> ne seront pas lésés par l</w:t>
      </w:r>
      <w:r w:rsidR="00A341C2" w:rsidRPr="008B2DDA">
        <w:t>’</w:t>
      </w:r>
      <w:r w:rsidR="00BE34D2" w:rsidRPr="008B2DDA">
        <w:t>utilisation de l</w:t>
      </w:r>
      <w:r w:rsidR="00A341C2" w:rsidRPr="008B2DDA">
        <w:t>’</w:t>
      </w:r>
      <w:r w:rsidR="00AB2EF0" w:rsidRPr="008B2DDA">
        <w:t>indication géographique</w:t>
      </w:r>
      <w:r w:rsidR="00BE34D2" w:rsidRPr="008B2DDA">
        <w:t xml:space="preserve"> étrangère par un tiers. </w:t>
      </w:r>
      <w:r w:rsidR="001601CD" w:rsidRPr="008B2DDA">
        <w:t xml:space="preserve"> </w:t>
      </w:r>
      <w:r w:rsidR="00BE34D2" w:rsidRPr="008B2DDA">
        <w:t xml:space="preserve">Ainsi, les </w:t>
      </w:r>
      <w:r w:rsidR="001601CD" w:rsidRPr="008B2DDA">
        <w:t>dispositions en matière</w:t>
      </w:r>
      <w:r w:rsidR="00BE34D2" w:rsidRPr="008B2DDA">
        <w:t xml:space="preserve"> </w:t>
      </w:r>
      <w:r w:rsidR="00F25882" w:rsidRPr="008B2DDA">
        <w:t>d</w:t>
      </w:r>
      <w:r w:rsidR="00A341C2" w:rsidRPr="008B2DDA">
        <w:t>’</w:t>
      </w:r>
      <w:r w:rsidR="00F25882" w:rsidRPr="008B2DDA">
        <w:t>atteintes</w:t>
      </w:r>
      <w:r w:rsidR="00BE34D2" w:rsidRPr="008B2DDA">
        <w:t xml:space="preserve"> </w:t>
      </w:r>
      <w:r w:rsidR="00EF29B3" w:rsidRPr="008B2DDA">
        <w:t>stipulées dans</w:t>
      </w:r>
      <w:r w:rsidR="00BE34D2" w:rsidRPr="008B2DDA">
        <w:t xml:space="preserve"> </w:t>
      </w:r>
      <w:r w:rsidR="001601CD" w:rsidRPr="008B2DDA">
        <w:t xml:space="preserve">la variante A de </w:t>
      </w:r>
      <w:r w:rsidR="00F35CC7" w:rsidRPr="008B2DDA">
        <w:t>l</w:t>
      </w:r>
      <w:r w:rsidR="00A341C2" w:rsidRPr="008B2DDA">
        <w:t>’</w:t>
      </w:r>
      <w:r w:rsidR="00F35CC7" w:rsidRPr="008B2DDA">
        <w:t xml:space="preserve">article 11.1)a) </w:t>
      </w:r>
      <w:r w:rsidR="00BE34D2" w:rsidRPr="008B2DDA">
        <w:t>sont impossible</w:t>
      </w:r>
      <w:r w:rsidR="001601CD" w:rsidRPr="008B2DDA">
        <w:t>s</w:t>
      </w:r>
      <w:r w:rsidR="00BE34D2" w:rsidRPr="008B2DDA">
        <w:t xml:space="preserve"> </w:t>
      </w:r>
      <w:r w:rsidR="001601CD" w:rsidRPr="008B2DDA">
        <w:t xml:space="preserve">à appliquer </w:t>
      </w:r>
      <w:r w:rsidR="00BE34D2" w:rsidRPr="008B2DDA">
        <w:t xml:space="preserve">pour beaucoup de </w:t>
      </w:r>
      <w:r w:rsidR="00134381" w:rsidRPr="008B2DDA">
        <w:t xml:space="preserve">futures </w:t>
      </w:r>
      <w:r w:rsidR="00BE34D2" w:rsidRPr="008B2DDA">
        <w:t>parties contractantes.</w:t>
      </w:r>
    </w:p>
    <w:p w14:paraId="4AB012C8" w14:textId="0CB768EC" w:rsidR="007079A8" w:rsidRPr="008B2DDA" w:rsidRDefault="00BE34D2" w:rsidP="008B2DDA">
      <w:pPr>
        <w:pStyle w:val="ONUMFS"/>
        <w:numPr>
          <w:ilvl w:val="0"/>
          <w:numId w:val="0"/>
        </w:numPr>
      </w:pPr>
      <w:r w:rsidRPr="008B2DDA">
        <w:t xml:space="preserve">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EF29B3" w:rsidRPr="008B2DDA">
        <w:t>sont également préoccupés par la variante B</w:t>
      </w:r>
      <w:r w:rsidRPr="008B2DDA">
        <w:t xml:space="preserve"> </w:t>
      </w:r>
      <w:r w:rsidR="00EF29B3" w:rsidRPr="008B2DDA">
        <w:t xml:space="preserve">de </w:t>
      </w:r>
      <w:r w:rsidR="00F35CC7" w:rsidRPr="008B2DDA">
        <w:t>l</w:t>
      </w:r>
      <w:r w:rsidR="00A341C2" w:rsidRPr="008B2DDA">
        <w:t>’</w:t>
      </w:r>
      <w:r w:rsidR="00F35CC7" w:rsidRPr="008B2DDA">
        <w:t xml:space="preserve">article 11.1)a) </w:t>
      </w:r>
      <w:r w:rsidRPr="008B2DDA">
        <w:t xml:space="preserve">parce que, sans la </w:t>
      </w:r>
      <w:r w:rsidR="00402F39" w:rsidRPr="008B2DDA">
        <w:t>notoriété</w:t>
      </w:r>
      <w:r w:rsidRPr="008B2DDA">
        <w:t xml:space="preserve"> ou l</w:t>
      </w:r>
      <w:r w:rsidR="00A341C2" w:rsidRPr="008B2DDA">
        <w:t>’</w:t>
      </w:r>
      <w:r w:rsidRPr="008B2DDA">
        <w:t xml:space="preserve">utilisation, on voit mal comment cette </w:t>
      </w:r>
      <w:r w:rsidR="00EF29B3" w:rsidRPr="008B2DDA">
        <w:t>disposition</w:t>
      </w:r>
      <w:r w:rsidRPr="008B2DDA">
        <w:t xml:space="preserve">, qui </w:t>
      </w:r>
      <w:r w:rsidR="00EF29B3" w:rsidRPr="008B2DDA">
        <w:t>s</w:t>
      </w:r>
      <w:r w:rsidR="00A341C2" w:rsidRPr="008B2DDA">
        <w:t>’</w:t>
      </w:r>
      <w:r w:rsidR="00EF29B3" w:rsidRPr="008B2DDA">
        <w:t>inspire</w:t>
      </w:r>
      <w:r w:rsidRPr="008B2DDA">
        <w:t xml:space="preserve"> des </w:t>
      </w:r>
      <w:r w:rsidR="00EF29B3" w:rsidRPr="008B2DDA">
        <w:t xml:space="preserve">fameuses </w:t>
      </w:r>
      <w:r w:rsidRPr="008B2DDA">
        <w:t xml:space="preserve">dispositions </w:t>
      </w:r>
      <w:r w:rsidR="00EF29B3" w:rsidRPr="008B2DDA">
        <w:t>sur les</w:t>
      </w:r>
      <w:r w:rsidRPr="008B2DDA">
        <w:t xml:space="preserve"> marques de l</w:t>
      </w:r>
      <w:r w:rsidR="00A341C2" w:rsidRPr="008B2DDA">
        <w:t>’</w:t>
      </w:r>
      <w:r w:rsidRPr="008B2DDA">
        <w:t xml:space="preserve">Accord </w:t>
      </w:r>
      <w:r w:rsidR="00EF29B3" w:rsidRPr="008B2DDA">
        <w:t>de l</w:t>
      </w:r>
      <w:r w:rsidR="00A341C2" w:rsidRPr="008B2DDA">
        <w:t>’</w:t>
      </w:r>
      <w:r w:rsidR="00EF29B3" w:rsidRPr="008B2DDA">
        <w:t xml:space="preserve">Organisation mondiale du commerce </w:t>
      </w:r>
      <w:r w:rsidRPr="008B2DDA">
        <w:t xml:space="preserve">sur </w:t>
      </w:r>
      <w:r w:rsidR="00EF29B3" w:rsidRPr="008B2DDA">
        <w:t xml:space="preserve">les aspects des </w:t>
      </w:r>
      <w:r w:rsidRPr="008B2DDA">
        <w:t>droits de propriété intellectuelle</w:t>
      </w:r>
      <w:r w:rsidR="00EF29B3" w:rsidRPr="008B2DDA">
        <w:t xml:space="preserve"> qui touchent au commerce, serait appliquée</w:t>
      </w:r>
      <w:r w:rsidRPr="008B2DDA">
        <w:t xml:space="preserve">. </w:t>
      </w:r>
      <w:r w:rsidR="00EF29B3" w:rsidRPr="008B2DDA">
        <w:t xml:space="preserve"> </w:t>
      </w:r>
      <w:r w:rsidRPr="008B2DDA">
        <w:t>Encore une fois, l</w:t>
      </w:r>
      <w:r w:rsidR="00A341C2" w:rsidRPr="008B2DDA">
        <w:t>’</w:t>
      </w:r>
      <w:r w:rsidRPr="008B2DDA">
        <w:t xml:space="preserve">évaluation des </w:t>
      </w:r>
      <w:r w:rsidR="00F25882" w:rsidRPr="008B2DDA">
        <w:t>atteintes de</w:t>
      </w:r>
      <w:r w:rsidR="00B05973" w:rsidRPr="008B2DDA">
        <w:t xml:space="preserve"> marques notoirement connues</w:t>
      </w:r>
      <w:r w:rsidRPr="008B2DDA">
        <w:t xml:space="preserve"> </w:t>
      </w:r>
      <w:r w:rsidR="00A341C2" w:rsidRPr="008B2DDA">
        <w:t>à l’égard</w:t>
      </w:r>
      <w:r w:rsidR="00B764E4" w:rsidRPr="008B2DDA">
        <w:t xml:space="preserve"> de</w:t>
      </w:r>
      <w:r w:rsidRPr="008B2DDA">
        <w:t xml:space="preserve"> </w:t>
      </w:r>
      <w:r w:rsidR="00EF29B3" w:rsidRPr="008B2DDA">
        <w:t>produits</w:t>
      </w:r>
      <w:r w:rsidRPr="008B2DDA">
        <w:t xml:space="preserve"> </w:t>
      </w:r>
      <w:r w:rsidR="00EF29B3" w:rsidRPr="008B2DDA">
        <w:t>qui ne sont pas du même type</w:t>
      </w:r>
      <w:r w:rsidRPr="008B2DDA">
        <w:t xml:space="preserve"> nécessite </w:t>
      </w:r>
      <w:r w:rsidR="00B764E4" w:rsidRPr="008B2DDA">
        <w:t>d</w:t>
      </w:r>
      <w:r w:rsidR="00A341C2" w:rsidRPr="008B2DDA">
        <w:t>’</w:t>
      </w:r>
      <w:r w:rsidR="00B764E4" w:rsidRPr="008B2DDA">
        <w:t>analyser</w:t>
      </w:r>
      <w:r w:rsidRPr="008B2DDA">
        <w:t xml:space="preserve"> si le consommateur </w:t>
      </w:r>
      <w:r w:rsidR="00B764E4" w:rsidRPr="008B2DDA">
        <w:t xml:space="preserve">concerné </w:t>
      </w:r>
      <w:r w:rsidRPr="008B2DDA">
        <w:t>serait susceptib</w:t>
      </w:r>
      <w:r w:rsidR="00B764E4" w:rsidRPr="008B2DDA">
        <w:t xml:space="preserve">le de percevoir une confusion, une </w:t>
      </w:r>
      <w:r w:rsidRPr="008B2DDA">
        <w:t xml:space="preserve">association ou </w:t>
      </w:r>
      <w:r w:rsidR="00B764E4" w:rsidRPr="008B2DDA">
        <w:t xml:space="preserve">une </w:t>
      </w:r>
      <w:r w:rsidRPr="008B2DDA">
        <w:t>connexion entre les deux</w:t>
      </w:r>
      <w:r w:rsidR="00E26A2C" w:rsidRPr="008B2DDA">
        <w:t> </w:t>
      </w:r>
      <w:r w:rsidRPr="008B2DDA">
        <w:t xml:space="preserve">utilisations. </w:t>
      </w:r>
      <w:r w:rsidR="00EF29B3" w:rsidRPr="008B2DDA">
        <w:t xml:space="preserve"> </w:t>
      </w:r>
      <w:r w:rsidRPr="008B2DDA">
        <w:t xml:space="preserve">Cette analyse </w:t>
      </w:r>
      <w:r w:rsidR="00B764E4" w:rsidRPr="008B2DDA">
        <w:t xml:space="preserve">permet </w:t>
      </w:r>
      <w:r w:rsidR="00D6250E" w:rsidRPr="008B2DDA">
        <w:t>de voir</w:t>
      </w:r>
      <w:r w:rsidRPr="008B2DDA">
        <w:t xml:space="preserve"> </w:t>
      </w:r>
      <w:r w:rsidR="00B764E4" w:rsidRPr="008B2DDA">
        <w:t>à quel point</w:t>
      </w:r>
      <w:r w:rsidRPr="008B2DDA">
        <w:t xml:space="preserve"> l</w:t>
      </w:r>
      <w:r w:rsidR="00A341C2" w:rsidRPr="008B2DDA">
        <w:t>’</w:t>
      </w:r>
      <w:r w:rsidRPr="008B2DDA">
        <w:t>identificateur de</w:t>
      </w:r>
      <w:r w:rsidR="00B764E4" w:rsidRPr="008B2DDA">
        <w:t xml:space="preserve"> la</w:t>
      </w:r>
      <w:r w:rsidRPr="008B2DDA">
        <w:t xml:space="preserve"> source est </w:t>
      </w:r>
      <w:r w:rsidR="00B764E4" w:rsidRPr="008B2DDA">
        <w:t xml:space="preserve">présent </w:t>
      </w:r>
      <w:r w:rsidRPr="008B2DDA">
        <w:t>dans l</w:t>
      </w:r>
      <w:r w:rsidR="00A341C2" w:rsidRPr="008B2DDA">
        <w:t>’</w:t>
      </w:r>
      <w:r w:rsidRPr="008B2DDA">
        <w:t xml:space="preserve">esprit du consommateur local. </w:t>
      </w:r>
      <w:r w:rsidR="00B764E4" w:rsidRPr="008B2DDA">
        <w:t xml:space="preserve"> </w:t>
      </w:r>
      <w:r w:rsidRPr="008B2DDA">
        <w:t xml:space="preserve">La </w:t>
      </w:r>
      <w:r w:rsidR="00402F39" w:rsidRPr="008B2DDA">
        <w:t>notoriété</w:t>
      </w:r>
      <w:r w:rsidRPr="008B2DDA">
        <w:t xml:space="preserve"> dans le pays d</w:t>
      </w:r>
      <w:r w:rsidR="00A341C2" w:rsidRPr="008B2DDA">
        <w:t>’</w:t>
      </w:r>
      <w:r w:rsidR="00446FE7" w:rsidRPr="008B2DDA">
        <w:t>origine n</w:t>
      </w:r>
      <w:r w:rsidR="00A341C2" w:rsidRPr="008B2DDA">
        <w:t>’</w:t>
      </w:r>
      <w:r w:rsidR="00446FE7" w:rsidRPr="008B2DDA">
        <w:t xml:space="preserve">est pas pertinente </w:t>
      </w:r>
      <w:r w:rsidRPr="008B2DDA">
        <w:t>pour l</w:t>
      </w:r>
      <w:r w:rsidR="00A341C2" w:rsidRPr="008B2DDA">
        <w:t>’</w:t>
      </w:r>
      <w:r w:rsidRPr="008B2DDA">
        <w:t xml:space="preserve">évaluation de la perception des consommateurs dans le pays </w:t>
      </w:r>
      <w:r w:rsidR="00446FE7" w:rsidRPr="008B2DDA">
        <w:t>bénéficiaire</w:t>
      </w:r>
      <w:r w:rsidRPr="008B2DDA">
        <w:t xml:space="preserve"> à moins que </w:t>
      </w:r>
      <w:r w:rsidR="00B05973" w:rsidRPr="008B2DDA">
        <w:t>cette</w:t>
      </w:r>
      <w:r w:rsidRPr="008B2DDA">
        <w:t xml:space="preserve"> </w:t>
      </w:r>
      <w:r w:rsidR="00402F39" w:rsidRPr="008B2DDA">
        <w:t>notoriété</w:t>
      </w:r>
      <w:r w:rsidRPr="008B2DDA">
        <w:t xml:space="preserve"> </w:t>
      </w:r>
      <w:r w:rsidR="00446FE7" w:rsidRPr="008B2DDA">
        <w:t>n</w:t>
      </w:r>
      <w:r w:rsidR="00A341C2" w:rsidRPr="008B2DDA">
        <w:t>’</w:t>
      </w:r>
      <w:r w:rsidR="00446FE7" w:rsidRPr="008B2DDA">
        <w:t>atteigne</w:t>
      </w:r>
      <w:r w:rsidRPr="008B2DDA">
        <w:t xml:space="preserve"> le marché du pays </w:t>
      </w:r>
      <w:r w:rsidR="00446FE7" w:rsidRPr="008B2DDA">
        <w:t>bénéficiaire</w:t>
      </w:r>
      <w:r w:rsidRPr="008B2DDA">
        <w:t xml:space="preserve"> et </w:t>
      </w:r>
      <w:r w:rsidR="00B05973" w:rsidRPr="008B2DDA">
        <w:t>qu</w:t>
      </w:r>
      <w:r w:rsidR="00A341C2" w:rsidRPr="008B2DDA">
        <w:t>’</w:t>
      </w:r>
      <w:r w:rsidR="00B05973" w:rsidRPr="008B2DDA">
        <w:t>elle n</w:t>
      </w:r>
      <w:r w:rsidR="00A341C2" w:rsidRPr="008B2DDA">
        <w:t>’</w:t>
      </w:r>
      <w:r w:rsidR="00B05973" w:rsidRPr="008B2DDA">
        <w:t xml:space="preserve">influence </w:t>
      </w:r>
      <w:r w:rsidRPr="008B2DDA">
        <w:t>les décisions d</w:t>
      </w:r>
      <w:r w:rsidR="00A341C2" w:rsidRPr="008B2DDA">
        <w:t>’</w:t>
      </w:r>
      <w:r w:rsidR="00446FE7" w:rsidRPr="008B2DDA">
        <w:t>achat</w:t>
      </w:r>
      <w:r w:rsidR="00B05973" w:rsidRPr="008B2DDA">
        <w:t xml:space="preserve"> sur ce marché</w:t>
      </w:r>
      <w:r w:rsidRPr="008B2DDA">
        <w:t xml:space="preserve">. </w:t>
      </w:r>
      <w:r w:rsidR="00446FE7" w:rsidRPr="008B2DDA">
        <w:t xml:space="preserve"> </w:t>
      </w:r>
      <w:r w:rsidR="00B05973" w:rsidRPr="008B2DDA">
        <w:t xml:space="preserve">En ce qui concerne les </w:t>
      </w:r>
      <w:r w:rsidR="00AB2EF0" w:rsidRPr="008B2DDA">
        <w:t>indications géographiques</w:t>
      </w:r>
      <w:r w:rsidR="00B05973" w:rsidRPr="008B2DDA">
        <w:t xml:space="preserve"> qui n</w:t>
      </w:r>
      <w:r w:rsidR="00A341C2" w:rsidRPr="008B2DDA">
        <w:t>’</w:t>
      </w:r>
      <w:r w:rsidRPr="008B2DDA">
        <w:t xml:space="preserve">atteignent pas un certain niveau de </w:t>
      </w:r>
      <w:r w:rsidR="00402F39" w:rsidRPr="008B2DDA">
        <w:t>notoriété</w:t>
      </w:r>
      <w:r w:rsidRPr="008B2DDA">
        <w:t xml:space="preserve"> dans le pays </w:t>
      </w:r>
      <w:r w:rsidR="00B05973" w:rsidRPr="008B2DDA">
        <w:t>bénéficiaire</w:t>
      </w:r>
      <w:r w:rsidRPr="008B2DDA">
        <w:t xml:space="preserve">, les juridictions nationales </w:t>
      </w:r>
      <w:r w:rsidR="00B05973" w:rsidRPr="008B2DDA">
        <w:t xml:space="preserve">auront des difficultés à </w:t>
      </w:r>
      <w:r w:rsidRPr="008B2DDA">
        <w:t xml:space="preserve">appliquer une </w:t>
      </w:r>
      <w:r w:rsidR="00B05973" w:rsidRPr="008B2DDA">
        <w:t>disposition sur les marques notoires aux</w:t>
      </w:r>
      <w:r w:rsidRPr="008B2DDA">
        <w:t xml:space="preserve"> </w:t>
      </w:r>
      <w:r w:rsidR="00AB2EF0" w:rsidRPr="008B2DDA">
        <w:t>indications géographiques</w:t>
      </w:r>
      <w:r w:rsidRPr="008B2DDA">
        <w:t xml:space="preserve"> étrangères qui sont totalement inconnu</w:t>
      </w:r>
      <w:r w:rsidR="00B05973" w:rsidRPr="008B2DDA">
        <w:t>e</w:t>
      </w:r>
      <w:r w:rsidRPr="008B2DDA">
        <w:t>s ou utilisé</w:t>
      </w:r>
      <w:r w:rsidR="00B05973" w:rsidRPr="008B2DDA">
        <w:t>es</w:t>
      </w:r>
      <w:r w:rsidRPr="008B2DDA">
        <w:t xml:space="preserve"> sur le territoire.</w:t>
      </w:r>
    </w:p>
    <w:p w14:paraId="5FCD51DB" w14:textId="1A9D46A4" w:rsidR="007079A8" w:rsidRPr="008B2DDA" w:rsidRDefault="00BE34D2" w:rsidP="008B2DDA">
      <w:pPr>
        <w:pStyle w:val="ONUMFS"/>
        <w:numPr>
          <w:ilvl w:val="0"/>
          <w:numId w:val="0"/>
        </w:numPr>
      </w:pPr>
      <w:r w:rsidRPr="008B2DDA">
        <w:lastRenderedPageBreak/>
        <w:t xml:space="preserve">Néanmoins, </w:t>
      </w:r>
      <w:r w:rsidR="00D6250E" w:rsidRPr="008B2DDA">
        <w:t>parmi les variantes proposées</w:t>
      </w:r>
      <w:r w:rsidRPr="008B2DDA">
        <w:t xml:space="preserve">, 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7F4EB1" w:rsidRPr="008B2DDA">
        <w:t>approuvent</w:t>
      </w:r>
      <w:r w:rsidRPr="008B2DDA">
        <w:t xml:space="preserve"> </w:t>
      </w:r>
      <w:r w:rsidR="007F4EB1" w:rsidRPr="008B2DDA">
        <w:t xml:space="preserve">la variante B de </w:t>
      </w:r>
      <w:r w:rsidR="00F35CC7" w:rsidRPr="008B2DDA">
        <w:t>l</w:t>
      </w:r>
      <w:r w:rsidR="00A341C2" w:rsidRPr="008B2DDA">
        <w:t>’</w:t>
      </w:r>
      <w:r w:rsidR="00F35CC7" w:rsidRPr="008B2DDA">
        <w:t xml:space="preserve">article 11.1)a) </w:t>
      </w:r>
      <w:r w:rsidR="00D6250E" w:rsidRPr="008B2DDA">
        <w:t xml:space="preserve">sachant que les </w:t>
      </w:r>
      <w:r w:rsidR="00F25882" w:rsidRPr="008B2DDA">
        <w:t>atteintes</w:t>
      </w:r>
      <w:r w:rsidR="00D6250E" w:rsidRPr="008B2DDA">
        <w:t xml:space="preserve"> qu</w:t>
      </w:r>
      <w:r w:rsidR="00A341C2" w:rsidRPr="008B2DDA">
        <w:t>’</w:t>
      </w:r>
      <w:r w:rsidR="00D6250E" w:rsidRPr="008B2DDA">
        <w:t xml:space="preserve">elle énonce </w:t>
      </w:r>
      <w:r w:rsidR="00A341C2" w:rsidRPr="008B2DDA">
        <w:t>à l’égard</w:t>
      </w:r>
      <w:r w:rsidR="00D6250E" w:rsidRPr="008B2DDA">
        <w:t xml:space="preserve"> des produits du même type</w:t>
      </w:r>
      <w:r w:rsidRPr="008B2DDA">
        <w:t xml:space="preserve"> permettrai</w:t>
      </w:r>
      <w:r w:rsidR="00D6250E" w:rsidRPr="008B2DDA">
        <w:t>en</w:t>
      </w:r>
      <w:r w:rsidRPr="008B2DDA">
        <w:t xml:space="preserve">t </w:t>
      </w:r>
      <w:r w:rsidR="00D6250E" w:rsidRPr="008B2DDA">
        <w:t xml:space="preserve">aux </w:t>
      </w:r>
      <w:r w:rsidRPr="008B2DDA">
        <w:t xml:space="preserve">juridictions nationales </w:t>
      </w:r>
      <w:r w:rsidR="00D6250E" w:rsidRPr="008B2DDA">
        <w:t>de</w:t>
      </w:r>
      <w:r w:rsidRPr="008B2DDA">
        <w:t xml:space="preserve"> prendre en compte la perception du consommateur local </w:t>
      </w:r>
      <w:r w:rsidR="00D6250E" w:rsidRPr="008B2DDA">
        <w:t>en montrant</w:t>
      </w:r>
      <w:r w:rsidRPr="008B2DDA">
        <w:t xml:space="preserve"> que le consommateur est confus en quelque sorte par l</w:t>
      </w:r>
      <w:r w:rsidR="00A341C2" w:rsidRPr="008B2DDA">
        <w:t>’</w:t>
      </w:r>
      <w:r w:rsidRPr="008B2DDA">
        <w:t>utilisation de l</w:t>
      </w:r>
      <w:r w:rsidR="00A341C2" w:rsidRPr="008B2DDA">
        <w:t>’</w:t>
      </w:r>
      <w:r w:rsidR="00AB2EF0" w:rsidRPr="008B2DDA">
        <w:t>indication géographique</w:t>
      </w:r>
      <w:r w:rsidRPr="008B2DDA">
        <w:t xml:space="preserve"> enregistrée par une personne autre que le titulaire. </w:t>
      </w:r>
      <w:r w:rsidR="00D6250E" w:rsidRPr="008B2DDA">
        <w:t xml:space="preserve"> </w:t>
      </w:r>
      <w:r w:rsidRPr="008B2DDA">
        <w:t xml:space="preserve">En raison de notre inquiétude </w:t>
      </w:r>
      <w:r w:rsidR="00D6250E" w:rsidRPr="008B2DDA">
        <w:t>vis</w:t>
      </w:r>
      <w:r w:rsidR="00D67EA4" w:rsidRPr="008B2DDA">
        <w:noBreakHyphen/>
      </w:r>
      <w:r w:rsidR="00D6250E" w:rsidRPr="008B2DDA">
        <w:t>à</w:t>
      </w:r>
      <w:r w:rsidR="00D67EA4" w:rsidRPr="008B2DDA">
        <w:noBreakHyphen/>
      </w:r>
      <w:r w:rsidR="00D6250E" w:rsidRPr="008B2DDA">
        <w:t>vis de</w:t>
      </w:r>
      <w:r w:rsidRPr="008B2DDA">
        <w:t xml:space="preserve"> ce qui serait une</w:t>
      </w:r>
      <w:r w:rsidR="00D6250E" w:rsidRPr="008B2DDA">
        <w:t xml:space="preserve"> fausse</w:t>
      </w:r>
      <w:r w:rsidRPr="008B2DDA">
        <w:t xml:space="preserve"> présomption </w:t>
      </w:r>
      <w:r w:rsidR="00D6250E" w:rsidRPr="008B2DDA">
        <w:t>dans</w:t>
      </w:r>
      <w:r w:rsidRPr="008B2DDA">
        <w:t xml:space="preserve"> </w:t>
      </w:r>
      <w:r w:rsidR="00F35CC7" w:rsidRPr="008B2DDA">
        <w:t>l</w:t>
      </w:r>
      <w:r w:rsidR="00A341C2" w:rsidRPr="008B2DDA">
        <w:t>’</w:t>
      </w:r>
      <w:r w:rsidR="00F35CC7" w:rsidRPr="008B2DDA">
        <w:t>article 11.1)a)</w:t>
      </w:r>
      <w:r w:rsidRPr="008B2DDA">
        <w:t xml:space="preserve">i), </w:t>
      </w:r>
      <w:r w:rsidR="00D6250E" w:rsidRPr="008B2DDA">
        <w:t>s</w:t>
      </w:r>
      <w:r w:rsidR="00A341C2" w:rsidRPr="008B2DDA">
        <w:t>’</w:t>
      </w:r>
      <w:r w:rsidRPr="008B2DDA">
        <w:t>il n</w:t>
      </w:r>
      <w:r w:rsidR="00A341C2" w:rsidRPr="008B2DDA">
        <w:t>’</w:t>
      </w:r>
      <w:r w:rsidRPr="008B2DDA">
        <w:t xml:space="preserve">y a pas </w:t>
      </w:r>
      <w:r w:rsidR="00D6250E" w:rsidRPr="008B2DDA">
        <w:t>de</w:t>
      </w:r>
      <w:r w:rsidRPr="008B2DDA">
        <w:t xml:space="preserve"> </w:t>
      </w:r>
      <w:r w:rsidR="00402F39" w:rsidRPr="008B2DDA">
        <w:t>notoriété</w:t>
      </w:r>
      <w:r w:rsidRPr="008B2DDA">
        <w:t xml:space="preserve"> dans le pays </w:t>
      </w:r>
      <w:r w:rsidR="00D6250E" w:rsidRPr="008B2DDA">
        <w:t>bénéficiaire</w:t>
      </w:r>
      <w:r w:rsidRPr="008B2DDA">
        <w:t>, nous proposon</w:t>
      </w:r>
      <w:r w:rsidR="00D6250E" w:rsidRPr="008B2DDA">
        <w:t xml:space="preserve">s que la variante B représente </w:t>
      </w:r>
      <w:r w:rsidR="00F25882" w:rsidRPr="008B2DDA">
        <w:t>l</w:t>
      </w:r>
      <w:r w:rsidR="00A341C2" w:rsidRPr="008B2DDA">
        <w:t>’</w:t>
      </w:r>
      <w:r w:rsidR="00F25882" w:rsidRPr="008B2DDA">
        <w:t>atteinte</w:t>
      </w:r>
      <w:r w:rsidRPr="008B2DDA">
        <w:t xml:space="preserve"> </w:t>
      </w:r>
      <w:r w:rsidR="00D6250E" w:rsidRPr="008B2DDA">
        <w:t xml:space="preserve">standard </w:t>
      </w:r>
      <w:r w:rsidRPr="008B2DDA">
        <w:t xml:space="preserve">pour </w:t>
      </w:r>
      <w:r w:rsidR="00D6250E" w:rsidRPr="008B2DDA">
        <w:t>les produits du même type ou non</w:t>
      </w:r>
      <w:r w:rsidRPr="008B2DDA">
        <w:t>.</w:t>
      </w:r>
    </w:p>
    <w:p w14:paraId="62CA182C" w14:textId="6AD9F7BF" w:rsidR="007079A8" w:rsidRPr="008B2DDA" w:rsidRDefault="001F705D" w:rsidP="008B2DDA">
      <w:pPr>
        <w:pStyle w:val="ONUMFS"/>
        <w:numPr>
          <w:ilvl w:val="0"/>
          <w:numId w:val="0"/>
        </w:numPr>
      </w:pPr>
      <w:hyperlink w:anchor="Article_11_fn2" w:history="1">
        <w:r w:rsidR="003848D2" w:rsidRPr="00450AF4">
          <w:rPr>
            <w:rStyle w:val="Hyperlink"/>
            <w:b/>
            <w:color w:val="0000FF"/>
          </w:rPr>
          <w:t>Article </w:t>
        </w:r>
        <w:r w:rsidR="00191085" w:rsidRPr="00450AF4">
          <w:rPr>
            <w:rStyle w:val="Hyperlink"/>
            <w:b/>
            <w:color w:val="0000FF"/>
          </w:rPr>
          <w:t>11, note de bas de page </w:t>
        </w:r>
        <w:r w:rsidR="00311638" w:rsidRPr="00450AF4">
          <w:rPr>
            <w:rStyle w:val="Hyperlink"/>
            <w:b/>
            <w:color w:val="0000FF"/>
          </w:rPr>
          <w:t>2</w:t>
        </w:r>
      </w:hyperlink>
      <w:r w:rsidR="0002751B" w:rsidRPr="0002751B">
        <w:rPr>
          <w:rStyle w:val="Hyperlink"/>
          <w:b/>
          <w:color w:val="auto"/>
          <w:u w:val="none"/>
        </w:rPr>
        <w:t> </w:t>
      </w:r>
      <w:r w:rsidR="00943B80" w:rsidRPr="0002751B">
        <w:rPr>
          <w:rStyle w:val="Hyperlink"/>
          <w:b/>
          <w:color w:val="auto"/>
          <w:u w:val="none"/>
        </w:rPr>
        <w:t>:</w:t>
      </w:r>
      <w:r w:rsidR="00311638" w:rsidRPr="008B2DDA">
        <w:rPr>
          <w:b/>
        </w:rPr>
        <w:t xml:space="preserve"> </w:t>
      </w:r>
      <w:r w:rsidR="00BE34D2" w:rsidRPr="008B2DDA">
        <w:t xml:space="preserve">Les </w:t>
      </w:r>
      <w:r w:rsidR="00F25882" w:rsidRPr="008B2DDA">
        <w:t>atteintes</w:t>
      </w:r>
      <w:r w:rsidR="00524999" w:rsidRPr="008B2DDA">
        <w:t xml:space="preserve"> énoncées dans </w:t>
      </w:r>
      <w:r w:rsidR="00BE34D2" w:rsidRPr="008B2DDA">
        <w:t>l</w:t>
      </w:r>
      <w:r w:rsidR="00A341C2" w:rsidRPr="008B2DDA">
        <w:t>’</w:t>
      </w:r>
      <w:r w:rsidR="00191085" w:rsidRPr="008B2DDA">
        <w:t>article </w:t>
      </w:r>
      <w:r w:rsidR="00BE34D2" w:rsidRPr="008B2DDA">
        <w:t xml:space="preserve">11 sont </w:t>
      </w:r>
      <w:r w:rsidR="00524999" w:rsidRPr="008B2DDA">
        <w:t>suffisamment</w:t>
      </w:r>
      <w:r w:rsidR="00BE34D2" w:rsidRPr="008B2DDA">
        <w:t xml:space="preserve"> large</w:t>
      </w:r>
      <w:r w:rsidR="00191085" w:rsidRPr="008B2DDA">
        <w:t>s</w:t>
      </w:r>
      <w:r w:rsidR="00BE34D2" w:rsidRPr="008B2DDA">
        <w:t xml:space="preserve"> pour permettre </w:t>
      </w:r>
      <w:r w:rsidR="00524999" w:rsidRPr="008B2DDA">
        <w:t>la réhabilitation de</w:t>
      </w:r>
      <w:r w:rsidR="00B45BCB" w:rsidRPr="008B2DDA">
        <w:t xml:space="preserve"> termes génériques, c</w:t>
      </w:r>
      <w:r w:rsidR="00A341C2" w:rsidRPr="008B2DDA">
        <w:t>’</w:t>
      </w:r>
      <w:r w:rsidR="00BE34D2" w:rsidRPr="008B2DDA">
        <w:t>est</w:t>
      </w:r>
      <w:r w:rsidR="00D67EA4" w:rsidRPr="008B2DDA">
        <w:noBreakHyphen/>
      </w:r>
      <w:r w:rsidR="00524999" w:rsidRPr="008B2DDA">
        <w:t>à</w:t>
      </w:r>
      <w:r w:rsidR="00D67EA4" w:rsidRPr="008B2DDA">
        <w:noBreakHyphen/>
      </w:r>
      <w:r w:rsidR="00524999" w:rsidRPr="008B2DDA">
        <w:t>dire</w:t>
      </w:r>
      <w:r w:rsidR="00BE34D2" w:rsidRPr="008B2DDA">
        <w:t xml:space="preserve"> </w:t>
      </w:r>
      <w:r w:rsidR="00524999" w:rsidRPr="008B2DDA">
        <w:t>la constatation d</w:t>
      </w:r>
      <w:r w:rsidR="00A341C2" w:rsidRPr="008B2DDA">
        <w:t>’</w:t>
      </w:r>
      <w:r w:rsidR="00524999" w:rsidRPr="008B2DDA">
        <w:t xml:space="preserve">une atteinte à </w:t>
      </w:r>
      <w:r w:rsidR="00BE34D2" w:rsidRPr="008B2DDA">
        <w:t xml:space="preserve">une </w:t>
      </w:r>
      <w:r w:rsidR="00AB2EF0" w:rsidRPr="008B2DDA">
        <w:t>indication géographique</w:t>
      </w:r>
      <w:r w:rsidR="00BE34D2" w:rsidRPr="008B2DDA">
        <w:t xml:space="preserve"> composé</w:t>
      </w:r>
      <w:r w:rsidR="00524999" w:rsidRPr="008B2DDA">
        <w:t>e</w:t>
      </w:r>
      <w:r w:rsidR="00BE34D2" w:rsidRPr="008B2DDA">
        <w:t xml:space="preserve"> où seul </w:t>
      </w:r>
      <w:r w:rsidR="00191085" w:rsidRPr="008B2DDA">
        <w:t>l</w:t>
      </w:r>
      <w:r w:rsidR="00A341C2" w:rsidRPr="008B2DDA">
        <w:t>’</w:t>
      </w:r>
      <w:r w:rsidR="00191085" w:rsidRPr="008B2DDA">
        <w:t xml:space="preserve">élément ayant un caractère générique </w:t>
      </w:r>
      <w:r w:rsidR="00BE34D2" w:rsidRPr="008B2DDA">
        <w:t xml:space="preserve">est utilisé </w:t>
      </w:r>
      <w:r w:rsidR="00524999" w:rsidRPr="008B2DDA">
        <w:t>suivant</w:t>
      </w:r>
      <w:r w:rsidR="00BE34D2" w:rsidRPr="008B2DDA">
        <w:t xml:space="preserve"> la théorie </w:t>
      </w:r>
      <w:r w:rsidR="00524999" w:rsidRPr="008B2DDA">
        <w:t>selon laquelle</w:t>
      </w:r>
      <w:r w:rsidR="00BE34D2" w:rsidRPr="008B2DDA">
        <w:t xml:space="preserve"> l</w:t>
      </w:r>
      <w:r w:rsidR="00A341C2" w:rsidRPr="008B2DDA">
        <w:t>’</w:t>
      </w:r>
      <w:r w:rsidR="00BE34D2" w:rsidRPr="008B2DDA">
        <w:t xml:space="preserve">utilisation </w:t>
      </w:r>
      <w:r w:rsidR="00191085" w:rsidRPr="008B2DDA">
        <w:t>de l</w:t>
      </w:r>
      <w:r w:rsidR="00A341C2" w:rsidRPr="008B2DDA">
        <w:t>’</w:t>
      </w:r>
      <w:r w:rsidR="00191085" w:rsidRPr="008B2DDA">
        <w:t xml:space="preserve">élément ayant un caractère générique </w:t>
      </w:r>
      <w:r w:rsidR="00524999" w:rsidRPr="008B2DDA">
        <w:t>rappelle</w:t>
      </w:r>
      <w:r w:rsidR="00BE34D2" w:rsidRPr="008B2DDA">
        <w:t xml:space="preserve"> ou évoque l</w:t>
      </w:r>
      <w:r w:rsidR="00A341C2" w:rsidRPr="008B2DDA">
        <w:t>’</w:t>
      </w:r>
      <w:r w:rsidR="00BE34D2" w:rsidRPr="008B2DDA">
        <w:t>intégralité de l</w:t>
      </w:r>
      <w:r w:rsidR="00A341C2" w:rsidRPr="008B2DDA">
        <w:t>’</w:t>
      </w:r>
      <w:r w:rsidR="00AB2EF0" w:rsidRPr="008B2DDA">
        <w:t>indication géographique</w:t>
      </w:r>
      <w:r w:rsidR="00BE34D2" w:rsidRPr="008B2DDA">
        <w:t xml:space="preserve"> composé</w:t>
      </w:r>
      <w:r w:rsidR="00F25882" w:rsidRPr="008B2DDA">
        <w:t>e</w:t>
      </w:r>
      <w:r w:rsidR="00BE34D2" w:rsidRPr="008B2DDA">
        <w:t xml:space="preserve">. </w:t>
      </w:r>
      <w:r w:rsidR="00524999" w:rsidRPr="008B2DDA">
        <w:t xml:space="preserve"> </w:t>
      </w:r>
      <w:r w:rsidR="00BE34D2" w:rsidRPr="008B2DDA">
        <w:t xml:space="preserve">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191085" w:rsidRPr="008B2DDA">
        <w:t>approuvent la deuxième </w:t>
      </w:r>
      <w:r w:rsidR="00BE34D2" w:rsidRPr="008B2DDA">
        <w:t xml:space="preserve">phrase </w:t>
      </w:r>
      <w:r w:rsidR="00191085" w:rsidRPr="008B2DDA">
        <w:t xml:space="preserve">de la note de bas de page 2 </w:t>
      </w:r>
      <w:r w:rsidR="00BE34D2" w:rsidRPr="008B2DDA">
        <w:t>de l</w:t>
      </w:r>
      <w:r w:rsidR="00A341C2" w:rsidRPr="008B2DDA">
        <w:t>’</w:t>
      </w:r>
      <w:r w:rsidR="00191085" w:rsidRPr="008B2DDA">
        <w:t xml:space="preserve">article 11 </w:t>
      </w:r>
      <w:r w:rsidR="00524999" w:rsidRPr="008B2DDA">
        <w:t>visant à clarifier</w:t>
      </w:r>
      <w:r w:rsidR="00BE34D2" w:rsidRPr="008B2DDA">
        <w:t xml:space="preserve"> cette question </w:t>
      </w:r>
      <w:r w:rsidR="00524999" w:rsidRPr="008B2DDA">
        <w:t>lorsqu</w:t>
      </w:r>
      <w:r w:rsidR="00A341C2" w:rsidRPr="008B2DDA">
        <w:t>’</w:t>
      </w:r>
      <w:r w:rsidR="00BE34D2" w:rsidRPr="008B2DDA">
        <w:t>un terme générique est inclus dans un</w:t>
      </w:r>
      <w:r w:rsidR="00191085" w:rsidRPr="008B2DDA">
        <w:t xml:space="preserve">e </w:t>
      </w:r>
      <w:r w:rsidR="00AB2EF0" w:rsidRPr="008B2DDA">
        <w:t>indication géographique</w:t>
      </w:r>
      <w:r w:rsidR="00BE34D2" w:rsidRPr="008B2DDA">
        <w:t xml:space="preserve"> composé</w:t>
      </w:r>
      <w:r w:rsidR="00524999" w:rsidRPr="008B2DDA">
        <w:t>e</w:t>
      </w:r>
      <w:r w:rsidR="00F25882" w:rsidRPr="008B2DDA">
        <w:t xml:space="preserve">, </w:t>
      </w:r>
      <w:r w:rsidR="00A341C2" w:rsidRPr="008B2DDA">
        <w:t>à savoir</w:t>
      </w:r>
      <w:r w:rsidR="00191085" w:rsidRPr="008B2DDA">
        <w:t> </w:t>
      </w:r>
      <w:r w:rsidR="00BE34D2" w:rsidRPr="008B2DDA">
        <w:t xml:space="preserve">: </w:t>
      </w:r>
      <w:r w:rsidR="00E26A2C" w:rsidRPr="008B2DDA">
        <w:t>“</w:t>
      </w:r>
      <w:r w:rsidR="00191085" w:rsidRPr="008B2DDA">
        <w:t>Dans une perspective de sécurité juridique, la</w:t>
      </w:r>
      <w:r w:rsidR="00524999" w:rsidRPr="008B2DDA">
        <w:t xml:space="preserve"> constatation d</w:t>
      </w:r>
      <w:r w:rsidR="00A341C2" w:rsidRPr="008B2DDA">
        <w:t>’</w:t>
      </w:r>
      <w:r w:rsidR="00524999" w:rsidRPr="008B2DDA">
        <w:t xml:space="preserve">une atteinte </w:t>
      </w:r>
      <w:r w:rsidR="00191085" w:rsidRPr="008B2DDA">
        <w:t>en vertu des dispositions de l</w:t>
      </w:r>
      <w:r w:rsidR="00A341C2" w:rsidRPr="008B2DDA">
        <w:t>’</w:t>
      </w:r>
      <w:r w:rsidR="00191085" w:rsidRPr="008B2DDA">
        <w:t>article 11 ne peut se fonder sur l</w:t>
      </w:r>
      <w:r w:rsidR="00A341C2" w:rsidRPr="008B2DDA">
        <w:t>’</w:t>
      </w:r>
      <w:r w:rsidR="00191085" w:rsidRPr="008B2DDA">
        <w:t>élément ayant un caractère générique</w:t>
      </w:r>
      <w:r w:rsidR="00E26A2C" w:rsidRPr="008B2DDA">
        <w:t>”</w:t>
      </w:r>
      <w:r w:rsidR="00191085" w:rsidRPr="008B2DDA">
        <w:t>.</w:t>
      </w:r>
    </w:p>
    <w:p w14:paraId="11569FD2" w14:textId="45F8C554" w:rsidR="00BE34D2" w:rsidRPr="008B2DDA" w:rsidRDefault="001F705D" w:rsidP="008B2DDA">
      <w:pPr>
        <w:pStyle w:val="ONUMFS"/>
        <w:numPr>
          <w:ilvl w:val="0"/>
          <w:numId w:val="0"/>
        </w:numPr>
      </w:pPr>
      <w:hyperlink w:anchor="Article_12" w:history="1">
        <w:r w:rsidR="003848D2" w:rsidRPr="00450AF4">
          <w:rPr>
            <w:rStyle w:val="Hyperlink"/>
            <w:b/>
            <w:color w:val="0000FF"/>
          </w:rPr>
          <w:t>Article </w:t>
        </w:r>
        <w:r w:rsidR="00311638" w:rsidRPr="00450AF4">
          <w:rPr>
            <w:rStyle w:val="Hyperlink"/>
            <w:b/>
            <w:color w:val="0000FF"/>
          </w:rPr>
          <w:t>12</w:t>
        </w:r>
      </w:hyperlink>
      <w:r w:rsidR="00311638" w:rsidRPr="008B2DDA">
        <w:rPr>
          <w:b/>
        </w:rPr>
        <w:t xml:space="preserve"> </w:t>
      </w:r>
      <w:r w:rsidR="00466562" w:rsidRPr="008B2DDA">
        <w:rPr>
          <w:b/>
        </w:rPr>
        <w:t>Protection pour éviter de devenir générique </w:t>
      </w:r>
      <w:r w:rsidR="00BE34D2" w:rsidRPr="008B2DDA">
        <w:rPr>
          <w:b/>
        </w:rPr>
        <w:t xml:space="preserve">: </w:t>
      </w:r>
      <w:r w:rsidR="00BE34D2" w:rsidRPr="008B2DDA">
        <w:t xml:space="preserve">Les </w:t>
      </w:r>
      <w:r w:rsidR="005C22F0" w:rsidRPr="008B2DDA">
        <w:t>États</w:t>
      </w:r>
      <w:r w:rsidR="00D67EA4" w:rsidRPr="008B2DDA">
        <w:noBreakHyphen/>
      </w:r>
      <w:r w:rsidR="005C22F0" w:rsidRPr="008B2DDA">
        <w:t xml:space="preserve">Unis </w:t>
      </w:r>
      <w:r w:rsidR="00E26A2C" w:rsidRPr="008B2DDA">
        <w:t>d’Amérique</w:t>
      </w:r>
      <w:r w:rsidR="005C22F0" w:rsidRPr="008B2DDA">
        <w:t xml:space="preserve"> </w:t>
      </w:r>
      <w:r w:rsidR="00725581" w:rsidRPr="008B2DDA">
        <w:t>n</w:t>
      </w:r>
      <w:r w:rsidR="00A341C2" w:rsidRPr="008B2DDA">
        <w:t>’</w:t>
      </w:r>
      <w:r w:rsidR="00725581" w:rsidRPr="008B2DDA">
        <w:t>approuvent</w:t>
      </w:r>
      <w:r w:rsidR="00BE34D2" w:rsidRPr="008B2DDA">
        <w:t xml:space="preserve"> pas l</w:t>
      </w:r>
      <w:r w:rsidR="00A341C2" w:rsidRPr="008B2DDA">
        <w:t>’</w:t>
      </w:r>
      <w:r w:rsidR="00725581" w:rsidRPr="008B2DDA">
        <w:t>article </w:t>
      </w:r>
      <w:r w:rsidR="00BE34D2" w:rsidRPr="008B2DDA">
        <w:t xml:space="preserve">12. </w:t>
      </w:r>
      <w:r w:rsidR="00725581" w:rsidRPr="008B2DDA">
        <w:t xml:space="preserve"> </w:t>
      </w:r>
      <w:r w:rsidR="00BE34D2" w:rsidRPr="008B2DDA">
        <w:t xml:space="preserve">Si un terme est générique de fait dans une partie contractante, il </w:t>
      </w:r>
      <w:r w:rsidR="00F35C10" w:rsidRPr="008B2DDA">
        <w:t>doit</w:t>
      </w:r>
      <w:r w:rsidR="00BE34D2" w:rsidRPr="008B2DDA">
        <w:t xml:space="preserve"> pouvoir être considéré comme générique </w:t>
      </w:r>
      <w:r w:rsidR="00F35C10" w:rsidRPr="008B2DDA">
        <w:t>du point de vue juridique</w:t>
      </w:r>
      <w:r w:rsidR="00BE34D2" w:rsidRPr="008B2DDA">
        <w:t xml:space="preserve">. </w:t>
      </w:r>
      <w:r w:rsidR="00F35C10" w:rsidRPr="008B2DDA">
        <w:t xml:space="preserve"> </w:t>
      </w:r>
      <w:r w:rsidR="00BE34D2" w:rsidRPr="008B2DDA">
        <w:t>L</w:t>
      </w:r>
      <w:r w:rsidR="00A341C2" w:rsidRPr="008B2DDA">
        <w:t>’</w:t>
      </w:r>
      <w:r w:rsidR="00F35C10" w:rsidRPr="008B2DDA">
        <w:t>article </w:t>
      </w:r>
      <w:r w:rsidR="00BE34D2" w:rsidRPr="008B2DDA">
        <w:t xml:space="preserve">12 est en </w:t>
      </w:r>
      <w:r w:rsidR="00F35C10" w:rsidRPr="008B2DDA">
        <w:t>contradiction</w:t>
      </w:r>
      <w:r w:rsidR="00BE34D2" w:rsidRPr="008B2DDA">
        <w:t xml:space="preserve"> avec le principe de territorialité, car il </w:t>
      </w:r>
      <w:r w:rsidR="00F35C10" w:rsidRPr="008B2DDA">
        <w:t>laisse entendre</w:t>
      </w:r>
      <w:r w:rsidR="00BE34D2" w:rsidRPr="008B2DDA">
        <w:t xml:space="preserve"> que </w:t>
      </w:r>
      <w:r w:rsidR="00F35C10" w:rsidRPr="008B2DDA">
        <w:t>la protection dans le pays d</w:t>
      </w:r>
      <w:r w:rsidR="00A341C2" w:rsidRPr="008B2DDA">
        <w:t>’</w:t>
      </w:r>
      <w:r w:rsidR="00F35C10" w:rsidRPr="008B2DDA">
        <w:t>origine</w:t>
      </w:r>
      <w:r w:rsidR="00BE34D2" w:rsidRPr="008B2DDA">
        <w:t xml:space="preserve"> </w:t>
      </w:r>
      <w:r w:rsidR="00F35C10" w:rsidRPr="008B2DDA">
        <w:t>doit</w:t>
      </w:r>
      <w:r w:rsidR="00BE34D2" w:rsidRPr="008B2DDA">
        <w:t xml:space="preserve"> </w:t>
      </w:r>
      <w:r w:rsidR="00B0335B" w:rsidRPr="008B2DDA">
        <w:t>déterminer</w:t>
      </w:r>
      <w:r w:rsidR="00BE34D2" w:rsidRPr="008B2DDA">
        <w:t xml:space="preserve"> la protection dans tous les </w:t>
      </w:r>
      <w:r w:rsidR="00B0335B" w:rsidRPr="008B2DDA">
        <w:t>États parties à</w:t>
      </w:r>
      <w:r w:rsidR="00BE34D2" w:rsidRPr="008B2DDA">
        <w:t xml:space="preserve"> </w:t>
      </w:r>
      <w:r w:rsidR="00F35C10" w:rsidRPr="008B2DDA">
        <w:t>l</w:t>
      </w:r>
      <w:r w:rsidR="00A341C2" w:rsidRPr="008B2DDA">
        <w:t>’</w:t>
      </w:r>
      <w:r w:rsidR="00F35C10" w:rsidRPr="008B2DDA">
        <w:t>Arrangemen</w:t>
      </w:r>
      <w:r w:rsidR="00B0335B" w:rsidRPr="008B2DDA">
        <w:t>t</w:t>
      </w:r>
      <w:r w:rsidR="00F35C10" w:rsidRPr="008B2DDA">
        <w:t xml:space="preserve"> de </w:t>
      </w:r>
      <w:r w:rsidR="00BE34D2" w:rsidRPr="008B2DDA">
        <w:t xml:space="preserve">Lisbonne, même si </w:t>
      </w:r>
      <w:r w:rsidR="002A2C00" w:rsidRPr="008B2DDA">
        <w:t xml:space="preserve">la réalité laisse </w:t>
      </w:r>
      <w:r w:rsidR="00F35C10" w:rsidRPr="008B2DDA">
        <w:t>à penser</w:t>
      </w:r>
      <w:r w:rsidR="00BE34D2" w:rsidRPr="008B2DDA">
        <w:t xml:space="preserve"> que le terme est devenu générique. </w:t>
      </w:r>
      <w:r w:rsidR="00F35C10" w:rsidRPr="008B2DDA">
        <w:t xml:space="preserve"> </w:t>
      </w:r>
      <w:r w:rsidR="00BE34D2" w:rsidRPr="008B2DDA">
        <w:t>L</w:t>
      </w:r>
      <w:r w:rsidR="00A341C2" w:rsidRPr="008B2DDA">
        <w:t>’</w:t>
      </w:r>
      <w:r w:rsidR="00F35C10" w:rsidRPr="008B2DDA">
        <w:t>article </w:t>
      </w:r>
      <w:r w:rsidR="00BE34D2" w:rsidRPr="008B2DDA">
        <w:t xml:space="preserve">12 exige que </w:t>
      </w:r>
      <w:r w:rsidR="002A2C00" w:rsidRPr="008B2DDA">
        <w:t>la présomption d</w:t>
      </w:r>
      <w:r w:rsidR="00A341C2" w:rsidRPr="008B2DDA">
        <w:t>’</w:t>
      </w:r>
      <w:r w:rsidR="00AB2EF0" w:rsidRPr="008B2DDA">
        <w:t>indication géographique</w:t>
      </w:r>
      <w:r w:rsidR="002A2C00" w:rsidRPr="008B2DDA">
        <w:t xml:space="preserve"> – </w:t>
      </w:r>
      <w:r w:rsidR="00BE34D2" w:rsidRPr="008B2DDA">
        <w:t xml:space="preserve">une </w:t>
      </w:r>
      <w:r w:rsidR="00AB2EF0" w:rsidRPr="008B2DDA">
        <w:t>indication géographique</w:t>
      </w:r>
      <w:r w:rsidR="00BE34D2" w:rsidRPr="008B2DDA">
        <w:t xml:space="preserve"> protégée dans le pays d</w:t>
      </w:r>
      <w:r w:rsidR="00A341C2" w:rsidRPr="008B2DDA">
        <w:t>’</w:t>
      </w:r>
      <w:r w:rsidR="00BE34D2" w:rsidRPr="008B2DDA">
        <w:t>origine est un</w:t>
      </w:r>
      <w:r w:rsidR="00F35C10" w:rsidRPr="008B2DDA">
        <w:t xml:space="preserve">e </w:t>
      </w:r>
      <w:r w:rsidR="00AB2EF0" w:rsidRPr="008B2DDA">
        <w:t>indication géographique</w:t>
      </w:r>
      <w:r w:rsidR="00BE34D2" w:rsidRPr="008B2DDA">
        <w:t xml:space="preserve"> partout sauf preuve </w:t>
      </w:r>
      <w:r w:rsidR="002A2C00" w:rsidRPr="008B2DDA">
        <w:t xml:space="preserve">de son caractère </w:t>
      </w:r>
      <w:r w:rsidR="00BE34D2" w:rsidRPr="008B2DDA">
        <w:t xml:space="preserve">générique au moment de </w:t>
      </w:r>
      <w:r w:rsidR="00F35C10" w:rsidRPr="008B2DDA">
        <w:t>l</w:t>
      </w:r>
      <w:r w:rsidR="00A341C2" w:rsidRPr="008B2DDA">
        <w:t>’</w:t>
      </w:r>
      <w:r w:rsidR="00F35C10" w:rsidRPr="008B2DDA">
        <w:t>enregistrement</w:t>
      </w:r>
      <w:r w:rsidR="00BE34D2" w:rsidRPr="008B2DDA">
        <w:t xml:space="preserve"> </w:t>
      </w:r>
      <w:r w:rsidR="002A2C00" w:rsidRPr="008B2DDA">
        <w:t>–</w:t>
      </w:r>
      <w:r w:rsidR="00BE34D2" w:rsidRPr="008B2DDA">
        <w:t xml:space="preserve"> </w:t>
      </w:r>
      <w:r w:rsidR="002A2C00" w:rsidRPr="008B2DDA">
        <w:t>soit</w:t>
      </w:r>
      <w:r w:rsidR="00BE34D2" w:rsidRPr="008B2DDA">
        <w:t xml:space="preserve"> devenue définitive et ne </w:t>
      </w:r>
      <w:r w:rsidR="002A2C00" w:rsidRPr="008B2DDA">
        <w:t>puisse</w:t>
      </w:r>
      <w:r w:rsidR="00BE34D2" w:rsidRPr="008B2DDA">
        <w:t xml:space="preserve"> plus être écartée même si les conditions dans </w:t>
      </w:r>
      <w:r w:rsidR="002A2C00" w:rsidRPr="008B2DDA">
        <w:t>le</w:t>
      </w:r>
      <w:r w:rsidR="00BE34D2" w:rsidRPr="008B2DDA">
        <w:t xml:space="preserve"> pays </w:t>
      </w:r>
      <w:r w:rsidR="002A2C00" w:rsidRPr="008B2DDA">
        <w:t xml:space="preserve">bénéficiaire évoluent </w:t>
      </w:r>
      <w:r w:rsidR="00BE34D2" w:rsidRPr="008B2DDA">
        <w:t>dans le temps.</w:t>
      </w:r>
    </w:p>
    <w:p w14:paraId="01CBC54B" w14:textId="04994248" w:rsidR="007079A8" w:rsidRPr="008B2DDA" w:rsidRDefault="00BE34D2" w:rsidP="008B2DDA">
      <w:pPr>
        <w:pStyle w:val="ONUMFS"/>
        <w:numPr>
          <w:ilvl w:val="0"/>
          <w:numId w:val="0"/>
        </w:numPr>
      </w:pPr>
      <w:r w:rsidRPr="008B2DDA">
        <w:t>L</w:t>
      </w:r>
      <w:r w:rsidR="00A341C2" w:rsidRPr="008B2DDA">
        <w:t>’</w:t>
      </w:r>
      <w:r w:rsidR="00F35C10" w:rsidRPr="008B2DDA">
        <w:t>article </w:t>
      </w:r>
      <w:r w:rsidRPr="008B2DDA">
        <w:t xml:space="preserve">12 empêche également </w:t>
      </w:r>
      <w:r w:rsidR="002A2C00" w:rsidRPr="008B2DDA">
        <w:t xml:space="preserve">les </w:t>
      </w:r>
      <w:r w:rsidRPr="008B2DDA">
        <w:t xml:space="preserve">parties contractantes </w:t>
      </w:r>
      <w:r w:rsidR="002A2C00" w:rsidRPr="008B2DDA">
        <w:t xml:space="preserve">de pouvoir </w:t>
      </w:r>
      <w:r w:rsidRPr="008B2DDA">
        <w:t>exiger l</w:t>
      </w:r>
      <w:r w:rsidR="00A341C2" w:rsidRPr="008B2DDA">
        <w:t>’</w:t>
      </w:r>
      <w:r w:rsidRPr="008B2DDA">
        <w:t>utilisation de l</w:t>
      </w:r>
      <w:r w:rsidR="00A341C2" w:rsidRPr="008B2DDA">
        <w:t>’</w:t>
      </w:r>
      <w:r w:rsidR="00AB2EF0" w:rsidRPr="008B2DDA">
        <w:t>indication géographique</w:t>
      </w:r>
      <w:r w:rsidRPr="008B2DDA">
        <w:t xml:space="preserve"> </w:t>
      </w:r>
      <w:r w:rsidR="00E05262" w:rsidRPr="008B2DDA">
        <w:t>à des fins commerciales</w:t>
      </w:r>
      <w:r w:rsidRPr="008B2DDA">
        <w:t xml:space="preserve"> </w:t>
      </w:r>
      <w:r w:rsidR="002A2C00" w:rsidRPr="008B2DDA">
        <w:t>comme</w:t>
      </w:r>
      <w:r w:rsidRPr="008B2DDA">
        <w:t xml:space="preserve"> condition </w:t>
      </w:r>
      <w:r w:rsidR="002A2C00" w:rsidRPr="008B2DDA">
        <w:t>du maintien du</w:t>
      </w:r>
      <w:r w:rsidRPr="008B2DDA">
        <w:t xml:space="preserve"> droit ou </w:t>
      </w:r>
      <w:r w:rsidR="002A2C00" w:rsidRPr="008B2DDA">
        <w:t xml:space="preserve">de pouvoir </w:t>
      </w:r>
      <w:r w:rsidRPr="008B2DDA">
        <w:t>exiger des mesures d</w:t>
      </w:r>
      <w:r w:rsidR="00A341C2" w:rsidRPr="008B2DDA">
        <w:t>’</w:t>
      </w:r>
      <w:r w:rsidRPr="008B2DDA">
        <w:t xml:space="preserve">application appropriées </w:t>
      </w:r>
      <w:r w:rsidR="002A2C00" w:rsidRPr="008B2DDA">
        <w:t>à l</w:t>
      </w:r>
      <w:r w:rsidR="00A341C2" w:rsidRPr="008B2DDA">
        <w:t>’</w:t>
      </w:r>
      <w:r w:rsidR="002A2C00" w:rsidRPr="008B2DDA">
        <w:t>encontre de</w:t>
      </w:r>
      <w:r w:rsidRPr="008B2DDA">
        <w:t xml:space="preserve"> tiers non autorisés.</w:t>
      </w:r>
      <w:r w:rsidR="002A2C00" w:rsidRPr="008B2DDA">
        <w:t xml:space="preserve"> </w:t>
      </w:r>
      <w:r w:rsidRPr="008B2DDA">
        <w:t xml:space="preserve"> Pour </w:t>
      </w:r>
      <w:r w:rsidR="00606BD0" w:rsidRPr="008B2DDA">
        <w:t>apporter de la</w:t>
      </w:r>
      <w:r w:rsidRPr="008B2DDA">
        <w:t xml:space="preserve"> souplesse </w:t>
      </w:r>
      <w:r w:rsidR="00606BD0" w:rsidRPr="008B2DDA">
        <w:t>aux</w:t>
      </w:r>
      <w:r w:rsidRPr="008B2DDA">
        <w:t xml:space="preserve"> sys</w:t>
      </w:r>
      <w:r w:rsidR="00606BD0" w:rsidRPr="008B2DDA">
        <w:t>tèmes de marques ou systèmes d</w:t>
      </w:r>
      <w:r w:rsidR="00A341C2" w:rsidRPr="008B2DDA">
        <w:t>’</w:t>
      </w:r>
      <w:r w:rsidR="00AB2EF0" w:rsidRPr="008B2DDA">
        <w:t>indications géographiques</w:t>
      </w:r>
      <w:r w:rsidRPr="008B2DDA">
        <w:t xml:space="preserve"> qui nécessitent l</w:t>
      </w:r>
      <w:r w:rsidR="00A341C2" w:rsidRPr="008B2DDA">
        <w:t>’</w:t>
      </w:r>
      <w:r w:rsidRPr="008B2DDA">
        <w:t>utilisation et l</w:t>
      </w:r>
      <w:r w:rsidR="00A341C2" w:rsidRPr="008B2DDA">
        <w:t>’</w:t>
      </w:r>
      <w:r w:rsidRPr="008B2DDA">
        <w:t xml:space="preserve">application de </w:t>
      </w:r>
      <w:r w:rsidR="00606BD0" w:rsidRPr="008B2DDA">
        <w:t>l</w:t>
      </w:r>
      <w:r w:rsidR="00A341C2" w:rsidRPr="008B2DDA">
        <w:t>’</w:t>
      </w:r>
      <w:r w:rsidR="00AB2EF0" w:rsidRPr="008B2DDA">
        <w:t>indication géographique</w:t>
      </w:r>
      <w:r w:rsidRPr="008B2DDA">
        <w:t xml:space="preserve"> comme condition de protection continue, si l</w:t>
      </w:r>
      <w:r w:rsidR="00A341C2" w:rsidRPr="008B2DDA">
        <w:t>’</w:t>
      </w:r>
      <w:r w:rsidRPr="008B2DDA">
        <w:t>ar</w:t>
      </w:r>
      <w:r w:rsidR="002A2C00" w:rsidRPr="008B2DDA">
        <w:t>ticle </w:t>
      </w:r>
      <w:r w:rsidRPr="008B2DDA">
        <w:t xml:space="preserve">12 </w:t>
      </w:r>
      <w:r w:rsidR="00606BD0" w:rsidRPr="008B2DDA">
        <w:t>demeure</w:t>
      </w:r>
      <w:r w:rsidRPr="008B2DDA">
        <w:t>, le texte entre crochets à la fin du paragraphe</w:t>
      </w:r>
      <w:r w:rsidR="002A2C00" w:rsidRPr="008B2DDA">
        <w:t xml:space="preserve">, </w:t>
      </w:r>
      <w:r w:rsidR="00A341C2" w:rsidRPr="008B2DDA">
        <w:t>à savoir</w:t>
      </w:r>
      <w:r w:rsidR="00524999" w:rsidRPr="008B2DDA">
        <w:t xml:space="preserve"> </w:t>
      </w:r>
      <w:r w:rsidR="00E26A2C" w:rsidRPr="008B2DDA">
        <w:t>“</w:t>
      </w:r>
      <w:r w:rsidR="002A2C00" w:rsidRPr="008B2DDA">
        <w:t>et que les exigences de la législation nationale ou régionale dans la partie contractante concernée en matière d</w:t>
      </w:r>
      <w:r w:rsidR="00A341C2" w:rsidRPr="008B2DDA">
        <w:t>’</w:t>
      </w:r>
      <w:r w:rsidR="002A2C00" w:rsidRPr="008B2DDA">
        <w:t>utilisation, de maintien en vigueur et de renouvellement sont observées</w:t>
      </w:r>
      <w:r w:rsidR="00E26A2C" w:rsidRPr="008B2DDA">
        <w:t>”</w:t>
      </w:r>
      <w:r w:rsidR="002A2C00" w:rsidRPr="008B2DDA">
        <w:t>, doit être conservé</w:t>
      </w:r>
      <w:r w:rsidRPr="008B2DDA">
        <w:t>.</w:t>
      </w:r>
      <w:r w:rsidR="002A2C00" w:rsidRPr="008B2DDA">
        <w:t xml:space="preserve"> </w:t>
      </w:r>
      <w:r w:rsidRPr="008B2DDA">
        <w:t xml:space="preserve"> En outre, nous </w:t>
      </w:r>
      <w:r w:rsidR="00606BD0" w:rsidRPr="008B2DDA">
        <w:t>approuvons également le maintien du passage de l</w:t>
      </w:r>
      <w:r w:rsidR="00A341C2" w:rsidRPr="008B2DDA">
        <w:t>’</w:t>
      </w:r>
      <w:r w:rsidR="00606BD0" w:rsidRPr="008B2DDA">
        <w:t xml:space="preserve">article 12 </w:t>
      </w:r>
      <w:r w:rsidRPr="008B2DDA">
        <w:t xml:space="preserve">entre crochets </w:t>
      </w:r>
      <w:r w:rsidR="00606BD0" w:rsidRPr="008B2DDA">
        <w:t xml:space="preserve">– </w:t>
      </w:r>
      <w:r w:rsidR="00E26A2C" w:rsidRPr="008B2DDA">
        <w:t>“</w:t>
      </w:r>
      <w:r w:rsidRPr="008B2DDA">
        <w:t>[</w:t>
      </w:r>
      <w:r w:rsidR="00606BD0" w:rsidRPr="008B2DDA">
        <w:t>la dénomination constituant</w:t>
      </w:r>
      <w:r w:rsidRPr="008B2DDA">
        <w:t>]</w:t>
      </w:r>
      <w:r w:rsidR="00E26A2C" w:rsidRPr="008B2DDA">
        <w:t>”</w:t>
      </w:r>
      <w:r w:rsidRPr="008B2DDA">
        <w:t xml:space="preserve"> et </w:t>
      </w:r>
      <w:r w:rsidR="00E26A2C" w:rsidRPr="008B2DDA">
        <w:t>“</w:t>
      </w:r>
      <w:r w:rsidRPr="008B2DDA">
        <w:t>[l</w:t>
      </w:r>
      <w:r w:rsidR="00A341C2" w:rsidRPr="008B2DDA">
        <w:t>’</w:t>
      </w:r>
      <w:r w:rsidRPr="008B2DDA">
        <w:t>indication constituant]</w:t>
      </w:r>
      <w:r w:rsidR="00E26A2C" w:rsidRPr="008B2DDA">
        <w:t>”</w:t>
      </w:r>
      <w:r w:rsidR="00A341C2" w:rsidRPr="008B2DDA">
        <w:t xml:space="preserve"> – </w:t>
      </w:r>
      <w:r w:rsidRPr="008B2DDA">
        <w:t xml:space="preserve">pour </w:t>
      </w:r>
      <w:r w:rsidR="00606BD0" w:rsidRPr="008B2DDA">
        <w:t>faire apparaître clairement que le fait qu</w:t>
      </w:r>
      <w:r w:rsidR="00A341C2" w:rsidRPr="008B2DDA">
        <w:t>’</w:t>
      </w:r>
      <w:r w:rsidR="00606BD0" w:rsidRPr="008B2DDA">
        <w:t>une dénomination/</w:t>
      </w:r>
      <w:r w:rsidRPr="008B2DDA">
        <w:t xml:space="preserve">indication </w:t>
      </w:r>
      <w:r w:rsidR="00606BD0" w:rsidRPr="008B2DDA">
        <w:t>soit</w:t>
      </w:r>
      <w:r w:rsidRPr="008B2DDA">
        <w:t xml:space="preserve"> </w:t>
      </w:r>
      <w:r w:rsidR="00606BD0" w:rsidRPr="008B2DDA">
        <w:t xml:space="preserve">une </w:t>
      </w:r>
      <w:r w:rsidR="00AB2EF0" w:rsidRPr="008B2DDA">
        <w:t>indication géographique</w:t>
      </w:r>
      <w:r w:rsidRPr="008B2DDA">
        <w:t xml:space="preserve"> est une question de </w:t>
      </w:r>
      <w:r w:rsidR="00606BD0" w:rsidRPr="008B2DDA">
        <w:t xml:space="preserve">loi </w:t>
      </w:r>
      <w:r w:rsidRPr="008B2DDA">
        <w:t xml:space="preserve">nationale et </w:t>
      </w:r>
      <w:r w:rsidR="00606BD0" w:rsidRPr="008B2DDA">
        <w:t>de</w:t>
      </w:r>
      <w:r w:rsidRPr="008B2DDA">
        <w:t xml:space="preserve"> situation de fait dans une partie contractante, même si nous avons quelques suggestions rédactionnelles pour </w:t>
      </w:r>
      <w:r w:rsidR="00606BD0" w:rsidRPr="008B2DDA">
        <w:t>améliorer la construction logique de</w:t>
      </w:r>
      <w:r w:rsidRPr="008B2DDA">
        <w:t xml:space="preserve"> cette disposition. </w:t>
      </w:r>
      <w:r w:rsidR="00606BD0" w:rsidRPr="008B2DDA">
        <w:t xml:space="preserve"> Ces dénominations</w:t>
      </w:r>
      <w:r w:rsidR="00E85C66" w:rsidRPr="008B2DDA">
        <w:t xml:space="preserve"> ou </w:t>
      </w:r>
      <w:r w:rsidRPr="008B2DDA">
        <w:t xml:space="preserve">indications ne sont pas </w:t>
      </w:r>
      <w:r w:rsidR="00606BD0" w:rsidRPr="008B2DDA">
        <w:t xml:space="preserve">des </w:t>
      </w:r>
      <w:r w:rsidR="00E26A2C" w:rsidRPr="008B2DDA">
        <w:t>“</w:t>
      </w:r>
      <w:r w:rsidRPr="008B2DDA">
        <w:t>appellation</w:t>
      </w:r>
      <w:r w:rsidR="00606BD0" w:rsidRPr="008B2DDA">
        <w:t>s</w:t>
      </w:r>
      <w:r w:rsidRPr="008B2DDA">
        <w:t xml:space="preserve"> d</w:t>
      </w:r>
      <w:r w:rsidR="00A341C2" w:rsidRPr="008B2DDA">
        <w:t>’</w:t>
      </w:r>
      <w:r w:rsidRPr="008B2DDA">
        <w:t>origine</w:t>
      </w:r>
      <w:r w:rsidR="00E26A2C" w:rsidRPr="008B2DDA">
        <w:t>”</w:t>
      </w:r>
      <w:r w:rsidRPr="008B2DDA">
        <w:t xml:space="preserve"> ou </w:t>
      </w:r>
      <w:r w:rsidR="00E26A2C" w:rsidRPr="008B2DDA">
        <w:t>“</w:t>
      </w:r>
      <w:r w:rsidRPr="008B2DDA">
        <w:t>indications géographiques</w:t>
      </w:r>
      <w:r w:rsidR="002C0DC4" w:rsidRPr="008B2DDA">
        <w:t xml:space="preserve">” </w:t>
      </w:r>
      <w:r w:rsidR="00606BD0" w:rsidRPr="008B2DDA">
        <w:t>protégées</w:t>
      </w:r>
      <w:r w:rsidRPr="008B2DDA">
        <w:t xml:space="preserve"> </w:t>
      </w:r>
      <w:r w:rsidR="00A6772B" w:rsidRPr="008B2DDA">
        <w:t>tant que ces signes ne respectent</w:t>
      </w:r>
      <w:r w:rsidRPr="008B2DDA">
        <w:t xml:space="preserve"> </w:t>
      </w:r>
      <w:r w:rsidR="00A6772B" w:rsidRPr="008B2DDA">
        <w:t xml:space="preserve">pas </w:t>
      </w:r>
      <w:r w:rsidRPr="008B2DDA">
        <w:t xml:space="preserve">toutes les </w:t>
      </w:r>
      <w:r w:rsidR="00A6772B" w:rsidRPr="008B2DDA">
        <w:t>exigences en matière</w:t>
      </w:r>
      <w:r w:rsidRPr="008B2DDA">
        <w:t xml:space="preserve"> de droit national </w:t>
      </w:r>
      <w:r w:rsidR="00A6772B" w:rsidRPr="008B2DDA">
        <w:t xml:space="preserve">pour </w:t>
      </w:r>
      <w:r w:rsidRPr="008B2DDA">
        <w:t>être considéré</w:t>
      </w:r>
      <w:r w:rsidR="00A6772B" w:rsidRPr="008B2DDA">
        <w:t>es</w:t>
      </w:r>
      <w:r w:rsidRPr="008B2DDA">
        <w:t xml:space="preserve"> comme un droit de propriété privée protégeable sur ce territoire.</w:t>
      </w:r>
    </w:p>
    <w:p w14:paraId="015C7523" w14:textId="17F54A90" w:rsidR="007079A8" w:rsidRPr="008B2DDA" w:rsidRDefault="001F705D" w:rsidP="008B2DDA">
      <w:pPr>
        <w:pStyle w:val="ONUMFS"/>
        <w:numPr>
          <w:ilvl w:val="0"/>
          <w:numId w:val="0"/>
        </w:numPr>
      </w:pPr>
      <w:hyperlink w:anchor="Rule_5_5" w:history="1">
        <w:r w:rsidR="003848D2" w:rsidRPr="00450AF4">
          <w:rPr>
            <w:rStyle w:val="Hyperlink"/>
            <w:b/>
          </w:rPr>
          <w:t>Règle </w:t>
        </w:r>
        <w:r w:rsidR="00191085" w:rsidRPr="00450AF4">
          <w:rPr>
            <w:rStyle w:val="Hyperlink"/>
            <w:b/>
          </w:rPr>
          <w:t>5</w:t>
        </w:r>
        <w:r w:rsidR="002172A3" w:rsidRPr="00450AF4">
          <w:rPr>
            <w:rStyle w:val="Hyperlink"/>
            <w:b/>
          </w:rPr>
          <w:t>.</w:t>
        </w:r>
        <w:r w:rsidR="00311638" w:rsidRPr="00450AF4">
          <w:rPr>
            <w:rStyle w:val="Hyperlink"/>
            <w:b/>
          </w:rPr>
          <w:t>5)</w:t>
        </w:r>
      </w:hyperlink>
      <w:r w:rsidR="002172A3" w:rsidRPr="00450AF4">
        <w:rPr>
          <w:rStyle w:val="Hyperlink"/>
          <w:b/>
          <w:color w:val="auto"/>
          <w:u w:val="none"/>
        </w:rPr>
        <w:t xml:space="preserve"> </w:t>
      </w:r>
      <w:r w:rsidR="003848D2" w:rsidRPr="008B2DDA">
        <w:rPr>
          <w:rStyle w:val="Hyperlink"/>
          <w:b/>
          <w:color w:val="auto"/>
          <w:u w:val="none"/>
        </w:rPr>
        <w:t>Transparence</w:t>
      </w:r>
      <w:r w:rsidR="00D67EA4" w:rsidRPr="008B2DDA">
        <w:rPr>
          <w:rStyle w:val="Hyperlink"/>
          <w:b/>
          <w:color w:val="auto"/>
          <w:u w:val="none"/>
        </w:rPr>
        <w:t>:</w:t>
      </w:r>
      <w:r w:rsidR="00191085" w:rsidRPr="008B2DDA">
        <w:rPr>
          <w:rStyle w:val="Hyperlink"/>
          <w:color w:val="auto"/>
          <w:u w:val="none"/>
        </w:rPr>
        <w:t xml:space="preserve"> </w:t>
      </w:r>
      <w:r w:rsidR="00BE34D2" w:rsidRPr="008B2DDA">
        <w:t xml:space="preserve">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A6772B" w:rsidRPr="008B2DDA">
        <w:t>approuvent</w:t>
      </w:r>
      <w:r w:rsidR="00BE34D2" w:rsidRPr="008B2DDA">
        <w:t xml:space="preserve"> la variante A de </w:t>
      </w:r>
      <w:r w:rsidR="00A6772B" w:rsidRPr="008B2DDA">
        <w:t>la règle 5.</w:t>
      </w:r>
      <w:r w:rsidR="00BE34D2" w:rsidRPr="008B2DDA">
        <w:t xml:space="preserve">5) exigeant </w:t>
      </w:r>
      <w:r w:rsidR="004203E6" w:rsidRPr="008B2DDA">
        <w:t>que la demande indique</w:t>
      </w:r>
      <w:r w:rsidR="00BE34D2" w:rsidRPr="008B2DDA">
        <w:t xml:space="preserve"> si l</w:t>
      </w:r>
      <w:r w:rsidR="00A341C2" w:rsidRPr="008B2DDA">
        <w:t>’</w:t>
      </w:r>
      <w:r w:rsidR="00BE34D2" w:rsidRPr="008B2DDA">
        <w:t>instrument de protection dans le pays d</w:t>
      </w:r>
      <w:r w:rsidR="00A341C2" w:rsidRPr="008B2DDA">
        <w:t>’</w:t>
      </w:r>
      <w:r w:rsidR="00BE34D2" w:rsidRPr="008B2DDA">
        <w:t xml:space="preserve">origine ne protège pas un terme générique dans </w:t>
      </w:r>
      <w:r w:rsidR="00A6772B" w:rsidRPr="008B2DDA">
        <w:t xml:space="preserve">une </w:t>
      </w:r>
      <w:r w:rsidR="00AB2EF0" w:rsidRPr="008B2DDA">
        <w:t>indication géographique</w:t>
      </w:r>
      <w:r w:rsidR="00A6772B" w:rsidRPr="008B2DDA">
        <w:t xml:space="preserve"> composée</w:t>
      </w:r>
      <w:r w:rsidR="00BE34D2" w:rsidRPr="008B2DDA">
        <w:t xml:space="preserve"> en dehors de </w:t>
      </w:r>
      <w:r w:rsidR="00A6772B" w:rsidRPr="008B2DDA">
        <w:t>l</w:t>
      </w:r>
      <w:r w:rsidR="00A341C2" w:rsidRPr="008B2DDA">
        <w:t>’</w:t>
      </w:r>
      <w:r w:rsidR="00AB2EF0" w:rsidRPr="008B2DDA">
        <w:t>indication géographique</w:t>
      </w:r>
      <w:r w:rsidR="00BE34D2" w:rsidRPr="008B2DDA">
        <w:t xml:space="preserve"> dans son ensemble. </w:t>
      </w:r>
      <w:r w:rsidR="00A6772B" w:rsidRPr="008B2DDA">
        <w:t xml:space="preserve"> </w:t>
      </w:r>
      <w:r w:rsidR="00BE34D2" w:rsidRPr="008B2DDA">
        <w:t>L</w:t>
      </w:r>
      <w:r w:rsidR="00A341C2" w:rsidRPr="008B2DDA">
        <w:t>’</w:t>
      </w:r>
      <w:r w:rsidR="00BE34D2" w:rsidRPr="008B2DDA">
        <w:t xml:space="preserve">inclusion de cette information </w:t>
      </w:r>
      <w:r w:rsidR="007D1968" w:rsidRPr="008B2DDA">
        <w:t>aide les parties contractantes à déterminer</w:t>
      </w:r>
      <w:r w:rsidR="00BE34D2" w:rsidRPr="008B2DDA">
        <w:t xml:space="preserve"> comment traiter </w:t>
      </w:r>
      <w:r w:rsidR="00A6772B" w:rsidRPr="008B2DDA">
        <w:t>l</w:t>
      </w:r>
      <w:r w:rsidR="00A341C2" w:rsidRPr="008B2DDA">
        <w:t>’</w:t>
      </w:r>
      <w:r w:rsidR="00A6772B" w:rsidRPr="008B2DDA">
        <w:t>élément ayant un caractère générique</w:t>
      </w:r>
      <w:r w:rsidR="00BE34D2" w:rsidRPr="008B2DDA">
        <w:t xml:space="preserve"> </w:t>
      </w:r>
      <w:r w:rsidR="00A6772B" w:rsidRPr="008B2DDA">
        <w:t>sur</w:t>
      </w:r>
      <w:r w:rsidR="00BE34D2" w:rsidRPr="008B2DDA">
        <w:t xml:space="preserve"> leurs territoires respectifs, et favorise la transparence au sein du système.</w:t>
      </w:r>
    </w:p>
    <w:p w14:paraId="53067D9B" w14:textId="39E051D6" w:rsidR="007079A8" w:rsidRPr="008B2DDA" w:rsidRDefault="00485AA3" w:rsidP="008B2DDA">
      <w:pPr>
        <w:pStyle w:val="Heading3"/>
        <w:rPr>
          <w:b/>
          <w:szCs w:val="22"/>
        </w:rPr>
      </w:pPr>
      <w:r w:rsidRPr="008B2DDA">
        <w:rPr>
          <w:b/>
          <w:szCs w:val="22"/>
        </w:rPr>
        <w:lastRenderedPageBreak/>
        <w:t>Deuxième principe </w:t>
      </w:r>
      <w:r w:rsidR="0074170A" w:rsidRPr="008B2DDA">
        <w:rPr>
          <w:b/>
          <w:szCs w:val="22"/>
        </w:rPr>
        <w:t xml:space="preserve">: </w:t>
      </w:r>
      <w:r w:rsidR="0080323D" w:rsidRPr="008B2DDA">
        <w:rPr>
          <w:b/>
          <w:szCs w:val="22"/>
        </w:rPr>
        <w:t>u</w:t>
      </w:r>
      <w:r w:rsidR="007D1968" w:rsidRPr="008B2DDA">
        <w:rPr>
          <w:b/>
          <w:szCs w:val="22"/>
        </w:rPr>
        <w:t>ne procédure régulière</w:t>
      </w:r>
    </w:p>
    <w:p w14:paraId="3B0D957E" w14:textId="77777777" w:rsidR="00471C17" w:rsidRPr="008B2DDA" w:rsidRDefault="00471C17" w:rsidP="008B2DDA"/>
    <w:p w14:paraId="193AD6FE" w14:textId="0983E4A9" w:rsidR="00BE34D2" w:rsidRPr="008B2DDA" w:rsidRDefault="00BE34D2" w:rsidP="008B2DDA">
      <w:pPr>
        <w:pStyle w:val="ONUMFS"/>
        <w:numPr>
          <w:ilvl w:val="0"/>
          <w:numId w:val="0"/>
        </w:numPr>
      </w:pPr>
      <w:r w:rsidRPr="008B2DDA">
        <w:t xml:space="preserve">Le texte prévoit que les gouvernements étrangers doivent être considérés comme des </w:t>
      </w:r>
      <w:r w:rsidR="0074170A" w:rsidRPr="008B2DDA">
        <w:t>déposants</w:t>
      </w:r>
      <w:r w:rsidRPr="008B2DDA">
        <w:t xml:space="preserve"> ou </w:t>
      </w:r>
      <w:r w:rsidR="00E26A2C" w:rsidRPr="008B2DDA">
        <w:t>“</w:t>
      </w:r>
      <w:r w:rsidRPr="008B2DDA">
        <w:t>parties intéressées</w:t>
      </w:r>
      <w:r w:rsidR="00E26A2C" w:rsidRPr="008B2DDA">
        <w:t>”</w:t>
      </w:r>
      <w:r w:rsidRPr="008B2DDA">
        <w:t xml:space="preserve"> </w:t>
      </w:r>
      <w:r w:rsidR="0074170A" w:rsidRPr="008B2DDA">
        <w:t>en matière de</w:t>
      </w:r>
      <w:r w:rsidR="00297234" w:rsidRPr="008B2DDA">
        <w:t xml:space="preserve"> demande</w:t>
      </w:r>
      <w:r w:rsidR="0074170A" w:rsidRPr="008B2DDA">
        <w:t>, d</w:t>
      </w:r>
      <w:r w:rsidR="00A341C2" w:rsidRPr="008B2DDA">
        <w:t>’</w:t>
      </w:r>
      <w:r w:rsidR="0074170A" w:rsidRPr="008B2DDA">
        <w:t>examen, d</w:t>
      </w:r>
      <w:r w:rsidR="00A341C2" w:rsidRPr="008B2DDA">
        <w:t>’</w:t>
      </w:r>
      <w:r w:rsidR="0074170A" w:rsidRPr="008B2DDA">
        <w:t>appel et d</w:t>
      </w:r>
      <w:r w:rsidR="00A341C2" w:rsidRPr="008B2DDA">
        <w:t>’</w:t>
      </w:r>
      <w:r w:rsidRPr="008B2DDA">
        <w:t xml:space="preserve">application de leurs </w:t>
      </w:r>
      <w:r w:rsidR="00AB2EF0" w:rsidRPr="008B2DDA">
        <w:t>indications géographiques</w:t>
      </w:r>
      <w:r w:rsidRPr="008B2DDA">
        <w:t xml:space="preserve"> sur le territoire </w:t>
      </w:r>
      <w:r w:rsidR="0074170A" w:rsidRPr="008B2DDA">
        <w:t>d</w:t>
      </w:r>
      <w:r w:rsidR="00A341C2" w:rsidRPr="008B2DDA">
        <w:t>’</w:t>
      </w:r>
      <w:r w:rsidR="0074170A" w:rsidRPr="008B2DDA">
        <w:t>une autre</w:t>
      </w:r>
      <w:r w:rsidRPr="008B2DDA">
        <w:t xml:space="preserve"> partie contractante. </w:t>
      </w:r>
      <w:r w:rsidR="00297234" w:rsidRPr="008B2DDA">
        <w:t xml:space="preserve"> </w:t>
      </w:r>
      <w:r w:rsidRPr="008B2DDA">
        <w:t xml:space="preserve">Si un gouvernement ou une entité gouvernementale est </w:t>
      </w:r>
      <w:r w:rsidR="00964FD2" w:rsidRPr="008B2DDA">
        <w:t>titulaire</w:t>
      </w:r>
      <w:r w:rsidRPr="008B2DDA">
        <w:t xml:space="preserve"> de l</w:t>
      </w:r>
      <w:r w:rsidR="00A341C2" w:rsidRPr="008B2DDA">
        <w:t>’</w:t>
      </w:r>
      <w:r w:rsidR="00AB2EF0" w:rsidRPr="008B2DDA">
        <w:t>indication géographique</w:t>
      </w:r>
      <w:r w:rsidRPr="008B2DDA">
        <w:t>, le</w:t>
      </w:r>
      <w:r w:rsidR="0074170A" w:rsidRPr="008B2DDA">
        <w:t>dit</w:t>
      </w:r>
      <w:r w:rsidRPr="008B2DDA">
        <w:t xml:space="preserve"> gouvernement est une partie intéressée. </w:t>
      </w:r>
      <w:r w:rsidR="00297234" w:rsidRPr="008B2DDA">
        <w:t xml:space="preserve"> </w:t>
      </w:r>
      <w:r w:rsidR="0074170A" w:rsidRPr="008B2DDA">
        <w:t>Cependant,</w:t>
      </w:r>
      <w:r w:rsidRPr="008B2DDA">
        <w:t xml:space="preserve"> si le </w:t>
      </w:r>
      <w:r w:rsidR="0074170A" w:rsidRPr="008B2DDA">
        <w:t xml:space="preserve">gouvernement du </w:t>
      </w:r>
      <w:r w:rsidRPr="008B2DDA">
        <w:t>pays d</w:t>
      </w:r>
      <w:r w:rsidR="00A341C2" w:rsidRPr="008B2DDA">
        <w:t>’</w:t>
      </w:r>
      <w:r w:rsidRPr="008B2DDA">
        <w:t xml:space="preserve">origine </w:t>
      </w:r>
      <w:r w:rsidR="00297234" w:rsidRPr="008B2DDA">
        <w:t>agit</w:t>
      </w:r>
      <w:r w:rsidRPr="008B2DDA">
        <w:t xml:space="preserve"> uniquement </w:t>
      </w:r>
      <w:r w:rsidR="0074170A" w:rsidRPr="008B2DDA">
        <w:t>en qualité d</w:t>
      </w:r>
      <w:r w:rsidR="00A341C2" w:rsidRPr="008B2DDA">
        <w:t>’</w:t>
      </w:r>
      <w:r w:rsidRPr="008B2DDA">
        <w:t>entité d</w:t>
      </w:r>
      <w:r w:rsidR="00A341C2" w:rsidRPr="008B2DDA">
        <w:t>’</w:t>
      </w:r>
      <w:r w:rsidRPr="008B2DDA">
        <w:t xml:space="preserve">enregistrement des </w:t>
      </w:r>
      <w:r w:rsidR="00AB2EF0" w:rsidRPr="008B2DDA">
        <w:t>indications géographiques</w:t>
      </w:r>
      <w:r w:rsidRPr="008B2DDA">
        <w:t xml:space="preserve">, </w:t>
      </w:r>
      <w:r w:rsidR="00297234" w:rsidRPr="008B2DDA">
        <w:t>il ne s</w:t>
      </w:r>
      <w:r w:rsidR="00A341C2" w:rsidRPr="008B2DDA">
        <w:t>’</w:t>
      </w:r>
      <w:r w:rsidR="00297234" w:rsidRPr="008B2DDA">
        <w:t>agit pas d</w:t>
      </w:r>
      <w:r w:rsidR="00A341C2" w:rsidRPr="008B2DDA">
        <w:t>’</w:t>
      </w:r>
      <w:r w:rsidRPr="008B2DDA">
        <w:t xml:space="preserve">une partie intéressée </w:t>
      </w:r>
      <w:r w:rsidR="0074170A" w:rsidRPr="008B2DDA">
        <w:t>en matière d</w:t>
      </w:r>
      <w:r w:rsidR="00A341C2" w:rsidRPr="008B2DDA">
        <w:t>’</w:t>
      </w:r>
      <w:r w:rsidRPr="008B2DDA">
        <w:t xml:space="preserve">acquisition et </w:t>
      </w:r>
      <w:r w:rsidR="0074170A" w:rsidRPr="008B2DDA">
        <w:t>d</w:t>
      </w:r>
      <w:r w:rsidR="00A341C2" w:rsidRPr="008B2DDA">
        <w:t>’</w:t>
      </w:r>
      <w:r w:rsidR="0074170A" w:rsidRPr="008B2DDA">
        <w:t>application</w:t>
      </w:r>
      <w:r w:rsidRPr="008B2DDA">
        <w:t xml:space="preserve"> des droits de propriété privée dans un autre pays. </w:t>
      </w:r>
      <w:r w:rsidR="00297234" w:rsidRPr="008B2DDA">
        <w:t xml:space="preserve"> </w:t>
      </w:r>
      <w:r w:rsidRPr="008B2DDA">
        <w:t xml:space="preserve">Nous </w:t>
      </w:r>
      <w:r w:rsidR="0074170A" w:rsidRPr="008B2DDA">
        <w:t>craig</w:t>
      </w:r>
      <w:r w:rsidR="00A95561" w:rsidRPr="008B2DDA">
        <w:t>n</w:t>
      </w:r>
      <w:r w:rsidR="0074170A" w:rsidRPr="008B2DDA">
        <w:t xml:space="preserve">ons </w:t>
      </w:r>
      <w:r w:rsidRPr="008B2DDA">
        <w:t>que l</w:t>
      </w:r>
      <w:r w:rsidR="00A341C2" w:rsidRPr="008B2DDA">
        <w:t>’</w:t>
      </w:r>
      <w:r w:rsidRPr="008B2DDA">
        <w:t xml:space="preserve">incitation à garantir une procédure régulière </w:t>
      </w:r>
      <w:r w:rsidR="0074170A" w:rsidRPr="008B2DDA">
        <w:t>au</w:t>
      </w:r>
      <w:r w:rsidR="00A95561" w:rsidRPr="008B2DDA">
        <w:t>x</w:t>
      </w:r>
      <w:r w:rsidRPr="008B2DDA">
        <w:t xml:space="preserve"> </w:t>
      </w:r>
      <w:r w:rsidR="0074170A" w:rsidRPr="008B2DDA">
        <w:t>déposant</w:t>
      </w:r>
      <w:r w:rsidR="00A95561" w:rsidRPr="008B2DDA">
        <w:t>s</w:t>
      </w:r>
      <w:r w:rsidRPr="008B2DDA">
        <w:t xml:space="preserve"> et </w:t>
      </w:r>
      <w:r w:rsidR="0074170A" w:rsidRPr="008B2DDA">
        <w:t>aux</w:t>
      </w:r>
      <w:r w:rsidRPr="008B2DDA">
        <w:t xml:space="preserve"> tiers intéressés </w:t>
      </w:r>
      <w:r w:rsidR="0074170A" w:rsidRPr="008B2DDA">
        <w:t xml:space="preserve">ne soit compromise </w:t>
      </w:r>
      <w:r w:rsidRPr="008B2DDA">
        <w:t xml:space="preserve">lorsque les gouvernements </w:t>
      </w:r>
      <w:r w:rsidR="00A95561" w:rsidRPr="008B2DDA">
        <w:t>négocient</w:t>
      </w:r>
      <w:r w:rsidRPr="008B2DDA">
        <w:t xml:space="preserve"> la protection des </w:t>
      </w:r>
      <w:r w:rsidR="00AB2EF0" w:rsidRPr="008B2DDA">
        <w:t>indications géographiques</w:t>
      </w:r>
      <w:r w:rsidRPr="008B2DDA">
        <w:t xml:space="preserve"> pour leurs ressortissants dans un pays étranger. </w:t>
      </w:r>
      <w:r w:rsidR="00297234" w:rsidRPr="008B2DDA">
        <w:t xml:space="preserve"> </w:t>
      </w:r>
      <w:r w:rsidRPr="008B2DDA">
        <w:t xml:space="preserve">Les gouvernements ont souvent un pouvoir de négociation </w:t>
      </w:r>
      <w:r w:rsidR="005C22F0" w:rsidRPr="008B2DDA">
        <w:t>disproportionné par rapport aux</w:t>
      </w:r>
      <w:r w:rsidRPr="008B2DDA">
        <w:t xml:space="preserve"> </w:t>
      </w:r>
      <w:r w:rsidR="00AC58D6" w:rsidRPr="008B2DDA">
        <w:t xml:space="preserve">déposants non </w:t>
      </w:r>
      <w:r w:rsidR="005C22F0" w:rsidRPr="008B2DDA">
        <w:t>gouvernementaux</w:t>
      </w:r>
      <w:r w:rsidRPr="008B2DDA">
        <w:t xml:space="preserve">, en particulier lorsque ces </w:t>
      </w:r>
      <w:r w:rsidR="005C22F0" w:rsidRPr="008B2DDA">
        <w:t>déposants</w:t>
      </w:r>
      <w:r w:rsidRPr="008B2DDA">
        <w:t xml:space="preserve"> sont des </w:t>
      </w:r>
      <w:r w:rsidR="005C22F0" w:rsidRPr="008B2DDA">
        <w:t>particuliers</w:t>
      </w:r>
      <w:r w:rsidRPr="008B2DDA">
        <w:t xml:space="preserve"> ou</w:t>
      </w:r>
      <w:r w:rsidR="00A341C2" w:rsidRPr="008B2DDA">
        <w:t xml:space="preserve"> des PME</w:t>
      </w:r>
      <w:r w:rsidRPr="008B2DDA">
        <w:t>.</w:t>
      </w:r>
      <w:r w:rsidR="00297234" w:rsidRPr="008B2DDA">
        <w:t xml:space="preserve"> </w:t>
      </w:r>
      <w:r w:rsidRPr="008B2DDA">
        <w:t xml:space="preserve"> </w:t>
      </w:r>
      <w:r w:rsidR="00297234" w:rsidRPr="008B2DDA">
        <w:t xml:space="preserve">Il est fort probable que </w:t>
      </w:r>
      <w:r w:rsidR="005C22F0" w:rsidRPr="008B2DDA">
        <w:t>cette disproportion aura un impact négatif</w:t>
      </w:r>
      <w:r w:rsidRPr="008B2DDA">
        <w:t xml:space="preserve"> </w:t>
      </w:r>
      <w:r w:rsidR="005C22F0" w:rsidRPr="008B2DDA">
        <w:t>sur la disponibilité et l</w:t>
      </w:r>
      <w:r w:rsidR="00A341C2" w:rsidRPr="008B2DDA">
        <w:t>’</w:t>
      </w:r>
      <w:r w:rsidR="005C22F0" w:rsidRPr="008B2DDA">
        <w:t>efficacité de la</w:t>
      </w:r>
      <w:r w:rsidRPr="008B2DDA">
        <w:t xml:space="preserve"> procédure régulière.</w:t>
      </w:r>
    </w:p>
    <w:p w14:paraId="30CE7263" w14:textId="7E55E66F" w:rsidR="00BE34D2" w:rsidRPr="008B2DDA" w:rsidRDefault="005C22F0" w:rsidP="008B2DDA">
      <w:pPr>
        <w:pStyle w:val="ONUMFS"/>
        <w:numPr>
          <w:ilvl w:val="0"/>
          <w:numId w:val="0"/>
        </w:numPr>
      </w:pPr>
      <w:r w:rsidRPr="008B2DDA">
        <w:t>Ce qui est problématique, c</w:t>
      </w:r>
      <w:r w:rsidR="00A341C2" w:rsidRPr="008B2DDA">
        <w:t>’</w:t>
      </w:r>
      <w:r w:rsidRPr="008B2DDA">
        <w:t>est que le</w:t>
      </w:r>
      <w:r w:rsidR="00BE34D2" w:rsidRPr="008B2DDA">
        <w:t xml:space="preserve"> texte encourage </w:t>
      </w:r>
      <w:r w:rsidRPr="008B2DDA">
        <w:t>la</w:t>
      </w:r>
      <w:r w:rsidR="00BE34D2" w:rsidRPr="008B2DDA">
        <w:t xml:space="preserve"> négociation </w:t>
      </w:r>
      <w:r w:rsidR="002129FD" w:rsidRPr="008B2DDA">
        <w:t>intergouvernementale</w:t>
      </w:r>
      <w:r w:rsidR="00BE34D2" w:rsidRPr="008B2DDA">
        <w:t xml:space="preserve"> et ouvre la voie à des résultats négociés où les droits </w:t>
      </w:r>
      <w:r w:rsidR="002129FD" w:rsidRPr="008B2DDA">
        <w:t>ou utilisations des parties intéressées</w:t>
      </w:r>
      <w:r w:rsidR="00BE34D2" w:rsidRPr="008B2DDA">
        <w:t xml:space="preserve"> peuvent être ignorés en faveur de la demande </w:t>
      </w:r>
      <w:r w:rsidR="002129FD" w:rsidRPr="008B2DDA">
        <w:t>de protection d</w:t>
      </w:r>
      <w:r w:rsidR="00A341C2" w:rsidRPr="008B2DDA">
        <w:t>’</w:t>
      </w:r>
      <w:r w:rsidR="002129FD" w:rsidRPr="008B2DDA">
        <w:t xml:space="preserve">une </w:t>
      </w:r>
      <w:r w:rsidR="00AB2EF0" w:rsidRPr="008B2DDA">
        <w:t>indication géographique</w:t>
      </w:r>
      <w:r w:rsidR="002129FD" w:rsidRPr="008B2DDA">
        <w:t xml:space="preserve"> émanant du gouvernement étranger</w:t>
      </w:r>
      <w:r w:rsidR="00BE34D2" w:rsidRPr="008B2DDA">
        <w:t xml:space="preserve">. </w:t>
      </w:r>
      <w:r w:rsidR="002129FD" w:rsidRPr="008B2DDA">
        <w:t xml:space="preserve"> Ainsi</w:t>
      </w:r>
      <w:r w:rsidR="00BE34D2" w:rsidRPr="008B2DDA">
        <w:t xml:space="preserve">, si un terme est générique sur un marché, </w:t>
      </w:r>
      <w:r w:rsidR="001C00E1" w:rsidRPr="008B2DDA">
        <w:t>l</w:t>
      </w:r>
      <w:r w:rsidR="00A341C2" w:rsidRPr="008B2DDA">
        <w:t>’</w:t>
      </w:r>
      <w:r w:rsidR="001C00E1" w:rsidRPr="008B2DDA">
        <w:t>administration</w:t>
      </w:r>
      <w:r w:rsidR="00BE34D2" w:rsidRPr="008B2DDA">
        <w:t xml:space="preserve"> compétente </w:t>
      </w:r>
      <w:r w:rsidR="002129FD" w:rsidRPr="008B2DDA">
        <w:t>sur</w:t>
      </w:r>
      <w:r w:rsidR="00BE34D2" w:rsidRPr="008B2DDA">
        <w:t xml:space="preserve"> ce marché devrait être libre de refuser le terme de Lisbonne notifié; </w:t>
      </w:r>
      <w:r w:rsidR="002129FD" w:rsidRPr="008B2DDA">
        <w:t xml:space="preserve"> t</w:t>
      </w:r>
      <w:r w:rsidR="00BE34D2" w:rsidRPr="008B2DDA">
        <w:t xml:space="preserve">outefois, le texte actuel semble encourager </w:t>
      </w:r>
      <w:r w:rsidR="001C00E1" w:rsidRPr="008B2DDA">
        <w:t>ladite administration</w:t>
      </w:r>
      <w:r w:rsidR="00BE34D2" w:rsidRPr="008B2DDA">
        <w:t xml:space="preserve"> à accepter </w:t>
      </w:r>
      <w:r w:rsidR="002129FD" w:rsidRPr="008B2DDA">
        <w:t>quoi qu</w:t>
      </w:r>
      <w:r w:rsidR="00A341C2" w:rsidRPr="008B2DDA">
        <w:t>’</w:t>
      </w:r>
      <w:r w:rsidR="002129FD" w:rsidRPr="008B2DDA">
        <w:t xml:space="preserve">il advienne </w:t>
      </w:r>
      <w:r w:rsidR="00BE34D2" w:rsidRPr="008B2DDA">
        <w:t xml:space="preserve">la notification </w:t>
      </w:r>
      <w:r w:rsidR="002129FD" w:rsidRPr="008B2DDA">
        <w:t>de l</w:t>
      </w:r>
      <w:r w:rsidR="00A341C2" w:rsidRPr="008B2DDA">
        <w:t>’</w:t>
      </w:r>
      <w:r w:rsidR="00AB2EF0" w:rsidRPr="008B2DDA">
        <w:t>indication géographique</w:t>
      </w:r>
      <w:r w:rsidR="002129FD" w:rsidRPr="008B2DDA">
        <w:t xml:space="preserve"> et à </w:t>
      </w:r>
      <w:r w:rsidR="00BE34D2" w:rsidRPr="008B2DDA">
        <w:t>éliminer progressivement les utilisations antérieures, d</w:t>
      </w:r>
      <w:r w:rsidR="00A341C2" w:rsidRPr="008B2DDA">
        <w:t>’</w:t>
      </w:r>
      <w:r w:rsidR="00BE34D2" w:rsidRPr="008B2DDA">
        <w:t>office, conformément à l</w:t>
      </w:r>
      <w:r w:rsidR="00A341C2" w:rsidRPr="008B2DDA">
        <w:t>’</w:t>
      </w:r>
      <w:r w:rsidR="002129FD" w:rsidRPr="008B2DDA">
        <w:t>article </w:t>
      </w:r>
      <w:r w:rsidR="00BE34D2" w:rsidRPr="008B2DDA">
        <w:t xml:space="preserve">17. </w:t>
      </w:r>
      <w:r w:rsidR="002129FD" w:rsidRPr="008B2DDA">
        <w:t xml:space="preserve"> Il en va de même en ce qui concerne les</w:t>
      </w:r>
      <w:r w:rsidR="00BE34D2" w:rsidRPr="008B2DDA">
        <w:t xml:space="preserve"> droits </w:t>
      </w:r>
      <w:r w:rsidR="002129FD" w:rsidRPr="008B2DDA">
        <w:t>antérieurs sur des marques</w:t>
      </w:r>
      <w:r w:rsidR="00BE34D2" w:rsidRPr="008B2DDA">
        <w:t xml:space="preserve"> sur un marché. </w:t>
      </w:r>
      <w:r w:rsidR="002129FD" w:rsidRPr="008B2DDA">
        <w:t xml:space="preserve"> </w:t>
      </w:r>
      <w:r w:rsidR="00BE34D2" w:rsidRPr="008B2DDA">
        <w:t xml:space="preserve">Le texte encourage les gouvernements à ignorer ces droits antérieurs </w:t>
      </w:r>
      <w:r w:rsidR="002129FD" w:rsidRPr="008B2DDA">
        <w:t xml:space="preserve">sur des marques </w:t>
      </w:r>
      <w:r w:rsidR="00BE34D2" w:rsidRPr="008B2DDA">
        <w:t xml:space="preserve">et </w:t>
      </w:r>
      <w:r w:rsidR="002129FD" w:rsidRPr="008B2DDA">
        <w:t>à</w:t>
      </w:r>
      <w:r w:rsidR="00BE34D2" w:rsidRPr="008B2DDA">
        <w:t xml:space="preserve"> protéger l</w:t>
      </w:r>
      <w:r w:rsidR="00A341C2" w:rsidRPr="008B2DDA">
        <w:t>’</w:t>
      </w:r>
      <w:r w:rsidR="00AB2EF0" w:rsidRPr="008B2DDA">
        <w:t>indication géographique</w:t>
      </w:r>
      <w:r w:rsidR="00BE34D2" w:rsidRPr="008B2DDA">
        <w:t xml:space="preserve"> </w:t>
      </w:r>
      <w:r w:rsidR="002129FD" w:rsidRPr="008B2DDA">
        <w:t>quoi qu</w:t>
      </w:r>
      <w:r w:rsidR="00A341C2" w:rsidRPr="008B2DDA">
        <w:t>’</w:t>
      </w:r>
      <w:r w:rsidR="002129FD" w:rsidRPr="008B2DDA">
        <w:t>il advienne</w:t>
      </w:r>
      <w:r w:rsidR="00BE34D2" w:rsidRPr="008B2DDA">
        <w:t xml:space="preserve">, </w:t>
      </w:r>
      <w:r w:rsidR="002129FD" w:rsidRPr="008B2DDA">
        <w:t>au profit</w:t>
      </w:r>
      <w:r w:rsidR="00BE34D2" w:rsidRPr="008B2DDA">
        <w:t xml:space="preserve"> du </w:t>
      </w:r>
      <w:r w:rsidR="00964FD2" w:rsidRPr="008B2DDA">
        <w:t>titulaire</w:t>
      </w:r>
      <w:r w:rsidR="00BE34D2" w:rsidRPr="008B2DDA">
        <w:t xml:space="preserve"> de </w:t>
      </w:r>
      <w:r w:rsidR="002129FD" w:rsidRPr="008B2DDA">
        <w:t>l</w:t>
      </w:r>
      <w:r w:rsidR="00A341C2" w:rsidRPr="008B2DDA">
        <w:t>’</w:t>
      </w:r>
      <w:r w:rsidR="00AB2EF0" w:rsidRPr="008B2DDA">
        <w:t>indication géographique</w:t>
      </w:r>
      <w:r w:rsidR="00847DEF" w:rsidRPr="008B2DDA">
        <w:t xml:space="preserve"> étrangère</w:t>
      </w:r>
      <w:r w:rsidR="00BE34D2" w:rsidRPr="008B2DDA">
        <w:t>, conformément à l</w:t>
      </w:r>
      <w:r w:rsidR="00A341C2" w:rsidRPr="008B2DDA">
        <w:t>’</w:t>
      </w:r>
      <w:r w:rsidR="002129FD" w:rsidRPr="008B2DDA">
        <w:t>article </w:t>
      </w:r>
      <w:r w:rsidR="00BE34D2" w:rsidRPr="008B2DDA">
        <w:t>13.</w:t>
      </w:r>
      <w:r w:rsidR="002129FD" w:rsidRPr="008B2DDA">
        <w:t xml:space="preserve"> </w:t>
      </w:r>
      <w:r w:rsidR="00BE34D2" w:rsidRPr="008B2DDA">
        <w:t xml:space="preserve"> En outre, si un terme </w:t>
      </w:r>
      <w:r w:rsidR="002129FD" w:rsidRPr="008B2DDA">
        <w:t xml:space="preserve">notifié </w:t>
      </w:r>
      <w:r w:rsidR="00811AA9" w:rsidRPr="008B2DDA">
        <w:t>au titre</w:t>
      </w:r>
      <w:r w:rsidR="002129FD" w:rsidRPr="008B2DDA">
        <w:t xml:space="preserve"> de l</w:t>
      </w:r>
      <w:r w:rsidR="00A341C2" w:rsidRPr="008B2DDA">
        <w:t>’</w:t>
      </w:r>
      <w:r w:rsidR="002129FD" w:rsidRPr="008B2DDA">
        <w:t xml:space="preserve">Arrangement </w:t>
      </w:r>
      <w:r w:rsidR="00BE34D2" w:rsidRPr="008B2DDA">
        <w:t xml:space="preserve">de Lisbonne est refusé, un gouvernement étranger a la possibilité de </w:t>
      </w:r>
      <w:r w:rsidR="00847DEF" w:rsidRPr="008B2DDA">
        <w:t>proposer des négociations afin que ce</w:t>
      </w:r>
      <w:r w:rsidR="00BE34D2" w:rsidRPr="008B2DDA">
        <w:t xml:space="preserve"> refus </w:t>
      </w:r>
      <w:r w:rsidR="00847DEF" w:rsidRPr="008B2DDA">
        <w:t>soit retiré en vertu de</w:t>
      </w:r>
      <w:r w:rsidR="00BE34D2" w:rsidRPr="008B2DDA">
        <w:t xml:space="preserve"> l</w:t>
      </w:r>
      <w:r w:rsidR="00A341C2" w:rsidRPr="008B2DDA">
        <w:t>’</w:t>
      </w:r>
      <w:r w:rsidR="00847DEF" w:rsidRPr="008B2DDA">
        <w:t>article 16.</w:t>
      </w:r>
      <w:r w:rsidR="00BE34D2" w:rsidRPr="008B2DDA">
        <w:t>2).</w:t>
      </w:r>
      <w:r w:rsidR="00847DEF" w:rsidRPr="008B2DDA">
        <w:t xml:space="preserve"> </w:t>
      </w:r>
      <w:r w:rsidR="00BE34D2" w:rsidRPr="008B2DDA">
        <w:t xml:space="preserve"> </w:t>
      </w:r>
      <w:r w:rsidR="00847DEF" w:rsidRPr="008B2DDA">
        <w:t>La suppression de</w:t>
      </w:r>
      <w:r w:rsidR="00BE34D2" w:rsidRPr="008B2DDA">
        <w:t xml:space="preserve"> ces trois</w:t>
      </w:r>
      <w:r w:rsidR="00E26A2C" w:rsidRPr="008B2DDA">
        <w:t> </w:t>
      </w:r>
      <w:r w:rsidR="00BE34D2" w:rsidRPr="008B2DDA">
        <w:t>d</w:t>
      </w:r>
      <w:r w:rsidR="00847DEF" w:rsidRPr="008B2DDA">
        <w:t>ispositions n</w:t>
      </w:r>
      <w:r w:rsidR="00A341C2" w:rsidRPr="008B2DDA">
        <w:t>’</w:t>
      </w:r>
      <w:r w:rsidR="00847DEF" w:rsidRPr="008B2DDA">
        <w:t>aurait pas d</w:t>
      </w:r>
      <w:r w:rsidR="00A341C2" w:rsidRPr="008B2DDA">
        <w:t>’</w:t>
      </w:r>
      <w:r w:rsidR="00847DEF" w:rsidRPr="008B2DDA">
        <w:t xml:space="preserve">incidence sur </w:t>
      </w:r>
      <w:r w:rsidR="00BE34D2" w:rsidRPr="008B2DDA">
        <w:t xml:space="preserve">les obligations </w:t>
      </w:r>
      <w:r w:rsidR="00847DEF" w:rsidRPr="008B2DDA">
        <w:t xml:space="preserve">énoncées </w:t>
      </w:r>
      <w:r w:rsidR="00BE34D2" w:rsidRPr="008B2DDA">
        <w:t xml:space="preserve">dans le texte, car </w:t>
      </w:r>
      <w:r w:rsidR="00847DEF" w:rsidRPr="008B2DDA">
        <w:t>ces dernières</w:t>
      </w:r>
      <w:r w:rsidR="00BE34D2" w:rsidRPr="008B2DDA">
        <w:t xml:space="preserve"> sont essentiellement permissive</w:t>
      </w:r>
      <w:r w:rsidR="00847DEF" w:rsidRPr="008B2DDA">
        <w:t>s</w:t>
      </w:r>
      <w:r w:rsidR="00BE34D2" w:rsidRPr="008B2DDA">
        <w:t xml:space="preserve">. </w:t>
      </w:r>
      <w:r w:rsidRPr="008B2DDA">
        <w:t xml:space="preserve"> </w:t>
      </w:r>
      <w:r w:rsidR="00847DEF" w:rsidRPr="008B2DDA">
        <w:t>En revanche, le fait de conserver ces dispositions</w:t>
      </w:r>
      <w:r w:rsidR="00BE34D2" w:rsidRPr="008B2DDA">
        <w:t xml:space="preserve"> donne l</w:t>
      </w:r>
      <w:r w:rsidR="00A341C2" w:rsidRPr="008B2DDA">
        <w:t>’</w:t>
      </w:r>
      <w:r w:rsidR="00BE34D2" w:rsidRPr="008B2DDA">
        <w:t xml:space="preserve">impression que tous les autres droits ou utilisations </w:t>
      </w:r>
      <w:r w:rsidR="00847DEF" w:rsidRPr="008B2DDA">
        <w:t>doivent</w:t>
      </w:r>
      <w:r w:rsidR="00BE34D2" w:rsidRPr="008B2DDA">
        <w:t xml:space="preserve"> </w:t>
      </w:r>
      <w:r w:rsidR="00847DEF" w:rsidRPr="008B2DDA">
        <w:t>laisser le champ libre à</w:t>
      </w:r>
      <w:r w:rsidR="00BE34D2" w:rsidRPr="008B2DDA">
        <w:t xml:space="preserve"> l</w:t>
      </w:r>
      <w:r w:rsidR="00A341C2" w:rsidRPr="008B2DDA">
        <w:t>’</w:t>
      </w:r>
      <w:r w:rsidR="00AB2EF0" w:rsidRPr="008B2DDA">
        <w:t>indication géographique</w:t>
      </w:r>
      <w:r w:rsidR="00BE34D2" w:rsidRPr="008B2DDA">
        <w:t xml:space="preserve"> étrangère, </w:t>
      </w:r>
      <w:r w:rsidR="00847DEF" w:rsidRPr="008B2DDA">
        <w:t>ce que</w:t>
      </w:r>
      <w:r w:rsidR="00BE34D2" w:rsidRPr="008B2DDA">
        <w:t xml:space="preserve"> le gouvernement </w:t>
      </w:r>
      <w:r w:rsidR="00847DEF" w:rsidRPr="008B2DDA">
        <w:t>du pays bénéficiaire</w:t>
      </w:r>
      <w:r w:rsidR="00BE34D2" w:rsidRPr="008B2DDA">
        <w:t xml:space="preserve"> est encouragé à faire.</w:t>
      </w:r>
    </w:p>
    <w:p w14:paraId="4072ED1A" w14:textId="2B975B9F" w:rsidR="007079A8" w:rsidRPr="008B2DDA" w:rsidRDefault="00BE34D2" w:rsidP="008B2DDA">
      <w:pPr>
        <w:pStyle w:val="ONUMFS"/>
        <w:numPr>
          <w:ilvl w:val="0"/>
          <w:numId w:val="0"/>
        </w:numPr>
      </w:pPr>
      <w:r w:rsidRPr="008B2DDA">
        <w:t xml:space="preserve">Les modifications ou indications </w:t>
      </w:r>
      <w:r w:rsidR="001B45E2" w:rsidRPr="008B2DDA">
        <w:t>ci</w:t>
      </w:r>
      <w:r w:rsidR="00D67EA4" w:rsidRPr="008B2DDA">
        <w:noBreakHyphen/>
      </w:r>
      <w:r w:rsidR="001B45E2" w:rsidRPr="008B2DDA">
        <w:t>après, qui visent à approuver les</w:t>
      </w:r>
      <w:r w:rsidR="005C22F0" w:rsidRPr="008B2DDA">
        <w:t xml:space="preserve"> </w:t>
      </w:r>
      <w:r w:rsidR="00847DEF" w:rsidRPr="008B2DDA">
        <w:t>variantes</w:t>
      </w:r>
      <w:r w:rsidR="005C22F0" w:rsidRPr="008B2DDA">
        <w:t xml:space="preserve"> </w:t>
      </w:r>
      <w:r w:rsidR="001B45E2" w:rsidRPr="008B2DDA">
        <w:t>énoncées dans</w:t>
      </w:r>
      <w:r w:rsidR="005C22F0" w:rsidRPr="008B2DDA">
        <w:t xml:space="preserve"> la </w:t>
      </w:r>
      <w:r w:rsidR="00D357CB" w:rsidRPr="008B2DDA">
        <w:t>p</w:t>
      </w:r>
      <w:r w:rsidRPr="008B2DDA">
        <w:t>roposition de base</w:t>
      </w:r>
      <w:r w:rsidR="001B45E2" w:rsidRPr="008B2DDA">
        <w:t>,</w:t>
      </w:r>
      <w:r w:rsidRPr="008B2DDA">
        <w:t xml:space="preserve"> </w:t>
      </w:r>
      <w:r w:rsidR="001B45E2" w:rsidRPr="008B2DDA">
        <w:t>ont vocation à</w:t>
      </w:r>
      <w:r w:rsidRPr="008B2DDA">
        <w:t xml:space="preserve"> mieux </w:t>
      </w:r>
      <w:r w:rsidR="001B45E2" w:rsidRPr="008B2DDA">
        <w:t xml:space="preserve">faire </w:t>
      </w:r>
      <w:r w:rsidRPr="008B2DDA">
        <w:t xml:space="preserve">respecter les droits </w:t>
      </w:r>
      <w:r w:rsidR="001B45E2" w:rsidRPr="008B2DDA">
        <w:t xml:space="preserve">à une procédure régulière </w:t>
      </w:r>
      <w:r w:rsidRPr="008B2DDA">
        <w:t xml:space="preserve">des utilisateurs antérieurs ou </w:t>
      </w:r>
      <w:r w:rsidR="001B45E2" w:rsidRPr="008B2DDA">
        <w:t>des</w:t>
      </w:r>
      <w:r w:rsidRPr="008B2DDA">
        <w:t xml:space="preserve"> </w:t>
      </w:r>
      <w:r w:rsidR="001B45E2" w:rsidRPr="008B2DDA">
        <w:t>titulaires de</w:t>
      </w:r>
      <w:r w:rsidRPr="008B2DDA">
        <w:t xml:space="preserve"> droits antérieurs dans les pays </w:t>
      </w:r>
      <w:r w:rsidR="00847DEF" w:rsidRPr="008B2DDA">
        <w:t>bénéficiaires</w:t>
      </w:r>
      <w:r w:rsidRPr="008B2DDA">
        <w:t xml:space="preserve">. </w:t>
      </w:r>
      <w:r w:rsidR="00847DEF" w:rsidRPr="008B2DDA">
        <w:t xml:space="preserve"> </w:t>
      </w:r>
      <w:r w:rsidRPr="008B2DDA">
        <w:t xml:space="preserve">Ces </w:t>
      </w:r>
      <w:r w:rsidR="00847DEF" w:rsidRPr="008B2DDA">
        <w:t>propositions de modifications</w:t>
      </w:r>
      <w:r w:rsidRPr="008B2DDA">
        <w:t xml:space="preserve"> </w:t>
      </w:r>
      <w:r w:rsidR="001B45E2" w:rsidRPr="008B2DDA">
        <w:t>permettent d</w:t>
      </w:r>
      <w:r w:rsidR="00A341C2" w:rsidRPr="008B2DDA">
        <w:t>’</w:t>
      </w:r>
      <w:r w:rsidR="001B45E2" w:rsidRPr="008B2DDA">
        <w:t>éviter que</w:t>
      </w:r>
      <w:r w:rsidRPr="008B2DDA">
        <w:t xml:space="preserve"> le texte </w:t>
      </w:r>
      <w:r w:rsidR="001B45E2" w:rsidRPr="008B2DDA">
        <w:t xml:space="preserve">laisse à penser </w:t>
      </w:r>
      <w:r w:rsidRPr="008B2DDA">
        <w:t xml:space="preserve">que les utilisations antérieures dans un pays </w:t>
      </w:r>
      <w:r w:rsidR="00847DEF" w:rsidRPr="008B2DDA">
        <w:t>bénéficiaire</w:t>
      </w:r>
      <w:r w:rsidRPr="008B2DDA">
        <w:t xml:space="preserve"> sont en quelque sorte </w:t>
      </w:r>
      <w:r w:rsidR="00847DEF" w:rsidRPr="008B2DDA">
        <w:t>illégitimes</w:t>
      </w:r>
      <w:r w:rsidRPr="008B2DDA">
        <w:t xml:space="preserve"> et </w:t>
      </w:r>
      <w:r w:rsidR="00847DEF" w:rsidRPr="008B2DDA">
        <w:t>doivent</w:t>
      </w:r>
      <w:r w:rsidRPr="008B2DDA">
        <w:t xml:space="preserve"> </w:t>
      </w:r>
      <w:r w:rsidR="001B45E2" w:rsidRPr="008B2DDA">
        <w:t xml:space="preserve">donc </w:t>
      </w:r>
      <w:r w:rsidRPr="008B2DDA">
        <w:t>être éliminées</w:t>
      </w:r>
      <w:r w:rsidR="001B45E2" w:rsidRPr="008B2DDA">
        <w:t xml:space="preserve"> progressivement</w:t>
      </w:r>
      <w:r w:rsidRPr="008B2DDA">
        <w:t xml:space="preserve"> </w:t>
      </w:r>
      <w:r w:rsidR="00AC58D6" w:rsidRPr="008B2DDA">
        <w:t>–</w:t>
      </w:r>
      <w:r w:rsidRPr="008B2DDA">
        <w:t xml:space="preserve"> avant la décision de protéger une </w:t>
      </w:r>
      <w:r w:rsidR="00AB2EF0" w:rsidRPr="008B2DDA">
        <w:t>indication géographique</w:t>
      </w:r>
      <w:r w:rsidRPr="008B2DDA">
        <w:t xml:space="preserve"> étr</w:t>
      </w:r>
      <w:r w:rsidR="001B45E2" w:rsidRPr="008B2DDA">
        <w:t xml:space="preserve">angère </w:t>
      </w:r>
      <w:r w:rsidR="00811AA9" w:rsidRPr="008B2DDA">
        <w:t>en conflit avec elles</w:t>
      </w:r>
      <w:r w:rsidR="00847DEF" w:rsidRPr="008B2DDA">
        <w:t xml:space="preserve"> (article </w:t>
      </w:r>
      <w:r w:rsidRPr="008B2DDA">
        <w:t>17).</w:t>
      </w:r>
      <w:r w:rsidR="00847DEF" w:rsidRPr="008B2DDA">
        <w:t xml:space="preserve"> </w:t>
      </w:r>
      <w:r w:rsidRPr="008B2DDA">
        <w:t xml:space="preserve"> </w:t>
      </w:r>
      <w:r w:rsidR="001B45E2" w:rsidRPr="008B2DDA">
        <w:t>Elles</w:t>
      </w:r>
      <w:r w:rsidRPr="008B2DDA">
        <w:t xml:space="preserve"> donnent pleinement effet aux droits constitutionnels des tiers, </w:t>
      </w:r>
      <w:r w:rsidR="00847DEF" w:rsidRPr="008B2DDA">
        <w:t>s</w:t>
      </w:r>
      <w:r w:rsidR="00A341C2" w:rsidRPr="008B2DDA">
        <w:t>’</w:t>
      </w:r>
      <w:r w:rsidR="001B45E2" w:rsidRPr="008B2DDA">
        <w:t>il en est</w:t>
      </w:r>
      <w:r w:rsidRPr="008B2DDA">
        <w:t xml:space="preserve">, </w:t>
      </w:r>
      <w:r w:rsidR="001B45E2" w:rsidRPr="008B2DDA">
        <w:t>de</w:t>
      </w:r>
      <w:r w:rsidRPr="008B2DDA">
        <w:t xml:space="preserve"> demander l</w:t>
      </w:r>
      <w:r w:rsidR="00A341C2" w:rsidRPr="008B2DDA">
        <w:t>’</w:t>
      </w:r>
      <w:r w:rsidRPr="008B2DDA">
        <w:t xml:space="preserve">invalidation </w:t>
      </w:r>
      <w:r w:rsidR="00847DEF" w:rsidRPr="008B2DDA">
        <w:t>d</w:t>
      </w:r>
      <w:r w:rsidR="00A341C2" w:rsidRPr="008B2DDA">
        <w:t>’</w:t>
      </w:r>
      <w:r w:rsidRPr="008B2DDA">
        <w:t xml:space="preserve">un enregistrement international </w:t>
      </w:r>
      <w:r w:rsidR="001B45E2" w:rsidRPr="008B2DDA">
        <w:t xml:space="preserve">sur son territoire </w:t>
      </w:r>
      <w:r w:rsidRPr="008B2DDA">
        <w:t>pour tout motif prévu par la législation national</w:t>
      </w:r>
      <w:r w:rsidR="00847DEF" w:rsidRPr="008B2DDA">
        <w:t>e (article </w:t>
      </w:r>
      <w:r w:rsidRPr="008B2DDA">
        <w:t xml:space="preserve">19) et </w:t>
      </w:r>
      <w:r w:rsidR="00E075F6" w:rsidRPr="008B2DDA">
        <w:t>octroient</w:t>
      </w:r>
      <w:r w:rsidRPr="008B2DDA">
        <w:t xml:space="preserve"> aux </w:t>
      </w:r>
      <w:r w:rsidR="001B45E2" w:rsidRPr="008B2DDA">
        <w:t>titulaires</w:t>
      </w:r>
      <w:r w:rsidRPr="008B2DDA">
        <w:t xml:space="preserve"> de marques antérieures </w:t>
      </w:r>
      <w:r w:rsidR="00E075F6" w:rsidRPr="008B2DDA">
        <w:t>le droit exclusif</w:t>
      </w:r>
      <w:r w:rsidRPr="008B2DDA">
        <w:t xml:space="preserve"> </w:t>
      </w:r>
      <w:r w:rsidR="00E075F6" w:rsidRPr="008B2DDA">
        <w:t>d</w:t>
      </w:r>
      <w:r w:rsidR="00A341C2" w:rsidRPr="008B2DDA">
        <w:t>’</w:t>
      </w:r>
      <w:r w:rsidRPr="008B2DDA">
        <w:t xml:space="preserve">empêcher </w:t>
      </w:r>
      <w:r w:rsidR="00E075F6" w:rsidRPr="008B2DDA">
        <w:t xml:space="preserve">les </w:t>
      </w:r>
      <w:r w:rsidRPr="008B2DDA">
        <w:t xml:space="preserve">usages prêtant à confusion </w:t>
      </w:r>
      <w:r w:rsidR="00E075F6" w:rsidRPr="008B2DDA">
        <w:t xml:space="preserve">ou les conflits ultérieurs avec une </w:t>
      </w:r>
      <w:r w:rsidR="00AB2EF0" w:rsidRPr="008B2DDA">
        <w:t>indication géographique</w:t>
      </w:r>
      <w:r w:rsidRPr="008B2DDA">
        <w:t xml:space="preserve">, dans </w:t>
      </w:r>
      <w:r w:rsidR="00E075F6" w:rsidRPr="008B2DDA">
        <w:t xml:space="preserve">les limites autorisées par la législation nationale </w:t>
      </w:r>
      <w:r w:rsidR="00847DEF" w:rsidRPr="008B2DDA">
        <w:t>(article </w:t>
      </w:r>
      <w:r w:rsidRPr="008B2DDA">
        <w:t>13).</w:t>
      </w:r>
    </w:p>
    <w:p w14:paraId="13FEE420" w14:textId="0C361F73" w:rsidR="007079A8" w:rsidRPr="008B2DDA" w:rsidRDefault="001F705D" w:rsidP="008B2DDA">
      <w:pPr>
        <w:pStyle w:val="ONUMFS"/>
        <w:numPr>
          <w:ilvl w:val="0"/>
          <w:numId w:val="0"/>
        </w:numPr>
      </w:pPr>
      <w:hyperlink w:anchor="Article_17" w:history="1">
        <w:r w:rsidR="006F54AE" w:rsidRPr="00450AF4">
          <w:rPr>
            <w:rStyle w:val="Hyperlink"/>
            <w:b/>
            <w:color w:val="0000FF"/>
          </w:rPr>
          <w:t>Article </w:t>
        </w:r>
        <w:r w:rsidR="00311638" w:rsidRPr="00450AF4">
          <w:rPr>
            <w:rStyle w:val="Hyperlink"/>
            <w:b/>
            <w:color w:val="0000FF"/>
          </w:rPr>
          <w:t>17</w:t>
        </w:r>
      </w:hyperlink>
      <w:r w:rsidR="00311638" w:rsidRPr="008B2DDA">
        <w:rPr>
          <w:b/>
        </w:rPr>
        <w:t xml:space="preserve"> </w:t>
      </w:r>
      <w:r w:rsidR="00297234" w:rsidRPr="008B2DDA">
        <w:rPr>
          <w:b/>
        </w:rPr>
        <w:t>Élimination progressive d</w:t>
      </w:r>
      <w:r w:rsidR="00A341C2" w:rsidRPr="008B2DDA">
        <w:rPr>
          <w:b/>
        </w:rPr>
        <w:t>’</w:t>
      </w:r>
      <w:r w:rsidR="00297234" w:rsidRPr="008B2DDA">
        <w:rPr>
          <w:b/>
        </w:rPr>
        <w:t>une utilisation antérieure </w:t>
      </w:r>
      <w:r w:rsidR="00311638" w:rsidRPr="008B2DDA">
        <w:rPr>
          <w:b/>
        </w:rPr>
        <w:t>:</w:t>
      </w:r>
      <w:r w:rsidR="00311638" w:rsidRPr="008B2DDA">
        <w:t xml:space="preserve"> </w:t>
      </w:r>
      <w:r w:rsidR="00BE34D2" w:rsidRPr="008B2DDA">
        <w:t>L</w:t>
      </w:r>
      <w:r w:rsidR="00A341C2" w:rsidRPr="008B2DDA">
        <w:t>’</w:t>
      </w:r>
      <w:r w:rsidR="0074170A" w:rsidRPr="008B2DDA">
        <w:t>article </w:t>
      </w:r>
      <w:r w:rsidR="00BE34D2" w:rsidRPr="008B2DDA">
        <w:t xml:space="preserve">17 </w:t>
      </w:r>
      <w:r w:rsidR="00E075F6" w:rsidRPr="008B2DDA">
        <w:t>laisse à</w:t>
      </w:r>
      <w:r w:rsidR="00BE34D2" w:rsidRPr="008B2DDA">
        <w:t xml:space="preserve"> </w:t>
      </w:r>
      <w:r w:rsidR="0074170A" w:rsidRPr="008B2DDA">
        <w:t>entendre</w:t>
      </w:r>
      <w:r w:rsidR="00BE34D2" w:rsidRPr="008B2DDA">
        <w:t xml:space="preserve"> qu</w:t>
      </w:r>
      <w:r w:rsidR="00A341C2" w:rsidRPr="008B2DDA">
        <w:t>’</w:t>
      </w:r>
      <w:r w:rsidR="00BE34D2" w:rsidRPr="008B2DDA">
        <w:t xml:space="preserve">un pays </w:t>
      </w:r>
      <w:r w:rsidR="0074170A" w:rsidRPr="008B2DDA">
        <w:t>bénéficiaire</w:t>
      </w:r>
      <w:r w:rsidR="00BE34D2" w:rsidRPr="008B2DDA">
        <w:t xml:space="preserve"> </w:t>
      </w:r>
      <w:r w:rsidR="0074170A" w:rsidRPr="008B2DDA">
        <w:t>doit</w:t>
      </w:r>
      <w:r w:rsidR="00E075F6" w:rsidRPr="008B2DDA">
        <w:t xml:space="preserve"> envisager l</w:t>
      </w:r>
      <w:r w:rsidR="00A341C2" w:rsidRPr="008B2DDA">
        <w:t>’</w:t>
      </w:r>
      <w:r w:rsidR="00E075F6" w:rsidRPr="008B2DDA">
        <w:t xml:space="preserve">élimination </w:t>
      </w:r>
      <w:r w:rsidR="00BE34D2" w:rsidRPr="008B2DDA">
        <w:t xml:space="preserve">progressive, sans aucune possibilité de contestation, </w:t>
      </w:r>
      <w:r w:rsidR="00E075F6" w:rsidRPr="008B2DDA">
        <w:t>de l</w:t>
      </w:r>
      <w:r w:rsidR="00A341C2" w:rsidRPr="008B2DDA">
        <w:t>’</w:t>
      </w:r>
      <w:r w:rsidR="00E075F6" w:rsidRPr="008B2DDA">
        <w:t xml:space="preserve">utilisation locale antérieure des </w:t>
      </w:r>
      <w:r w:rsidR="00BE34D2" w:rsidRPr="008B2DDA">
        <w:t xml:space="preserve">termes, mots </w:t>
      </w:r>
      <w:r w:rsidR="00E075F6" w:rsidRPr="008B2DDA">
        <w:t xml:space="preserve">génériques </w:t>
      </w:r>
      <w:r w:rsidR="00BE34D2" w:rsidRPr="008B2DDA">
        <w:t>ou marques qui peuvent entrer en conflit avec une dénomin</w:t>
      </w:r>
      <w:r w:rsidR="00E075F6" w:rsidRPr="008B2DDA">
        <w:t>ation</w:t>
      </w:r>
      <w:r w:rsidR="00811AA9" w:rsidRPr="008B2DDA">
        <w:t xml:space="preserve"> ou une </w:t>
      </w:r>
      <w:r w:rsidR="00BE34D2" w:rsidRPr="008B2DDA">
        <w:t>indication étrangère notifié</w:t>
      </w:r>
      <w:r w:rsidR="000A05F1" w:rsidRPr="008B2DDA">
        <w:t>e</w:t>
      </w:r>
      <w:r w:rsidR="00BE34D2" w:rsidRPr="008B2DDA">
        <w:t xml:space="preserve"> </w:t>
      </w:r>
      <w:r w:rsidR="00E075F6" w:rsidRPr="008B2DDA">
        <w:t>ultérieurement</w:t>
      </w:r>
      <w:r w:rsidR="00BE34D2" w:rsidRPr="008B2DDA">
        <w:t>.</w:t>
      </w:r>
      <w:r w:rsidR="00E075F6" w:rsidRPr="008B2DDA">
        <w:t xml:space="preserve"> </w:t>
      </w:r>
      <w:r w:rsidR="00BE34D2" w:rsidRPr="008B2DDA">
        <w:t xml:space="preserve"> L</w:t>
      </w:r>
      <w:r w:rsidR="00A341C2" w:rsidRPr="008B2DDA">
        <w:t>’</w:t>
      </w:r>
      <w:r w:rsidR="00E075F6" w:rsidRPr="008B2DDA">
        <w:t>article </w:t>
      </w:r>
      <w:r w:rsidR="00BE34D2" w:rsidRPr="008B2DDA">
        <w:t xml:space="preserve">17 </w:t>
      </w:r>
      <w:r w:rsidR="000A05F1" w:rsidRPr="008B2DDA">
        <w:t>doit</w:t>
      </w:r>
      <w:r w:rsidR="00BE34D2" w:rsidRPr="008B2DDA">
        <w:t xml:space="preserve"> être supprimé </w:t>
      </w:r>
      <w:r w:rsidR="000A05F1" w:rsidRPr="008B2DDA">
        <w:t>entièrement afin que les</w:t>
      </w:r>
      <w:r w:rsidR="00BE34D2" w:rsidRPr="008B2DDA">
        <w:t xml:space="preserve"> parties contractantes </w:t>
      </w:r>
      <w:r w:rsidR="000A05F1" w:rsidRPr="008B2DDA">
        <w:t xml:space="preserve">puissent </w:t>
      </w:r>
      <w:r w:rsidR="00BE34D2" w:rsidRPr="008B2DDA">
        <w:t xml:space="preserve">appliquer leurs propres lois nationales et </w:t>
      </w:r>
      <w:r w:rsidR="004F1767" w:rsidRPr="008B2DDA">
        <w:t>pour</w:t>
      </w:r>
      <w:r w:rsidR="00BE34D2" w:rsidRPr="008B2DDA">
        <w:t xml:space="preserve"> éviter de </w:t>
      </w:r>
      <w:r w:rsidR="004F1767" w:rsidRPr="008B2DDA">
        <w:t xml:space="preserve">laisser à penser </w:t>
      </w:r>
      <w:r w:rsidR="00BE34D2" w:rsidRPr="008B2DDA">
        <w:t xml:space="preserve">que les </w:t>
      </w:r>
      <w:r w:rsidR="004F1767" w:rsidRPr="008B2DDA">
        <w:t xml:space="preserve">utilisations antérieures </w:t>
      </w:r>
      <w:r w:rsidR="00BE34D2" w:rsidRPr="008B2DDA">
        <w:t xml:space="preserve">légitimes </w:t>
      </w:r>
      <w:r w:rsidR="004F1767" w:rsidRPr="008B2DDA">
        <w:t>sur</w:t>
      </w:r>
      <w:r w:rsidR="00BE34D2" w:rsidRPr="008B2DDA">
        <w:t xml:space="preserve"> un territoire </w:t>
      </w:r>
      <w:r w:rsidR="004F1767" w:rsidRPr="008B2DDA">
        <w:t xml:space="preserve">deviennent </w:t>
      </w:r>
      <w:r w:rsidR="00BE34D2" w:rsidRPr="008B2DDA">
        <w:t xml:space="preserve">en quelque sorte illégitimes </w:t>
      </w:r>
      <w:r w:rsidR="00BE34D2" w:rsidRPr="008B2DDA">
        <w:lastRenderedPageBreak/>
        <w:t xml:space="preserve">ou </w:t>
      </w:r>
      <w:r w:rsidR="004F1767" w:rsidRPr="008B2DDA">
        <w:t>doivent</w:t>
      </w:r>
      <w:r w:rsidR="00BE34D2" w:rsidRPr="008B2DDA">
        <w:t xml:space="preserve"> </w:t>
      </w:r>
      <w:r w:rsidR="00012DD0" w:rsidRPr="008B2DDA">
        <w:t xml:space="preserve">sinon </w:t>
      </w:r>
      <w:r w:rsidR="00BE34D2" w:rsidRPr="008B2DDA">
        <w:t xml:space="preserve">être </w:t>
      </w:r>
      <w:r w:rsidR="006F54AE" w:rsidRPr="008B2DDA">
        <w:t>annulées</w:t>
      </w:r>
      <w:r w:rsidR="00BE34D2" w:rsidRPr="008B2DDA">
        <w:t xml:space="preserve"> sans </w:t>
      </w:r>
      <w:r w:rsidR="006F54AE" w:rsidRPr="008B2DDA">
        <w:t xml:space="preserve">aucun </w:t>
      </w:r>
      <w:r w:rsidR="00BE34D2" w:rsidRPr="008B2DDA">
        <w:t>recours à des moyens de défense une fois qu</w:t>
      </w:r>
      <w:r w:rsidR="00A341C2" w:rsidRPr="008B2DDA">
        <w:t>’</w:t>
      </w:r>
      <w:r w:rsidR="00BE34D2" w:rsidRPr="008B2DDA">
        <w:t xml:space="preserve">une </w:t>
      </w:r>
      <w:r w:rsidR="00AB2EF0" w:rsidRPr="008B2DDA">
        <w:t>indication géographique</w:t>
      </w:r>
      <w:r w:rsidR="00BE34D2" w:rsidRPr="008B2DDA">
        <w:t xml:space="preserve"> étrangère est protégé</w:t>
      </w:r>
      <w:r w:rsidR="004F1767" w:rsidRPr="008B2DDA">
        <w:t>e</w:t>
      </w:r>
      <w:r w:rsidR="00BE34D2" w:rsidRPr="008B2DDA">
        <w:t xml:space="preserve"> en vertu de l</w:t>
      </w:r>
      <w:r w:rsidR="00A341C2" w:rsidRPr="008B2DDA">
        <w:t>’</w:t>
      </w:r>
      <w:r w:rsidR="00BE34D2" w:rsidRPr="008B2DDA">
        <w:t>accord.</w:t>
      </w:r>
    </w:p>
    <w:p w14:paraId="348265C2" w14:textId="3B95F69D" w:rsidR="007079A8" w:rsidRPr="008B2DDA" w:rsidRDefault="001F705D" w:rsidP="008B2DDA">
      <w:pPr>
        <w:pStyle w:val="ONUMFS"/>
        <w:numPr>
          <w:ilvl w:val="0"/>
          <w:numId w:val="0"/>
        </w:numPr>
      </w:pPr>
      <w:hyperlink w:anchor="Article_19" w:history="1">
        <w:r w:rsidR="006F54AE" w:rsidRPr="00450AF4">
          <w:rPr>
            <w:rStyle w:val="Hyperlink"/>
            <w:b/>
            <w:color w:val="0000FF"/>
          </w:rPr>
          <w:t>Article </w:t>
        </w:r>
        <w:r w:rsidR="00311638" w:rsidRPr="00450AF4">
          <w:rPr>
            <w:rStyle w:val="Hyperlink"/>
            <w:b/>
            <w:color w:val="0000FF"/>
          </w:rPr>
          <w:t>19</w:t>
        </w:r>
      </w:hyperlink>
      <w:r w:rsidR="00311638" w:rsidRPr="008B2DDA">
        <w:rPr>
          <w:b/>
        </w:rPr>
        <w:t xml:space="preserve"> Invalidation</w:t>
      </w:r>
      <w:r w:rsidR="006F54AE" w:rsidRPr="008B2DDA">
        <w:rPr>
          <w:b/>
        </w:rPr>
        <w:t> </w:t>
      </w:r>
      <w:r w:rsidR="00311638" w:rsidRPr="008B2DDA">
        <w:rPr>
          <w:b/>
        </w:rPr>
        <w:t xml:space="preserve">: </w:t>
      </w:r>
      <w:r w:rsidR="00BE34D2" w:rsidRPr="008B2DDA">
        <w:t xml:space="preserve">Si </w:t>
      </w:r>
      <w:r w:rsidR="00A7624B" w:rsidRPr="008B2DDA">
        <w:t>les critères d</w:t>
      </w:r>
      <w:r w:rsidR="00A341C2" w:rsidRPr="008B2DDA">
        <w:t>’</w:t>
      </w:r>
      <w:r w:rsidR="00A7624B" w:rsidRPr="008B2DDA">
        <w:t>atteintes énoncés de façon extrêmement large dans</w:t>
      </w:r>
      <w:r w:rsidR="00BE34D2" w:rsidRPr="008B2DDA">
        <w:t xml:space="preserve"> l</w:t>
      </w:r>
      <w:r w:rsidR="00A341C2" w:rsidRPr="008B2DDA">
        <w:t>’</w:t>
      </w:r>
      <w:r w:rsidR="00BE34D2" w:rsidRPr="008B2DDA">
        <w:t>artic</w:t>
      </w:r>
      <w:r w:rsidR="006F54AE" w:rsidRPr="008B2DDA">
        <w:t>le </w:t>
      </w:r>
      <w:r w:rsidR="00BE34D2" w:rsidRPr="008B2DDA">
        <w:t>11</w:t>
      </w:r>
      <w:r w:rsidR="00A7624B" w:rsidRPr="008B2DDA">
        <w:t xml:space="preserve"> demeurent dans le texte</w:t>
      </w:r>
      <w:r w:rsidR="00BE34D2" w:rsidRPr="008B2DDA">
        <w:t xml:space="preserve">, il est essentiel que </w:t>
      </w:r>
      <w:r w:rsidR="00BC41B5" w:rsidRPr="008B2DDA">
        <w:t xml:space="preserve">les parties intéressées qui sont confrontées à des manœuvres judiciaires telles que </w:t>
      </w:r>
      <w:r w:rsidR="00C94E3B" w:rsidRPr="008B2DDA">
        <w:t>des mises en demeure</w:t>
      </w:r>
      <w:r w:rsidR="00BC41B5" w:rsidRPr="008B2DDA">
        <w:t xml:space="preserve"> ou des actions en justice </w:t>
      </w:r>
      <w:r w:rsidR="00C94E3B" w:rsidRPr="008B2DDA">
        <w:t>invoquant des droits excessifs</w:t>
      </w:r>
      <w:r w:rsidR="00BC41B5" w:rsidRPr="008B2DDA">
        <w:t xml:space="preserve"> disposent de </w:t>
      </w:r>
      <w:r w:rsidR="00BE34D2" w:rsidRPr="008B2DDA">
        <w:t>la possibilité d</w:t>
      </w:r>
      <w:r w:rsidR="00A341C2" w:rsidRPr="008B2DDA">
        <w:t>’</w:t>
      </w:r>
      <w:r w:rsidR="0009427A" w:rsidRPr="008B2DDA">
        <w:t xml:space="preserve">intenter </w:t>
      </w:r>
      <w:r w:rsidR="00BE34D2" w:rsidRPr="008B2DDA">
        <w:t xml:space="preserve">une action </w:t>
      </w:r>
      <w:r w:rsidR="006F54AE" w:rsidRPr="008B2DDA">
        <w:t>d</w:t>
      </w:r>
      <w:r w:rsidR="00A341C2" w:rsidRPr="008B2DDA">
        <w:t>’</w:t>
      </w:r>
      <w:r w:rsidR="006F54AE" w:rsidRPr="008B2DDA">
        <w:t xml:space="preserve">invalidation en vertu de </w:t>
      </w:r>
      <w:r w:rsidR="00BE34D2" w:rsidRPr="008B2DDA">
        <w:t>l</w:t>
      </w:r>
      <w:r w:rsidR="00A341C2" w:rsidRPr="008B2DDA">
        <w:t>’</w:t>
      </w:r>
      <w:r w:rsidR="0050682F" w:rsidRPr="008B2DDA">
        <w:t>article 19 de la p</w:t>
      </w:r>
      <w:r w:rsidR="00BE34D2" w:rsidRPr="008B2DDA">
        <w:t xml:space="preserve">roposition de base. </w:t>
      </w:r>
      <w:r w:rsidR="006F54AE" w:rsidRPr="008B2DDA">
        <w:t xml:space="preserve"> </w:t>
      </w:r>
      <w:r w:rsidR="00BE34D2" w:rsidRPr="008B2DDA">
        <w:t xml:space="preserve">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C94E3B" w:rsidRPr="008B2DDA">
        <w:t>approuvent</w:t>
      </w:r>
      <w:r w:rsidR="006F54AE" w:rsidRPr="008B2DDA">
        <w:t xml:space="preserve"> la variante </w:t>
      </w:r>
      <w:r w:rsidR="00BE34D2" w:rsidRPr="008B2DDA">
        <w:t xml:space="preserve">A, </w:t>
      </w:r>
      <w:r w:rsidR="00C412D8" w:rsidRPr="008B2DDA">
        <w:t>aux termes de laquelle</w:t>
      </w:r>
      <w:r w:rsidR="00C94E3B" w:rsidRPr="008B2DDA">
        <w:t xml:space="preserve"> les motifs possibles d</w:t>
      </w:r>
      <w:r w:rsidR="00A341C2" w:rsidRPr="008B2DDA">
        <w:t>’</w:t>
      </w:r>
      <w:r w:rsidR="00BE34D2" w:rsidRPr="008B2DDA">
        <w:t xml:space="preserve">invalidation </w:t>
      </w:r>
      <w:r w:rsidR="00C94E3B" w:rsidRPr="008B2DDA">
        <w:t>sont subordonnés à</w:t>
      </w:r>
      <w:r w:rsidR="00BE34D2" w:rsidRPr="008B2DDA">
        <w:t xml:space="preserve"> la législation nationale, mais </w:t>
      </w:r>
      <w:r w:rsidR="00C94E3B" w:rsidRPr="008B2DDA">
        <w:t>précise</w:t>
      </w:r>
      <w:r w:rsidR="00BE34D2" w:rsidRPr="008B2DDA">
        <w:t xml:space="preserve"> </w:t>
      </w:r>
      <w:r w:rsidR="00C94E3B" w:rsidRPr="008B2DDA">
        <w:t>que les</w:t>
      </w:r>
      <w:r w:rsidR="00BE34D2" w:rsidRPr="008B2DDA">
        <w:t xml:space="preserve"> </w:t>
      </w:r>
      <w:r w:rsidR="006F54AE" w:rsidRPr="008B2DDA">
        <w:t>titulaires</w:t>
      </w:r>
      <w:r w:rsidR="00BE34D2" w:rsidRPr="008B2DDA">
        <w:t xml:space="preserve"> </w:t>
      </w:r>
      <w:r w:rsidR="00C94E3B" w:rsidRPr="008B2DDA">
        <w:t xml:space="preserve">antérieurs doivent </w:t>
      </w:r>
      <w:r w:rsidR="00C412D8" w:rsidRPr="008B2DDA">
        <w:t>être en mesure d</w:t>
      </w:r>
      <w:r w:rsidR="00A341C2" w:rsidRPr="008B2DDA">
        <w:t>’</w:t>
      </w:r>
      <w:r w:rsidR="00C412D8" w:rsidRPr="008B2DDA">
        <w:t>objecter</w:t>
      </w:r>
      <w:r w:rsidR="00BE34D2" w:rsidRPr="008B2DDA">
        <w:t xml:space="preserve">, comme moyen de défense contre </w:t>
      </w:r>
      <w:r w:rsidR="00C412D8" w:rsidRPr="008B2DDA">
        <w:t>une allégation d</w:t>
      </w:r>
      <w:r w:rsidR="00A341C2" w:rsidRPr="008B2DDA">
        <w:t>’</w:t>
      </w:r>
      <w:r w:rsidR="00C412D8" w:rsidRPr="008B2DDA">
        <w:t xml:space="preserve">atteinte à une </w:t>
      </w:r>
      <w:r w:rsidR="00AB2EF0" w:rsidRPr="008B2DDA">
        <w:t>indication géographique</w:t>
      </w:r>
      <w:r w:rsidR="00BE34D2" w:rsidRPr="008B2DDA">
        <w:t xml:space="preserve">, que leurs droits antérieurs doivent être prioritaires et </w:t>
      </w:r>
      <w:r w:rsidR="006F54AE" w:rsidRPr="008B2DDA">
        <w:t>exclusifs</w:t>
      </w:r>
      <w:r w:rsidR="00BE34D2" w:rsidRPr="008B2DDA">
        <w:t xml:space="preserve">, </w:t>
      </w:r>
      <w:r w:rsidR="00C94E3B" w:rsidRPr="008B2DDA">
        <w:t>puis</w:t>
      </w:r>
      <w:r w:rsidR="00BE34D2" w:rsidRPr="008B2DDA">
        <w:t xml:space="preserve"> pouvoir </w:t>
      </w:r>
      <w:r w:rsidR="00C94E3B" w:rsidRPr="008B2DDA">
        <w:t xml:space="preserve">former une demande </w:t>
      </w:r>
      <w:r w:rsidR="00BE34D2" w:rsidRPr="008B2DDA">
        <w:t xml:space="preserve">reconventionnelle </w:t>
      </w:r>
      <w:r w:rsidR="00C94E3B" w:rsidRPr="008B2DDA">
        <w:t>d</w:t>
      </w:r>
      <w:r w:rsidR="00A341C2" w:rsidRPr="008B2DDA">
        <w:t>’</w:t>
      </w:r>
      <w:r w:rsidR="00C94E3B" w:rsidRPr="008B2DDA">
        <w:t>annulation</w:t>
      </w:r>
      <w:r w:rsidR="00BE34D2" w:rsidRPr="008B2DDA">
        <w:t xml:space="preserve"> des effets de l</w:t>
      </w:r>
      <w:r w:rsidR="00A341C2" w:rsidRPr="008B2DDA">
        <w:t>’</w:t>
      </w:r>
      <w:r w:rsidR="00BE34D2" w:rsidRPr="008B2DDA">
        <w:t>enregistrement de l</w:t>
      </w:r>
      <w:r w:rsidR="00A341C2" w:rsidRPr="008B2DDA">
        <w:t>’</w:t>
      </w:r>
      <w:r w:rsidR="00AB2EF0" w:rsidRPr="008B2DDA">
        <w:t>indication géographique</w:t>
      </w:r>
      <w:r w:rsidR="00BE34D2" w:rsidRPr="008B2DDA">
        <w:t>.</w:t>
      </w:r>
    </w:p>
    <w:p w14:paraId="09869DEB" w14:textId="1F39A845" w:rsidR="007079A8" w:rsidRPr="008B2DDA" w:rsidRDefault="001F705D" w:rsidP="008B2DDA">
      <w:pPr>
        <w:pStyle w:val="ONUMFS"/>
        <w:numPr>
          <w:ilvl w:val="0"/>
          <w:numId w:val="0"/>
        </w:numPr>
      </w:pPr>
      <w:hyperlink w:anchor="Article_13" w:history="1">
        <w:r w:rsidR="006F54AE" w:rsidRPr="00450AF4">
          <w:rPr>
            <w:rStyle w:val="Hyperlink"/>
            <w:b/>
            <w:color w:val="0000FF"/>
          </w:rPr>
          <w:t>Article </w:t>
        </w:r>
        <w:r w:rsidR="00311638" w:rsidRPr="00450AF4">
          <w:rPr>
            <w:rStyle w:val="Hyperlink"/>
            <w:b/>
            <w:color w:val="0000FF"/>
          </w:rPr>
          <w:t>13</w:t>
        </w:r>
        <w:r w:rsidR="006F54AE" w:rsidRPr="00450AF4">
          <w:rPr>
            <w:rStyle w:val="Hyperlink"/>
            <w:b/>
            <w:color w:val="0000FF"/>
          </w:rPr>
          <w:t>.</w:t>
        </w:r>
        <w:r w:rsidR="00311638" w:rsidRPr="00450AF4">
          <w:rPr>
            <w:rStyle w:val="Hyperlink"/>
            <w:b/>
            <w:color w:val="0000FF"/>
          </w:rPr>
          <w:t>1)</w:t>
        </w:r>
      </w:hyperlink>
      <w:r w:rsidR="005C22F0" w:rsidRPr="008B2DDA">
        <w:rPr>
          <w:b/>
        </w:rPr>
        <w:t xml:space="preserve"> </w:t>
      </w:r>
      <w:r w:rsidR="006F54AE" w:rsidRPr="008B2DDA">
        <w:rPr>
          <w:b/>
        </w:rPr>
        <w:t>Droits antérieurs sur des marques </w:t>
      </w:r>
      <w:r w:rsidR="005C22F0" w:rsidRPr="008B2DDA">
        <w:rPr>
          <w:b/>
        </w:rPr>
        <w:t>:</w:t>
      </w:r>
      <w:r w:rsidR="00311638" w:rsidRPr="008B2DDA">
        <w:rPr>
          <w:b/>
        </w:rPr>
        <w:t xml:space="preserve"> </w:t>
      </w:r>
      <w:r w:rsidR="00BE34D2" w:rsidRPr="008B2DDA">
        <w:t xml:space="preserve">Les </w:t>
      </w:r>
      <w:r w:rsidR="005C22F0" w:rsidRPr="008B2DDA">
        <w:t>États</w:t>
      </w:r>
      <w:r w:rsidR="00D67EA4" w:rsidRPr="008B2DDA">
        <w:noBreakHyphen/>
      </w:r>
      <w:r w:rsidR="005C22F0" w:rsidRPr="008B2DDA">
        <w:t xml:space="preserve">Unis </w:t>
      </w:r>
      <w:r w:rsidR="00E26A2C" w:rsidRPr="008B2DDA">
        <w:t>d’Amérique</w:t>
      </w:r>
      <w:r w:rsidR="005C22F0" w:rsidRPr="008B2DDA">
        <w:t xml:space="preserve"> </w:t>
      </w:r>
      <w:r w:rsidR="005A4BAA" w:rsidRPr="008B2DDA">
        <w:t>s</w:t>
      </w:r>
      <w:r w:rsidR="00A341C2" w:rsidRPr="008B2DDA">
        <w:t>’</w:t>
      </w:r>
      <w:r w:rsidR="005A4BAA" w:rsidRPr="008B2DDA">
        <w:t xml:space="preserve">opposent </w:t>
      </w:r>
      <w:r w:rsidR="00C94E3B" w:rsidRPr="008B2DDA">
        <w:t>fermement à</w:t>
      </w:r>
      <w:r w:rsidR="00BE34D2" w:rsidRPr="008B2DDA">
        <w:t xml:space="preserve"> </w:t>
      </w:r>
      <w:r w:rsidR="00C94E3B" w:rsidRPr="008B2DDA">
        <w:t>la variante</w:t>
      </w:r>
      <w:r w:rsidR="00BE34D2" w:rsidRPr="008B2DDA">
        <w:t xml:space="preserve"> A </w:t>
      </w:r>
      <w:r w:rsidR="00C94E3B" w:rsidRPr="008B2DDA">
        <w:t>de</w:t>
      </w:r>
      <w:r w:rsidR="00BE34D2" w:rsidRPr="008B2DDA">
        <w:t xml:space="preserve"> l</w:t>
      </w:r>
      <w:r w:rsidR="00A341C2" w:rsidRPr="008B2DDA">
        <w:t>’</w:t>
      </w:r>
      <w:r w:rsidR="00C94E3B" w:rsidRPr="008B2DDA">
        <w:t>article</w:t>
      </w:r>
      <w:r w:rsidR="00E26A2C" w:rsidRPr="008B2DDA">
        <w:t> </w:t>
      </w:r>
      <w:r w:rsidR="00C94E3B" w:rsidRPr="008B2DDA">
        <w:t>13.</w:t>
      </w:r>
      <w:r w:rsidR="00BE34D2" w:rsidRPr="008B2DDA">
        <w:t xml:space="preserve">1). </w:t>
      </w:r>
      <w:r w:rsidR="00C412D8" w:rsidRPr="008B2DDA">
        <w:t xml:space="preserve"> En effet, la variante </w:t>
      </w:r>
      <w:r w:rsidR="00BE34D2" w:rsidRPr="008B2DDA">
        <w:t xml:space="preserve">A </w:t>
      </w:r>
      <w:r w:rsidR="00C412D8" w:rsidRPr="008B2DDA">
        <w:t>restreint</w:t>
      </w:r>
      <w:r w:rsidR="00BE34D2" w:rsidRPr="008B2DDA">
        <w:t xml:space="preserve"> radicalement </w:t>
      </w:r>
      <w:r w:rsidR="007C3036" w:rsidRPr="008B2DDA">
        <w:t>l</w:t>
      </w:r>
      <w:r w:rsidR="00A341C2" w:rsidRPr="008B2DDA">
        <w:t>’</w:t>
      </w:r>
      <w:r w:rsidR="007C3036" w:rsidRPr="008B2DDA">
        <w:t>étendue</w:t>
      </w:r>
      <w:r w:rsidR="00BE34D2" w:rsidRPr="008B2DDA">
        <w:t xml:space="preserve"> de la protection </w:t>
      </w:r>
      <w:r w:rsidR="00C412D8" w:rsidRPr="008B2DDA">
        <w:t>des marques</w:t>
      </w:r>
      <w:r w:rsidR="00BE34D2" w:rsidRPr="008B2DDA">
        <w:t>.</w:t>
      </w:r>
      <w:r w:rsidR="00C412D8" w:rsidRPr="008B2DDA">
        <w:t xml:space="preserve"> </w:t>
      </w:r>
      <w:r w:rsidR="00BE34D2" w:rsidRPr="008B2DDA">
        <w:t xml:space="preserve"> En particulier, </w:t>
      </w:r>
      <w:r w:rsidR="0034511C" w:rsidRPr="008B2DDA">
        <w:t>la variante</w:t>
      </w:r>
      <w:r w:rsidR="00BE34D2" w:rsidRPr="008B2DDA">
        <w:t xml:space="preserve"> A </w:t>
      </w:r>
      <w:r w:rsidR="0034511C" w:rsidRPr="008B2DDA">
        <w:t>laisse à penser</w:t>
      </w:r>
      <w:r w:rsidR="00BE34D2" w:rsidRPr="008B2DDA">
        <w:t xml:space="preserve"> que la coexistence est la seule issue appropriée </w:t>
      </w:r>
      <w:r w:rsidR="0034511C" w:rsidRPr="008B2DDA">
        <w:t>en cas de</w:t>
      </w:r>
      <w:r w:rsidR="00BE34D2" w:rsidRPr="008B2DDA">
        <w:t xml:space="preserve"> conflit </w:t>
      </w:r>
      <w:r w:rsidR="0034511C" w:rsidRPr="008B2DDA">
        <w:t xml:space="preserve">entre une </w:t>
      </w:r>
      <w:r w:rsidR="00BE34D2" w:rsidRPr="008B2DDA">
        <w:t xml:space="preserve">marque </w:t>
      </w:r>
      <w:r w:rsidR="0034511C" w:rsidRPr="008B2DDA">
        <w:t xml:space="preserve">et une </w:t>
      </w:r>
      <w:r w:rsidR="00AB2EF0" w:rsidRPr="008B2DDA">
        <w:t>indication géographique</w:t>
      </w:r>
      <w:r w:rsidR="00BE34D2" w:rsidRPr="008B2DDA">
        <w:t xml:space="preserve">. </w:t>
      </w:r>
      <w:r w:rsidR="00C412D8" w:rsidRPr="008B2DDA">
        <w:t xml:space="preserve"> </w:t>
      </w:r>
      <w:r w:rsidR="00BE34D2" w:rsidRPr="008B2DDA">
        <w:t xml:space="preserve">Nous </w:t>
      </w:r>
      <w:r w:rsidR="00C412D8" w:rsidRPr="008B2DDA">
        <w:t>pensons</w:t>
      </w:r>
      <w:r w:rsidR="00BE34D2" w:rsidRPr="008B2DDA">
        <w:t xml:space="preserve"> que la coexistence obligatoire </w:t>
      </w:r>
      <w:r w:rsidR="0034511C" w:rsidRPr="008B2DDA">
        <w:t>pèse</w:t>
      </w:r>
      <w:r w:rsidR="00BE34D2" w:rsidRPr="008B2DDA">
        <w:t xml:space="preserve"> indûment </w:t>
      </w:r>
      <w:r w:rsidR="0034511C" w:rsidRPr="008B2DDA">
        <w:t xml:space="preserve">sur les </w:t>
      </w:r>
      <w:r w:rsidR="00BE34D2" w:rsidRPr="008B2DDA">
        <w:t xml:space="preserve">notions de territorialité et </w:t>
      </w:r>
      <w:r w:rsidR="008F220B" w:rsidRPr="008B2DDA">
        <w:t>de</w:t>
      </w:r>
      <w:r w:rsidR="00BE34D2" w:rsidRPr="008B2DDA">
        <w:t xml:space="preserve"> procédure régulière.</w:t>
      </w:r>
    </w:p>
    <w:p w14:paraId="0C64FD11" w14:textId="77B00142" w:rsidR="007079A8" w:rsidRPr="008B2DDA" w:rsidRDefault="00BE34D2" w:rsidP="008B2DDA">
      <w:pPr>
        <w:pStyle w:val="ONUMFS"/>
        <w:numPr>
          <w:ilvl w:val="0"/>
          <w:numId w:val="0"/>
        </w:numPr>
      </w:pPr>
      <w:r w:rsidRPr="008B2DDA">
        <w:t>Cette délégation approuve la variante B de l</w:t>
      </w:r>
      <w:r w:rsidR="00A341C2" w:rsidRPr="008B2DDA">
        <w:t>’</w:t>
      </w:r>
      <w:r w:rsidRPr="008B2DDA">
        <w:t>article </w:t>
      </w:r>
      <w:r w:rsidR="005A4BAA" w:rsidRPr="008B2DDA">
        <w:t>13.</w:t>
      </w:r>
      <w:r w:rsidR="00311638" w:rsidRPr="008B2DDA">
        <w:t>1).</w:t>
      </w:r>
    </w:p>
    <w:p w14:paraId="194D2D99" w14:textId="23D22A93" w:rsidR="007079A8" w:rsidRPr="008B2DDA" w:rsidRDefault="0080323D" w:rsidP="008B2DDA">
      <w:pPr>
        <w:pStyle w:val="Heading3"/>
        <w:rPr>
          <w:b/>
        </w:rPr>
      </w:pPr>
      <w:r w:rsidRPr="008B2DDA">
        <w:rPr>
          <w:b/>
        </w:rPr>
        <w:t>Troisième </w:t>
      </w:r>
      <w:r w:rsidR="005A4BAA" w:rsidRPr="008B2DDA">
        <w:rPr>
          <w:b/>
        </w:rPr>
        <w:t>principe </w:t>
      </w:r>
      <w:r w:rsidRPr="008B2DDA">
        <w:rPr>
          <w:b/>
        </w:rPr>
        <w:t>: l</w:t>
      </w:r>
      <w:r w:rsidR="008F220B" w:rsidRPr="008B2DDA">
        <w:rPr>
          <w:b/>
        </w:rPr>
        <w:t xml:space="preserve">es </w:t>
      </w:r>
      <w:r w:rsidR="00AB2EF0" w:rsidRPr="008B2DDA">
        <w:rPr>
          <w:b/>
        </w:rPr>
        <w:t>indications géographiques</w:t>
      </w:r>
      <w:r w:rsidR="008F220B" w:rsidRPr="008B2DDA">
        <w:rPr>
          <w:b/>
        </w:rPr>
        <w:t xml:space="preserve"> en tant que </w:t>
      </w:r>
      <w:r w:rsidR="00DF6173" w:rsidRPr="008B2DDA">
        <w:rPr>
          <w:b/>
        </w:rPr>
        <w:t xml:space="preserve">droits de </w:t>
      </w:r>
      <w:r w:rsidR="008F220B" w:rsidRPr="008B2DDA">
        <w:rPr>
          <w:b/>
        </w:rPr>
        <w:t>propriété privée</w:t>
      </w:r>
    </w:p>
    <w:p w14:paraId="40DB17CE" w14:textId="77777777" w:rsidR="00471C17" w:rsidRPr="008B2DDA" w:rsidRDefault="00471C17" w:rsidP="008B2DDA"/>
    <w:p w14:paraId="4AC6A0CA" w14:textId="58AFC8F2" w:rsidR="00A76EF8" w:rsidRPr="008B2DDA" w:rsidRDefault="00EE79DD" w:rsidP="008B2DDA">
      <w:pPr>
        <w:pStyle w:val="ONUMFS"/>
        <w:numPr>
          <w:ilvl w:val="0"/>
          <w:numId w:val="0"/>
        </w:numPr>
      </w:pPr>
      <w:r w:rsidRPr="008B2DDA">
        <w:t>La note 6.</w:t>
      </w:r>
      <w:r w:rsidR="00A76EF8" w:rsidRPr="008B2DDA">
        <w:t xml:space="preserve">02 </w:t>
      </w:r>
      <w:r w:rsidRPr="008B2DDA">
        <w:t>du document LI/DC/</w:t>
      </w:r>
      <w:r w:rsidR="00A76EF8" w:rsidRPr="008B2DDA">
        <w:t xml:space="preserve">5 met en évidence </w:t>
      </w:r>
      <w:r w:rsidR="00D96951" w:rsidRPr="008B2DDA">
        <w:t xml:space="preserve">une </w:t>
      </w:r>
      <w:r w:rsidR="0050682F" w:rsidRPr="008B2DDA">
        <w:t>caractéristique</w:t>
      </w:r>
      <w:r w:rsidR="00A76EF8" w:rsidRPr="008B2DDA">
        <w:t xml:space="preserve"> important</w:t>
      </w:r>
      <w:r w:rsidR="00D96951" w:rsidRPr="008B2DDA">
        <w:t>e</w:t>
      </w:r>
      <w:r w:rsidR="00A76EF8" w:rsidRPr="008B2DDA">
        <w:t xml:space="preserve">, mais problématique, </w:t>
      </w:r>
      <w:r w:rsidR="008F220B" w:rsidRPr="008B2DDA">
        <w:t xml:space="preserve">du système de Lisbonne : </w:t>
      </w:r>
      <w:r w:rsidR="00E26A2C" w:rsidRPr="008B2DDA">
        <w:t>“</w:t>
      </w:r>
      <w:r w:rsidR="008F220B" w:rsidRPr="008B2DDA">
        <w:t xml:space="preserve">les </w:t>
      </w:r>
      <w:r w:rsidR="008F220B" w:rsidRPr="008B2DDA">
        <w:rPr>
          <w:szCs w:val="22"/>
        </w:rPr>
        <w:t>enregistrements internationaux selon le système de Lisbonne ne précisent pas le titulaire de l</w:t>
      </w:r>
      <w:r w:rsidR="00A341C2" w:rsidRPr="008B2DDA">
        <w:rPr>
          <w:szCs w:val="22"/>
        </w:rPr>
        <w:t>’</w:t>
      </w:r>
      <w:r w:rsidR="008F220B" w:rsidRPr="008B2DDA">
        <w:rPr>
          <w:szCs w:val="22"/>
        </w:rPr>
        <w:t>enregistrement</w:t>
      </w:r>
      <w:r w:rsidR="001731AC" w:rsidRPr="008B2DDA">
        <w:rPr>
          <w:szCs w:val="22"/>
        </w:rPr>
        <w:t xml:space="preserve"> (…)</w:t>
      </w:r>
      <w:r w:rsidR="00E26A2C" w:rsidRPr="008B2DDA">
        <w:t>”.</w:t>
      </w:r>
      <w:r w:rsidR="008F220B" w:rsidRPr="008B2DDA">
        <w:t xml:space="preserve"> </w:t>
      </w:r>
      <w:r w:rsidR="00A76EF8" w:rsidRPr="008B2DDA">
        <w:t xml:space="preserve"> </w:t>
      </w:r>
      <w:r w:rsidR="001731AC" w:rsidRPr="008B2DDA">
        <w:t>Autrement dit</w:t>
      </w:r>
      <w:r w:rsidR="00A76EF8" w:rsidRPr="008B2DDA">
        <w:t>, le système de Lisbonne pour l</w:t>
      </w:r>
      <w:r w:rsidR="00A341C2" w:rsidRPr="008B2DDA">
        <w:t>’</w:t>
      </w:r>
      <w:r w:rsidR="00A76EF8" w:rsidRPr="008B2DDA">
        <w:t>enregistrement international d</w:t>
      </w:r>
      <w:r w:rsidR="00A341C2" w:rsidRPr="008B2DDA">
        <w:t>’</w:t>
      </w:r>
      <w:r w:rsidR="00A76EF8" w:rsidRPr="008B2DDA">
        <w:t xml:space="preserve">un type de droits de propriété privée </w:t>
      </w:r>
      <w:r w:rsidR="001731AC" w:rsidRPr="008B2DDA">
        <w:t>n</w:t>
      </w:r>
      <w:r w:rsidR="00A341C2" w:rsidRPr="008B2DDA">
        <w:t>’</w:t>
      </w:r>
      <w:r w:rsidR="001731AC" w:rsidRPr="008B2DDA">
        <w:t>identifie pas le titulaire</w:t>
      </w:r>
      <w:r w:rsidR="00A76EF8" w:rsidRPr="008B2DDA">
        <w:t xml:space="preserve"> de la propriété. </w:t>
      </w:r>
      <w:r w:rsidR="001731AC" w:rsidRPr="008B2DDA">
        <w:t xml:space="preserve"> </w:t>
      </w:r>
      <w:r w:rsidR="00A76EF8" w:rsidRPr="008B2DDA">
        <w:t>Ce</w:t>
      </w:r>
      <w:r w:rsidR="001731AC" w:rsidRPr="008B2DDA">
        <w:t>la</w:t>
      </w:r>
      <w:r w:rsidR="00A76EF8" w:rsidRPr="008B2DDA">
        <w:t xml:space="preserve"> est problématique pour plusieurs raisons, mais surtout parce que le titulaire d</w:t>
      </w:r>
      <w:r w:rsidR="00A341C2" w:rsidRPr="008B2DDA">
        <w:t>’</w:t>
      </w:r>
      <w:r w:rsidR="00A76EF8" w:rsidRPr="008B2DDA">
        <w:t>un titre d</w:t>
      </w:r>
      <w:r w:rsidR="00A341C2" w:rsidRPr="008B2DDA">
        <w:t>’</w:t>
      </w:r>
      <w:r w:rsidR="00A76EF8" w:rsidRPr="008B2DDA">
        <w:t xml:space="preserve">enregistrement est généralement reconnu comme ayant le statut juridique devant les tribunaux nationaux et donc </w:t>
      </w:r>
      <w:r w:rsidR="001731AC" w:rsidRPr="008B2DDA">
        <w:t xml:space="preserve">comme ayant </w:t>
      </w:r>
      <w:r w:rsidR="00A76EF8" w:rsidRPr="008B2DDA">
        <w:t xml:space="preserve">la capacité </w:t>
      </w:r>
      <w:r w:rsidR="001731AC" w:rsidRPr="008B2DDA">
        <w:t>d</w:t>
      </w:r>
      <w:r w:rsidR="00A341C2" w:rsidRPr="008B2DDA">
        <w:t>’</w:t>
      </w:r>
      <w:r w:rsidR="001731AC" w:rsidRPr="008B2DDA">
        <w:t>intenter une action pour atteinte</w:t>
      </w:r>
      <w:r w:rsidR="00A76EF8" w:rsidRPr="008B2DDA">
        <w:t xml:space="preserve"> sur la base de ces droits </w:t>
      </w:r>
      <w:r w:rsidR="001731AC" w:rsidRPr="008B2DDA">
        <w:t>d</w:t>
      </w:r>
      <w:r w:rsidR="00A341C2" w:rsidRPr="008B2DDA">
        <w:t>’</w:t>
      </w:r>
      <w:r w:rsidR="001731AC" w:rsidRPr="008B2DDA">
        <w:t>enregistrement</w:t>
      </w:r>
      <w:r w:rsidR="00A76EF8" w:rsidRPr="008B2DDA">
        <w:t>.</w:t>
      </w:r>
      <w:r w:rsidR="001731AC" w:rsidRPr="008B2DDA">
        <w:t xml:space="preserve"> </w:t>
      </w:r>
      <w:r w:rsidR="00A76EF8" w:rsidRPr="008B2DDA">
        <w:t xml:space="preserve"> Les bénéficiaires peuvent ne pas avoir la </w:t>
      </w:r>
      <w:r w:rsidR="001731AC" w:rsidRPr="008B2DDA">
        <w:t>capacité</w:t>
      </w:r>
      <w:r w:rsidR="00A76EF8" w:rsidRPr="008B2DDA">
        <w:t xml:space="preserve"> </w:t>
      </w:r>
      <w:r w:rsidR="001731AC" w:rsidRPr="008B2DDA">
        <w:t>d</w:t>
      </w:r>
      <w:r w:rsidR="00A341C2" w:rsidRPr="008B2DDA">
        <w:t>’</w:t>
      </w:r>
      <w:r w:rsidR="001731AC" w:rsidRPr="008B2DDA">
        <w:t>intenter ce type d</w:t>
      </w:r>
      <w:r w:rsidR="00A341C2" w:rsidRPr="008B2DDA">
        <w:t>’</w:t>
      </w:r>
      <w:r w:rsidR="001731AC" w:rsidRPr="008B2DDA">
        <w:t>action à la lumière des faits présentés</w:t>
      </w:r>
      <w:r w:rsidR="00A76EF8" w:rsidRPr="008B2DDA">
        <w:t>.</w:t>
      </w:r>
      <w:r w:rsidR="001731AC" w:rsidRPr="008B2DDA">
        <w:t xml:space="preserve"> </w:t>
      </w:r>
      <w:r w:rsidR="00A76EF8" w:rsidRPr="008B2DDA">
        <w:t xml:space="preserve"> Une </w:t>
      </w:r>
      <w:r w:rsidR="001C00E1" w:rsidRPr="008B2DDA">
        <w:t>administration</w:t>
      </w:r>
      <w:r w:rsidR="00A76EF8" w:rsidRPr="008B2DDA">
        <w:t xml:space="preserve"> </w:t>
      </w:r>
      <w:r w:rsidR="001731AC" w:rsidRPr="008B2DDA">
        <w:t xml:space="preserve">compétente – une </w:t>
      </w:r>
      <w:r w:rsidR="001C00E1" w:rsidRPr="008B2DDA">
        <w:t>administration</w:t>
      </w:r>
      <w:r w:rsidR="001731AC" w:rsidRPr="008B2DDA">
        <w:t xml:space="preserve"> chargée de l</w:t>
      </w:r>
      <w:r w:rsidR="00A341C2" w:rsidRPr="008B2DDA">
        <w:t>’</w:t>
      </w:r>
      <w:r w:rsidR="00A76EF8" w:rsidRPr="008B2DDA">
        <w:t xml:space="preserve">enregistrement </w:t>
      </w:r>
      <w:r w:rsidR="001731AC" w:rsidRPr="008B2DDA">
        <w:t xml:space="preserve">des </w:t>
      </w:r>
      <w:r w:rsidR="00AB2EF0" w:rsidRPr="008B2DDA">
        <w:t>indications géographiques</w:t>
      </w:r>
      <w:r w:rsidR="001731AC" w:rsidRPr="008B2DDA">
        <w:t xml:space="preserve"> – est </w:t>
      </w:r>
      <w:r w:rsidR="00A76EF8" w:rsidRPr="008B2DDA">
        <w:t>encore moins suscep</w:t>
      </w:r>
      <w:r w:rsidRPr="008B2DDA">
        <w:t>tible</w:t>
      </w:r>
      <w:r w:rsidR="00A76EF8" w:rsidRPr="008B2DDA">
        <w:t xml:space="preserve"> </w:t>
      </w:r>
      <w:r w:rsidR="001731AC" w:rsidRPr="008B2DDA">
        <w:t>de pouvoir intenter une action pour atteinte</w:t>
      </w:r>
      <w:r w:rsidR="00A76EF8" w:rsidRPr="008B2DDA">
        <w:t xml:space="preserve"> devant les tribunaux nationaux, </w:t>
      </w:r>
      <w:r w:rsidR="001731AC" w:rsidRPr="008B2DDA">
        <w:t>sachant qu</w:t>
      </w:r>
      <w:r w:rsidR="00A341C2" w:rsidRPr="008B2DDA">
        <w:t>’</w:t>
      </w:r>
      <w:r w:rsidR="001731AC" w:rsidRPr="008B2DDA">
        <w:t>il y a peu de chances pour qu</w:t>
      </w:r>
      <w:r w:rsidR="00A341C2" w:rsidRPr="008B2DDA">
        <w:t>’</w:t>
      </w:r>
      <w:r w:rsidR="001731AC" w:rsidRPr="008B2DDA">
        <w:t>elle soit le titulaire</w:t>
      </w:r>
      <w:r w:rsidR="00A76EF8" w:rsidRPr="008B2DDA">
        <w:t xml:space="preserve">. </w:t>
      </w:r>
      <w:r w:rsidR="001731AC" w:rsidRPr="008B2DDA">
        <w:t xml:space="preserve"> </w:t>
      </w:r>
      <w:r w:rsidR="00A76EF8" w:rsidRPr="008B2DDA">
        <w:t xml:space="preserve">Cette réalité </w:t>
      </w:r>
      <w:r w:rsidR="003B76A1" w:rsidRPr="008B2DDA">
        <w:t xml:space="preserve">ressort </w:t>
      </w:r>
      <w:r w:rsidR="00A76EF8" w:rsidRPr="008B2DDA">
        <w:t>clairement dans l</w:t>
      </w:r>
      <w:r w:rsidR="00A341C2" w:rsidRPr="008B2DDA">
        <w:t>’</w:t>
      </w:r>
      <w:r w:rsidRPr="008B2DDA">
        <w:t>article 19.</w:t>
      </w:r>
      <w:r w:rsidR="003B76A1" w:rsidRPr="008B2DDA">
        <w:t xml:space="preserve">2), qui permet aux </w:t>
      </w:r>
      <w:r w:rsidR="00A76EF8" w:rsidRPr="008B2DDA">
        <w:t xml:space="preserve">bénéficiaires et </w:t>
      </w:r>
      <w:r w:rsidR="003B76A1" w:rsidRPr="008B2DDA">
        <w:t xml:space="preserve">à </w:t>
      </w:r>
      <w:r w:rsidR="00A76EF8" w:rsidRPr="008B2DDA">
        <w:t>l</w:t>
      </w:r>
      <w:r w:rsidR="00A341C2" w:rsidRPr="008B2DDA">
        <w:t>’</w:t>
      </w:r>
      <w:r w:rsidR="00A76EF8" w:rsidRPr="008B2DDA">
        <w:t>ent</w:t>
      </w:r>
      <w:r w:rsidR="003B76A1" w:rsidRPr="008B2DDA">
        <w:t xml:space="preserve">ité juridique, mais pas à </w:t>
      </w:r>
      <w:r w:rsidR="001C00E1" w:rsidRPr="008B2DDA">
        <w:t>l</w:t>
      </w:r>
      <w:r w:rsidR="00A341C2" w:rsidRPr="008B2DDA">
        <w:t>’</w:t>
      </w:r>
      <w:r w:rsidR="001C00E1" w:rsidRPr="008B2DDA">
        <w:t>administration</w:t>
      </w:r>
      <w:r w:rsidR="003B76A1" w:rsidRPr="008B2DDA">
        <w:t xml:space="preserve"> compétente, </w:t>
      </w:r>
      <w:r w:rsidR="00A76EF8" w:rsidRPr="008B2DDA">
        <w:t xml:space="preserve">de </w:t>
      </w:r>
      <w:r w:rsidR="003B76A1" w:rsidRPr="008B2DDA">
        <w:t>faire valoir</w:t>
      </w:r>
      <w:r w:rsidR="00A76EF8" w:rsidRPr="008B2DDA">
        <w:t xml:space="preserve"> leurs droits dans </w:t>
      </w:r>
      <w:r w:rsidR="003B76A1" w:rsidRPr="008B2DDA">
        <w:t>le cadre d</w:t>
      </w:r>
      <w:r w:rsidR="00A341C2" w:rsidRPr="008B2DDA">
        <w:t>’</w:t>
      </w:r>
      <w:r w:rsidR="003B76A1" w:rsidRPr="008B2DDA">
        <w:t xml:space="preserve">une </w:t>
      </w:r>
      <w:r w:rsidR="00A76EF8" w:rsidRPr="008B2DDA">
        <w:t>procédure d</w:t>
      </w:r>
      <w:r w:rsidR="00A341C2" w:rsidRPr="008B2DDA">
        <w:t>’</w:t>
      </w:r>
      <w:r w:rsidR="00A76EF8" w:rsidRPr="008B2DDA">
        <w:t>invalidation.</w:t>
      </w:r>
    </w:p>
    <w:p w14:paraId="59CE16A9" w14:textId="18969E20" w:rsidR="00A341C2" w:rsidRPr="008B2DDA" w:rsidRDefault="00A76EF8" w:rsidP="008B2DDA">
      <w:pPr>
        <w:pStyle w:val="ONUMFS"/>
        <w:numPr>
          <w:ilvl w:val="0"/>
          <w:numId w:val="0"/>
        </w:numPr>
      </w:pPr>
      <w:r w:rsidRPr="008B2DDA">
        <w:t xml:space="preserve">Si aucun </w:t>
      </w:r>
      <w:r w:rsidR="00D96951" w:rsidRPr="008B2DDA">
        <w:t>titulaire</w:t>
      </w:r>
      <w:r w:rsidRPr="008B2DDA">
        <w:t xml:space="preserve"> </w:t>
      </w:r>
      <w:r w:rsidR="00D96951" w:rsidRPr="008B2DDA">
        <w:t>n</w:t>
      </w:r>
      <w:r w:rsidR="00A341C2" w:rsidRPr="008B2DDA">
        <w:t>’</w:t>
      </w:r>
      <w:r w:rsidRPr="008B2DDA">
        <w:t>est identifié dans l</w:t>
      </w:r>
      <w:r w:rsidR="00A341C2" w:rsidRPr="008B2DDA">
        <w:t>’</w:t>
      </w:r>
      <w:r w:rsidRPr="008B2DDA">
        <w:t xml:space="preserve">enregistrement international, </w:t>
      </w:r>
      <w:r w:rsidR="003B76A1" w:rsidRPr="008B2DDA">
        <w:t>les systèmes d</w:t>
      </w:r>
      <w:r w:rsidR="00A341C2" w:rsidRPr="008B2DDA">
        <w:t>’</w:t>
      </w:r>
      <w:r w:rsidR="00AB2EF0" w:rsidRPr="008B2DDA">
        <w:t>indications géographiques</w:t>
      </w:r>
      <w:r w:rsidR="003B76A1" w:rsidRPr="008B2DDA">
        <w:t xml:space="preserve"> des pays bénéficiaires </w:t>
      </w:r>
      <w:r w:rsidRPr="008B2DDA">
        <w:t>pourraient être néces</w:t>
      </w:r>
      <w:r w:rsidR="00D1278C" w:rsidRPr="008B2DDA">
        <w:t>s</w:t>
      </w:r>
      <w:r w:rsidR="0050682F" w:rsidRPr="008B2DDA">
        <w:t>aires pour permettre à des non</w:t>
      </w:r>
      <w:r w:rsidR="00D67EA4" w:rsidRPr="008B2DDA">
        <w:noBreakHyphen/>
      </w:r>
      <w:r w:rsidRPr="008B2DDA">
        <w:t xml:space="preserve">propriétaires de faire valoir </w:t>
      </w:r>
      <w:r w:rsidR="003B76A1" w:rsidRPr="008B2DDA">
        <w:t>leurs</w:t>
      </w:r>
      <w:r w:rsidRPr="008B2DDA">
        <w:t xml:space="preserve"> droits </w:t>
      </w:r>
      <w:r w:rsidR="003B76A1" w:rsidRPr="008B2DDA">
        <w:t>d</w:t>
      </w:r>
      <w:r w:rsidR="00A341C2" w:rsidRPr="008B2DDA">
        <w:t>’</w:t>
      </w:r>
      <w:r w:rsidR="003B76A1" w:rsidRPr="008B2DDA">
        <w:t>enregistrement</w:t>
      </w:r>
      <w:r w:rsidRPr="008B2DDA">
        <w:t xml:space="preserve">. </w:t>
      </w:r>
      <w:r w:rsidR="003B76A1" w:rsidRPr="008B2DDA">
        <w:t xml:space="preserve"> Étant donné</w:t>
      </w:r>
      <w:r w:rsidRPr="008B2DDA">
        <w:t xml:space="preserve"> que la capacité juridique </w:t>
      </w:r>
      <w:r w:rsidR="00D1278C" w:rsidRPr="008B2DDA">
        <w:t>au sein des</w:t>
      </w:r>
      <w:r w:rsidRPr="008B2DDA">
        <w:t xml:space="preserve"> tribunaux fédéraux des </w:t>
      </w:r>
      <w:r w:rsidR="005C22F0" w:rsidRPr="008B2DDA">
        <w:t>États</w:t>
      </w:r>
      <w:r w:rsidR="00D67EA4" w:rsidRPr="008B2DDA">
        <w:noBreakHyphen/>
      </w:r>
      <w:r w:rsidR="005C22F0" w:rsidRPr="008B2DDA">
        <w:t xml:space="preserve">Unis </w:t>
      </w:r>
      <w:r w:rsidR="00E26A2C" w:rsidRPr="008B2DDA">
        <w:t>d’Amérique</w:t>
      </w:r>
      <w:r w:rsidR="005C22F0" w:rsidRPr="008B2DDA">
        <w:t xml:space="preserve"> </w:t>
      </w:r>
      <w:r w:rsidRPr="008B2DDA">
        <w:t xml:space="preserve">est une exigence </w:t>
      </w:r>
      <w:r w:rsidR="00D1278C" w:rsidRPr="008B2DDA">
        <w:t>juridictionnelle</w:t>
      </w:r>
      <w:r w:rsidRPr="008B2DDA">
        <w:t xml:space="preserve"> qui ne peut pas être automatiquement conféré</w:t>
      </w:r>
      <w:r w:rsidR="003B76A1" w:rsidRPr="008B2DDA">
        <w:t>e</w:t>
      </w:r>
      <w:r w:rsidRPr="008B2DDA">
        <w:t xml:space="preserve"> par le Congrès, </w:t>
      </w:r>
      <w:r w:rsidR="003B76A1" w:rsidRPr="008B2DDA">
        <w:t xml:space="preserve">ce </w:t>
      </w:r>
      <w:r w:rsidRPr="008B2DDA">
        <w:t xml:space="preserve">serait </w:t>
      </w:r>
      <w:r w:rsidR="003B76A1" w:rsidRPr="008B2DDA">
        <w:t xml:space="preserve">une tâche </w:t>
      </w:r>
      <w:r w:rsidRPr="008B2DDA">
        <w:t xml:space="preserve">difficile, voire impossible. </w:t>
      </w:r>
      <w:r w:rsidR="003B76A1" w:rsidRPr="008B2DDA">
        <w:t xml:space="preserve"> </w:t>
      </w:r>
      <w:r w:rsidRPr="008B2DDA">
        <w:t>Bien que nous appréci</w:t>
      </w:r>
      <w:r w:rsidR="00D1278C" w:rsidRPr="008B2DDA">
        <w:t>i</w:t>
      </w:r>
      <w:r w:rsidRPr="008B2DDA">
        <w:t>ons la création d</w:t>
      </w:r>
      <w:r w:rsidR="00A341C2" w:rsidRPr="008B2DDA">
        <w:t>’</w:t>
      </w:r>
      <w:r w:rsidRPr="008B2DDA">
        <w:t xml:space="preserve">une </w:t>
      </w:r>
      <w:r w:rsidR="00977E00" w:rsidRPr="008B2DDA">
        <w:t>variante sur la</w:t>
      </w:r>
      <w:r w:rsidRPr="008B2DDA">
        <w:t xml:space="preserve"> déclaration </w:t>
      </w:r>
      <w:r w:rsidR="00D1278C" w:rsidRPr="008B2DDA">
        <w:t>d</w:t>
      </w:r>
      <w:r w:rsidR="00A341C2" w:rsidRPr="008B2DDA">
        <w:t>’</w:t>
      </w:r>
      <w:r w:rsidR="00D1278C" w:rsidRPr="008B2DDA">
        <w:t>intention dans</w:t>
      </w:r>
      <w:r w:rsidRPr="008B2DDA">
        <w:t xml:space="preserve"> l</w:t>
      </w:r>
      <w:r w:rsidR="00A341C2" w:rsidRPr="008B2DDA">
        <w:t>’</w:t>
      </w:r>
      <w:r w:rsidR="00D1278C" w:rsidRPr="008B2DDA">
        <w:t>article 5.4).</w:t>
      </w:r>
      <w:r w:rsidRPr="008B2DDA">
        <w:t xml:space="preserve">a) </w:t>
      </w:r>
      <w:r w:rsidR="00977E00" w:rsidRPr="008B2DDA">
        <w:t xml:space="preserve">dans la mesure où elle permet de </w:t>
      </w:r>
      <w:r w:rsidRPr="008B2DDA">
        <w:t>résoudre le problème de l</w:t>
      </w:r>
      <w:r w:rsidR="00A341C2" w:rsidRPr="008B2DDA">
        <w:t>’</w:t>
      </w:r>
      <w:r w:rsidRPr="008B2DDA">
        <w:t>incapacité de tr</w:t>
      </w:r>
      <w:r w:rsidR="00D1278C" w:rsidRPr="008B2DDA">
        <w:t xml:space="preserve">ansmettre </w:t>
      </w:r>
      <w:r w:rsidR="00977E00" w:rsidRPr="008B2DDA">
        <w:t>légalement la capacité</w:t>
      </w:r>
      <w:r w:rsidR="0050682F" w:rsidRPr="008B2DDA">
        <w:t xml:space="preserve"> aux non</w:t>
      </w:r>
      <w:r w:rsidR="00D67EA4" w:rsidRPr="008B2DDA">
        <w:noBreakHyphen/>
      </w:r>
      <w:r w:rsidRPr="008B2DDA">
        <w:t xml:space="preserve">propriétaires, une autre </w:t>
      </w:r>
      <w:r w:rsidR="00D1278C" w:rsidRPr="008B2DDA">
        <w:lastRenderedPageBreak/>
        <w:t xml:space="preserve">solution consisterait à </w:t>
      </w:r>
      <w:r w:rsidRPr="008B2DDA">
        <w:t xml:space="preserve">identifier le </w:t>
      </w:r>
      <w:r w:rsidR="00191C1C" w:rsidRPr="008B2DDA">
        <w:t>titulaire comme</w:t>
      </w:r>
      <w:r w:rsidRPr="008B2DDA">
        <w:t xml:space="preserve"> l</w:t>
      </w:r>
      <w:r w:rsidR="00A341C2" w:rsidRPr="008B2DDA">
        <w:t>’</w:t>
      </w:r>
      <w:r w:rsidRPr="008B2DDA">
        <w:t>entité au nom de laquelle la protection dans le pays d</w:t>
      </w:r>
      <w:r w:rsidR="00A341C2" w:rsidRPr="008B2DDA">
        <w:t>’</w:t>
      </w:r>
      <w:r w:rsidRPr="008B2DDA">
        <w:t>origine est accordée</w:t>
      </w:r>
      <w:r w:rsidR="00311638" w:rsidRPr="008B2DDA">
        <w:rPr>
          <w:rStyle w:val="FootnoteReference"/>
          <w:rFonts w:cs="Arial"/>
        </w:rPr>
        <w:footnoteReference w:id="6"/>
      </w:r>
      <w:r w:rsidR="00E26A2C" w:rsidRPr="008B2DDA">
        <w:t>.</w:t>
      </w:r>
    </w:p>
    <w:p w14:paraId="19853665" w14:textId="1A2703AC" w:rsidR="007079A8" w:rsidRPr="008B2DDA" w:rsidRDefault="00A76EF8" w:rsidP="008B2DDA">
      <w:pPr>
        <w:pStyle w:val="ONUMFS"/>
        <w:numPr>
          <w:ilvl w:val="0"/>
          <w:numId w:val="0"/>
        </w:numPr>
      </w:pPr>
      <w:bookmarkStart w:id="4" w:name="Article_5"/>
      <w:r w:rsidRPr="008B2DDA">
        <w:t xml:space="preserve">La discussion </w:t>
      </w:r>
      <w:r w:rsidR="00646D1C" w:rsidRPr="008B2DDA">
        <w:t>ci</w:t>
      </w:r>
      <w:r w:rsidR="00D67EA4" w:rsidRPr="008B2DDA">
        <w:noBreakHyphen/>
      </w:r>
      <w:r w:rsidR="00646D1C" w:rsidRPr="008B2DDA">
        <w:t>après</w:t>
      </w:r>
      <w:r w:rsidRPr="008B2DDA">
        <w:t xml:space="preserve"> </w:t>
      </w:r>
      <w:r w:rsidR="00646D1C" w:rsidRPr="008B2DDA">
        <w:t>vise à proposer</w:t>
      </w:r>
      <w:r w:rsidRPr="008B2DDA">
        <w:t xml:space="preserve"> des solutions aux problèmes </w:t>
      </w:r>
      <w:r w:rsidR="00646D1C" w:rsidRPr="008B2DDA">
        <w:t>du</w:t>
      </w:r>
      <w:r w:rsidRPr="008B2DDA">
        <w:t xml:space="preserve"> modèle existant</w:t>
      </w:r>
      <w:r w:rsidR="00646D1C" w:rsidRPr="008B2DDA">
        <w:t>,</w:t>
      </w:r>
      <w:r w:rsidRPr="008B2DDA">
        <w:t xml:space="preserve"> </w:t>
      </w:r>
      <w:r w:rsidR="00646D1C" w:rsidRPr="008B2DDA">
        <w:t>en vertu duquel le</w:t>
      </w:r>
      <w:r w:rsidRPr="008B2DDA">
        <w:t xml:space="preserve"> gouvernement est autorisé à </w:t>
      </w:r>
      <w:r w:rsidR="00646D1C" w:rsidRPr="008B2DDA">
        <w:t>être le</w:t>
      </w:r>
      <w:r w:rsidRPr="008B2DDA">
        <w:t xml:space="preserve"> </w:t>
      </w:r>
      <w:r w:rsidR="00646D1C" w:rsidRPr="008B2DDA">
        <w:t>mandataire du</w:t>
      </w:r>
      <w:r w:rsidRPr="008B2DDA">
        <w:t xml:space="preserve"> propriétaire et négocie la protection sur les marchés étrangers. </w:t>
      </w:r>
      <w:r w:rsidR="00646D1C" w:rsidRPr="008B2DDA">
        <w:t xml:space="preserve"> </w:t>
      </w:r>
      <w:r w:rsidRPr="008B2DDA">
        <w:t xml:space="preserve">Les modifications </w:t>
      </w:r>
      <w:r w:rsidR="00646D1C" w:rsidRPr="008B2DDA">
        <w:t>visent à recenser</w:t>
      </w:r>
      <w:r w:rsidRPr="008B2DDA">
        <w:t xml:space="preserve"> le </w:t>
      </w:r>
      <w:r w:rsidR="00646D1C" w:rsidRPr="008B2DDA">
        <w:t>titulaire</w:t>
      </w:r>
      <w:r w:rsidRPr="008B2DDA">
        <w:t xml:space="preserve"> de l</w:t>
      </w:r>
      <w:r w:rsidR="00A341C2" w:rsidRPr="008B2DDA">
        <w:t>’</w:t>
      </w:r>
      <w:r w:rsidRPr="008B2DDA">
        <w:t xml:space="preserve">enregistrement international afin de permettre </w:t>
      </w:r>
      <w:r w:rsidR="00646D1C" w:rsidRPr="008B2DDA">
        <w:t>l</w:t>
      </w:r>
      <w:r w:rsidR="00A341C2" w:rsidRPr="008B2DDA">
        <w:t>’</w:t>
      </w:r>
      <w:r w:rsidR="00646D1C" w:rsidRPr="008B2DDA">
        <w:t>adhésion des différents systèmes mondiaux d</w:t>
      </w:r>
      <w:r w:rsidR="00A341C2" w:rsidRPr="008B2DDA">
        <w:t>’</w:t>
      </w:r>
      <w:r w:rsidR="00AB2EF0" w:rsidRPr="008B2DDA">
        <w:t>indications géographiques</w:t>
      </w:r>
      <w:r w:rsidR="00646D1C" w:rsidRPr="008B2DDA">
        <w:t xml:space="preserve"> q</w:t>
      </w:r>
      <w:r w:rsidRPr="008B2DDA">
        <w:t xml:space="preserve">ui sont mis en place comme </w:t>
      </w:r>
      <w:r w:rsidR="00646D1C" w:rsidRPr="008B2DDA">
        <w:t xml:space="preserve">des </w:t>
      </w:r>
      <w:r w:rsidRPr="008B2DDA">
        <w:t>sys</w:t>
      </w:r>
      <w:r w:rsidR="00646D1C" w:rsidRPr="008B2DDA">
        <w:t>tèmes de droits privés (article </w:t>
      </w:r>
      <w:r w:rsidRPr="008B2DDA">
        <w:t xml:space="preserve">5). </w:t>
      </w:r>
      <w:r w:rsidR="00646D1C" w:rsidRPr="008B2DDA">
        <w:t xml:space="preserve"> Nous</w:t>
      </w:r>
      <w:r w:rsidRPr="008B2DDA">
        <w:t xml:space="preserve"> proposons </w:t>
      </w:r>
      <w:r w:rsidR="00646D1C" w:rsidRPr="008B2DDA">
        <w:t xml:space="preserve">également </w:t>
      </w:r>
      <w:r w:rsidRPr="008B2DDA">
        <w:t xml:space="preserve">des </w:t>
      </w:r>
      <w:r w:rsidR="00646D1C" w:rsidRPr="008B2DDA">
        <w:t xml:space="preserve">modifications visant à </w:t>
      </w:r>
      <w:r w:rsidRPr="008B2DDA">
        <w:t xml:space="preserve">créer une </w:t>
      </w:r>
      <w:r w:rsidR="00646D1C" w:rsidRPr="008B2DDA">
        <w:t>variante</w:t>
      </w:r>
      <w:r w:rsidRPr="008B2DDA">
        <w:t xml:space="preserve"> de déclaration qui permettrait aux parties contractantes d</w:t>
      </w:r>
      <w:r w:rsidR="00A341C2" w:rsidRPr="008B2DDA">
        <w:t>’</w:t>
      </w:r>
      <w:r w:rsidRPr="008B2DDA">
        <w:t xml:space="preserve">exiger que le </w:t>
      </w:r>
      <w:r w:rsidR="00B428DD" w:rsidRPr="008B2DDA">
        <w:t>propriétaire</w:t>
      </w:r>
      <w:r w:rsidRPr="008B2DDA">
        <w:t xml:space="preserve"> </w:t>
      </w:r>
      <w:r w:rsidR="00646D1C" w:rsidRPr="008B2DDA">
        <w:t>soit</w:t>
      </w:r>
      <w:r w:rsidRPr="008B2DDA">
        <w:t xml:space="preserve"> identifié comme le </w:t>
      </w:r>
      <w:r w:rsidR="00B428DD" w:rsidRPr="008B2DDA">
        <w:t>déposant</w:t>
      </w:r>
      <w:r w:rsidRPr="008B2DDA">
        <w:t xml:space="preserve"> (</w:t>
      </w:r>
      <w:r w:rsidR="00B428DD" w:rsidRPr="008B2DDA">
        <w:t>règle </w:t>
      </w:r>
      <w:r w:rsidR="00646D1C" w:rsidRPr="008B2DDA">
        <w:t>5.4)</w:t>
      </w:r>
      <w:r w:rsidRPr="008B2DDA">
        <w:t>a)) ainsi qu</w:t>
      </w:r>
      <w:r w:rsidR="00A341C2" w:rsidRPr="008B2DDA">
        <w:t>’</w:t>
      </w:r>
      <w:r w:rsidRPr="008B2DDA">
        <w:t xml:space="preserve">une </w:t>
      </w:r>
      <w:r w:rsidR="00646D1C" w:rsidRPr="008B2DDA">
        <w:t>variante</w:t>
      </w:r>
      <w:r w:rsidRPr="008B2DDA">
        <w:t xml:space="preserve"> de déclaration pour les pays qui exigent </w:t>
      </w:r>
      <w:r w:rsidR="00B428DD" w:rsidRPr="008B2DDA">
        <w:t xml:space="preserve">comme condition de la protection </w:t>
      </w:r>
      <w:r w:rsidRPr="008B2DDA">
        <w:t xml:space="preserve">que le </w:t>
      </w:r>
      <w:r w:rsidR="00B428DD" w:rsidRPr="008B2DDA">
        <w:t>déposant</w:t>
      </w:r>
      <w:r w:rsidRPr="008B2DDA">
        <w:t xml:space="preserve"> </w:t>
      </w:r>
      <w:r w:rsidR="00646D1C" w:rsidRPr="008B2DDA">
        <w:t>ait</w:t>
      </w:r>
      <w:r w:rsidRPr="008B2DDA">
        <w:t xml:space="preserve"> l</w:t>
      </w:r>
      <w:r w:rsidR="00A341C2" w:rsidRPr="008B2DDA">
        <w:t>’</w:t>
      </w:r>
      <w:r w:rsidRPr="008B2DDA">
        <w:t>intention d</w:t>
      </w:r>
      <w:r w:rsidR="00A341C2" w:rsidRPr="008B2DDA">
        <w:t>’</w:t>
      </w:r>
      <w:r w:rsidRPr="008B2DDA">
        <w:t>utiliser l</w:t>
      </w:r>
      <w:r w:rsidR="00A341C2" w:rsidRPr="008B2DDA">
        <w:t>’</w:t>
      </w:r>
      <w:r w:rsidR="00AB2EF0" w:rsidRPr="008B2DDA">
        <w:t>indication géographique</w:t>
      </w:r>
      <w:r w:rsidRPr="008B2DDA">
        <w:t xml:space="preserve"> sur le territoire </w:t>
      </w:r>
      <w:r w:rsidR="00646D1C" w:rsidRPr="008B2DDA">
        <w:t>du</w:t>
      </w:r>
      <w:r w:rsidRPr="008B2DDA">
        <w:t xml:space="preserve"> pays </w:t>
      </w:r>
      <w:r w:rsidR="00646D1C" w:rsidRPr="008B2DDA">
        <w:t xml:space="preserve">bénéficiaire </w:t>
      </w:r>
      <w:r w:rsidRPr="008B2DDA">
        <w:t>(</w:t>
      </w:r>
      <w:r w:rsidR="00B428DD" w:rsidRPr="008B2DDA">
        <w:t>règle</w:t>
      </w:r>
      <w:r w:rsidR="00646D1C" w:rsidRPr="008B2DDA">
        <w:t> 5.4)</w:t>
      </w:r>
      <w:r w:rsidRPr="008B2DDA">
        <w:t>b)).</w:t>
      </w:r>
      <w:r w:rsidR="00646D1C" w:rsidRPr="008B2DDA">
        <w:t xml:space="preserve"> </w:t>
      </w:r>
      <w:r w:rsidRPr="008B2DDA">
        <w:t xml:space="preserve"> </w:t>
      </w:r>
      <w:r w:rsidR="00B428DD" w:rsidRPr="008B2DDA">
        <w:t>La r</w:t>
      </w:r>
      <w:r w:rsidRPr="008B2DDA">
        <w:t xml:space="preserve">econnaissance des </w:t>
      </w:r>
      <w:r w:rsidR="00AB2EF0" w:rsidRPr="008B2DDA">
        <w:t>indications géographiques</w:t>
      </w:r>
      <w:r w:rsidR="00B428DD" w:rsidRPr="008B2DDA">
        <w:t xml:space="preserve"> comme</w:t>
      </w:r>
      <w:r w:rsidRPr="008B2DDA">
        <w:t xml:space="preserve"> droits privés exige la suppression de l</w:t>
      </w:r>
      <w:r w:rsidR="00A341C2" w:rsidRPr="008B2DDA">
        <w:t>’</w:t>
      </w:r>
      <w:r w:rsidR="00646D1C" w:rsidRPr="008B2DDA">
        <w:t>article 16.</w:t>
      </w:r>
      <w:r w:rsidRPr="008B2DDA">
        <w:t xml:space="preserve">2) pour </w:t>
      </w:r>
      <w:r w:rsidR="00B428DD" w:rsidRPr="008B2DDA">
        <w:t xml:space="preserve">éviter de laisser à penser </w:t>
      </w:r>
      <w:r w:rsidRPr="008B2DDA">
        <w:t>qu</w:t>
      </w:r>
      <w:r w:rsidR="00A341C2" w:rsidRPr="008B2DDA">
        <w:t>’</w:t>
      </w:r>
      <w:r w:rsidR="00B428DD" w:rsidRPr="008B2DDA">
        <w:t>une p</w:t>
      </w:r>
      <w:r w:rsidRPr="008B2DDA">
        <w:t>artie contractante doit être considéré</w:t>
      </w:r>
      <w:r w:rsidR="00B428DD" w:rsidRPr="008B2DDA">
        <w:t>e</w:t>
      </w:r>
      <w:r w:rsidRPr="008B2DDA">
        <w:t xml:space="preserve"> comme une partie intéressée dans ce qui est un processus de demande </w:t>
      </w:r>
      <w:r w:rsidRPr="008B2DDA">
        <w:rPr>
          <w:i/>
        </w:rPr>
        <w:t>ex</w:t>
      </w:r>
      <w:r w:rsidR="00E26A2C" w:rsidRPr="008B2DDA">
        <w:rPr>
          <w:i/>
        </w:rPr>
        <w:t> </w:t>
      </w:r>
      <w:r w:rsidRPr="008B2DDA">
        <w:rPr>
          <w:i/>
        </w:rPr>
        <w:t>parte</w:t>
      </w:r>
      <w:r w:rsidRPr="008B2DDA">
        <w:t xml:space="preserve"> entre le </w:t>
      </w:r>
      <w:r w:rsidR="00B428DD" w:rsidRPr="008B2DDA">
        <w:t>déposant</w:t>
      </w:r>
      <w:r w:rsidRPr="008B2DDA">
        <w:t xml:space="preserve"> et </w:t>
      </w:r>
      <w:r w:rsidR="001C00E1" w:rsidRPr="008B2DDA">
        <w:t>l</w:t>
      </w:r>
      <w:r w:rsidR="00A341C2" w:rsidRPr="008B2DDA">
        <w:t>’</w:t>
      </w:r>
      <w:r w:rsidR="001C00E1" w:rsidRPr="008B2DDA">
        <w:t>administration</w:t>
      </w:r>
      <w:r w:rsidRPr="008B2DDA">
        <w:t xml:space="preserve"> compétente dans le pays </w:t>
      </w:r>
      <w:r w:rsidR="00B428DD" w:rsidRPr="008B2DDA">
        <w:t>bénéficiaire</w:t>
      </w:r>
      <w:r w:rsidRPr="008B2DDA">
        <w:t>.</w:t>
      </w:r>
      <w:r w:rsidR="00B428DD" w:rsidRPr="008B2DDA">
        <w:t xml:space="preserve"> </w:t>
      </w:r>
      <w:r w:rsidRPr="008B2DDA">
        <w:t xml:space="preserve"> </w:t>
      </w:r>
      <w:r w:rsidR="00B428DD" w:rsidRPr="008B2DDA">
        <w:t>Le fait de s</w:t>
      </w:r>
      <w:r w:rsidR="00A341C2" w:rsidRPr="008B2DDA">
        <w:t>’</w:t>
      </w:r>
      <w:r w:rsidR="00B428DD" w:rsidRPr="008B2DDA">
        <w:t>éloigner du</w:t>
      </w:r>
      <w:r w:rsidRPr="008B2DDA">
        <w:t xml:space="preserve"> modèle </w:t>
      </w:r>
      <w:r w:rsidR="00B428DD" w:rsidRPr="008B2DDA">
        <w:t xml:space="preserve">de droit </w:t>
      </w:r>
      <w:r w:rsidRPr="008B2DDA">
        <w:t xml:space="preserve">public met en évidence la nécessité </w:t>
      </w:r>
      <w:r w:rsidR="00B428DD" w:rsidRPr="008B2DDA">
        <w:t>de supprimer également les subventions financières dont</w:t>
      </w:r>
      <w:r w:rsidRPr="008B2DDA">
        <w:t xml:space="preserve"> les gouvernements parti</w:t>
      </w:r>
      <w:r w:rsidR="00B428DD" w:rsidRPr="008B2DDA">
        <w:t>es</w:t>
      </w:r>
      <w:r w:rsidRPr="008B2DDA">
        <w:t xml:space="preserve"> </w:t>
      </w:r>
      <w:r w:rsidR="00B428DD" w:rsidRPr="008B2DDA">
        <w:t>à</w:t>
      </w:r>
      <w:r w:rsidRPr="008B2DDA">
        <w:t xml:space="preserve"> l</w:t>
      </w:r>
      <w:r w:rsidR="00A341C2" w:rsidRPr="008B2DDA">
        <w:t>’</w:t>
      </w:r>
      <w:r w:rsidRPr="008B2DDA">
        <w:t xml:space="preserve">Union de Lisbonne ont toujours </w:t>
      </w:r>
      <w:r w:rsidR="00B428DD" w:rsidRPr="008B2DDA">
        <w:t>profité</w:t>
      </w:r>
      <w:r w:rsidRPr="008B2DDA">
        <w:t xml:space="preserve"> p</w:t>
      </w:r>
      <w:r w:rsidR="00B428DD" w:rsidRPr="008B2DDA">
        <w:t xml:space="preserve">our financer les opérations du </w:t>
      </w:r>
      <w:r w:rsidR="00D357CB" w:rsidRPr="008B2DDA">
        <w:t>s</w:t>
      </w:r>
      <w:r w:rsidRPr="008B2DDA">
        <w:t xml:space="preserve">ystème. </w:t>
      </w:r>
      <w:r w:rsidR="00B428DD" w:rsidRPr="008B2DDA">
        <w:t xml:space="preserve"> </w:t>
      </w:r>
      <w:r w:rsidRPr="008B2DDA">
        <w:t xml:space="preserve">Les titulaires qui </w:t>
      </w:r>
      <w:r w:rsidR="00056603" w:rsidRPr="008B2DDA">
        <w:t>tirent avantage de l</w:t>
      </w:r>
      <w:r w:rsidR="00A341C2" w:rsidRPr="008B2DDA">
        <w:t>’</w:t>
      </w:r>
      <w:r w:rsidR="00056603" w:rsidRPr="008B2DDA">
        <w:t>utilisation</w:t>
      </w:r>
      <w:r w:rsidRPr="008B2DDA">
        <w:t xml:space="preserve"> du </w:t>
      </w:r>
      <w:r w:rsidR="0050682F" w:rsidRPr="008B2DDA">
        <w:t>s</w:t>
      </w:r>
      <w:r w:rsidRPr="008B2DDA">
        <w:t xml:space="preserve">ystème de Lisbonne sont ceux qui devraient </w:t>
      </w:r>
      <w:r w:rsidR="00527D88" w:rsidRPr="008B2DDA">
        <w:t>s</w:t>
      </w:r>
      <w:r w:rsidR="00A341C2" w:rsidRPr="008B2DDA">
        <w:t>’</w:t>
      </w:r>
      <w:r w:rsidR="00527D88" w:rsidRPr="008B2DDA">
        <w:t>acquitter des frais d</w:t>
      </w:r>
      <w:r w:rsidR="00A341C2" w:rsidRPr="008B2DDA">
        <w:t>’</w:t>
      </w:r>
      <w:r w:rsidR="00527D88" w:rsidRPr="008B2DDA">
        <w:t xml:space="preserve">acquisition de la </w:t>
      </w:r>
      <w:r w:rsidRPr="008B2DDA">
        <w:t>protection</w:t>
      </w:r>
      <w:r w:rsidR="00E31E39" w:rsidRPr="008B2DDA">
        <w:t>, et non</w:t>
      </w:r>
      <w:r w:rsidRPr="008B2DDA">
        <w:t xml:space="preserve"> l</w:t>
      </w:r>
      <w:r w:rsidR="00A341C2" w:rsidRPr="008B2DDA">
        <w:t>’</w:t>
      </w:r>
      <w:r w:rsidR="00527D88" w:rsidRPr="008B2DDA">
        <w:t xml:space="preserve">OMPI, ni les </w:t>
      </w:r>
      <w:r w:rsidRPr="008B2DDA">
        <w:t>autres systèmes d</w:t>
      </w:r>
      <w:r w:rsidR="00A341C2" w:rsidRPr="008B2DDA">
        <w:t>’</w:t>
      </w:r>
      <w:r w:rsidRPr="008B2DDA">
        <w:t>enregi</w:t>
      </w:r>
      <w:r w:rsidR="00E31E39" w:rsidRPr="008B2DDA">
        <w:t>strement plus largement accepté</w:t>
      </w:r>
      <w:r w:rsidRPr="008B2DDA">
        <w:t xml:space="preserve">s </w:t>
      </w:r>
      <w:r w:rsidR="00527D88" w:rsidRPr="008B2DDA">
        <w:t>ni</w:t>
      </w:r>
      <w:r w:rsidRPr="008B2DDA">
        <w:t xml:space="preserve"> </w:t>
      </w:r>
      <w:r w:rsidR="00E31E39" w:rsidRPr="008B2DDA">
        <w:t>les</w:t>
      </w:r>
      <w:r w:rsidRPr="008B2DDA">
        <w:t xml:space="preserve"> gouv</w:t>
      </w:r>
      <w:r w:rsidR="00B428DD" w:rsidRPr="008B2DDA">
        <w:t>ernements étrangers (article </w:t>
      </w:r>
      <w:r w:rsidRPr="008B2DDA">
        <w:t xml:space="preserve">7, </w:t>
      </w:r>
      <w:r w:rsidR="00B428DD" w:rsidRPr="008B2DDA">
        <w:t>article 24, article </w:t>
      </w:r>
      <w:r w:rsidRPr="008B2DDA">
        <w:t>29)</w:t>
      </w:r>
      <w:r w:rsidR="00311638" w:rsidRPr="008B2DDA">
        <w:rPr>
          <w:rStyle w:val="FootnoteReference"/>
          <w:rFonts w:cs="Arial"/>
        </w:rPr>
        <w:footnoteReference w:id="7"/>
      </w:r>
      <w:r w:rsidR="00E31E39" w:rsidRPr="008B2DDA">
        <w:t>.</w:t>
      </w:r>
    </w:p>
    <w:p w14:paraId="37627D8E" w14:textId="6B507519" w:rsidR="00A76EF8" w:rsidRPr="008B2DDA" w:rsidRDefault="001F705D" w:rsidP="008B2DDA">
      <w:pPr>
        <w:pStyle w:val="ONUMFS"/>
        <w:numPr>
          <w:ilvl w:val="0"/>
          <w:numId w:val="0"/>
        </w:numPr>
      </w:pPr>
      <w:hyperlink w:anchor="Article_5" w:history="1">
        <w:r w:rsidR="005A4BAA" w:rsidRPr="00450AF4">
          <w:rPr>
            <w:rStyle w:val="Hyperlink"/>
            <w:b/>
            <w:color w:val="0000FF"/>
          </w:rPr>
          <w:t>Article 5.</w:t>
        </w:r>
        <w:r w:rsidR="00311638" w:rsidRPr="00450AF4">
          <w:rPr>
            <w:rStyle w:val="Hyperlink"/>
            <w:b/>
            <w:color w:val="0000FF"/>
          </w:rPr>
          <w:t>2)</w:t>
        </w:r>
      </w:hyperlink>
      <w:r w:rsidR="00311638" w:rsidRPr="008B2DDA">
        <w:rPr>
          <w:b/>
        </w:rPr>
        <w:t xml:space="preserve"> </w:t>
      </w:r>
      <w:bookmarkEnd w:id="4"/>
      <w:r w:rsidR="00527D88" w:rsidRPr="008B2DDA">
        <w:rPr>
          <w:b/>
        </w:rPr>
        <w:t>Droit de dépôt </w:t>
      </w:r>
      <w:r w:rsidR="00A76EF8" w:rsidRPr="008B2DDA">
        <w:rPr>
          <w:b/>
        </w:rPr>
        <w:t>:</w:t>
      </w:r>
      <w:r w:rsidR="00A76EF8" w:rsidRPr="008B2DDA">
        <w:t xml:space="preserve"> </w:t>
      </w:r>
      <w:r w:rsidR="001C00E1" w:rsidRPr="008B2DDA">
        <w:t>L</w:t>
      </w:r>
      <w:r w:rsidR="00A341C2" w:rsidRPr="008B2DDA">
        <w:t>’</w:t>
      </w:r>
      <w:r w:rsidR="001C00E1" w:rsidRPr="008B2DDA">
        <w:t>administration</w:t>
      </w:r>
      <w:r w:rsidR="00A76EF8" w:rsidRPr="008B2DDA">
        <w:t xml:space="preserve"> compétente désignée </w:t>
      </w:r>
      <w:r w:rsidR="000D3DA2" w:rsidRPr="008B2DDA">
        <w:t>dans</w:t>
      </w:r>
      <w:r w:rsidR="00A76EF8" w:rsidRPr="008B2DDA">
        <w:t xml:space="preserve"> l</w:t>
      </w:r>
      <w:r w:rsidR="00A341C2" w:rsidRPr="008B2DDA">
        <w:t>’</w:t>
      </w:r>
      <w:r w:rsidR="001C00E1" w:rsidRPr="008B2DDA">
        <w:t>article </w:t>
      </w:r>
      <w:r w:rsidR="007F50DC" w:rsidRPr="008B2DDA">
        <w:t>5 n</w:t>
      </w:r>
      <w:r w:rsidR="00A341C2" w:rsidRPr="008B2DDA">
        <w:t>’</w:t>
      </w:r>
      <w:r w:rsidR="00A76EF8" w:rsidRPr="008B2DDA">
        <w:t>est pas simplement l</w:t>
      </w:r>
      <w:r w:rsidR="00A341C2" w:rsidRPr="008B2DDA">
        <w:t>’</w:t>
      </w:r>
      <w:r w:rsidR="00A76EF8" w:rsidRPr="008B2DDA">
        <w:t>intermédiaire qui transmet la demande internationale au Bureau international</w:t>
      </w:r>
      <w:r w:rsidR="007F50DC" w:rsidRPr="008B2DDA">
        <w:t>;  il s</w:t>
      </w:r>
      <w:r w:rsidR="00A341C2" w:rsidRPr="008B2DDA">
        <w:t>’</w:t>
      </w:r>
      <w:r w:rsidR="007F50DC" w:rsidRPr="008B2DDA">
        <w:t>agit du</w:t>
      </w:r>
      <w:r w:rsidR="00A76EF8" w:rsidRPr="008B2DDA">
        <w:t xml:space="preserve"> déposant </w:t>
      </w:r>
      <w:r w:rsidR="000D3DA2" w:rsidRPr="008B2DDA">
        <w:t>qui agit en qualité de</w:t>
      </w:r>
      <w:r w:rsidR="00A76EF8" w:rsidRPr="008B2DDA">
        <w:t xml:space="preserve"> </w:t>
      </w:r>
      <w:r w:rsidR="00056603" w:rsidRPr="008B2DDA">
        <w:t>mandataire</w:t>
      </w:r>
      <w:r w:rsidR="000D3DA2" w:rsidRPr="008B2DDA">
        <w:t>, ou pour le compte des</w:t>
      </w:r>
      <w:r w:rsidR="00A76EF8" w:rsidRPr="008B2DDA">
        <w:t xml:space="preserve"> bénéfic</w:t>
      </w:r>
      <w:r w:rsidR="00056603" w:rsidRPr="008B2DDA">
        <w:t xml:space="preserve">iaires. </w:t>
      </w:r>
      <w:r w:rsidR="000D3DA2" w:rsidRPr="008B2DDA">
        <w:t xml:space="preserve"> </w:t>
      </w:r>
      <w:r w:rsidR="00277B73" w:rsidRPr="008B2DDA">
        <w:t>Toutefois, la note </w:t>
      </w:r>
      <w:r w:rsidR="00056603" w:rsidRPr="008B2DDA">
        <w:t>6.</w:t>
      </w:r>
      <w:r w:rsidR="00A76EF8" w:rsidRPr="008B2DDA">
        <w:t xml:space="preserve">02 </w:t>
      </w:r>
      <w:r w:rsidR="00056603" w:rsidRPr="008B2DDA">
        <w:t>du document LI/DC/</w:t>
      </w:r>
      <w:r w:rsidR="00A76EF8" w:rsidRPr="008B2DDA">
        <w:t xml:space="preserve">5 </w:t>
      </w:r>
      <w:r w:rsidR="00277B73" w:rsidRPr="008B2DDA">
        <w:t>indique</w:t>
      </w:r>
      <w:r w:rsidR="00A76EF8" w:rsidRPr="008B2DDA">
        <w:t xml:space="preserve"> </w:t>
      </w:r>
      <w:r w:rsidR="00277B73" w:rsidRPr="008B2DDA">
        <w:t>que les enregistrements internationaux ne précisent pas le titulaire de l</w:t>
      </w:r>
      <w:r w:rsidR="00A341C2" w:rsidRPr="008B2DDA">
        <w:t>’</w:t>
      </w:r>
      <w:r w:rsidR="00277B73" w:rsidRPr="008B2DDA">
        <w:t>enregistrement</w:t>
      </w:r>
      <w:r w:rsidR="00A76EF8" w:rsidRPr="008B2DDA">
        <w:t>.</w:t>
      </w:r>
    </w:p>
    <w:p w14:paraId="43803AC0" w14:textId="7FE4B1A4" w:rsidR="007079A8" w:rsidRPr="008B2DDA" w:rsidRDefault="005A4BAA" w:rsidP="008B2DDA">
      <w:pPr>
        <w:pStyle w:val="ONUMFS"/>
        <w:numPr>
          <w:ilvl w:val="0"/>
          <w:numId w:val="0"/>
        </w:numPr>
      </w:pPr>
      <w:r w:rsidRPr="008B2DDA">
        <w:t>L</w:t>
      </w:r>
      <w:r w:rsidR="00A341C2" w:rsidRPr="008B2DDA">
        <w:t>’</w:t>
      </w:r>
      <w:r w:rsidRPr="008B2DDA">
        <w:t>article 5</w:t>
      </w:r>
      <w:r w:rsidR="00277B73" w:rsidRPr="008B2DDA">
        <w:t>.</w:t>
      </w:r>
      <w:r w:rsidR="00A76EF8" w:rsidRPr="008B2DDA">
        <w:t xml:space="preserve">3) </w:t>
      </w:r>
      <w:r w:rsidR="00277B73" w:rsidRPr="008B2DDA">
        <w:t>propose une variante</w:t>
      </w:r>
      <w:r w:rsidR="00A76EF8" w:rsidRPr="008B2DDA">
        <w:t xml:space="preserve"> de déclaration </w:t>
      </w:r>
      <w:r w:rsidR="00277B73" w:rsidRPr="008B2DDA">
        <w:t>afin que</w:t>
      </w:r>
      <w:r w:rsidR="00A76EF8" w:rsidRPr="008B2DDA">
        <w:t xml:space="preserve"> les parties contractantes d</w:t>
      </w:r>
      <w:r w:rsidR="00A341C2" w:rsidRPr="008B2DDA">
        <w:t>’</w:t>
      </w:r>
      <w:r w:rsidR="00A76EF8" w:rsidRPr="008B2DDA">
        <w:t xml:space="preserve">origine </w:t>
      </w:r>
      <w:r w:rsidR="00277B73" w:rsidRPr="008B2DDA">
        <w:t>permettent</w:t>
      </w:r>
      <w:r w:rsidR="00A76EF8" w:rsidRPr="008B2DDA">
        <w:t xml:space="preserve"> aux bénéficiaires ou </w:t>
      </w:r>
      <w:r w:rsidR="00277B73" w:rsidRPr="008B2DDA">
        <w:t xml:space="preserve">aux personnes </w:t>
      </w:r>
      <w:r w:rsidR="00A76EF8" w:rsidRPr="008B2DDA">
        <w:t xml:space="preserve">morales </w:t>
      </w:r>
      <w:r w:rsidR="0050682F" w:rsidRPr="008B2DDA">
        <w:t>habilitées</w:t>
      </w:r>
      <w:r w:rsidR="00277B73" w:rsidRPr="008B2DDA">
        <w:t xml:space="preserve"> à revendiquer les droits des </w:t>
      </w:r>
      <w:r w:rsidR="00A76EF8" w:rsidRPr="008B2DDA">
        <w:t xml:space="preserve">bénéficiaires de déposer la demande </w:t>
      </w:r>
      <w:r w:rsidR="00277B73" w:rsidRPr="008B2DDA">
        <w:t>d</w:t>
      </w:r>
      <w:r w:rsidR="00A341C2" w:rsidRPr="008B2DDA">
        <w:t>’</w:t>
      </w:r>
      <w:r w:rsidR="00277B73" w:rsidRPr="008B2DDA">
        <w:t>enregistrement international</w:t>
      </w:r>
      <w:r w:rsidR="00A76EF8" w:rsidRPr="008B2DDA">
        <w:t xml:space="preserve"> directement </w:t>
      </w:r>
      <w:r w:rsidR="00277B73" w:rsidRPr="008B2DDA">
        <w:t>auprès du Bureau international</w:t>
      </w:r>
      <w:r w:rsidR="00A76EF8" w:rsidRPr="008B2DDA">
        <w:t>.</w:t>
      </w:r>
      <w:r w:rsidR="00277B73" w:rsidRPr="008B2DDA">
        <w:t xml:space="preserve"> </w:t>
      </w:r>
      <w:r w:rsidR="00A76EF8" w:rsidRPr="008B2DDA">
        <w:t xml:space="preserve"> Cette construction offre </w:t>
      </w:r>
      <w:r w:rsidR="00277B73" w:rsidRPr="008B2DDA">
        <w:t>de la souplesse</w:t>
      </w:r>
      <w:r w:rsidR="00A76EF8" w:rsidRPr="008B2DDA">
        <w:t xml:space="preserve"> au stade </w:t>
      </w:r>
      <w:r w:rsidR="00277B73" w:rsidRPr="008B2DDA">
        <w:t xml:space="preserve">du </w:t>
      </w:r>
      <w:r w:rsidR="00A76EF8" w:rsidRPr="008B2DDA">
        <w:t xml:space="preserve">dépôt de la demande pour </w:t>
      </w:r>
      <w:r w:rsidR="00277B73" w:rsidRPr="008B2DDA">
        <w:t>le système national d</w:t>
      </w:r>
      <w:r w:rsidR="00A341C2" w:rsidRPr="008B2DDA">
        <w:t>’</w:t>
      </w:r>
      <w:r w:rsidR="00277B73" w:rsidRPr="008B2DDA">
        <w:t>un pays d</w:t>
      </w:r>
      <w:r w:rsidR="00A341C2" w:rsidRPr="008B2DDA">
        <w:t>’</w:t>
      </w:r>
      <w:r w:rsidR="00A76EF8" w:rsidRPr="008B2DDA">
        <w:t xml:space="preserve">origine qui reconnaît </w:t>
      </w:r>
      <w:r w:rsidR="00277B73" w:rsidRPr="008B2DDA">
        <w:t xml:space="preserve">les </w:t>
      </w:r>
      <w:r w:rsidR="00AB2EF0" w:rsidRPr="008B2DDA">
        <w:t>indications géographiques</w:t>
      </w:r>
      <w:r w:rsidR="00A76EF8" w:rsidRPr="008B2DDA">
        <w:t xml:space="preserve"> </w:t>
      </w:r>
      <w:r w:rsidR="00277B73" w:rsidRPr="008B2DDA">
        <w:t>comme des droits privés</w:t>
      </w:r>
      <w:r w:rsidR="00A76EF8" w:rsidRPr="008B2DDA">
        <w:t>.</w:t>
      </w:r>
      <w:r w:rsidR="00277B73" w:rsidRPr="008B2DDA">
        <w:t xml:space="preserve"> </w:t>
      </w:r>
      <w:r w:rsidR="00A76EF8" w:rsidRPr="008B2DDA">
        <w:t xml:space="preserve"> </w:t>
      </w:r>
      <w:r w:rsidR="00277B73" w:rsidRPr="008B2DDA">
        <w:t>Toutefois, elle</w:t>
      </w:r>
      <w:r w:rsidR="00A76EF8" w:rsidRPr="008B2DDA">
        <w:t xml:space="preserve"> ne résout pas le problème </w:t>
      </w:r>
      <w:r w:rsidR="00277B73" w:rsidRPr="008B2DDA">
        <w:t>des</w:t>
      </w:r>
      <w:r w:rsidR="00A76EF8" w:rsidRPr="008B2DDA">
        <w:t xml:space="preserve"> pays </w:t>
      </w:r>
      <w:r w:rsidR="00277B73" w:rsidRPr="008B2DDA">
        <w:t>reconnaissant les</w:t>
      </w:r>
      <w:r w:rsidR="00A76EF8" w:rsidRPr="008B2DDA">
        <w:t xml:space="preserve"> </w:t>
      </w:r>
      <w:r w:rsidR="00AB2EF0" w:rsidRPr="008B2DDA">
        <w:t>indications géographiques</w:t>
      </w:r>
      <w:r w:rsidR="00A76EF8" w:rsidRPr="008B2DDA">
        <w:t xml:space="preserve"> comme des droits privés qui recevront </w:t>
      </w:r>
      <w:r w:rsidR="00277B73" w:rsidRPr="008B2DDA">
        <w:t>des</w:t>
      </w:r>
      <w:r w:rsidR="00A76EF8" w:rsidRPr="008B2DDA">
        <w:t xml:space="preserve"> notifications d</w:t>
      </w:r>
      <w:r w:rsidR="00A341C2" w:rsidRPr="008B2DDA">
        <w:t>’</w:t>
      </w:r>
      <w:r w:rsidR="00A76EF8" w:rsidRPr="008B2DDA">
        <w:t xml:space="preserve">enregistrements </w:t>
      </w:r>
      <w:r w:rsidR="00277B73" w:rsidRPr="008B2DDA">
        <w:t>de demandes internationales</w:t>
      </w:r>
      <w:r w:rsidR="00A76EF8" w:rsidRPr="008B2DDA">
        <w:t xml:space="preserve"> </w:t>
      </w:r>
      <w:r w:rsidR="00277B73" w:rsidRPr="008B2DDA">
        <w:t>non assorties d</w:t>
      </w:r>
      <w:r w:rsidR="00A341C2" w:rsidRPr="008B2DDA">
        <w:t>’</w:t>
      </w:r>
      <w:r w:rsidR="00277B73" w:rsidRPr="008B2DDA">
        <w:t xml:space="preserve">un nom de </w:t>
      </w:r>
      <w:r w:rsidR="00A76EF8" w:rsidRPr="008B2DDA">
        <w:t>titulaire</w:t>
      </w:r>
      <w:r w:rsidR="00311638" w:rsidRPr="008B2DDA">
        <w:t>.</w:t>
      </w:r>
    </w:p>
    <w:p w14:paraId="771FDA5C" w14:textId="66AD6348" w:rsidR="00C23F65" w:rsidRPr="008B2DDA" w:rsidRDefault="00C23F65" w:rsidP="008B2DDA">
      <w:pPr>
        <w:pStyle w:val="ONUMFS"/>
        <w:numPr>
          <w:ilvl w:val="0"/>
          <w:numId w:val="0"/>
        </w:numPr>
      </w:pPr>
      <w:r w:rsidRPr="008B2DDA">
        <w:t>Aux États</w:t>
      </w:r>
      <w:r w:rsidR="00D67EA4" w:rsidRPr="008B2DDA">
        <w:noBreakHyphen/>
      </w:r>
      <w:r w:rsidRPr="008B2DDA">
        <w:t>Unis</w:t>
      </w:r>
      <w:r w:rsidR="00E26A2C" w:rsidRPr="008B2DDA">
        <w:t xml:space="preserve"> d’Amérique</w:t>
      </w:r>
      <w:r w:rsidRPr="008B2DDA">
        <w:t xml:space="preserve">, les </w:t>
      </w:r>
      <w:r w:rsidR="00277B73" w:rsidRPr="008B2DDA">
        <w:t>indications d</w:t>
      </w:r>
      <w:r w:rsidR="00A341C2" w:rsidRPr="008B2DDA">
        <w:t>’</w:t>
      </w:r>
      <w:r w:rsidR="00277B73" w:rsidRPr="008B2DDA">
        <w:t>une</w:t>
      </w:r>
      <w:r w:rsidRPr="008B2DDA">
        <w:t xml:space="preserve"> source géographiques peuvent être protégées </w:t>
      </w:r>
      <w:r w:rsidR="00744FFC" w:rsidRPr="008B2DDA">
        <w:t xml:space="preserve">en tant que </w:t>
      </w:r>
      <w:r w:rsidR="00277B73" w:rsidRPr="008B2DDA">
        <w:t>marques afin que</w:t>
      </w:r>
      <w:r w:rsidRPr="008B2DDA">
        <w:t xml:space="preserve"> </w:t>
      </w:r>
      <w:r w:rsidR="0009427A" w:rsidRPr="008B2DDA">
        <w:t xml:space="preserve">les </w:t>
      </w:r>
      <w:r w:rsidRPr="008B2DDA">
        <w:t xml:space="preserve">différentes structures de propriété </w:t>
      </w:r>
      <w:r w:rsidR="00277B73" w:rsidRPr="008B2DDA">
        <w:t xml:space="preserve">des </w:t>
      </w:r>
      <w:r w:rsidR="00AB2EF0" w:rsidRPr="008B2DDA">
        <w:t>indications géographiques</w:t>
      </w:r>
      <w:r w:rsidRPr="008B2DDA">
        <w:t xml:space="preserve"> </w:t>
      </w:r>
      <w:r w:rsidR="00C935F0" w:rsidRPr="008B2DDA">
        <w:t>présentes dans le</w:t>
      </w:r>
      <w:r w:rsidR="0009427A" w:rsidRPr="008B2DDA">
        <w:t xml:space="preserve"> monde </w:t>
      </w:r>
      <w:r w:rsidR="00277B73" w:rsidRPr="008B2DDA">
        <w:t xml:space="preserve">puissent </w:t>
      </w:r>
      <w:r w:rsidR="00744FFC" w:rsidRPr="008B2DDA">
        <w:t>être conciliées</w:t>
      </w:r>
      <w:r w:rsidRPr="008B2DDA">
        <w:t xml:space="preserve">. </w:t>
      </w:r>
      <w:r w:rsidR="00277B73" w:rsidRPr="008B2DDA">
        <w:t xml:space="preserve"> </w:t>
      </w:r>
      <w:r w:rsidRPr="008B2DDA">
        <w:t>Si l</w:t>
      </w:r>
      <w:r w:rsidR="00A341C2" w:rsidRPr="008B2DDA">
        <w:t>’</w:t>
      </w:r>
      <w:r w:rsidR="00AB2EF0" w:rsidRPr="008B2DDA">
        <w:t>indication géographique</w:t>
      </w:r>
      <w:r w:rsidRPr="008B2DDA">
        <w:t xml:space="preserve"> est protégée en tant que marque, le </w:t>
      </w:r>
      <w:r w:rsidR="00744FFC" w:rsidRPr="008B2DDA">
        <w:t>titulaire</w:t>
      </w:r>
      <w:r w:rsidRPr="008B2DDA">
        <w:t xml:space="preserve"> est le collectif ou le concédant. </w:t>
      </w:r>
      <w:r w:rsidR="00744FFC" w:rsidRPr="008B2DDA">
        <w:t xml:space="preserve"> Si elle est </w:t>
      </w:r>
      <w:r w:rsidRPr="008B2DDA">
        <w:t>protégé</w:t>
      </w:r>
      <w:r w:rsidR="00744FFC" w:rsidRPr="008B2DDA">
        <w:t>e</w:t>
      </w:r>
      <w:r w:rsidRPr="008B2DDA">
        <w:t xml:space="preserve"> en tant que marque collective, le </w:t>
      </w:r>
      <w:r w:rsidR="00744FFC" w:rsidRPr="008B2DDA">
        <w:t>titulaire</w:t>
      </w:r>
      <w:r w:rsidRPr="008B2DDA">
        <w:t xml:space="preserve"> est le groupement de producteurs. </w:t>
      </w:r>
      <w:r w:rsidR="00744FFC" w:rsidRPr="008B2DDA">
        <w:t xml:space="preserve"> Si elle est protégée </w:t>
      </w:r>
      <w:r w:rsidRPr="008B2DDA">
        <w:t xml:space="preserve">en tant que marque de certification, le </w:t>
      </w:r>
      <w:r w:rsidR="00744FFC" w:rsidRPr="008B2DDA">
        <w:t>titulaire</w:t>
      </w:r>
      <w:r w:rsidRPr="008B2DDA">
        <w:t xml:space="preserve"> est le certificateur.</w:t>
      </w:r>
      <w:r w:rsidR="00744FFC" w:rsidRPr="008B2DDA">
        <w:t xml:space="preserve"> </w:t>
      </w:r>
      <w:r w:rsidRPr="008B2DDA">
        <w:t xml:space="preserve"> L</w:t>
      </w:r>
      <w:r w:rsidR="00A341C2" w:rsidRPr="008B2DDA">
        <w:t>’</w:t>
      </w:r>
      <w:r w:rsidR="00BE2682" w:rsidRPr="008B2DDA">
        <w:t>État</w:t>
      </w:r>
      <w:r w:rsidRPr="008B2DDA">
        <w:t xml:space="preserve"> ou </w:t>
      </w:r>
      <w:r w:rsidR="001C00E1" w:rsidRPr="008B2DDA">
        <w:t>l</w:t>
      </w:r>
      <w:r w:rsidR="00A341C2" w:rsidRPr="008B2DDA">
        <w:t>’</w:t>
      </w:r>
      <w:r w:rsidR="001C00E1" w:rsidRPr="008B2DDA">
        <w:t>administration</w:t>
      </w:r>
      <w:r w:rsidRPr="008B2DDA">
        <w:t xml:space="preserve"> compétente peuvent être </w:t>
      </w:r>
      <w:r w:rsidR="0009427A" w:rsidRPr="008B2DDA">
        <w:t>titulaires</w:t>
      </w:r>
      <w:r w:rsidRPr="008B2DDA">
        <w:t xml:space="preserve"> de la marque</w:t>
      </w:r>
      <w:r w:rsidR="00AB2EF0" w:rsidRPr="008B2DDA">
        <w:t xml:space="preserve"> ou </w:t>
      </w:r>
      <w:r w:rsidR="0009427A" w:rsidRPr="008B2DDA">
        <w:t xml:space="preserve">de </w:t>
      </w:r>
      <w:r w:rsidR="00744FFC" w:rsidRPr="008B2DDA">
        <w:t>l</w:t>
      </w:r>
      <w:r w:rsidR="00A341C2" w:rsidRPr="008B2DDA">
        <w:t>’</w:t>
      </w:r>
      <w:r w:rsidR="00AB2EF0" w:rsidRPr="008B2DDA">
        <w:t>indication géographique</w:t>
      </w:r>
      <w:r w:rsidRPr="008B2DDA">
        <w:t xml:space="preserve"> </w:t>
      </w:r>
      <w:r w:rsidR="0009427A" w:rsidRPr="008B2DDA">
        <w:t>s</w:t>
      </w:r>
      <w:r w:rsidR="00A341C2" w:rsidRPr="008B2DDA">
        <w:t>’</w:t>
      </w:r>
      <w:r w:rsidR="0009427A" w:rsidRPr="008B2DDA">
        <w:t xml:space="preserve">ils contrôlent </w:t>
      </w:r>
      <w:r w:rsidRPr="008B2DDA">
        <w:t>l</w:t>
      </w:r>
      <w:r w:rsidR="00A341C2" w:rsidRPr="008B2DDA">
        <w:t>’</w:t>
      </w:r>
      <w:r w:rsidRPr="008B2DDA">
        <w:t xml:space="preserve">utilisation de la marque par des tiers. </w:t>
      </w:r>
      <w:r w:rsidR="0009427A" w:rsidRPr="008B2DDA">
        <w:t xml:space="preserve"> Les</w:t>
      </w:r>
      <w:r w:rsidRPr="008B2DDA">
        <w:t xml:space="preserve"> entités énumérées </w:t>
      </w:r>
      <w:r w:rsidR="0009427A" w:rsidRPr="008B2DDA">
        <w:t>dans</w:t>
      </w:r>
      <w:r w:rsidRPr="008B2DDA">
        <w:t xml:space="preserve"> l</w:t>
      </w:r>
      <w:r w:rsidR="00A341C2" w:rsidRPr="008B2DDA">
        <w:t>’</w:t>
      </w:r>
      <w:r w:rsidR="00277B73" w:rsidRPr="008B2DDA">
        <w:t>article 5.</w:t>
      </w:r>
      <w:r w:rsidRPr="008B2DDA">
        <w:t xml:space="preserve">2) </w:t>
      </w:r>
      <w:r w:rsidR="0009427A" w:rsidRPr="008B2DDA">
        <w:t xml:space="preserve">peuvent donc </w:t>
      </w:r>
      <w:r w:rsidRPr="008B2DDA">
        <w:t xml:space="preserve">être à la fois </w:t>
      </w:r>
      <w:r w:rsidR="0009427A" w:rsidRPr="008B2DDA">
        <w:t>le déposant</w:t>
      </w:r>
      <w:r w:rsidRPr="008B2DDA">
        <w:t xml:space="preserve"> et</w:t>
      </w:r>
      <w:r w:rsidR="0009427A" w:rsidRPr="008B2DDA">
        <w:t xml:space="preserve"> le titulaire</w:t>
      </w:r>
      <w:r w:rsidRPr="008B2DDA">
        <w:t>,</w:t>
      </w:r>
      <w:r w:rsidR="0009427A" w:rsidRPr="008B2DDA">
        <w:t xml:space="preserve"> mais cela dépendra</w:t>
      </w:r>
      <w:r w:rsidRPr="008B2DDA">
        <w:t xml:space="preserve"> des faits </w:t>
      </w:r>
      <w:r w:rsidR="0009427A" w:rsidRPr="008B2DDA">
        <w:t>dans</w:t>
      </w:r>
      <w:r w:rsidRPr="008B2DDA">
        <w:t xml:space="preserve"> ce cas particulier. </w:t>
      </w:r>
      <w:r w:rsidR="0009427A" w:rsidRPr="008B2DDA">
        <w:t xml:space="preserve"> </w:t>
      </w:r>
      <w:r w:rsidRPr="008B2DDA">
        <w:t>Cependant, aux États</w:t>
      </w:r>
      <w:r w:rsidR="00D67EA4" w:rsidRPr="008B2DDA">
        <w:noBreakHyphen/>
      </w:r>
      <w:r w:rsidRPr="008B2DDA">
        <w:t>Unis</w:t>
      </w:r>
      <w:r w:rsidR="00E26A2C" w:rsidRPr="008B2DDA">
        <w:t xml:space="preserve"> d’Amérique</w:t>
      </w:r>
      <w:r w:rsidRPr="008B2DDA">
        <w:t>, le titulaire de l</w:t>
      </w:r>
      <w:r w:rsidR="00A341C2" w:rsidRPr="008B2DDA">
        <w:t>’</w:t>
      </w:r>
      <w:r w:rsidRPr="008B2DDA">
        <w:t>enregistrement international doit être identifié</w:t>
      </w:r>
      <w:r w:rsidR="0009427A" w:rsidRPr="008B2DDA">
        <w:t>,</w:t>
      </w:r>
      <w:r w:rsidRPr="008B2DDA">
        <w:t xml:space="preserve"> et le </w:t>
      </w:r>
      <w:r w:rsidR="0009427A" w:rsidRPr="008B2DDA">
        <w:t>déposant</w:t>
      </w:r>
      <w:r w:rsidRPr="008B2DDA">
        <w:t xml:space="preserve"> doit être le</w:t>
      </w:r>
      <w:r w:rsidR="0009427A" w:rsidRPr="008B2DDA">
        <w:t xml:space="preserve"> titulaire</w:t>
      </w:r>
      <w:r w:rsidRPr="008B2DDA">
        <w:t xml:space="preserve">. </w:t>
      </w:r>
      <w:r w:rsidR="0009427A" w:rsidRPr="008B2DDA">
        <w:t xml:space="preserve"> Cela permet</w:t>
      </w:r>
      <w:r w:rsidRPr="008B2DDA">
        <w:t xml:space="preserve"> </w:t>
      </w:r>
      <w:r w:rsidR="0009427A" w:rsidRPr="008B2DDA">
        <w:t xml:space="preserve">de garantir que le </w:t>
      </w:r>
      <w:r w:rsidRPr="008B2DDA">
        <w:t xml:space="preserve">titulaire </w:t>
      </w:r>
      <w:r w:rsidR="0009427A" w:rsidRPr="008B2DDA">
        <w:t xml:space="preserve">a la capacité </w:t>
      </w:r>
      <w:r w:rsidR="0009427A" w:rsidRPr="008B2DDA">
        <w:lastRenderedPageBreak/>
        <w:t>d</w:t>
      </w:r>
      <w:r w:rsidR="00A341C2" w:rsidRPr="008B2DDA">
        <w:t>’</w:t>
      </w:r>
      <w:r w:rsidRPr="008B2DDA">
        <w:t xml:space="preserve">intenter une action </w:t>
      </w:r>
      <w:r w:rsidR="0009427A" w:rsidRPr="008B2DDA">
        <w:t>pour atteinte</w:t>
      </w:r>
      <w:r w:rsidRPr="008B2DDA">
        <w:t xml:space="preserve"> devant les tribunaux nationaux sur </w:t>
      </w:r>
      <w:r w:rsidR="0009427A" w:rsidRPr="008B2DDA">
        <w:t xml:space="preserve">la base de </w:t>
      </w:r>
      <w:r w:rsidRPr="008B2DDA">
        <w:t>l</w:t>
      </w:r>
      <w:r w:rsidR="00A341C2" w:rsidRPr="008B2DDA">
        <w:t>’</w:t>
      </w:r>
      <w:r w:rsidRPr="008B2DDA">
        <w:t>enregistrement.</w:t>
      </w:r>
    </w:p>
    <w:p w14:paraId="14E07C1C" w14:textId="296D1AD0" w:rsidR="007079A8" w:rsidRPr="008B2DDA" w:rsidRDefault="00C23F65" w:rsidP="008B2DDA">
      <w:pPr>
        <w:pStyle w:val="ONUMFS"/>
        <w:numPr>
          <w:ilvl w:val="0"/>
          <w:numId w:val="0"/>
        </w:numPr>
      </w:pPr>
      <w:r w:rsidRPr="008B2DDA">
        <w:t xml:space="preserve">Nous demandons instamment </w:t>
      </w:r>
      <w:r w:rsidR="0009427A" w:rsidRPr="008B2DDA">
        <w:t xml:space="preserve">la modification de </w:t>
      </w:r>
      <w:r w:rsidRPr="008B2DDA">
        <w:t>l</w:t>
      </w:r>
      <w:r w:rsidR="00A341C2" w:rsidRPr="008B2DDA">
        <w:t>’</w:t>
      </w:r>
      <w:r w:rsidRPr="008B2DDA">
        <w:t>article</w:t>
      </w:r>
      <w:r w:rsidR="0009427A" w:rsidRPr="008B2DDA">
        <w:t> </w:t>
      </w:r>
      <w:r w:rsidRPr="008B2DDA">
        <w:t xml:space="preserve">5 de sorte que le </w:t>
      </w:r>
      <w:r w:rsidR="0009427A" w:rsidRPr="008B2DDA">
        <w:t>déposant</w:t>
      </w:r>
      <w:r w:rsidRPr="008B2DDA">
        <w:t xml:space="preserve"> </w:t>
      </w:r>
      <w:r w:rsidR="0009427A" w:rsidRPr="008B2DDA">
        <w:t>soit</w:t>
      </w:r>
      <w:r w:rsidRPr="008B2DDA">
        <w:t xml:space="preserve"> nommé</w:t>
      </w:r>
      <w:r w:rsidR="0009427A" w:rsidRPr="008B2DDA">
        <w:t xml:space="preserve"> précisément</w:t>
      </w:r>
      <w:r w:rsidRPr="008B2DDA">
        <w:t xml:space="preserve">. </w:t>
      </w:r>
      <w:r w:rsidR="0009427A" w:rsidRPr="008B2DDA">
        <w:t xml:space="preserve"> </w:t>
      </w:r>
      <w:r w:rsidRPr="008B2DDA">
        <w:t xml:space="preserve">Nous </w:t>
      </w:r>
      <w:r w:rsidR="0009427A" w:rsidRPr="008B2DDA">
        <w:t>proposons</w:t>
      </w:r>
      <w:r w:rsidRPr="008B2DDA">
        <w:t xml:space="preserve"> que le </w:t>
      </w:r>
      <w:r w:rsidR="0009427A" w:rsidRPr="008B2DDA">
        <w:t>déposant</w:t>
      </w:r>
      <w:r w:rsidRPr="008B2DDA">
        <w:t xml:space="preserve"> soit nommé comme l</w:t>
      </w:r>
      <w:r w:rsidR="00A341C2" w:rsidRPr="008B2DDA">
        <w:t>’</w:t>
      </w:r>
      <w:r w:rsidRPr="008B2DDA">
        <w:t>entité au nom de laquelle la protection est accordée dans la partie contractante d</w:t>
      </w:r>
      <w:r w:rsidR="00A341C2" w:rsidRPr="008B2DDA">
        <w:t>’</w:t>
      </w:r>
      <w:r w:rsidRPr="008B2DDA">
        <w:t xml:space="preserve">origine. </w:t>
      </w:r>
      <w:r w:rsidR="0009427A" w:rsidRPr="008B2DDA">
        <w:t xml:space="preserve"> Il s</w:t>
      </w:r>
      <w:r w:rsidR="00A341C2" w:rsidRPr="008B2DDA">
        <w:t>’</w:t>
      </w:r>
      <w:r w:rsidR="0009427A" w:rsidRPr="008B2DDA">
        <w:t>agira</w:t>
      </w:r>
      <w:r w:rsidRPr="008B2DDA">
        <w:t xml:space="preserve"> généralement </w:t>
      </w:r>
      <w:r w:rsidR="0009427A" w:rsidRPr="008B2DDA">
        <w:t>d</w:t>
      </w:r>
      <w:r w:rsidR="00A341C2" w:rsidRPr="008B2DDA">
        <w:t>’</w:t>
      </w:r>
      <w:r w:rsidRPr="008B2DDA">
        <w:t xml:space="preserve">un groupe bénéficiaire, mais il pourrait </w:t>
      </w:r>
      <w:r w:rsidR="0009427A" w:rsidRPr="008B2DDA">
        <w:t>s</w:t>
      </w:r>
      <w:r w:rsidR="00A341C2" w:rsidRPr="008B2DDA">
        <w:t>’</w:t>
      </w:r>
      <w:r w:rsidR="0009427A" w:rsidRPr="008B2DDA">
        <w:t>agir d</w:t>
      </w:r>
      <w:r w:rsidR="00A341C2" w:rsidRPr="008B2DDA">
        <w:t>’</w:t>
      </w:r>
      <w:r w:rsidRPr="008B2DDA">
        <w:t>une entité gouvernementale.</w:t>
      </w:r>
      <w:r w:rsidR="0009427A" w:rsidRPr="008B2DDA">
        <w:t xml:space="preserve"> </w:t>
      </w:r>
      <w:r w:rsidRPr="008B2DDA">
        <w:t xml:space="preserve"> Cette modification permettra de clarifier qui a le droit d</w:t>
      </w:r>
      <w:r w:rsidR="00A341C2" w:rsidRPr="008B2DDA">
        <w:t>’</w:t>
      </w:r>
      <w:r w:rsidRPr="008B2DDA">
        <w:t xml:space="preserve">intenter </w:t>
      </w:r>
      <w:r w:rsidR="0009427A" w:rsidRPr="008B2DDA">
        <w:t>des poursuites</w:t>
      </w:r>
      <w:r w:rsidRPr="008B2DDA">
        <w:t>.</w:t>
      </w:r>
      <w:r w:rsidR="0009427A" w:rsidRPr="008B2DDA">
        <w:t xml:space="preserve"> </w:t>
      </w:r>
      <w:r w:rsidRPr="008B2DDA">
        <w:t xml:space="preserve"> </w:t>
      </w:r>
      <w:r w:rsidR="0009427A" w:rsidRPr="008B2DDA">
        <w:t>La question de savoir si</w:t>
      </w:r>
      <w:r w:rsidRPr="008B2DDA">
        <w:t xml:space="preserve"> d</w:t>
      </w:r>
      <w:r w:rsidR="00A341C2" w:rsidRPr="008B2DDA">
        <w:t>’</w:t>
      </w:r>
      <w:r w:rsidRPr="008B2DDA">
        <w:t>autres parties intéressé</w:t>
      </w:r>
      <w:r w:rsidR="0009427A" w:rsidRPr="008B2DDA">
        <w:t>es ont la capacité juridique d</w:t>
      </w:r>
      <w:r w:rsidR="00A341C2" w:rsidRPr="008B2DDA">
        <w:t>’</w:t>
      </w:r>
      <w:r w:rsidR="0009427A" w:rsidRPr="008B2DDA">
        <w:t xml:space="preserve">intenter </w:t>
      </w:r>
      <w:r w:rsidRPr="008B2DDA">
        <w:t xml:space="preserve">un type particulier </w:t>
      </w:r>
      <w:r w:rsidR="0009427A" w:rsidRPr="008B2DDA">
        <w:t>d</w:t>
      </w:r>
      <w:r w:rsidR="00A341C2" w:rsidRPr="008B2DDA">
        <w:t>’</w:t>
      </w:r>
      <w:r w:rsidR="0009427A" w:rsidRPr="008B2DDA">
        <w:t>action doit</w:t>
      </w:r>
      <w:r w:rsidRPr="008B2DDA">
        <w:t xml:space="preserve"> être </w:t>
      </w:r>
      <w:r w:rsidR="0009427A" w:rsidRPr="008B2DDA">
        <w:t xml:space="preserve">régie par </w:t>
      </w:r>
      <w:r w:rsidRPr="008B2DDA">
        <w:t>la législation nationale.</w:t>
      </w:r>
    </w:p>
    <w:p w14:paraId="0CA27AEF" w14:textId="43009B52" w:rsidR="00A341C2" w:rsidRPr="008B2DDA" w:rsidRDefault="001F705D" w:rsidP="008B2DDA">
      <w:pPr>
        <w:pStyle w:val="ONUMFS"/>
        <w:numPr>
          <w:ilvl w:val="0"/>
          <w:numId w:val="0"/>
        </w:numPr>
      </w:pPr>
      <w:hyperlink w:anchor="Rule_5" w:history="1">
        <w:r w:rsidR="00056603" w:rsidRPr="00450AF4">
          <w:rPr>
            <w:rStyle w:val="Hyperlink"/>
            <w:b/>
            <w:color w:val="0000FF"/>
          </w:rPr>
          <w:t>Règle 5.</w:t>
        </w:r>
        <w:r w:rsidR="00311638" w:rsidRPr="00450AF4">
          <w:rPr>
            <w:rStyle w:val="Hyperlink"/>
            <w:b/>
            <w:color w:val="0000FF"/>
          </w:rPr>
          <w:t>4)</w:t>
        </w:r>
      </w:hyperlink>
      <w:r w:rsidR="00311638" w:rsidRPr="008B2DDA">
        <w:rPr>
          <w:b/>
        </w:rPr>
        <w:t xml:space="preserve"> Intention </w:t>
      </w:r>
      <w:r w:rsidR="0009427A" w:rsidRPr="008B2DDA">
        <w:rPr>
          <w:b/>
        </w:rPr>
        <w:t>d</w:t>
      </w:r>
      <w:r w:rsidR="00A341C2" w:rsidRPr="008B2DDA">
        <w:rPr>
          <w:b/>
        </w:rPr>
        <w:t>’</w:t>
      </w:r>
      <w:r w:rsidR="0009427A" w:rsidRPr="008B2DDA">
        <w:rPr>
          <w:b/>
        </w:rPr>
        <w:t>utilisation</w:t>
      </w:r>
      <w:r w:rsidR="00311638" w:rsidRPr="008B2DDA">
        <w:rPr>
          <w:b/>
        </w:rPr>
        <w:t xml:space="preserve"> </w:t>
      </w:r>
      <w:r w:rsidR="00450AF4">
        <w:rPr>
          <w:b/>
        </w:rPr>
        <w:t>et l</w:t>
      </w:r>
      <w:r w:rsidR="0009427A" w:rsidRPr="008B2DDA">
        <w:rPr>
          <w:b/>
        </w:rPr>
        <w:t xml:space="preserve">e déposant doit être le propriétaire : </w:t>
      </w:r>
      <w:r w:rsidR="0009427A" w:rsidRPr="008B2DDA">
        <w:t>La règle</w:t>
      </w:r>
      <w:r w:rsidR="0009427A" w:rsidRPr="008B2DDA">
        <w:rPr>
          <w:b/>
        </w:rPr>
        <w:t> </w:t>
      </w:r>
      <w:r w:rsidR="0009427A" w:rsidRPr="008B2DDA">
        <w:t>5.</w:t>
      </w:r>
      <w:r w:rsidR="00C23F65" w:rsidRPr="008B2DDA">
        <w:t xml:space="preserve">4) </w:t>
      </w:r>
      <w:r w:rsidR="00071B52" w:rsidRPr="008B2DDA">
        <w:t>propose</w:t>
      </w:r>
      <w:r w:rsidR="00C23F65" w:rsidRPr="008B2DDA">
        <w:t xml:space="preserve"> une </w:t>
      </w:r>
      <w:r w:rsidR="00071B52" w:rsidRPr="008B2DDA">
        <w:t>variante</w:t>
      </w:r>
      <w:r w:rsidR="00C23F65" w:rsidRPr="008B2DDA">
        <w:t xml:space="preserve"> de déclaration </w:t>
      </w:r>
      <w:r w:rsidR="00071B52" w:rsidRPr="008B2DDA">
        <w:t>afin que les</w:t>
      </w:r>
      <w:r w:rsidR="00C23F65" w:rsidRPr="008B2DDA">
        <w:t xml:space="preserve"> </w:t>
      </w:r>
      <w:r w:rsidR="00134381" w:rsidRPr="008B2DDA">
        <w:t xml:space="preserve">futures </w:t>
      </w:r>
      <w:r w:rsidR="00C23F65" w:rsidRPr="008B2DDA">
        <w:t xml:space="preserve">parties contractantes </w:t>
      </w:r>
      <w:r w:rsidR="00071B52" w:rsidRPr="008B2DDA">
        <w:t xml:space="preserve">limitent </w:t>
      </w:r>
      <w:r w:rsidR="00C23F65" w:rsidRPr="008B2DDA">
        <w:t xml:space="preserve">le </w:t>
      </w:r>
      <w:r w:rsidR="00071B52" w:rsidRPr="008B2DDA">
        <w:t>déposant</w:t>
      </w:r>
      <w:r w:rsidR="00C23F65" w:rsidRPr="008B2DDA">
        <w:t xml:space="preserve"> identifié à l</w:t>
      </w:r>
      <w:r w:rsidR="00A341C2" w:rsidRPr="008B2DDA">
        <w:t>’</w:t>
      </w:r>
      <w:r w:rsidR="00071B52" w:rsidRPr="008B2DDA">
        <w:t>article 5.</w:t>
      </w:r>
      <w:r w:rsidR="00C23F65" w:rsidRPr="008B2DDA">
        <w:t xml:space="preserve">2) </w:t>
      </w:r>
      <w:r w:rsidR="00071B52" w:rsidRPr="008B2DDA">
        <w:t>au</w:t>
      </w:r>
      <w:r w:rsidR="00C23F65" w:rsidRPr="008B2DDA">
        <w:t xml:space="preserve"> propriétaire de l</w:t>
      </w:r>
      <w:r w:rsidR="00A341C2" w:rsidRPr="008B2DDA">
        <w:t>’</w:t>
      </w:r>
      <w:r w:rsidR="00C23F65" w:rsidRPr="008B2DDA">
        <w:t>appellation d</w:t>
      </w:r>
      <w:r w:rsidR="00A341C2" w:rsidRPr="008B2DDA">
        <w:t>’</w:t>
      </w:r>
      <w:r w:rsidR="00C23F65" w:rsidRPr="008B2DDA">
        <w:t xml:space="preserve">origine ou </w:t>
      </w:r>
      <w:r w:rsidR="00071B52" w:rsidRPr="008B2DDA">
        <w:t>de l</w:t>
      </w:r>
      <w:r w:rsidR="00A341C2" w:rsidRPr="008B2DDA">
        <w:t>’</w:t>
      </w:r>
      <w:r w:rsidR="00C23F65" w:rsidRPr="008B2DDA">
        <w:t>indication géographique.</w:t>
      </w:r>
      <w:r w:rsidR="00071B52" w:rsidRPr="008B2DDA">
        <w:t xml:space="preserve"> </w:t>
      </w:r>
      <w:r w:rsidR="00C23F65" w:rsidRPr="008B2DDA">
        <w:t xml:space="preserve"> Aux États</w:t>
      </w:r>
      <w:r w:rsidR="00D67EA4" w:rsidRPr="008B2DDA">
        <w:noBreakHyphen/>
      </w:r>
      <w:r w:rsidR="00C23F65" w:rsidRPr="008B2DDA">
        <w:t>Unis</w:t>
      </w:r>
      <w:r w:rsidR="00E26A2C" w:rsidRPr="008B2DDA">
        <w:t xml:space="preserve"> d’Amérique</w:t>
      </w:r>
      <w:r w:rsidR="00C23F65" w:rsidRPr="008B2DDA">
        <w:t xml:space="preserve">, </w:t>
      </w:r>
      <w:r w:rsidR="00071B52" w:rsidRPr="008B2DDA">
        <w:t>le déposant</w:t>
      </w:r>
      <w:r w:rsidR="00C23F65" w:rsidRPr="008B2DDA">
        <w:t xml:space="preserve"> </w:t>
      </w:r>
      <w:r w:rsidR="00071B52" w:rsidRPr="008B2DDA">
        <w:t>–</w:t>
      </w:r>
      <w:r w:rsidR="00C23F65" w:rsidRPr="008B2DDA">
        <w:t xml:space="preserve"> ou </w:t>
      </w:r>
      <w:r w:rsidR="00943768" w:rsidRPr="008B2DDA">
        <w:t>la partie</w:t>
      </w:r>
      <w:r w:rsidR="00C23F65" w:rsidRPr="008B2DDA">
        <w:t xml:space="preserve"> dûment </w:t>
      </w:r>
      <w:r w:rsidR="00071B52" w:rsidRPr="008B2DDA">
        <w:t xml:space="preserve">habilitée </w:t>
      </w:r>
      <w:r w:rsidR="00C23F65" w:rsidRPr="008B2DDA">
        <w:t xml:space="preserve">à signer au nom du </w:t>
      </w:r>
      <w:r w:rsidR="00071B52" w:rsidRPr="008B2DDA">
        <w:t>déposant</w:t>
      </w:r>
      <w:r w:rsidR="00C23F65" w:rsidRPr="008B2DDA">
        <w:t xml:space="preserve"> </w:t>
      </w:r>
      <w:r w:rsidR="00071B52" w:rsidRPr="008B2DDA">
        <w:t>–</w:t>
      </w:r>
      <w:r w:rsidR="00C23F65" w:rsidRPr="008B2DDA">
        <w:t xml:space="preserve"> do</w:t>
      </w:r>
      <w:r w:rsidR="00071B52" w:rsidRPr="008B2DDA">
        <w:t>it signer la demande ainsi qu</w:t>
      </w:r>
      <w:r w:rsidR="00A341C2" w:rsidRPr="008B2DDA">
        <w:t>’</w:t>
      </w:r>
      <w:r w:rsidR="00C23F65" w:rsidRPr="008B2DDA">
        <w:t>une déclaration d</w:t>
      </w:r>
      <w:r w:rsidR="00A341C2" w:rsidRPr="008B2DDA">
        <w:t>’</w:t>
      </w:r>
      <w:r w:rsidR="00C23F65" w:rsidRPr="008B2DDA">
        <w:t>intention d</w:t>
      </w:r>
      <w:r w:rsidR="00A341C2" w:rsidRPr="008B2DDA">
        <w:t>’</w:t>
      </w:r>
      <w:r w:rsidR="00C23F65" w:rsidRPr="008B2DDA">
        <w:t xml:space="preserve">utiliser la marque </w:t>
      </w:r>
      <w:r w:rsidR="00071B52" w:rsidRPr="008B2DDA">
        <w:t>(c</w:t>
      </w:r>
      <w:r w:rsidR="00A341C2" w:rsidRPr="008B2DDA">
        <w:t>’</w:t>
      </w:r>
      <w:r w:rsidR="00071B52" w:rsidRPr="008B2DDA">
        <w:t>est</w:t>
      </w:r>
      <w:r w:rsidR="00D67EA4" w:rsidRPr="008B2DDA">
        <w:noBreakHyphen/>
      </w:r>
      <w:r w:rsidR="00071B52" w:rsidRPr="008B2DDA">
        <w:t>à</w:t>
      </w:r>
      <w:r w:rsidR="00D67EA4" w:rsidRPr="008B2DDA">
        <w:noBreakHyphen/>
      </w:r>
      <w:r w:rsidR="00071B52" w:rsidRPr="008B2DDA">
        <w:t>dire l</w:t>
      </w:r>
      <w:r w:rsidR="00A341C2" w:rsidRPr="008B2DDA">
        <w:t>’</w:t>
      </w:r>
      <w:r w:rsidR="00071B52" w:rsidRPr="008B2DDA">
        <w:t>appellation d</w:t>
      </w:r>
      <w:r w:rsidR="00A341C2" w:rsidRPr="008B2DDA">
        <w:t>’</w:t>
      </w:r>
      <w:r w:rsidR="00071B52" w:rsidRPr="008B2DDA">
        <w:t>origine ou l</w:t>
      </w:r>
      <w:r w:rsidR="00A341C2" w:rsidRPr="008B2DDA">
        <w:t>’</w:t>
      </w:r>
      <w:r w:rsidR="00071B52" w:rsidRPr="008B2DDA">
        <w:t xml:space="preserve">indication géographique) </w:t>
      </w:r>
      <w:r w:rsidR="00943768" w:rsidRPr="008B2DDA">
        <w:t>de bonne foi</w:t>
      </w:r>
      <w:r w:rsidR="00C23F65" w:rsidRPr="008B2DDA">
        <w:t>.</w:t>
      </w:r>
      <w:r w:rsidR="00943768" w:rsidRPr="008B2DDA">
        <w:t xml:space="preserve"> </w:t>
      </w:r>
      <w:r w:rsidR="00C23F65" w:rsidRPr="008B2DDA">
        <w:t xml:space="preserve"> </w:t>
      </w:r>
      <w:r w:rsidR="00943768" w:rsidRPr="008B2DDA">
        <w:t>Le</w:t>
      </w:r>
      <w:r w:rsidR="00C23F65" w:rsidRPr="008B2DDA">
        <w:t xml:space="preserve"> </w:t>
      </w:r>
      <w:r w:rsidR="00943768" w:rsidRPr="008B2DDA">
        <w:t>déposant</w:t>
      </w:r>
      <w:r w:rsidR="00C23F65" w:rsidRPr="008B2DDA">
        <w:t xml:space="preserve"> (ou la partie dûment </w:t>
      </w:r>
      <w:r w:rsidR="00943768" w:rsidRPr="008B2DDA">
        <w:t>habilitée) doi</w:t>
      </w:r>
      <w:r w:rsidR="00C23F65" w:rsidRPr="008B2DDA">
        <w:t>t également indiquer qu</w:t>
      </w:r>
      <w:r w:rsidR="00A341C2" w:rsidRPr="008B2DDA">
        <w:t>’</w:t>
      </w:r>
      <w:r w:rsidR="00C23F65" w:rsidRPr="008B2DDA">
        <w:t>il est en droit d</w:t>
      </w:r>
      <w:r w:rsidR="00A341C2" w:rsidRPr="008B2DDA">
        <w:t>’</w:t>
      </w:r>
      <w:r w:rsidR="00C23F65" w:rsidRPr="008B2DDA">
        <w:t>utiliser la marque ou d</w:t>
      </w:r>
      <w:r w:rsidR="00A341C2" w:rsidRPr="008B2DDA">
        <w:t>’</w:t>
      </w:r>
      <w:r w:rsidR="00C23F65" w:rsidRPr="008B2DDA">
        <w:t>exercer un contrôle légitime sur l</w:t>
      </w:r>
      <w:r w:rsidR="00A341C2" w:rsidRPr="008B2DDA">
        <w:t>’</w:t>
      </w:r>
      <w:r w:rsidR="00C23F65" w:rsidRPr="008B2DDA">
        <w:t xml:space="preserve">utilisation </w:t>
      </w:r>
      <w:r w:rsidR="00943768" w:rsidRPr="008B2DDA">
        <w:t xml:space="preserve">commerciale </w:t>
      </w:r>
      <w:r w:rsidR="00C23F65" w:rsidRPr="008B2DDA">
        <w:t>de la marque par d</w:t>
      </w:r>
      <w:r w:rsidR="00A341C2" w:rsidRPr="008B2DDA">
        <w:t>’</w:t>
      </w:r>
      <w:r w:rsidR="00C23F65" w:rsidRPr="008B2DDA">
        <w:t>autres</w:t>
      </w:r>
      <w:r w:rsidR="00311638" w:rsidRPr="008B2DDA">
        <w:rPr>
          <w:rStyle w:val="FootnoteReference"/>
          <w:rFonts w:cs="Arial"/>
        </w:rPr>
        <w:footnoteReference w:id="8"/>
      </w:r>
      <w:r w:rsidR="00071B52" w:rsidRPr="008B2DDA">
        <w:rPr>
          <w:rStyle w:val="hps"/>
        </w:rPr>
        <w:t>.</w:t>
      </w:r>
      <w:r w:rsidR="00311638" w:rsidRPr="008B2DDA">
        <w:rPr>
          <w:rStyle w:val="hps"/>
        </w:rPr>
        <w:t xml:space="preserve">  </w:t>
      </w:r>
      <w:r w:rsidR="00C23F65" w:rsidRPr="008B2DDA">
        <w:t>Ces deux</w:t>
      </w:r>
      <w:r w:rsidR="00E26A2C" w:rsidRPr="008B2DDA">
        <w:t> </w:t>
      </w:r>
      <w:r w:rsidR="00C23F65" w:rsidRPr="008B2DDA">
        <w:t>caractéristiques du système de marque</w:t>
      </w:r>
      <w:r w:rsidR="00943768" w:rsidRPr="008B2DDA">
        <w:t>s des États</w:t>
      </w:r>
      <w:r w:rsidR="00D67EA4" w:rsidRPr="008B2DDA">
        <w:noBreakHyphen/>
      </w:r>
      <w:r w:rsidR="00943768" w:rsidRPr="008B2DDA">
        <w:t>Unis</w:t>
      </w:r>
      <w:r w:rsidR="00E26A2C" w:rsidRPr="008B2DDA">
        <w:t xml:space="preserve"> d’Amérique</w:t>
      </w:r>
      <w:r w:rsidR="00C23F65" w:rsidRPr="008B2DDA">
        <w:t xml:space="preserve"> </w:t>
      </w:r>
      <w:r w:rsidR="00943768" w:rsidRPr="008B2DDA">
        <w:t>visent</w:t>
      </w:r>
      <w:r w:rsidR="00071B52" w:rsidRPr="008B2DDA">
        <w:t xml:space="preserve"> notamment</w:t>
      </w:r>
      <w:r w:rsidR="00C23F65" w:rsidRPr="008B2DDA">
        <w:t xml:space="preserve"> </w:t>
      </w:r>
      <w:r w:rsidR="00943768" w:rsidRPr="008B2DDA">
        <w:t>à</w:t>
      </w:r>
      <w:r w:rsidR="00C23F65" w:rsidRPr="008B2DDA">
        <w:t xml:space="preserve"> lutter contre les </w:t>
      </w:r>
      <w:r w:rsidR="00943768" w:rsidRPr="008B2DDA">
        <w:t>demandes</w:t>
      </w:r>
      <w:r w:rsidR="00C23F65" w:rsidRPr="008B2DDA">
        <w:t xml:space="preserve"> de mauvaise foi</w:t>
      </w:r>
      <w:r w:rsidR="00311638" w:rsidRPr="008B2DDA">
        <w:t>.</w:t>
      </w:r>
    </w:p>
    <w:p w14:paraId="1C549A57" w14:textId="0A41A5AA" w:rsidR="004A65DA" w:rsidRPr="008B2DDA" w:rsidRDefault="004A65DA" w:rsidP="008B2DDA">
      <w:pPr>
        <w:pStyle w:val="ONUMFS"/>
        <w:numPr>
          <w:ilvl w:val="0"/>
          <w:numId w:val="0"/>
        </w:numPr>
      </w:pPr>
      <w:r w:rsidRPr="008B2DDA">
        <w:rPr>
          <w:rStyle w:val="hps"/>
        </w:rPr>
        <w:t>La règle 5</w:t>
      </w:r>
      <w:r w:rsidR="00E05262" w:rsidRPr="008B2DDA">
        <w:t>.</w:t>
      </w:r>
      <w:r w:rsidRPr="008B2DDA">
        <w:t xml:space="preserve">4)a) </w:t>
      </w:r>
      <w:r w:rsidR="00713026" w:rsidRPr="008B2DDA">
        <w:rPr>
          <w:rStyle w:val="hps"/>
        </w:rPr>
        <w:t>illustre que</w:t>
      </w:r>
      <w:r w:rsidRPr="008B2DDA">
        <w:rPr>
          <w:rStyle w:val="hps"/>
        </w:rPr>
        <w:t xml:space="preserve"> certains</w:t>
      </w:r>
      <w:r w:rsidRPr="008B2DDA">
        <w:t xml:space="preserve"> </w:t>
      </w:r>
      <w:r w:rsidRPr="008B2DDA">
        <w:rPr>
          <w:rStyle w:val="hps"/>
        </w:rPr>
        <w:t>pays</w:t>
      </w:r>
      <w:r w:rsidRPr="008B2DDA">
        <w:t xml:space="preserve"> </w:t>
      </w:r>
      <w:r w:rsidR="00713026" w:rsidRPr="008B2DDA">
        <w:t>ont besoin que le déposant soit le propriétaire</w:t>
      </w:r>
      <w:r w:rsidRPr="008B2DDA">
        <w:rPr>
          <w:rStyle w:val="hps"/>
        </w:rPr>
        <w:t xml:space="preserve"> et </w:t>
      </w:r>
      <w:r w:rsidR="00713026" w:rsidRPr="008B2DDA">
        <w:rPr>
          <w:rStyle w:val="hps"/>
        </w:rPr>
        <w:t xml:space="preserve">signe </w:t>
      </w:r>
      <w:r w:rsidRPr="008B2DDA">
        <w:rPr>
          <w:rStyle w:val="hps"/>
        </w:rPr>
        <w:t>la demande</w:t>
      </w:r>
      <w:r w:rsidRPr="008B2DDA">
        <w:t xml:space="preserve">. </w:t>
      </w:r>
      <w:r w:rsidR="00E05262" w:rsidRPr="008B2DDA">
        <w:t xml:space="preserve"> </w:t>
      </w:r>
      <w:r w:rsidR="00E05262" w:rsidRPr="008B2DDA">
        <w:rPr>
          <w:rStyle w:val="hps"/>
        </w:rPr>
        <w:t>L</w:t>
      </w:r>
      <w:r w:rsidR="00A341C2" w:rsidRPr="008B2DDA">
        <w:rPr>
          <w:rStyle w:val="hps"/>
        </w:rPr>
        <w:t>’</w:t>
      </w:r>
      <w:r w:rsidR="00E05262" w:rsidRPr="008B2DDA">
        <w:rPr>
          <w:rStyle w:val="hps"/>
        </w:rPr>
        <w:t>a</w:t>
      </w:r>
      <w:r w:rsidRPr="008B2DDA">
        <w:rPr>
          <w:rStyle w:val="hps"/>
        </w:rPr>
        <w:t>rticle</w:t>
      </w:r>
      <w:r w:rsidR="00E26A2C" w:rsidRPr="008B2DDA">
        <w:rPr>
          <w:rStyle w:val="hps"/>
        </w:rPr>
        <w:t> </w:t>
      </w:r>
      <w:r w:rsidRPr="008B2DDA">
        <w:rPr>
          <w:rStyle w:val="hps"/>
        </w:rPr>
        <w:t>5</w:t>
      </w:r>
      <w:r w:rsidR="00E05262" w:rsidRPr="008B2DDA">
        <w:t>.4)</w:t>
      </w:r>
      <w:r w:rsidRPr="008B2DDA">
        <w:t xml:space="preserve">b) </w:t>
      </w:r>
      <w:r w:rsidRPr="008B2DDA">
        <w:rPr>
          <w:rStyle w:val="hps"/>
        </w:rPr>
        <w:t>donne la possibilité</w:t>
      </w:r>
      <w:r w:rsidRPr="008B2DDA">
        <w:t xml:space="preserve"> </w:t>
      </w:r>
      <w:r w:rsidRPr="008B2DDA">
        <w:rPr>
          <w:rStyle w:val="hps"/>
        </w:rPr>
        <w:t xml:space="preserve">aux </w:t>
      </w:r>
      <w:r w:rsidR="00713026" w:rsidRPr="008B2DDA">
        <w:rPr>
          <w:rStyle w:val="hps"/>
        </w:rPr>
        <w:t>déposants</w:t>
      </w:r>
      <w:r w:rsidRPr="008B2DDA">
        <w:rPr>
          <w:rStyle w:val="hps"/>
        </w:rPr>
        <w:t xml:space="preserve"> de</w:t>
      </w:r>
      <w:r w:rsidRPr="008B2DDA">
        <w:t xml:space="preserve"> </w:t>
      </w:r>
      <w:r w:rsidRPr="008B2DDA">
        <w:rPr>
          <w:rStyle w:val="hps"/>
        </w:rPr>
        <w:t xml:space="preserve">choisir de </w:t>
      </w:r>
      <w:r w:rsidR="00E91F03" w:rsidRPr="008B2DDA">
        <w:rPr>
          <w:rStyle w:val="hps"/>
        </w:rPr>
        <w:t>ne pas poursuivre</w:t>
      </w:r>
      <w:r w:rsidR="00713026" w:rsidRPr="008B2DDA">
        <w:rPr>
          <w:rStyle w:val="hps"/>
        </w:rPr>
        <w:t xml:space="preserve"> la demande</w:t>
      </w:r>
      <w:r w:rsidRPr="008B2DDA">
        <w:t xml:space="preserve"> </w:t>
      </w:r>
      <w:r w:rsidRPr="008B2DDA">
        <w:rPr>
          <w:rStyle w:val="hps"/>
        </w:rPr>
        <w:t xml:space="preserve">aux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Pr="008B2DDA">
        <w:rPr>
          <w:rStyle w:val="hps"/>
        </w:rPr>
        <w:t>ou</w:t>
      </w:r>
      <w:r w:rsidRPr="008B2DDA">
        <w:t xml:space="preserve"> </w:t>
      </w:r>
      <w:r w:rsidR="00713026" w:rsidRPr="008B2DDA">
        <w:t xml:space="preserve">dans </w:t>
      </w:r>
      <w:r w:rsidRPr="008B2DDA">
        <w:rPr>
          <w:rStyle w:val="hps"/>
        </w:rPr>
        <w:t>un autre pays qui</w:t>
      </w:r>
      <w:r w:rsidRPr="008B2DDA">
        <w:t xml:space="preserve"> </w:t>
      </w:r>
      <w:r w:rsidR="000E0235" w:rsidRPr="008B2DDA">
        <w:rPr>
          <w:rStyle w:val="hps"/>
        </w:rPr>
        <w:t>exige</w:t>
      </w:r>
      <w:r w:rsidRPr="008B2DDA">
        <w:rPr>
          <w:rStyle w:val="hps"/>
        </w:rPr>
        <w:t xml:space="preserve"> l</w:t>
      </w:r>
      <w:r w:rsidR="00A341C2" w:rsidRPr="008B2DDA">
        <w:rPr>
          <w:rStyle w:val="hps"/>
        </w:rPr>
        <w:t>’</w:t>
      </w:r>
      <w:r w:rsidRPr="008B2DDA">
        <w:rPr>
          <w:rStyle w:val="hps"/>
        </w:rPr>
        <w:t>utilisation</w:t>
      </w:r>
      <w:r w:rsidRPr="008B2DDA">
        <w:t xml:space="preserve">, </w:t>
      </w:r>
      <w:r w:rsidRPr="008B2DDA">
        <w:rPr>
          <w:rStyle w:val="hps"/>
        </w:rPr>
        <w:t>en ne soumettant pas</w:t>
      </w:r>
      <w:r w:rsidRPr="008B2DDA">
        <w:t xml:space="preserve"> </w:t>
      </w:r>
      <w:r w:rsidRPr="008B2DDA">
        <w:rPr>
          <w:rStyle w:val="hps"/>
        </w:rPr>
        <w:t>la déclaration</w:t>
      </w:r>
      <w:r w:rsidRPr="008B2DDA">
        <w:t xml:space="preserve"> </w:t>
      </w:r>
      <w:r w:rsidRPr="008B2DDA">
        <w:rPr>
          <w:rStyle w:val="hps"/>
        </w:rPr>
        <w:t>d</w:t>
      </w:r>
      <w:r w:rsidR="00A341C2" w:rsidRPr="008B2DDA">
        <w:rPr>
          <w:rStyle w:val="hps"/>
        </w:rPr>
        <w:t>’</w:t>
      </w:r>
      <w:r w:rsidRPr="008B2DDA">
        <w:rPr>
          <w:rStyle w:val="hps"/>
        </w:rPr>
        <w:t xml:space="preserve">intention </w:t>
      </w:r>
      <w:r w:rsidR="00713026" w:rsidRPr="008B2DDA">
        <w:rPr>
          <w:rStyle w:val="hps"/>
        </w:rPr>
        <w:t>d</w:t>
      </w:r>
      <w:r w:rsidR="00A341C2" w:rsidRPr="008B2DDA">
        <w:rPr>
          <w:rStyle w:val="hps"/>
        </w:rPr>
        <w:t>’</w:t>
      </w:r>
      <w:r w:rsidR="00713026" w:rsidRPr="008B2DDA">
        <w:rPr>
          <w:rStyle w:val="hps"/>
        </w:rPr>
        <w:t>utilisation</w:t>
      </w:r>
      <w:r w:rsidRPr="008B2DDA">
        <w:t xml:space="preserve"> </w:t>
      </w:r>
      <w:r w:rsidRPr="008B2DDA">
        <w:rPr>
          <w:rStyle w:val="hps"/>
        </w:rPr>
        <w:t>(ou</w:t>
      </w:r>
      <w:r w:rsidRPr="008B2DDA">
        <w:t xml:space="preserve"> </w:t>
      </w:r>
      <w:r w:rsidR="000E0235" w:rsidRPr="008B2DDA">
        <w:rPr>
          <w:rStyle w:val="hps"/>
        </w:rPr>
        <w:t>d</w:t>
      </w:r>
      <w:r w:rsidR="00A341C2" w:rsidRPr="008B2DDA">
        <w:rPr>
          <w:rStyle w:val="hps"/>
        </w:rPr>
        <w:t>’</w:t>
      </w:r>
      <w:r w:rsidR="000E0235" w:rsidRPr="008B2DDA">
        <w:rPr>
          <w:rStyle w:val="hps"/>
        </w:rPr>
        <w:t>exercice de</w:t>
      </w:r>
      <w:r w:rsidRPr="008B2DDA">
        <w:rPr>
          <w:rStyle w:val="hps"/>
        </w:rPr>
        <w:t xml:space="preserve"> contrôle sur</w:t>
      </w:r>
      <w:r w:rsidRPr="008B2DDA">
        <w:t xml:space="preserve"> </w:t>
      </w:r>
      <w:r w:rsidRPr="008B2DDA">
        <w:rPr>
          <w:rStyle w:val="hps"/>
        </w:rPr>
        <w:t>l</w:t>
      </w:r>
      <w:r w:rsidR="00A341C2" w:rsidRPr="008B2DDA">
        <w:rPr>
          <w:rStyle w:val="hps"/>
        </w:rPr>
        <w:t>’</w:t>
      </w:r>
      <w:r w:rsidRPr="008B2DDA">
        <w:rPr>
          <w:rStyle w:val="hps"/>
        </w:rPr>
        <w:t>utilisation par les</w:t>
      </w:r>
      <w:r w:rsidRPr="008B2DDA">
        <w:t xml:space="preserve"> </w:t>
      </w:r>
      <w:r w:rsidRPr="008B2DDA">
        <w:rPr>
          <w:rStyle w:val="hps"/>
        </w:rPr>
        <w:t>autres)</w:t>
      </w:r>
      <w:r w:rsidRPr="008B2DDA">
        <w:t xml:space="preserve">, </w:t>
      </w:r>
      <w:r w:rsidRPr="008B2DDA">
        <w:rPr>
          <w:rStyle w:val="hps"/>
        </w:rPr>
        <w:t>renonçant</w:t>
      </w:r>
      <w:r w:rsidRPr="008B2DDA">
        <w:t xml:space="preserve"> </w:t>
      </w:r>
      <w:r w:rsidRPr="008B2DDA">
        <w:rPr>
          <w:rStyle w:val="hps"/>
        </w:rPr>
        <w:t xml:space="preserve">ainsi </w:t>
      </w:r>
      <w:r w:rsidR="00713026" w:rsidRPr="008B2DDA">
        <w:rPr>
          <w:rStyle w:val="hps"/>
        </w:rPr>
        <w:t>à la</w:t>
      </w:r>
      <w:r w:rsidRPr="008B2DDA">
        <w:rPr>
          <w:rStyle w:val="hps"/>
        </w:rPr>
        <w:t xml:space="preserve"> protection</w:t>
      </w:r>
      <w:r w:rsidRPr="008B2DDA">
        <w:t xml:space="preserve"> </w:t>
      </w:r>
      <w:r w:rsidRPr="008B2DDA">
        <w:rPr>
          <w:rStyle w:val="hps"/>
        </w:rPr>
        <w:t>sur le territoire</w:t>
      </w:r>
      <w:r w:rsidRPr="008B2DDA">
        <w:t xml:space="preserve"> </w:t>
      </w:r>
      <w:r w:rsidRPr="008B2DDA">
        <w:rPr>
          <w:rStyle w:val="hps"/>
        </w:rPr>
        <w:t xml:space="preserve">des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Pr="008B2DDA">
        <w:rPr>
          <w:rStyle w:val="hps"/>
        </w:rPr>
        <w:t>ou ailleurs</w:t>
      </w:r>
      <w:r w:rsidRPr="008B2DDA">
        <w:t>.</w:t>
      </w:r>
    </w:p>
    <w:p w14:paraId="4E591F6E" w14:textId="3A712A46" w:rsidR="007079A8" w:rsidRPr="008B2DDA" w:rsidRDefault="00BE2682" w:rsidP="008B2DDA">
      <w:pPr>
        <w:pStyle w:val="ONUMFS"/>
        <w:numPr>
          <w:ilvl w:val="0"/>
          <w:numId w:val="0"/>
        </w:numPr>
        <w:rPr>
          <w:i/>
        </w:rPr>
      </w:pPr>
      <w:r w:rsidRPr="008B2DDA">
        <w:rPr>
          <w:rStyle w:val="hps"/>
        </w:rPr>
        <w:t>Étant</w:t>
      </w:r>
      <w:r w:rsidR="000E0235" w:rsidRPr="008B2DDA">
        <w:rPr>
          <w:rStyle w:val="hps"/>
        </w:rPr>
        <w:t xml:space="preserve"> donné l</w:t>
      </w:r>
      <w:r w:rsidR="00A341C2" w:rsidRPr="008B2DDA">
        <w:rPr>
          <w:rStyle w:val="hps"/>
        </w:rPr>
        <w:t>’</w:t>
      </w:r>
      <w:r w:rsidR="000E0235" w:rsidRPr="008B2DDA">
        <w:rPr>
          <w:rStyle w:val="hps"/>
        </w:rPr>
        <w:t>existence de</w:t>
      </w:r>
      <w:r w:rsidR="004A65DA" w:rsidRPr="008B2DDA">
        <w:t xml:space="preserve"> deux</w:t>
      </w:r>
      <w:r w:rsidR="00E26A2C" w:rsidRPr="008B2DDA">
        <w:t> </w:t>
      </w:r>
      <w:r w:rsidR="004A65DA" w:rsidRPr="008B2DDA">
        <w:rPr>
          <w:rStyle w:val="hps"/>
        </w:rPr>
        <w:t>besoins indépendants</w:t>
      </w:r>
      <w:r w:rsidR="004A65DA" w:rsidRPr="008B2DDA">
        <w:t xml:space="preserve">, </w:t>
      </w:r>
      <w:r w:rsidR="004A65DA" w:rsidRPr="008B2DDA">
        <w:rPr>
          <w:rStyle w:val="hps"/>
        </w:rPr>
        <w:t>nous proposons de créer</w:t>
      </w:r>
      <w:r w:rsidR="004A65DA" w:rsidRPr="008B2DDA">
        <w:t xml:space="preserve"> deux</w:t>
      </w:r>
      <w:r w:rsidR="00E26A2C" w:rsidRPr="008B2DDA">
        <w:t> </w:t>
      </w:r>
      <w:r w:rsidR="000E0235" w:rsidRPr="008B2DDA">
        <w:rPr>
          <w:rStyle w:val="hps"/>
        </w:rPr>
        <w:t>variantes</w:t>
      </w:r>
      <w:r w:rsidR="004A65DA" w:rsidRPr="008B2DDA">
        <w:rPr>
          <w:rStyle w:val="hps"/>
        </w:rPr>
        <w:t xml:space="preserve"> de</w:t>
      </w:r>
      <w:r w:rsidR="004A65DA" w:rsidRPr="008B2DDA">
        <w:t xml:space="preserve"> </w:t>
      </w:r>
      <w:r w:rsidR="004A65DA" w:rsidRPr="008B2DDA">
        <w:rPr>
          <w:rStyle w:val="hps"/>
        </w:rPr>
        <w:t xml:space="preserve">déclaration </w:t>
      </w:r>
      <w:r w:rsidR="000E0235" w:rsidRPr="008B2DDA">
        <w:rPr>
          <w:rStyle w:val="hps"/>
        </w:rPr>
        <w:t>séparées dans la règle </w:t>
      </w:r>
      <w:r w:rsidR="004A65DA" w:rsidRPr="008B2DDA">
        <w:rPr>
          <w:rStyle w:val="hps"/>
        </w:rPr>
        <w:t>5</w:t>
      </w:r>
      <w:r w:rsidR="000E0235" w:rsidRPr="008B2DDA">
        <w:t>.</w:t>
      </w:r>
      <w:r w:rsidR="004A65DA" w:rsidRPr="008B2DDA">
        <w:t>4)</w:t>
      </w:r>
      <w:r w:rsidR="000E0235" w:rsidRPr="008B2DDA">
        <w:t> </w:t>
      </w:r>
      <w:r w:rsidR="004A65DA" w:rsidRPr="008B2DDA">
        <w:t xml:space="preserve">: </w:t>
      </w:r>
      <w:r w:rsidR="004A65DA" w:rsidRPr="008B2DDA">
        <w:rPr>
          <w:rStyle w:val="hps"/>
        </w:rPr>
        <w:t>1</w:t>
      </w:r>
      <w:r w:rsidR="004A65DA" w:rsidRPr="008B2DDA">
        <w:t xml:space="preserve">) </w:t>
      </w:r>
      <w:r w:rsidR="000E0235" w:rsidRPr="008B2DDA">
        <w:t>s</w:t>
      </w:r>
      <w:r w:rsidR="004A65DA" w:rsidRPr="008B2DDA">
        <w:rPr>
          <w:rStyle w:val="hps"/>
        </w:rPr>
        <w:t>ignature du propriétaire</w:t>
      </w:r>
      <w:r w:rsidR="004A65DA" w:rsidRPr="008B2DDA">
        <w:t xml:space="preserve"> </w:t>
      </w:r>
      <w:r w:rsidR="004A65DA" w:rsidRPr="008B2DDA">
        <w:rPr>
          <w:rStyle w:val="hps"/>
        </w:rPr>
        <w:t xml:space="preserve">sur </w:t>
      </w:r>
      <w:r w:rsidR="000E0235" w:rsidRPr="008B2DDA">
        <w:rPr>
          <w:rStyle w:val="hps"/>
        </w:rPr>
        <w:t>la demande</w:t>
      </w:r>
      <w:r w:rsidR="004A65DA" w:rsidRPr="008B2DDA">
        <w:t xml:space="preserve">;  </w:t>
      </w:r>
      <w:r w:rsidR="004A65DA" w:rsidRPr="008B2DDA">
        <w:rPr>
          <w:rStyle w:val="hps"/>
        </w:rPr>
        <w:t>2)</w:t>
      </w:r>
      <w:r w:rsidR="004A65DA" w:rsidRPr="008B2DDA">
        <w:t xml:space="preserve"> </w:t>
      </w:r>
      <w:r w:rsidR="004A65DA" w:rsidRPr="008B2DDA">
        <w:rPr>
          <w:rStyle w:val="hps"/>
        </w:rPr>
        <w:t>intention</w:t>
      </w:r>
      <w:r w:rsidR="004A65DA" w:rsidRPr="008B2DDA">
        <w:t xml:space="preserve"> </w:t>
      </w:r>
      <w:r w:rsidR="000E0235" w:rsidRPr="008B2DDA">
        <w:rPr>
          <w:rStyle w:val="hps"/>
        </w:rPr>
        <w:t>d</w:t>
      </w:r>
      <w:r w:rsidR="00A341C2" w:rsidRPr="008B2DDA">
        <w:rPr>
          <w:rStyle w:val="hps"/>
        </w:rPr>
        <w:t>’</w:t>
      </w:r>
      <w:r w:rsidR="000E0235" w:rsidRPr="008B2DDA">
        <w:rPr>
          <w:rStyle w:val="hps"/>
        </w:rPr>
        <w:t>utilisation</w:t>
      </w:r>
      <w:r w:rsidR="004A65DA" w:rsidRPr="008B2DDA">
        <w:t>.</w:t>
      </w:r>
    </w:p>
    <w:p w14:paraId="0434E4FE" w14:textId="0C1CE3E1" w:rsidR="004A65DA" w:rsidRPr="008B2DDA" w:rsidRDefault="001F705D" w:rsidP="008B2DDA">
      <w:pPr>
        <w:pStyle w:val="ONUMFS"/>
        <w:numPr>
          <w:ilvl w:val="0"/>
          <w:numId w:val="0"/>
        </w:numPr>
        <w:rPr>
          <w:rStyle w:val="hps"/>
        </w:rPr>
      </w:pPr>
      <w:hyperlink w:anchor="Article_16" w:history="1">
        <w:r w:rsidR="00056603" w:rsidRPr="00450AF4">
          <w:rPr>
            <w:rStyle w:val="Hyperlink"/>
            <w:b/>
            <w:color w:val="0000FF"/>
          </w:rPr>
          <w:t>Article 16.</w:t>
        </w:r>
        <w:r w:rsidR="00311638" w:rsidRPr="00450AF4">
          <w:rPr>
            <w:rStyle w:val="Hyperlink"/>
            <w:b/>
            <w:color w:val="0000FF"/>
          </w:rPr>
          <w:t>2)</w:t>
        </w:r>
      </w:hyperlink>
      <w:r w:rsidR="00311638" w:rsidRPr="008B2DDA">
        <w:rPr>
          <w:b/>
        </w:rPr>
        <w:t xml:space="preserve"> </w:t>
      </w:r>
      <w:r w:rsidR="004A65DA" w:rsidRPr="008B2DDA">
        <w:rPr>
          <w:rStyle w:val="hps"/>
          <w:b/>
        </w:rPr>
        <w:t>Négociations gouvernementales</w:t>
      </w:r>
      <w:r w:rsidR="00FE2B96" w:rsidRPr="008B2DDA">
        <w:rPr>
          <w:rStyle w:val="hps"/>
          <w:b/>
        </w:rPr>
        <w:t> </w:t>
      </w:r>
      <w:r w:rsidR="004A65DA" w:rsidRPr="008B2DDA">
        <w:rPr>
          <w:rStyle w:val="hps"/>
          <w:b/>
        </w:rPr>
        <w:t>:</w:t>
      </w:r>
      <w:r w:rsidR="004A65DA" w:rsidRPr="008B2DDA">
        <w:rPr>
          <w:rStyle w:val="hps"/>
        </w:rPr>
        <w:t xml:space="preserve"> </w:t>
      </w:r>
      <w:r w:rsidR="0050682F" w:rsidRPr="008B2DDA">
        <w:rPr>
          <w:rStyle w:val="hps"/>
        </w:rPr>
        <w:t>l</w:t>
      </w:r>
      <w:r w:rsidR="00A341C2" w:rsidRPr="008B2DDA">
        <w:rPr>
          <w:rStyle w:val="hps"/>
        </w:rPr>
        <w:t>’</w:t>
      </w:r>
      <w:r w:rsidR="00FE2B96" w:rsidRPr="008B2DDA">
        <w:rPr>
          <w:rStyle w:val="hps"/>
        </w:rPr>
        <w:t>article</w:t>
      </w:r>
      <w:r w:rsidR="00E26A2C" w:rsidRPr="008B2DDA">
        <w:rPr>
          <w:rStyle w:val="hps"/>
        </w:rPr>
        <w:t> </w:t>
      </w:r>
      <w:r w:rsidR="00FE2B96" w:rsidRPr="008B2DDA">
        <w:rPr>
          <w:rStyle w:val="hps"/>
        </w:rPr>
        <w:t>16.</w:t>
      </w:r>
      <w:r w:rsidR="004A65DA" w:rsidRPr="008B2DDA">
        <w:rPr>
          <w:rStyle w:val="hps"/>
        </w:rPr>
        <w:t xml:space="preserve">2) </w:t>
      </w:r>
      <w:r w:rsidR="00F3276F" w:rsidRPr="008B2DDA">
        <w:rPr>
          <w:rStyle w:val="hps"/>
        </w:rPr>
        <w:t>désigne</w:t>
      </w:r>
      <w:r w:rsidR="004A65DA" w:rsidRPr="008B2DDA">
        <w:rPr>
          <w:rStyle w:val="hps"/>
        </w:rPr>
        <w:t xml:space="preserve"> une </w:t>
      </w:r>
      <w:r w:rsidR="00F3276F" w:rsidRPr="008B2DDA">
        <w:rPr>
          <w:rStyle w:val="hps"/>
          <w:i/>
        </w:rPr>
        <w:t>p</w:t>
      </w:r>
      <w:r w:rsidR="004A65DA" w:rsidRPr="008B2DDA">
        <w:rPr>
          <w:rStyle w:val="hps"/>
          <w:i/>
        </w:rPr>
        <w:t xml:space="preserve">artie contractante </w:t>
      </w:r>
      <w:r w:rsidR="00F3276F" w:rsidRPr="008B2DDA">
        <w:rPr>
          <w:rStyle w:val="hps"/>
        </w:rPr>
        <w:t>en tant que</w:t>
      </w:r>
      <w:r w:rsidR="004A65DA" w:rsidRPr="008B2DDA">
        <w:rPr>
          <w:rStyle w:val="hps"/>
        </w:rPr>
        <w:t xml:space="preserve"> partie intéressée aux fins de négociation d</w:t>
      </w:r>
      <w:r w:rsidR="00A341C2" w:rsidRPr="008B2DDA">
        <w:rPr>
          <w:rStyle w:val="hps"/>
        </w:rPr>
        <w:t>’</w:t>
      </w:r>
      <w:r w:rsidR="004A65DA" w:rsidRPr="008B2DDA">
        <w:rPr>
          <w:rStyle w:val="hps"/>
        </w:rPr>
        <w:t xml:space="preserve">un retrait </w:t>
      </w:r>
      <w:r w:rsidR="00FE2B96" w:rsidRPr="008B2DDA">
        <w:rPr>
          <w:rStyle w:val="hps"/>
        </w:rPr>
        <w:t>de</w:t>
      </w:r>
      <w:r w:rsidR="004A65DA" w:rsidRPr="008B2DDA">
        <w:rPr>
          <w:rStyle w:val="hps"/>
        </w:rPr>
        <w:t xml:space="preserve"> refus</w:t>
      </w:r>
      <w:r w:rsidR="00FE2B96" w:rsidRPr="008B2DDA">
        <w:rPr>
          <w:rStyle w:val="hps"/>
        </w:rPr>
        <w:t xml:space="preserve"> de </w:t>
      </w:r>
      <w:r w:rsidR="00F3276F" w:rsidRPr="008B2DDA">
        <w:rPr>
          <w:rStyle w:val="hps"/>
        </w:rPr>
        <w:t>protection d</w:t>
      </w:r>
      <w:r w:rsidR="00A341C2" w:rsidRPr="008B2DDA">
        <w:rPr>
          <w:rStyle w:val="hps"/>
        </w:rPr>
        <w:t>’</w:t>
      </w:r>
      <w:r w:rsidR="00FE2B96" w:rsidRPr="008B2DDA">
        <w:rPr>
          <w:rStyle w:val="hps"/>
        </w:rPr>
        <w:t>une dénomination/</w:t>
      </w:r>
      <w:r w:rsidR="004A65DA" w:rsidRPr="008B2DDA">
        <w:rPr>
          <w:rStyle w:val="hps"/>
        </w:rPr>
        <w:t>indication notifié</w:t>
      </w:r>
      <w:r w:rsidR="00F3276F" w:rsidRPr="008B2DDA">
        <w:rPr>
          <w:rStyle w:val="hps"/>
        </w:rPr>
        <w:t>e</w:t>
      </w:r>
      <w:r w:rsidR="004A65DA" w:rsidRPr="008B2DDA">
        <w:rPr>
          <w:rStyle w:val="hps"/>
        </w:rPr>
        <w:t xml:space="preserve">. </w:t>
      </w:r>
      <w:r w:rsidR="00056603" w:rsidRPr="008B2DDA">
        <w:rPr>
          <w:rStyle w:val="hps"/>
        </w:rPr>
        <w:t xml:space="preserve"> Cela est</w:t>
      </w:r>
      <w:r w:rsidR="004A65DA" w:rsidRPr="008B2DDA">
        <w:rPr>
          <w:rStyle w:val="hps"/>
        </w:rPr>
        <w:t xml:space="preserve"> problématique pour </w:t>
      </w:r>
      <w:r w:rsidR="00056603" w:rsidRPr="008B2DDA">
        <w:rPr>
          <w:rStyle w:val="hps"/>
        </w:rPr>
        <w:t>des pays</w:t>
      </w:r>
      <w:r w:rsidR="004A65DA" w:rsidRPr="008B2DDA">
        <w:rPr>
          <w:rStyle w:val="hps"/>
        </w:rPr>
        <w:t xml:space="preserve"> comme les États</w:t>
      </w:r>
      <w:r w:rsidR="00D67EA4" w:rsidRPr="008B2DDA">
        <w:rPr>
          <w:rStyle w:val="hps"/>
        </w:rPr>
        <w:noBreakHyphen/>
      </w:r>
      <w:r w:rsidR="004A65DA" w:rsidRPr="008B2DDA">
        <w:rPr>
          <w:rStyle w:val="hps"/>
        </w:rPr>
        <w:t>Unis</w:t>
      </w:r>
      <w:r w:rsidR="00E26A2C" w:rsidRPr="008B2DDA">
        <w:rPr>
          <w:rStyle w:val="hps"/>
        </w:rPr>
        <w:t xml:space="preserve"> d’Amérique</w:t>
      </w:r>
      <w:r w:rsidR="004A65DA" w:rsidRPr="008B2DDA">
        <w:rPr>
          <w:rStyle w:val="hps"/>
        </w:rPr>
        <w:t xml:space="preserve">, qui ont des limites </w:t>
      </w:r>
      <w:r w:rsidR="00D92862" w:rsidRPr="008B2DDA">
        <w:rPr>
          <w:rStyle w:val="hps"/>
        </w:rPr>
        <w:t>s</w:t>
      </w:r>
      <w:r w:rsidR="00A341C2" w:rsidRPr="008B2DDA">
        <w:rPr>
          <w:rStyle w:val="hps"/>
        </w:rPr>
        <w:t>’</w:t>
      </w:r>
      <w:r w:rsidR="00D92862" w:rsidRPr="008B2DDA">
        <w:rPr>
          <w:rStyle w:val="hps"/>
        </w:rPr>
        <w:t xml:space="preserve">agissant de </w:t>
      </w:r>
      <w:r w:rsidR="004A65DA" w:rsidRPr="008B2DDA">
        <w:rPr>
          <w:rStyle w:val="hps"/>
        </w:rPr>
        <w:t xml:space="preserve">qui peut être partie à un différend. </w:t>
      </w:r>
      <w:r w:rsidR="00FE2B96" w:rsidRPr="008B2DDA">
        <w:rPr>
          <w:rStyle w:val="hps"/>
        </w:rPr>
        <w:t xml:space="preserve"> </w:t>
      </w:r>
      <w:r w:rsidR="004A65DA" w:rsidRPr="008B2DDA">
        <w:rPr>
          <w:rStyle w:val="hps"/>
        </w:rPr>
        <w:t xml:space="preserve">Encore une fois, nous comprenons que la disposition est permissive, mais nous </w:t>
      </w:r>
      <w:r w:rsidR="00FE2B96" w:rsidRPr="008B2DDA">
        <w:rPr>
          <w:rStyle w:val="hps"/>
        </w:rPr>
        <w:t>pensons qu</w:t>
      </w:r>
      <w:r w:rsidR="00A341C2" w:rsidRPr="008B2DDA">
        <w:rPr>
          <w:rStyle w:val="hps"/>
        </w:rPr>
        <w:t>’</w:t>
      </w:r>
      <w:r w:rsidR="00FE2B96" w:rsidRPr="008B2DDA">
        <w:rPr>
          <w:rStyle w:val="hps"/>
        </w:rPr>
        <w:t>elle</w:t>
      </w:r>
      <w:r w:rsidR="004A65DA" w:rsidRPr="008B2DDA">
        <w:rPr>
          <w:rStyle w:val="hps"/>
        </w:rPr>
        <w:t xml:space="preserve"> </w:t>
      </w:r>
      <w:r w:rsidR="00E819DD" w:rsidRPr="008B2DDA">
        <w:rPr>
          <w:rStyle w:val="hps"/>
        </w:rPr>
        <w:t>transmet</w:t>
      </w:r>
      <w:r w:rsidR="004A65DA" w:rsidRPr="008B2DDA">
        <w:rPr>
          <w:rStyle w:val="hps"/>
        </w:rPr>
        <w:t xml:space="preserve"> un message contradictoire </w:t>
      </w:r>
      <w:r w:rsidR="00FE2B96" w:rsidRPr="008B2DDA">
        <w:rPr>
          <w:rStyle w:val="hps"/>
        </w:rPr>
        <w:t>s</w:t>
      </w:r>
      <w:r w:rsidR="00A341C2" w:rsidRPr="008B2DDA">
        <w:rPr>
          <w:rStyle w:val="hps"/>
        </w:rPr>
        <w:t>’</w:t>
      </w:r>
      <w:r w:rsidR="00FE2B96" w:rsidRPr="008B2DDA">
        <w:rPr>
          <w:rStyle w:val="hps"/>
        </w:rPr>
        <w:t>agissant de</w:t>
      </w:r>
      <w:r w:rsidR="004A65DA" w:rsidRPr="008B2DDA">
        <w:rPr>
          <w:rStyle w:val="hps"/>
        </w:rPr>
        <w:t xml:space="preserve"> qui a la capacité juridique de faire valoir </w:t>
      </w:r>
      <w:r w:rsidR="00FE2B96" w:rsidRPr="008B2DDA">
        <w:rPr>
          <w:rStyle w:val="hps"/>
        </w:rPr>
        <w:t>ses</w:t>
      </w:r>
      <w:r w:rsidR="004A65DA" w:rsidRPr="008B2DDA">
        <w:rPr>
          <w:rStyle w:val="hps"/>
        </w:rPr>
        <w:t xml:space="preserve"> droits </w:t>
      </w:r>
      <w:r w:rsidR="00A341C2" w:rsidRPr="008B2DDA">
        <w:rPr>
          <w:rStyle w:val="hps"/>
        </w:rPr>
        <w:t>à l’égard</w:t>
      </w:r>
      <w:r w:rsidR="00FE2B96" w:rsidRPr="008B2DDA">
        <w:rPr>
          <w:rStyle w:val="hps"/>
        </w:rPr>
        <w:t xml:space="preserve"> d</w:t>
      </w:r>
      <w:r w:rsidR="00A341C2" w:rsidRPr="008B2DDA">
        <w:rPr>
          <w:rStyle w:val="hps"/>
        </w:rPr>
        <w:t>’</w:t>
      </w:r>
      <w:r w:rsidR="004A65DA" w:rsidRPr="008B2DDA">
        <w:rPr>
          <w:rStyle w:val="hps"/>
        </w:rPr>
        <w:t xml:space="preserve">une </w:t>
      </w:r>
      <w:r w:rsidR="00AB2EF0" w:rsidRPr="008B2DDA">
        <w:rPr>
          <w:rStyle w:val="hps"/>
        </w:rPr>
        <w:t>indication géographique</w:t>
      </w:r>
      <w:r w:rsidR="004A65DA" w:rsidRPr="008B2DDA">
        <w:rPr>
          <w:rStyle w:val="hps"/>
        </w:rPr>
        <w:t>.</w:t>
      </w:r>
    </w:p>
    <w:p w14:paraId="44E8C66F" w14:textId="0F2C470D" w:rsidR="004A65DA" w:rsidRPr="008B2DDA" w:rsidRDefault="004A65DA" w:rsidP="008B2DDA">
      <w:pPr>
        <w:pStyle w:val="ONUMFS"/>
        <w:numPr>
          <w:ilvl w:val="0"/>
          <w:numId w:val="0"/>
        </w:numPr>
        <w:rPr>
          <w:rStyle w:val="hps"/>
        </w:rPr>
      </w:pPr>
      <w:r w:rsidRPr="008B2DDA">
        <w:rPr>
          <w:rStyle w:val="hps"/>
        </w:rPr>
        <w:lastRenderedPageBreak/>
        <w:t>Comme indiqué précédemment, l</w:t>
      </w:r>
      <w:r w:rsidR="00A341C2" w:rsidRPr="008B2DDA">
        <w:rPr>
          <w:rStyle w:val="hps"/>
        </w:rPr>
        <w:t>’</w:t>
      </w:r>
      <w:r w:rsidR="00485F51" w:rsidRPr="008B2DDA">
        <w:rPr>
          <w:rStyle w:val="hps"/>
        </w:rPr>
        <w:t>article 19.</w:t>
      </w:r>
      <w:r w:rsidRPr="008B2DDA">
        <w:rPr>
          <w:rStyle w:val="hps"/>
        </w:rPr>
        <w:t xml:space="preserve">2) </w:t>
      </w:r>
      <w:r w:rsidR="003F61DE" w:rsidRPr="008B2DDA">
        <w:rPr>
          <w:rStyle w:val="hps"/>
        </w:rPr>
        <w:t>fait ressortir</w:t>
      </w:r>
      <w:r w:rsidRPr="008B2DDA">
        <w:rPr>
          <w:rStyle w:val="hps"/>
        </w:rPr>
        <w:t xml:space="preserve"> que les bénéficiaires et l</w:t>
      </w:r>
      <w:r w:rsidR="00A341C2" w:rsidRPr="008B2DDA">
        <w:rPr>
          <w:rStyle w:val="hps"/>
        </w:rPr>
        <w:t>’</w:t>
      </w:r>
      <w:r w:rsidRPr="008B2DDA">
        <w:rPr>
          <w:rStyle w:val="hps"/>
        </w:rPr>
        <w:t xml:space="preserve">entité juridique représentant les droits des bénéficiaires ont </w:t>
      </w:r>
      <w:r w:rsidR="003F61DE" w:rsidRPr="008B2DDA">
        <w:rPr>
          <w:rStyle w:val="hps"/>
        </w:rPr>
        <w:t xml:space="preserve">un </w:t>
      </w:r>
      <w:r w:rsidRPr="008B2DDA">
        <w:rPr>
          <w:rStyle w:val="hps"/>
        </w:rPr>
        <w:t xml:space="preserve">intérêt </w:t>
      </w:r>
      <w:r w:rsidR="003F61DE" w:rsidRPr="008B2DDA">
        <w:rPr>
          <w:rStyle w:val="hps"/>
        </w:rPr>
        <w:t xml:space="preserve">suffisamment </w:t>
      </w:r>
      <w:r w:rsidRPr="008B2DDA">
        <w:rPr>
          <w:rStyle w:val="hps"/>
        </w:rPr>
        <w:t xml:space="preserve">légitime </w:t>
      </w:r>
      <w:r w:rsidR="003F61DE" w:rsidRPr="008B2DDA">
        <w:rPr>
          <w:rStyle w:val="hps"/>
        </w:rPr>
        <w:t>vis</w:t>
      </w:r>
      <w:r w:rsidR="00D67EA4" w:rsidRPr="008B2DDA">
        <w:rPr>
          <w:rStyle w:val="hps"/>
        </w:rPr>
        <w:noBreakHyphen/>
      </w:r>
      <w:r w:rsidR="003F61DE" w:rsidRPr="008B2DDA">
        <w:rPr>
          <w:rStyle w:val="hps"/>
        </w:rPr>
        <w:t>à</w:t>
      </w:r>
      <w:r w:rsidR="00D67EA4" w:rsidRPr="008B2DDA">
        <w:rPr>
          <w:rStyle w:val="hps"/>
        </w:rPr>
        <w:noBreakHyphen/>
      </w:r>
      <w:r w:rsidR="003F61DE" w:rsidRPr="008B2DDA">
        <w:rPr>
          <w:rStyle w:val="hps"/>
        </w:rPr>
        <w:t>vis de</w:t>
      </w:r>
      <w:r w:rsidRPr="008B2DDA">
        <w:rPr>
          <w:rStyle w:val="hps"/>
        </w:rPr>
        <w:t xml:space="preserve"> la propriété </w:t>
      </w:r>
      <w:r w:rsidR="003F61DE" w:rsidRPr="008B2DDA">
        <w:rPr>
          <w:rStyle w:val="hps"/>
        </w:rPr>
        <w:t xml:space="preserve">de sorte </w:t>
      </w:r>
      <w:r w:rsidRPr="008B2DDA">
        <w:rPr>
          <w:rStyle w:val="hps"/>
        </w:rPr>
        <w:t>qu</w:t>
      </w:r>
      <w:r w:rsidR="00A341C2" w:rsidRPr="008B2DDA">
        <w:rPr>
          <w:rStyle w:val="hps"/>
        </w:rPr>
        <w:t>’</w:t>
      </w:r>
      <w:r w:rsidRPr="008B2DDA">
        <w:rPr>
          <w:rStyle w:val="hps"/>
        </w:rPr>
        <w:t xml:space="preserve">ils devraient avoir la possibilité de contester une action en </w:t>
      </w:r>
      <w:r w:rsidR="003F61DE" w:rsidRPr="008B2DDA">
        <w:rPr>
          <w:rStyle w:val="hps"/>
        </w:rPr>
        <w:t>invalidation</w:t>
      </w:r>
      <w:r w:rsidRPr="008B2DDA">
        <w:rPr>
          <w:rStyle w:val="hps"/>
        </w:rPr>
        <w:t xml:space="preserve"> au niveau national. </w:t>
      </w:r>
      <w:r w:rsidR="003F61DE" w:rsidRPr="008B2DDA">
        <w:rPr>
          <w:rStyle w:val="hps"/>
        </w:rPr>
        <w:t xml:space="preserve"> </w:t>
      </w:r>
      <w:r w:rsidRPr="008B2DDA">
        <w:rPr>
          <w:rStyle w:val="hps"/>
        </w:rPr>
        <w:t xml:space="preserve">Toutefois, </w:t>
      </w:r>
      <w:r w:rsidR="00E819DD" w:rsidRPr="008B2DDA">
        <w:rPr>
          <w:rStyle w:val="hps"/>
        </w:rPr>
        <w:t>l</w:t>
      </w:r>
      <w:r w:rsidR="00A341C2" w:rsidRPr="008B2DDA">
        <w:rPr>
          <w:rStyle w:val="hps"/>
        </w:rPr>
        <w:t>’</w:t>
      </w:r>
      <w:r w:rsidR="00E819DD" w:rsidRPr="008B2DDA">
        <w:rPr>
          <w:rStyle w:val="hps"/>
        </w:rPr>
        <w:t>administration compétente ou la p</w:t>
      </w:r>
      <w:r w:rsidRPr="008B2DDA">
        <w:rPr>
          <w:rStyle w:val="hps"/>
        </w:rPr>
        <w:t>artie contractante elle</w:t>
      </w:r>
      <w:r w:rsidR="00D67EA4" w:rsidRPr="008B2DDA">
        <w:rPr>
          <w:rStyle w:val="hps"/>
        </w:rPr>
        <w:noBreakHyphen/>
      </w:r>
      <w:r w:rsidRPr="008B2DDA">
        <w:rPr>
          <w:rStyle w:val="hps"/>
        </w:rPr>
        <w:t xml:space="preserve">même </w:t>
      </w:r>
      <w:r w:rsidR="00E819DD" w:rsidRPr="008B2DDA">
        <w:rPr>
          <w:rStyle w:val="hps"/>
        </w:rPr>
        <w:t xml:space="preserve">ne sont pas reconnues </w:t>
      </w:r>
      <w:r w:rsidRPr="008B2DDA">
        <w:rPr>
          <w:rStyle w:val="hps"/>
        </w:rPr>
        <w:t xml:space="preserve">comme ayant le même intérêt. </w:t>
      </w:r>
      <w:r w:rsidR="00E819DD" w:rsidRPr="008B2DDA">
        <w:rPr>
          <w:rStyle w:val="hps"/>
        </w:rPr>
        <w:t xml:space="preserve"> </w:t>
      </w:r>
      <w:r w:rsidR="003F61DE" w:rsidRPr="008B2DDA">
        <w:rPr>
          <w:rStyle w:val="hps"/>
        </w:rPr>
        <w:t>L</w:t>
      </w:r>
      <w:r w:rsidR="00A341C2" w:rsidRPr="008B2DDA">
        <w:rPr>
          <w:rStyle w:val="hps"/>
        </w:rPr>
        <w:t>’</w:t>
      </w:r>
      <w:r w:rsidR="00485F51" w:rsidRPr="008B2DDA">
        <w:rPr>
          <w:rStyle w:val="hps"/>
        </w:rPr>
        <w:t>article 16.</w:t>
      </w:r>
      <w:r w:rsidRPr="008B2DDA">
        <w:rPr>
          <w:rStyle w:val="hps"/>
        </w:rPr>
        <w:t xml:space="preserve">2) tente </w:t>
      </w:r>
      <w:r w:rsidR="003F61DE" w:rsidRPr="008B2DDA">
        <w:rPr>
          <w:rStyle w:val="hps"/>
        </w:rPr>
        <w:t xml:space="preserve">néanmoins </w:t>
      </w:r>
      <w:r w:rsidRPr="008B2DDA">
        <w:rPr>
          <w:rStyle w:val="hps"/>
        </w:rPr>
        <w:t xml:space="preserve">de créer </w:t>
      </w:r>
      <w:r w:rsidR="003F61DE" w:rsidRPr="008B2DDA">
        <w:rPr>
          <w:rStyle w:val="hps"/>
        </w:rPr>
        <w:t xml:space="preserve">cet </w:t>
      </w:r>
      <w:r w:rsidRPr="008B2DDA">
        <w:rPr>
          <w:rStyle w:val="hps"/>
        </w:rPr>
        <w:t xml:space="preserve">intérêt </w:t>
      </w:r>
      <w:r w:rsidR="006C2BE2" w:rsidRPr="008B2DDA">
        <w:rPr>
          <w:rStyle w:val="hps"/>
        </w:rPr>
        <w:t>au stade</w:t>
      </w:r>
      <w:r w:rsidRPr="008B2DDA">
        <w:rPr>
          <w:rStyle w:val="hps"/>
        </w:rPr>
        <w:t xml:space="preserve"> </w:t>
      </w:r>
      <w:r w:rsidR="00E819DD" w:rsidRPr="008B2DDA">
        <w:rPr>
          <w:rStyle w:val="hps"/>
        </w:rPr>
        <w:t>du</w:t>
      </w:r>
      <w:r w:rsidRPr="008B2DDA">
        <w:rPr>
          <w:rStyle w:val="hps"/>
        </w:rPr>
        <w:t xml:space="preserve"> refus.</w:t>
      </w:r>
    </w:p>
    <w:p w14:paraId="5928A1C0" w14:textId="5EC8A997" w:rsidR="004A65DA" w:rsidRPr="008B2DDA" w:rsidRDefault="003F61DE" w:rsidP="008B2DDA">
      <w:pPr>
        <w:pStyle w:val="ONUMFS"/>
        <w:numPr>
          <w:ilvl w:val="0"/>
          <w:numId w:val="0"/>
        </w:numPr>
        <w:rPr>
          <w:rStyle w:val="hps"/>
        </w:rPr>
      </w:pPr>
      <w:r w:rsidRPr="008B2DDA">
        <w:rPr>
          <w:rStyle w:val="hps"/>
        </w:rPr>
        <w:t>L</w:t>
      </w:r>
      <w:r w:rsidR="00A341C2" w:rsidRPr="008B2DDA">
        <w:rPr>
          <w:rStyle w:val="hps"/>
        </w:rPr>
        <w:t>’</w:t>
      </w:r>
      <w:r w:rsidRPr="008B2DDA">
        <w:rPr>
          <w:rStyle w:val="hps"/>
        </w:rPr>
        <w:t>administration compétente, qui n</w:t>
      </w:r>
      <w:r w:rsidR="00A341C2" w:rsidRPr="008B2DDA">
        <w:rPr>
          <w:rStyle w:val="hps"/>
        </w:rPr>
        <w:t>’</w:t>
      </w:r>
      <w:r w:rsidR="004A65DA" w:rsidRPr="008B2DDA">
        <w:rPr>
          <w:rStyle w:val="hps"/>
        </w:rPr>
        <w:t>est généralement pas le propriétaire de l</w:t>
      </w:r>
      <w:r w:rsidR="00A341C2" w:rsidRPr="008B2DDA">
        <w:rPr>
          <w:rStyle w:val="hps"/>
        </w:rPr>
        <w:t>’</w:t>
      </w:r>
      <w:r w:rsidR="00AB2EF0" w:rsidRPr="008B2DDA">
        <w:rPr>
          <w:rStyle w:val="hps"/>
        </w:rPr>
        <w:t>indication géographique</w:t>
      </w:r>
      <w:r w:rsidR="004A65DA" w:rsidRPr="008B2DDA">
        <w:rPr>
          <w:rStyle w:val="hps"/>
        </w:rPr>
        <w:t>, ne serait probablement pas reconnu</w:t>
      </w:r>
      <w:r w:rsidRPr="008B2DDA">
        <w:rPr>
          <w:rStyle w:val="hps"/>
        </w:rPr>
        <w:t>e</w:t>
      </w:r>
      <w:r w:rsidR="004A65DA" w:rsidRPr="008B2DDA">
        <w:rPr>
          <w:rStyle w:val="hps"/>
        </w:rPr>
        <w:t xml:space="preserve"> </w:t>
      </w:r>
      <w:r w:rsidRPr="008B2DDA">
        <w:rPr>
          <w:rStyle w:val="hps"/>
        </w:rPr>
        <w:t xml:space="preserve">en tant que partie intéressée </w:t>
      </w:r>
      <w:r w:rsidR="004A65DA" w:rsidRPr="008B2DDA">
        <w:rPr>
          <w:rStyle w:val="hps"/>
        </w:rPr>
        <w:t>par les juridictions nationales dans une procédure d</w:t>
      </w:r>
      <w:r w:rsidR="00A341C2" w:rsidRPr="008B2DDA">
        <w:rPr>
          <w:rStyle w:val="hps"/>
        </w:rPr>
        <w:t>’</w:t>
      </w:r>
      <w:r w:rsidR="004A65DA" w:rsidRPr="008B2DDA">
        <w:rPr>
          <w:rStyle w:val="hps"/>
        </w:rPr>
        <w:t xml:space="preserve">invalidation. </w:t>
      </w:r>
      <w:r w:rsidRPr="008B2DDA">
        <w:rPr>
          <w:rStyle w:val="hps"/>
        </w:rPr>
        <w:t xml:space="preserve"> </w:t>
      </w:r>
      <w:r w:rsidR="004A65DA" w:rsidRPr="008B2DDA">
        <w:rPr>
          <w:rStyle w:val="hps"/>
        </w:rPr>
        <w:t xml:space="preserve">Si le texte </w:t>
      </w:r>
      <w:r w:rsidRPr="008B2DDA">
        <w:rPr>
          <w:rStyle w:val="hps"/>
        </w:rPr>
        <w:t xml:space="preserve">fait ressortir </w:t>
      </w:r>
      <w:r w:rsidR="004A65DA" w:rsidRPr="008B2DDA">
        <w:rPr>
          <w:rStyle w:val="hps"/>
        </w:rPr>
        <w:t xml:space="preserve">que les lois nationales ne donnent pas </w:t>
      </w:r>
      <w:r w:rsidRPr="008B2DDA">
        <w:rPr>
          <w:rStyle w:val="hps"/>
        </w:rPr>
        <w:t xml:space="preserve">à une administration compétente </w:t>
      </w:r>
      <w:r w:rsidR="004A65DA" w:rsidRPr="008B2DDA">
        <w:rPr>
          <w:rStyle w:val="hps"/>
        </w:rPr>
        <w:t>la capacité juridique de devenir partie à une</w:t>
      </w:r>
      <w:r w:rsidRPr="008B2DDA">
        <w:rPr>
          <w:rStyle w:val="hps"/>
        </w:rPr>
        <w:t xml:space="preserve"> procédure d</w:t>
      </w:r>
      <w:r w:rsidR="00A341C2" w:rsidRPr="008B2DDA">
        <w:rPr>
          <w:rStyle w:val="hps"/>
        </w:rPr>
        <w:t>’</w:t>
      </w:r>
      <w:r w:rsidR="004A65DA" w:rsidRPr="008B2DDA">
        <w:rPr>
          <w:rStyle w:val="hps"/>
        </w:rPr>
        <w:t>invalidation dans une autre partie contractante, il semble contradictoire d</w:t>
      </w:r>
      <w:r w:rsidR="00A341C2" w:rsidRPr="008B2DDA">
        <w:rPr>
          <w:rStyle w:val="hps"/>
        </w:rPr>
        <w:t>’</w:t>
      </w:r>
      <w:r w:rsidR="004A65DA" w:rsidRPr="008B2DDA">
        <w:rPr>
          <w:rStyle w:val="hps"/>
        </w:rPr>
        <w:t>accorde</w:t>
      </w:r>
      <w:r w:rsidRPr="008B2DDA">
        <w:rPr>
          <w:rStyle w:val="hps"/>
        </w:rPr>
        <w:t xml:space="preserve">r à une partie contractante la capacité </w:t>
      </w:r>
      <w:r w:rsidR="004A65DA" w:rsidRPr="008B2DDA">
        <w:rPr>
          <w:rStyle w:val="hps"/>
        </w:rPr>
        <w:t>juridique d</w:t>
      </w:r>
      <w:r w:rsidR="00A341C2" w:rsidRPr="008B2DDA">
        <w:rPr>
          <w:rStyle w:val="hps"/>
        </w:rPr>
        <w:t>’</w:t>
      </w:r>
      <w:r w:rsidR="004A65DA" w:rsidRPr="008B2DDA">
        <w:rPr>
          <w:rStyle w:val="hps"/>
        </w:rPr>
        <w:t xml:space="preserve">intervenir dans ce qui devrait être un processus </w:t>
      </w:r>
      <w:r w:rsidRPr="008B2DDA">
        <w:rPr>
          <w:rStyle w:val="hps"/>
          <w:i/>
        </w:rPr>
        <w:t>ex</w:t>
      </w:r>
      <w:r w:rsidR="00E26A2C" w:rsidRPr="008B2DDA">
        <w:rPr>
          <w:rStyle w:val="hps"/>
          <w:i/>
        </w:rPr>
        <w:t> </w:t>
      </w:r>
      <w:r w:rsidRPr="008B2DDA">
        <w:rPr>
          <w:rStyle w:val="hps"/>
          <w:i/>
        </w:rPr>
        <w:t xml:space="preserve">parte </w:t>
      </w:r>
      <w:r w:rsidR="004A65DA" w:rsidRPr="008B2DDA">
        <w:rPr>
          <w:rStyle w:val="hps"/>
        </w:rPr>
        <w:t>de demande de reconnaissance de</w:t>
      </w:r>
      <w:r w:rsidRPr="008B2DDA">
        <w:rPr>
          <w:rStyle w:val="hps"/>
        </w:rPr>
        <w:t>s</w:t>
      </w:r>
      <w:r w:rsidR="004A65DA" w:rsidRPr="008B2DDA">
        <w:rPr>
          <w:rStyle w:val="hps"/>
        </w:rPr>
        <w:t xml:space="preserve"> </w:t>
      </w:r>
      <w:r w:rsidR="00AB2EF0" w:rsidRPr="008B2DDA">
        <w:rPr>
          <w:rStyle w:val="hps"/>
        </w:rPr>
        <w:t>indications géographiques</w:t>
      </w:r>
      <w:r w:rsidRPr="008B2DDA">
        <w:rPr>
          <w:rStyle w:val="hps"/>
        </w:rPr>
        <w:t xml:space="preserve"> en</w:t>
      </w:r>
      <w:r w:rsidR="004A65DA" w:rsidRPr="008B2DDA">
        <w:rPr>
          <w:rStyle w:val="hps"/>
        </w:rPr>
        <w:t xml:space="preserve"> vertu de </w:t>
      </w:r>
      <w:r w:rsidR="00485F51" w:rsidRPr="008B2DDA">
        <w:rPr>
          <w:rStyle w:val="hps"/>
        </w:rPr>
        <w:t>l</w:t>
      </w:r>
      <w:r w:rsidR="00A341C2" w:rsidRPr="008B2DDA">
        <w:rPr>
          <w:rStyle w:val="hps"/>
        </w:rPr>
        <w:t>’</w:t>
      </w:r>
      <w:r w:rsidR="00485F51" w:rsidRPr="008B2DDA">
        <w:rPr>
          <w:rStyle w:val="hps"/>
        </w:rPr>
        <w:t xml:space="preserve">article 16.2) </w:t>
      </w:r>
      <w:r w:rsidR="004A65DA" w:rsidRPr="008B2DDA">
        <w:rPr>
          <w:rStyle w:val="hps"/>
        </w:rPr>
        <w:t xml:space="preserve">ou </w:t>
      </w:r>
      <w:r w:rsidRPr="008B2DDA">
        <w:rPr>
          <w:rStyle w:val="hps"/>
        </w:rPr>
        <w:t>une procédure d</w:t>
      </w:r>
      <w:r w:rsidR="00A341C2" w:rsidRPr="008B2DDA">
        <w:rPr>
          <w:rStyle w:val="hps"/>
        </w:rPr>
        <w:t>’</w:t>
      </w:r>
      <w:r w:rsidRPr="008B2DDA">
        <w:rPr>
          <w:rStyle w:val="hps"/>
        </w:rPr>
        <w:t>opposition ou d</w:t>
      </w:r>
      <w:r w:rsidR="00A341C2" w:rsidRPr="008B2DDA">
        <w:rPr>
          <w:rStyle w:val="hps"/>
        </w:rPr>
        <w:t>’</w:t>
      </w:r>
      <w:r w:rsidRPr="008B2DDA">
        <w:rPr>
          <w:rStyle w:val="hps"/>
        </w:rPr>
        <w:t xml:space="preserve">invalidation </w:t>
      </w:r>
      <w:r w:rsidRPr="008B2DDA">
        <w:rPr>
          <w:rStyle w:val="hps"/>
          <w:i/>
        </w:rPr>
        <w:t>inter partes</w:t>
      </w:r>
      <w:r w:rsidRPr="008B2DDA">
        <w:rPr>
          <w:rStyle w:val="hps"/>
        </w:rPr>
        <w:t xml:space="preserve"> </w:t>
      </w:r>
      <w:r w:rsidR="004A65DA" w:rsidRPr="008B2DDA">
        <w:rPr>
          <w:rStyle w:val="hps"/>
        </w:rPr>
        <w:t>entre deux</w:t>
      </w:r>
      <w:r w:rsidR="00E26A2C" w:rsidRPr="008B2DDA">
        <w:rPr>
          <w:rStyle w:val="hps"/>
        </w:rPr>
        <w:t> </w:t>
      </w:r>
      <w:r w:rsidR="004A65DA" w:rsidRPr="008B2DDA">
        <w:rPr>
          <w:rStyle w:val="hps"/>
        </w:rPr>
        <w:t>parties privées.</w:t>
      </w:r>
    </w:p>
    <w:p w14:paraId="71BCFD36" w14:textId="036D1992" w:rsidR="004A65DA" w:rsidRPr="008B2DDA" w:rsidRDefault="00EC5CA5" w:rsidP="008B2DDA">
      <w:pPr>
        <w:pStyle w:val="ONUMFS"/>
        <w:numPr>
          <w:ilvl w:val="0"/>
          <w:numId w:val="0"/>
        </w:numPr>
        <w:rPr>
          <w:rStyle w:val="hps"/>
        </w:rPr>
      </w:pPr>
      <w:r w:rsidRPr="008B2DDA">
        <w:rPr>
          <w:rStyle w:val="hps"/>
          <w:b/>
        </w:rPr>
        <w:t xml:space="preserve">Taxes </w:t>
      </w:r>
      <w:r w:rsidR="0080323D" w:rsidRPr="008B2DDA">
        <w:rPr>
          <w:rStyle w:val="hps"/>
          <w:b/>
        </w:rPr>
        <w:t>et</w:t>
      </w:r>
      <w:r w:rsidRPr="008B2DDA">
        <w:rPr>
          <w:rStyle w:val="hps"/>
          <w:b/>
        </w:rPr>
        <w:t xml:space="preserve"> a</w:t>
      </w:r>
      <w:r w:rsidR="004A65DA" w:rsidRPr="008B2DDA">
        <w:rPr>
          <w:rStyle w:val="hps"/>
          <w:b/>
        </w:rPr>
        <w:t>utonomie financière</w:t>
      </w:r>
      <w:r w:rsidRPr="008B2DDA">
        <w:rPr>
          <w:rStyle w:val="hps"/>
          <w:b/>
        </w:rPr>
        <w:t> </w:t>
      </w:r>
      <w:r w:rsidR="004A65DA" w:rsidRPr="008B2DDA">
        <w:rPr>
          <w:rStyle w:val="hps"/>
          <w:b/>
        </w:rPr>
        <w:t>:</w:t>
      </w:r>
      <w:r w:rsidR="004A65DA" w:rsidRPr="008B2DDA">
        <w:rPr>
          <w:rStyle w:val="hps"/>
        </w:rPr>
        <w:t xml:space="preserve"> </w:t>
      </w:r>
      <w:r w:rsidR="00DF6173" w:rsidRPr="008B2DDA">
        <w:rPr>
          <w:rStyle w:val="hps"/>
        </w:rPr>
        <w:t>Étant donné</w:t>
      </w:r>
      <w:r w:rsidR="004A65DA" w:rsidRPr="008B2DDA">
        <w:rPr>
          <w:rStyle w:val="hps"/>
        </w:rPr>
        <w:t xml:space="preserve"> que les </w:t>
      </w:r>
      <w:r w:rsidR="00AB2EF0" w:rsidRPr="008B2DDA">
        <w:rPr>
          <w:rStyle w:val="hps"/>
        </w:rPr>
        <w:t>indications géographiques</w:t>
      </w:r>
      <w:r w:rsidR="004A65DA" w:rsidRPr="008B2DDA">
        <w:rPr>
          <w:rStyle w:val="hps"/>
        </w:rPr>
        <w:t xml:space="preserve"> sont des droits de propriété privée, l</w:t>
      </w:r>
      <w:r w:rsidR="00A341C2" w:rsidRPr="008B2DDA">
        <w:rPr>
          <w:rStyle w:val="hps"/>
        </w:rPr>
        <w:t>’</w:t>
      </w:r>
      <w:r w:rsidR="004A65DA" w:rsidRPr="008B2DDA">
        <w:rPr>
          <w:rStyle w:val="hps"/>
        </w:rPr>
        <w:t>Union de Lisbonne ne do</w:t>
      </w:r>
      <w:r w:rsidR="00DF6173" w:rsidRPr="008B2DDA">
        <w:rPr>
          <w:rStyle w:val="hps"/>
        </w:rPr>
        <w:t>it pas continuer à compter sur d</w:t>
      </w:r>
      <w:r w:rsidR="00A341C2" w:rsidRPr="008B2DDA">
        <w:rPr>
          <w:rStyle w:val="hps"/>
        </w:rPr>
        <w:t>’</w:t>
      </w:r>
      <w:r w:rsidR="004A65DA" w:rsidRPr="008B2DDA">
        <w:rPr>
          <w:rStyle w:val="hps"/>
        </w:rPr>
        <w:t>autres membres de l</w:t>
      </w:r>
      <w:r w:rsidR="00A341C2" w:rsidRPr="008B2DDA">
        <w:rPr>
          <w:rStyle w:val="hps"/>
        </w:rPr>
        <w:t>’</w:t>
      </w:r>
      <w:r w:rsidR="004A65DA" w:rsidRPr="008B2DDA">
        <w:rPr>
          <w:rStyle w:val="hps"/>
        </w:rPr>
        <w:t xml:space="preserve">OMPI </w:t>
      </w:r>
      <w:r w:rsidR="0068372D" w:rsidRPr="008B2DDA">
        <w:rPr>
          <w:rStyle w:val="hps"/>
        </w:rPr>
        <w:t>ni</w:t>
      </w:r>
      <w:r w:rsidR="004A65DA" w:rsidRPr="008B2DDA">
        <w:rPr>
          <w:rStyle w:val="hps"/>
        </w:rPr>
        <w:t xml:space="preserve"> </w:t>
      </w:r>
      <w:r w:rsidR="00DF6173" w:rsidRPr="008B2DDA">
        <w:rPr>
          <w:rStyle w:val="hps"/>
        </w:rPr>
        <w:t xml:space="preserve">sur </w:t>
      </w:r>
      <w:r w:rsidR="004A65DA" w:rsidRPr="008B2DDA">
        <w:rPr>
          <w:rStyle w:val="hps"/>
        </w:rPr>
        <w:t>d</w:t>
      </w:r>
      <w:r w:rsidR="00A341C2" w:rsidRPr="008B2DDA">
        <w:rPr>
          <w:rStyle w:val="hps"/>
        </w:rPr>
        <w:t>’</w:t>
      </w:r>
      <w:r w:rsidR="004A65DA" w:rsidRPr="008B2DDA">
        <w:rPr>
          <w:rStyle w:val="hps"/>
        </w:rPr>
        <w:t>autres systèmes d</w:t>
      </w:r>
      <w:r w:rsidR="00A341C2" w:rsidRPr="008B2DDA">
        <w:rPr>
          <w:rStyle w:val="hps"/>
        </w:rPr>
        <w:t>’</w:t>
      </w:r>
      <w:r w:rsidR="004A65DA" w:rsidRPr="008B2DDA">
        <w:rPr>
          <w:rStyle w:val="hps"/>
        </w:rPr>
        <w:t>enregistrement de l</w:t>
      </w:r>
      <w:r w:rsidR="00A341C2" w:rsidRPr="008B2DDA">
        <w:rPr>
          <w:rStyle w:val="hps"/>
        </w:rPr>
        <w:t>’</w:t>
      </w:r>
      <w:r w:rsidR="004A65DA" w:rsidRPr="008B2DDA">
        <w:rPr>
          <w:rStyle w:val="hps"/>
        </w:rPr>
        <w:t>OMPI plus la</w:t>
      </w:r>
      <w:r w:rsidR="00DF6173" w:rsidRPr="008B2DDA">
        <w:rPr>
          <w:rStyle w:val="hps"/>
        </w:rPr>
        <w:t>rgement adopté</w:t>
      </w:r>
      <w:r w:rsidR="004A65DA" w:rsidRPr="008B2DDA">
        <w:rPr>
          <w:rStyle w:val="hps"/>
        </w:rPr>
        <w:t>s pour subventionner l</w:t>
      </w:r>
      <w:r w:rsidR="00A341C2" w:rsidRPr="008B2DDA">
        <w:rPr>
          <w:rStyle w:val="hps"/>
        </w:rPr>
        <w:t>’</w:t>
      </w:r>
      <w:r w:rsidR="004A65DA" w:rsidRPr="008B2DDA">
        <w:rPr>
          <w:rStyle w:val="hps"/>
        </w:rPr>
        <w:t>acquisition de ces droits.</w:t>
      </w:r>
      <w:r w:rsidR="00485F51" w:rsidRPr="008B2DDA">
        <w:rPr>
          <w:rStyle w:val="hps"/>
        </w:rPr>
        <w:t xml:space="preserve"> </w:t>
      </w:r>
      <w:r w:rsidR="004A65DA" w:rsidRPr="008B2DDA">
        <w:rPr>
          <w:rStyle w:val="hps"/>
        </w:rPr>
        <w:t xml:space="preserve"> Le système de Lisbonne doit être financièrement autonome.</w:t>
      </w:r>
    </w:p>
    <w:p w14:paraId="14224317" w14:textId="7F902A8D" w:rsidR="00A341C2" w:rsidRPr="008B2DDA" w:rsidRDefault="0068372D" w:rsidP="008B2DDA">
      <w:pPr>
        <w:pStyle w:val="ONUMFS"/>
        <w:numPr>
          <w:ilvl w:val="0"/>
          <w:numId w:val="0"/>
        </w:numPr>
        <w:rPr>
          <w:rStyle w:val="hps"/>
        </w:rPr>
      </w:pPr>
      <w:r w:rsidRPr="008B2DDA">
        <w:rPr>
          <w:rStyle w:val="hps"/>
        </w:rPr>
        <w:t>Nous</w:t>
      </w:r>
      <w:r w:rsidR="004A65DA" w:rsidRPr="008B2DDA">
        <w:rPr>
          <w:rStyle w:val="hps"/>
        </w:rPr>
        <w:t xml:space="preserve"> </w:t>
      </w:r>
      <w:r w:rsidR="00D4468A" w:rsidRPr="008B2DDA">
        <w:rPr>
          <w:rStyle w:val="hps"/>
        </w:rPr>
        <w:t>apprécions</w:t>
      </w:r>
      <w:r w:rsidR="004A65DA" w:rsidRPr="008B2DDA">
        <w:rPr>
          <w:rStyle w:val="hps"/>
        </w:rPr>
        <w:t xml:space="preserve"> que l</w:t>
      </w:r>
      <w:r w:rsidR="00A341C2" w:rsidRPr="008B2DDA">
        <w:rPr>
          <w:rStyle w:val="hps"/>
        </w:rPr>
        <w:t>’</w:t>
      </w:r>
      <w:r w:rsidR="004A65DA" w:rsidRPr="008B2DDA">
        <w:rPr>
          <w:rStyle w:val="hps"/>
        </w:rPr>
        <w:t xml:space="preserve">Union de Lisbonne espère que les nouvelles adhésions contribueront à </w:t>
      </w:r>
      <w:r w:rsidRPr="008B2DDA">
        <w:rPr>
          <w:rStyle w:val="hps"/>
        </w:rPr>
        <w:t>l</w:t>
      </w:r>
      <w:r w:rsidR="00A341C2" w:rsidRPr="008B2DDA">
        <w:rPr>
          <w:rStyle w:val="hps"/>
        </w:rPr>
        <w:t>’</w:t>
      </w:r>
      <w:r w:rsidR="004A65DA" w:rsidRPr="008B2DDA">
        <w:rPr>
          <w:rStyle w:val="hps"/>
        </w:rPr>
        <w:t xml:space="preserve">augmentation des recettes, </w:t>
      </w:r>
      <w:r w:rsidRPr="008B2DDA">
        <w:rPr>
          <w:rStyle w:val="hps"/>
        </w:rPr>
        <w:t xml:space="preserve">mais </w:t>
      </w:r>
      <w:r w:rsidR="004A65DA" w:rsidRPr="008B2DDA">
        <w:rPr>
          <w:rStyle w:val="hps"/>
        </w:rPr>
        <w:t xml:space="preserve">nous ne </w:t>
      </w:r>
      <w:r w:rsidRPr="008B2DDA">
        <w:rPr>
          <w:rStyle w:val="hps"/>
        </w:rPr>
        <w:t>pensons</w:t>
      </w:r>
      <w:r w:rsidR="004A65DA" w:rsidRPr="008B2DDA">
        <w:rPr>
          <w:rStyle w:val="hps"/>
        </w:rPr>
        <w:t xml:space="preserve"> pas que le texte </w:t>
      </w:r>
      <w:r w:rsidRPr="008B2DDA">
        <w:rPr>
          <w:rStyle w:val="hps"/>
        </w:rPr>
        <w:t>introduise</w:t>
      </w:r>
      <w:r w:rsidR="004A65DA" w:rsidRPr="008B2DDA">
        <w:rPr>
          <w:rStyle w:val="hps"/>
        </w:rPr>
        <w:t xml:space="preserve"> les </w:t>
      </w:r>
      <w:r w:rsidR="00811AA9" w:rsidRPr="008B2DDA">
        <w:rPr>
          <w:rStyle w:val="hps"/>
        </w:rPr>
        <w:t>éléments de flexibilité</w:t>
      </w:r>
      <w:r w:rsidR="004A65DA" w:rsidRPr="008B2DDA">
        <w:rPr>
          <w:rStyle w:val="hps"/>
        </w:rPr>
        <w:t xml:space="preserve"> nécessaires pour </w:t>
      </w:r>
      <w:r w:rsidR="00EC5CA5" w:rsidRPr="008B2DDA">
        <w:rPr>
          <w:rStyle w:val="hps"/>
        </w:rPr>
        <w:t>qu</w:t>
      </w:r>
      <w:r w:rsidR="00A341C2" w:rsidRPr="008B2DDA">
        <w:rPr>
          <w:rStyle w:val="hps"/>
        </w:rPr>
        <w:t>’</w:t>
      </w:r>
      <w:r w:rsidR="00EC5CA5" w:rsidRPr="008B2DDA">
        <w:rPr>
          <w:rStyle w:val="hps"/>
        </w:rPr>
        <w:t>un nombre suffisant de</w:t>
      </w:r>
      <w:r w:rsidR="004A65DA" w:rsidRPr="008B2DDA">
        <w:rPr>
          <w:rStyle w:val="hps"/>
        </w:rPr>
        <w:t xml:space="preserve"> nouvelles </w:t>
      </w:r>
      <w:r w:rsidRPr="008B2DDA">
        <w:rPr>
          <w:rStyle w:val="hps"/>
        </w:rPr>
        <w:t>p</w:t>
      </w:r>
      <w:r w:rsidR="004A65DA" w:rsidRPr="008B2DDA">
        <w:rPr>
          <w:rStyle w:val="hps"/>
        </w:rPr>
        <w:t xml:space="preserve">arties contractantes </w:t>
      </w:r>
      <w:r w:rsidRPr="008B2DDA">
        <w:rPr>
          <w:rStyle w:val="hps"/>
        </w:rPr>
        <w:t>accepte de</w:t>
      </w:r>
      <w:r w:rsidR="004A65DA" w:rsidRPr="008B2DDA">
        <w:rPr>
          <w:rStyle w:val="hps"/>
        </w:rPr>
        <w:t xml:space="preserve"> </w:t>
      </w:r>
      <w:r w:rsidRPr="008B2DDA">
        <w:rPr>
          <w:rStyle w:val="hps"/>
        </w:rPr>
        <w:t>s</w:t>
      </w:r>
      <w:r w:rsidR="00A341C2" w:rsidRPr="008B2DDA">
        <w:rPr>
          <w:rStyle w:val="hps"/>
        </w:rPr>
        <w:t>’</w:t>
      </w:r>
      <w:r w:rsidRPr="008B2DDA">
        <w:rPr>
          <w:rStyle w:val="hps"/>
        </w:rPr>
        <w:t xml:space="preserve">acquitter du montant de taxes nécessaire au financement des </w:t>
      </w:r>
      <w:r w:rsidR="004A65DA" w:rsidRPr="008B2DDA">
        <w:rPr>
          <w:rStyle w:val="hps"/>
        </w:rPr>
        <w:t xml:space="preserve">opérations du système. </w:t>
      </w:r>
      <w:r w:rsidRPr="008B2DDA">
        <w:rPr>
          <w:rStyle w:val="hps"/>
        </w:rPr>
        <w:t xml:space="preserve"> </w:t>
      </w:r>
      <w:r w:rsidR="0029467F" w:rsidRPr="008B2DDA">
        <w:rPr>
          <w:rStyle w:val="hps"/>
        </w:rPr>
        <w:t>Toutefois,</w:t>
      </w:r>
      <w:r w:rsidR="00056603" w:rsidRPr="008B2DDA">
        <w:rPr>
          <w:rStyle w:val="hps"/>
        </w:rPr>
        <w:t xml:space="preserve"> même si cette conclusion </w:t>
      </w:r>
      <w:r w:rsidR="0029467F" w:rsidRPr="008B2DDA">
        <w:rPr>
          <w:rStyle w:val="hps"/>
        </w:rPr>
        <w:t>se révèle erronée</w:t>
      </w:r>
      <w:r w:rsidR="004A65DA" w:rsidRPr="008B2DDA">
        <w:rPr>
          <w:rStyle w:val="hps"/>
        </w:rPr>
        <w:t>, le texte de l</w:t>
      </w:r>
      <w:r w:rsidR="00A341C2" w:rsidRPr="008B2DDA">
        <w:rPr>
          <w:rStyle w:val="hps"/>
        </w:rPr>
        <w:t>’</w:t>
      </w:r>
      <w:r w:rsidR="004A65DA" w:rsidRPr="008B2DDA">
        <w:rPr>
          <w:rStyle w:val="hps"/>
        </w:rPr>
        <w:t>accord doit prévoir une façon d</w:t>
      </w:r>
      <w:r w:rsidR="00A341C2" w:rsidRPr="008B2DDA">
        <w:rPr>
          <w:rStyle w:val="hps"/>
        </w:rPr>
        <w:t>’</w:t>
      </w:r>
      <w:r w:rsidR="004A65DA" w:rsidRPr="008B2DDA">
        <w:rPr>
          <w:rStyle w:val="hps"/>
        </w:rPr>
        <w:t xml:space="preserve">équilibrer les dépenses </w:t>
      </w:r>
      <w:r w:rsidR="0002192F" w:rsidRPr="008B2DDA">
        <w:rPr>
          <w:rStyle w:val="hps"/>
        </w:rPr>
        <w:t>et les recettes</w:t>
      </w:r>
      <w:r w:rsidR="004A65DA" w:rsidRPr="008B2DDA">
        <w:rPr>
          <w:rStyle w:val="hps"/>
        </w:rPr>
        <w:t xml:space="preserve">. </w:t>
      </w:r>
      <w:r w:rsidRPr="008B2DDA">
        <w:rPr>
          <w:rStyle w:val="hps"/>
        </w:rPr>
        <w:t xml:space="preserve"> </w:t>
      </w:r>
      <w:r w:rsidR="004A65DA" w:rsidRPr="008B2DDA">
        <w:rPr>
          <w:rStyle w:val="hps"/>
        </w:rPr>
        <w:t>Il existe essentiellement quatre</w:t>
      </w:r>
      <w:r w:rsidR="00E26A2C" w:rsidRPr="008B2DDA">
        <w:rPr>
          <w:rStyle w:val="hps"/>
        </w:rPr>
        <w:t> </w:t>
      </w:r>
      <w:r w:rsidR="004A65DA" w:rsidRPr="008B2DDA">
        <w:rPr>
          <w:rStyle w:val="hps"/>
        </w:rPr>
        <w:t xml:space="preserve">questions </w:t>
      </w:r>
      <w:r w:rsidR="0002192F" w:rsidRPr="008B2DDA">
        <w:rPr>
          <w:rStyle w:val="hps"/>
        </w:rPr>
        <w:t>relatives</w:t>
      </w:r>
      <w:r w:rsidR="004A65DA" w:rsidRPr="008B2DDA">
        <w:rPr>
          <w:rStyle w:val="hps"/>
        </w:rPr>
        <w:t xml:space="preserve"> aux </w:t>
      </w:r>
      <w:r w:rsidR="0002192F" w:rsidRPr="008B2DDA">
        <w:rPr>
          <w:rStyle w:val="hps"/>
        </w:rPr>
        <w:t>taxes </w:t>
      </w:r>
      <w:r w:rsidR="004A65DA" w:rsidRPr="008B2DDA">
        <w:rPr>
          <w:rStyle w:val="hps"/>
        </w:rPr>
        <w:t xml:space="preserve">: 1) la </w:t>
      </w:r>
      <w:r w:rsidR="0002192F" w:rsidRPr="008B2DDA">
        <w:rPr>
          <w:rStyle w:val="hps"/>
        </w:rPr>
        <w:t>perception</w:t>
      </w:r>
      <w:r w:rsidR="004A65DA" w:rsidRPr="008B2DDA">
        <w:rPr>
          <w:rStyle w:val="hps"/>
        </w:rPr>
        <w:t xml:space="preserve"> </w:t>
      </w:r>
      <w:r w:rsidR="0002192F" w:rsidRPr="008B2DDA">
        <w:rPr>
          <w:rStyle w:val="hps"/>
        </w:rPr>
        <w:t>de</w:t>
      </w:r>
      <w:r w:rsidR="004A65DA" w:rsidRPr="008B2DDA">
        <w:rPr>
          <w:rStyle w:val="hps"/>
        </w:rPr>
        <w:t xml:space="preserve"> taxes individuelles nationales; </w:t>
      </w:r>
      <w:r w:rsidR="0002192F" w:rsidRPr="008B2DDA">
        <w:rPr>
          <w:rStyle w:val="hps"/>
        </w:rPr>
        <w:t xml:space="preserve"> </w:t>
      </w:r>
      <w:r w:rsidR="004A65DA" w:rsidRPr="008B2DDA">
        <w:rPr>
          <w:rStyle w:val="hps"/>
        </w:rPr>
        <w:t>2) l</w:t>
      </w:r>
      <w:r w:rsidR="00A341C2" w:rsidRPr="008B2DDA">
        <w:rPr>
          <w:rStyle w:val="hps"/>
        </w:rPr>
        <w:t>’</w:t>
      </w:r>
      <w:r w:rsidR="004A65DA" w:rsidRPr="008B2DDA">
        <w:rPr>
          <w:rStyle w:val="hps"/>
        </w:rPr>
        <w:t xml:space="preserve">augmentation de la taxe </w:t>
      </w:r>
      <w:r w:rsidR="0002192F" w:rsidRPr="008B2DDA">
        <w:rPr>
          <w:rStyle w:val="hps"/>
        </w:rPr>
        <w:t>de base applicable aux demandes internationales</w:t>
      </w:r>
      <w:r w:rsidR="004A65DA" w:rsidRPr="008B2DDA">
        <w:rPr>
          <w:rStyle w:val="hps"/>
        </w:rPr>
        <w:t xml:space="preserve">; </w:t>
      </w:r>
      <w:r w:rsidR="00E26A2C" w:rsidRPr="008B2DDA">
        <w:rPr>
          <w:rStyle w:val="hps"/>
        </w:rPr>
        <w:t xml:space="preserve"> </w:t>
      </w:r>
      <w:r w:rsidR="004A65DA" w:rsidRPr="008B2DDA">
        <w:rPr>
          <w:rStyle w:val="hps"/>
        </w:rPr>
        <w:t xml:space="preserve">3) </w:t>
      </w:r>
      <w:r w:rsidR="0002192F" w:rsidRPr="008B2DDA">
        <w:rPr>
          <w:rStyle w:val="hps"/>
        </w:rPr>
        <w:t>la mise en place d</w:t>
      </w:r>
      <w:r w:rsidR="00A341C2" w:rsidRPr="008B2DDA">
        <w:rPr>
          <w:rStyle w:val="hps"/>
        </w:rPr>
        <w:t>’</w:t>
      </w:r>
      <w:r w:rsidR="0002192F" w:rsidRPr="008B2DDA">
        <w:rPr>
          <w:rStyle w:val="hps"/>
        </w:rPr>
        <w:t>une taxe</w:t>
      </w:r>
      <w:r w:rsidR="004A65DA" w:rsidRPr="008B2DDA">
        <w:rPr>
          <w:rStyle w:val="hps"/>
        </w:rPr>
        <w:t xml:space="preserve"> </w:t>
      </w:r>
      <w:r w:rsidR="00C0473A" w:rsidRPr="008B2DDA">
        <w:rPr>
          <w:rStyle w:val="hps"/>
        </w:rPr>
        <w:t>de</w:t>
      </w:r>
      <w:r w:rsidR="0002192F" w:rsidRPr="008B2DDA">
        <w:rPr>
          <w:rStyle w:val="hps"/>
        </w:rPr>
        <w:t xml:space="preserve"> maintien</w:t>
      </w:r>
      <w:r w:rsidR="000B2AD6" w:rsidRPr="008B2DDA">
        <w:rPr>
          <w:rStyle w:val="hps"/>
        </w:rPr>
        <w:t xml:space="preserve"> en vigueur</w:t>
      </w:r>
      <w:r w:rsidR="004A65DA" w:rsidRPr="008B2DDA">
        <w:rPr>
          <w:rStyle w:val="hps"/>
        </w:rPr>
        <w:t>, obligatoire ou ad</w:t>
      </w:r>
      <w:r w:rsidR="00E26A2C" w:rsidRPr="008B2DDA">
        <w:rPr>
          <w:rStyle w:val="hps"/>
        </w:rPr>
        <w:t> </w:t>
      </w:r>
      <w:r w:rsidR="004A65DA" w:rsidRPr="008B2DDA">
        <w:rPr>
          <w:rStyle w:val="hps"/>
        </w:rPr>
        <w:t xml:space="preserve">hoc; </w:t>
      </w:r>
      <w:r w:rsidR="0002192F" w:rsidRPr="008B2DDA">
        <w:rPr>
          <w:rStyle w:val="hps"/>
        </w:rPr>
        <w:t xml:space="preserve"> </w:t>
      </w:r>
      <w:r w:rsidR="004A65DA" w:rsidRPr="008B2DDA">
        <w:rPr>
          <w:rStyle w:val="hps"/>
        </w:rPr>
        <w:t>4) la création d</w:t>
      </w:r>
      <w:r w:rsidR="00A341C2" w:rsidRPr="008B2DDA">
        <w:rPr>
          <w:rStyle w:val="hps"/>
        </w:rPr>
        <w:t>’</w:t>
      </w:r>
      <w:r w:rsidR="004A65DA" w:rsidRPr="008B2DDA">
        <w:rPr>
          <w:rStyle w:val="hps"/>
        </w:rPr>
        <w:t>un système de contribution de</w:t>
      </w:r>
      <w:r w:rsidR="0002192F" w:rsidRPr="008B2DDA">
        <w:rPr>
          <w:rStyle w:val="hps"/>
        </w:rPr>
        <w:t>s</w:t>
      </w:r>
      <w:r w:rsidR="004A65DA" w:rsidRPr="008B2DDA">
        <w:rPr>
          <w:rStyle w:val="hps"/>
        </w:rPr>
        <w:t xml:space="preserve"> partie</w:t>
      </w:r>
      <w:r w:rsidR="0002192F" w:rsidRPr="008B2DDA">
        <w:rPr>
          <w:rStyle w:val="hps"/>
        </w:rPr>
        <w:t>s</w:t>
      </w:r>
      <w:r w:rsidR="004A65DA" w:rsidRPr="008B2DDA">
        <w:rPr>
          <w:rStyle w:val="hps"/>
        </w:rPr>
        <w:t xml:space="preserve"> contractante</w:t>
      </w:r>
      <w:r w:rsidR="0002192F" w:rsidRPr="008B2DDA">
        <w:rPr>
          <w:rStyle w:val="hps"/>
        </w:rPr>
        <w:t>s</w:t>
      </w:r>
      <w:r w:rsidR="004A65DA" w:rsidRPr="008B2DDA">
        <w:rPr>
          <w:rStyle w:val="hps"/>
        </w:rPr>
        <w:t>.</w:t>
      </w:r>
    </w:p>
    <w:p w14:paraId="475EDCB1" w14:textId="1560560F" w:rsidR="007079A8" w:rsidRPr="008B2DDA" w:rsidRDefault="004A65DA" w:rsidP="002D6873">
      <w:pPr>
        <w:pStyle w:val="Heading4"/>
        <w:numPr>
          <w:ilvl w:val="0"/>
          <w:numId w:val="20"/>
        </w:numPr>
        <w:ind w:left="567" w:firstLine="0"/>
        <w:rPr>
          <w:b/>
          <w:i w:val="0"/>
        </w:rPr>
      </w:pPr>
      <w:r w:rsidRPr="008B2DDA">
        <w:rPr>
          <w:b/>
          <w:i w:val="0"/>
        </w:rPr>
        <w:t xml:space="preserve">La perception </w:t>
      </w:r>
      <w:r w:rsidR="0002192F" w:rsidRPr="008B2DDA">
        <w:rPr>
          <w:b/>
          <w:i w:val="0"/>
        </w:rPr>
        <w:t>de taxes individuelles –</w:t>
      </w:r>
      <w:r w:rsidRPr="008B2DDA">
        <w:rPr>
          <w:b/>
          <w:i w:val="0"/>
        </w:rPr>
        <w:t xml:space="preserve"> </w:t>
      </w:r>
      <w:r w:rsidR="00A341C2" w:rsidRPr="008B2DDA">
        <w:rPr>
          <w:b/>
          <w:i w:val="0"/>
        </w:rPr>
        <w:t>y compris</w:t>
      </w:r>
      <w:r w:rsidRPr="008B2DDA">
        <w:rPr>
          <w:b/>
          <w:i w:val="0"/>
        </w:rPr>
        <w:t xml:space="preserve"> </w:t>
      </w:r>
      <w:r w:rsidR="0002192F" w:rsidRPr="008B2DDA">
        <w:rPr>
          <w:b/>
          <w:i w:val="0"/>
        </w:rPr>
        <w:t xml:space="preserve">de </w:t>
      </w:r>
      <w:r w:rsidR="0033136A" w:rsidRPr="008B2DDA">
        <w:rPr>
          <w:b/>
          <w:i w:val="0"/>
        </w:rPr>
        <w:t xml:space="preserve">taxes de </w:t>
      </w:r>
      <w:r w:rsidR="0002192F" w:rsidRPr="008B2DDA">
        <w:rPr>
          <w:b/>
          <w:i w:val="0"/>
        </w:rPr>
        <w:t>maintien</w:t>
      </w:r>
      <w:r w:rsidR="000B2AD6" w:rsidRPr="008B2DDA">
        <w:rPr>
          <w:b/>
          <w:i w:val="0"/>
        </w:rPr>
        <w:t xml:space="preserve"> en vigueur</w:t>
      </w:r>
      <w:r w:rsidRPr="008B2DDA">
        <w:rPr>
          <w:b/>
          <w:i w:val="0"/>
        </w:rPr>
        <w:t>/</w:t>
      </w:r>
      <w:r w:rsidR="0002192F" w:rsidRPr="008B2DDA">
        <w:rPr>
          <w:b/>
          <w:i w:val="0"/>
        </w:rPr>
        <w:t xml:space="preserve">de </w:t>
      </w:r>
      <w:r w:rsidRPr="008B2DDA">
        <w:rPr>
          <w:b/>
          <w:i w:val="0"/>
        </w:rPr>
        <w:t xml:space="preserve">renouvellement </w:t>
      </w:r>
      <w:r w:rsidR="0002192F" w:rsidRPr="008B2DDA">
        <w:rPr>
          <w:b/>
          <w:i w:val="0"/>
        </w:rPr>
        <w:t xml:space="preserve">– </w:t>
      </w:r>
      <w:r w:rsidRPr="008B2DDA">
        <w:rPr>
          <w:b/>
          <w:i w:val="0"/>
        </w:rPr>
        <w:t>au niveau national</w:t>
      </w:r>
    </w:p>
    <w:p w14:paraId="1D453F7B" w14:textId="77777777" w:rsidR="00471C17" w:rsidRPr="008B2DDA" w:rsidRDefault="00471C17" w:rsidP="008B2DDA"/>
    <w:p w14:paraId="64EB9435" w14:textId="672B9F9D" w:rsidR="004A65DA" w:rsidRPr="008B2DDA" w:rsidRDefault="001F705D" w:rsidP="008B2DDA">
      <w:pPr>
        <w:pStyle w:val="ONUMFS"/>
        <w:numPr>
          <w:ilvl w:val="0"/>
          <w:numId w:val="0"/>
        </w:numPr>
        <w:rPr>
          <w:rStyle w:val="hps"/>
        </w:rPr>
      </w:pPr>
      <w:hyperlink w:anchor="Article_7_5" w:history="1">
        <w:r w:rsidR="002D53B6" w:rsidRPr="00450AF4">
          <w:rPr>
            <w:rStyle w:val="Hyperlink"/>
            <w:b/>
            <w:color w:val="0000FF"/>
          </w:rPr>
          <w:t>Article </w:t>
        </w:r>
        <w:r w:rsidR="00513506" w:rsidRPr="00450AF4">
          <w:rPr>
            <w:rStyle w:val="Hyperlink"/>
            <w:b/>
            <w:color w:val="0000FF"/>
          </w:rPr>
          <w:t>7.</w:t>
        </w:r>
        <w:r w:rsidR="00311638" w:rsidRPr="00450AF4">
          <w:rPr>
            <w:rStyle w:val="Hyperlink"/>
            <w:b/>
            <w:color w:val="0000FF"/>
          </w:rPr>
          <w:t>5)</w:t>
        </w:r>
      </w:hyperlink>
      <w:r w:rsidR="00311638" w:rsidRPr="008B2DDA">
        <w:rPr>
          <w:b/>
        </w:rPr>
        <w:t xml:space="preserve"> </w:t>
      </w:r>
      <w:r w:rsidR="004A65DA" w:rsidRPr="008B2DDA">
        <w:rPr>
          <w:b/>
          <w:bCs/>
          <w:szCs w:val="28"/>
        </w:rPr>
        <w:t>Taxes individuelles</w:t>
      </w:r>
      <w:r w:rsidR="00A62E10" w:rsidRPr="008B2DDA">
        <w:rPr>
          <w:b/>
          <w:bCs/>
          <w:szCs w:val="28"/>
        </w:rPr>
        <w:t> </w:t>
      </w:r>
      <w:r w:rsidR="004A65DA" w:rsidRPr="008B2DDA">
        <w:rPr>
          <w:b/>
          <w:bCs/>
          <w:szCs w:val="28"/>
        </w:rPr>
        <w:t>:</w:t>
      </w:r>
      <w:r w:rsidR="004A65DA" w:rsidRPr="008B2DDA">
        <w:rPr>
          <w:rStyle w:val="hps"/>
        </w:rPr>
        <w:t xml:space="preserve"> Les </w:t>
      </w:r>
      <w:r w:rsidR="000B2AD6" w:rsidRPr="008B2DDA">
        <w:rPr>
          <w:rStyle w:val="hps"/>
        </w:rPr>
        <w:t>États</w:t>
      </w:r>
      <w:r w:rsidR="00D67EA4" w:rsidRPr="008B2DDA">
        <w:rPr>
          <w:rStyle w:val="hps"/>
        </w:rPr>
        <w:noBreakHyphen/>
      </w:r>
      <w:r w:rsidR="000B2AD6" w:rsidRPr="008B2DDA">
        <w:rPr>
          <w:rStyle w:val="hps"/>
        </w:rPr>
        <w:t xml:space="preserve">Unis </w:t>
      </w:r>
      <w:r w:rsidR="00E26A2C" w:rsidRPr="008B2DDA">
        <w:rPr>
          <w:rStyle w:val="hps"/>
        </w:rPr>
        <w:t>d’Amérique</w:t>
      </w:r>
      <w:r w:rsidR="000B2AD6" w:rsidRPr="008B2DDA">
        <w:rPr>
          <w:rStyle w:val="hps"/>
        </w:rPr>
        <w:t xml:space="preserve"> </w:t>
      </w:r>
      <w:r w:rsidR="00CB2781" w:rsidRPr="008B2DDA">
        <w:rPr>
          <w:rStyle w:val="hps"/>
        </w:rPr>
        <w:t>approuvent la variante A de</w:t>
      </w:r>
      <w:r w:rsidR="004A65DA" w:rsidRPr="008B2DDA">
        <w:rPr>
          <w:rStyle w:val="hps"/>
        </w:rPr>
        <w:t xml:space="preserve"> l</w:t>
      </w:r>
      <w:r w:rsidR="00A341C2" w:rsidRPr="008B2DDA">
        <w:rPr>
          <w:rStyle w:val="hps"/>
        </w:rPr>
        <w:t>’</w:t>
      </w:r>
      <w:r w:rsidR="004A65DA" w:rsidRPr="008B2DDA">
        <w:rPr>
          <w:rStyle w:val="hps"/>
        </w:rPr>
        <w:t>article</w:t>
      </w:r>
      <w:r w:rsidR="00CB2781" w:rsidRPr="008B2DDA">
        <w:rPr>
          <w:rStyle w:val="hps"/>
        </w:rPr>
        <w:t> 7.</w:t>
      </w:r>
      <w:r w:rsidR="00A62E10" w:rsidRPr="008B2DDA">
        <w:rPr>
          <w:rStyle w:val="hps"/>
        </w:rPr>
        <w:t xml:space="preserve">5), </w:t>
      </w:r>
      <w:r w:rsidR="000B2AD6" w:rsidRPr="008B2DDA">
        <w:rPr>
          <w:rStyle w:val="hps"/>
        </w:rPr>
        <w:t xml:space="preserve">en vertu de </w:t>
      </w:r>
      <w:r w:rsidR="00A62E10" w:rsidRPr="008B2DDA">
        <w:rPr>
          <w:rStyle w:val="hps"/>
        </w:rPr>
        <w:t>laquelle</w:t>
      </w:r>
      <w:r w:rsidR="004A65DA" w:rsidRPr="008B2DDA">
        <w:rPr>
          <w:rStyle w:val="hps"/>
        </w:rPr>
        <w:t xml:space="preserve"> </w:t>
      </w:r>
      <w:r w:rsidR="0033136A" w:rsidRPr="008B2DDA">
        <w:rPr>
          <w:rStyle w:val="hps"/>
        </w:rPr>
        <w:t>toute</w:t>
      </w:r>
      <w:r w:rsidR="000B2AD6" w:rsidRPr="008B2DDA">
        <w:rPr>
          <w:rStyle w:val="hps"/>
        </w:rPr>
        <w:t xml:space="preserve"> partie contractante peut, dans une déclaration, indiquer qu</w:t>
      </w:r>
      <w:r w:rsidR="00A341C2" w:rsidRPr="008B2DDA">
        <w:rPr>
          <w:rStyle w:val="hps"/>
        </w:rPr>
        <w:t>’</w:t>
      </w:r>
      <w:r w:rsidR="000B2AD6" w:rsidRPr="008B2DDA">
        <w:rPr>
          <w:rStyle w:val="hps"/>
        </w:rPr>
        <w:t>elle</w:t>
      </w:r>
      <w:r w:rsidR="004A65DA" w:rsidRPr="008B2DDA">
        <w:rPr>
          <w:rStyle w:val="hps"/>
        </w:rPr>
        <w:t xml:space="preserve"> souhaite </w:t>
      </w:r>
      <w:r w:rsidR="007852C1" w:rsidRPr="008B2DDA">
        <w:rPr>
          <w:rStyle w:val="hps"/>
        </w:rPr>
        <w:t>adopter</w:t>
      </w:r>
      <w:r w:rsidR="0033136A" w:rsidRPr="008B2DDA">
        <w:rPr>
          <w:rStyle w:val="hps"/>
        </w:rPr>
        <w:t xml:space="preserve"> des </w:t>
      </w:r>
      <w:r w:rsidR="00E26A2C" w:rsidRPr="008B2DDA">
        <w:rPr>
          <w:rStyle w:val="hps"/>
        </w:rPr>
        <w:t>“</w:t>
      </w:r>
      <w:r w:rsidR="004A65DA" w:rsidRPr="008B2DDA">
        <w:rPr>
          <w:rStyle w:val="hps"/>
        </w:rPr>
        <w:t>taxes individuelles</w:t>
      </w:r>
      <w:r w:rsidR="00E26A2C" w:rsidRPr="008B2DDA">
        <w:rPr>
          <w:rStyle w:val="hps"/>
        </w:rPr>
        <w:t>”</w:t>
      </w:r>
      <w:r w:rsidR="004A65DA" w:rsidRPr="008B2DDA">
        <w:rPr>
          <w:rStyle w:val="hps"/>
        </w:rPr>
        <w:t xml:space="preserve"> au niveau national pour couvrir </w:t>
      </w:r>
      <w:r w:rsidR="0033136A" w:rsidRPr="008B2DDA">
        <w:rPr>
          <w:rStyle w:val="hps"/>
        </w:rPr>
        <w:t>le coût</w:t>
      </w:r>
      <w:r w:rsidR="004A65DA" w:rsidRPr="008B2DDA">
        <w:rPr>
          <w:rStyle w:val="hps"/>
        </w:rPr>
        <w:t xml:space="preserve"> de l</w:t>
      </w:r>
      <w:r w:rsidR="00A341C2" w:rsidRPr="008B2DDA">
        <w:rPr>
          <w:rStyle w:val="hps"/>
        </w:rPr>
        <w:t>’</w:t>
      </w:r>
      <w:r w:rsidR="004A65DA" w:rsidRPr="008B2DDA">
        <w:rPr>
          <w:rStyle w:val="hps"/>
        </w:rPr>
        <w:t xml:space="preserve">examen </w:t>
      </w:r>
      <w:r w:rsidR="0033136A" w:rsidRPr="008B2DDA">
        <w:t>quant au fond de l</w:t>
      </w:r>
      <w:r w:rsidR="00A341C2" w:rsidRPr="008B2DDA">
        <w:t>’</w:t>
      </w:r>
      <w:r w:rsidR="0033136A" w:rsidRPr="008B2DDA">
        <w:t>enregistrement international</w:t>
      </w:r>
      <w:r w:rsidR="004A65DA" w:rsidRPr="008B2DDA">
        <w:rPr>
          <w:rStyle w:val="hps"/>
        </w:rPr>
        <w:t>.</w:t>
      </w:r>
      <w:r w:rsidR="0033136A" w:rsidRPr="008B2DDA">
        <w:rPr>
          <w:rStyle w:val="hps"/>
        </w:rPr>
        <w:t xml:space="preserve"> </w:t>
      </w:r>
      <w:r w:rsidR="004A65DA" w:rsidRPr="008B2DDA">
        <w:rPr>
          <w:rStyle w:val="hps"/>
        </w:rPr>
        <w:t xml:space="preserve"> En outre, </w:t>
      </w:r>
      <w:r w:rsidR="000B2AD6" w:rsidRPr="008B2DDA">
        <w:rPr>
          <w:rStyle w:val="hps"/>
        </w:rPr>
        <w:t>la</w:t>
      </w:r>
      <w:r w:rsidR="004A65DA" w:rsidRPr="008B2DDA">
        <w:rPr>
          <w:rStyle w:val="hps"/>
        </w:rPr>
        <w:t xml:space="preserve"> partie contractante peut indiquer que l</w:t>
      </w:r>
      <w:r w:rsidR="00A341C2" w:rsidRPr="008B2DDA">
        <w:rPr>
          <w:rStyle w:val="hps"/>
        </w:rPr>
        <w:t>’</w:t>
      </w:r>
      <w:r w:rsidR="004A65DA" w:rsidRPr="008B2DDA">
        <w:rPr>
          <w:rStyle w:val="hps"/>
        </w:rPr>
        <w:t xml:space="preserve">enregistrement international doit être </w:t>
      </w:r>
      <w:r w:rsidR="000B2AD6" w:rsidRPr="008B2DDA">
        <w:rPr>
          <w:rStyle w:val="hps"/>
        </w:rPr>
        <w:t>subordonné</w:t>
      </w:r>
      <w:r w:rsidR="004A65DA" w:rsidRPr="008B2DDA">
        <w:rPr>
          <w:rStyle w:val="hps"/>
        </w:rPr>
        <w:t xml:space="preserve"> à des </w:t>
      </w:r>
      <w:r w:rsidR="000B2AD6" w:rsidRPr="008B2DDA">
        <w:rPr>
          <w:rStyle w:val="hps"/>
        </w:rPr>
        <w:t>conditions de maintien</w:t>
      </w:r>
      <w:r w:rsidR="004A65DA" w:rsidRPr="008B2DDA">
        <w:rPr>
          <w:rStyle w:val="hps"/>
        </w:rPr>
        <w:t xml:space="preserve"> </w:t>
      </w:r>
      <w:r w:rsidR="000B2AD6" w:rsidRPr="008B2DDA">
        <w:rPr>
          <w:rStyle w:val="hps"/>
        </w:rPr>
        <w:t xml:space="preserve">en vigueur </w:t>
      </w:r>
      <w:r w:rsidR="004A65DA" w:rsidRPr="008B2DDA">
        <w:rPr>
          <w:rStyle w:val="hps"/>
        </w:rPr>
        <w:t>ou de renouvellement e</w:t>
      </w:r>
      <w:r w:rsidR="0033136A" w:rsidRPr="008B2DDA">
        <w:rPr>
          <w:rStyle w:val="hps"/>
        </w:rPr>
        <w:t xml:space="preserve">t </w:t>
      </w:r>
      <w:r w:rsidR="000B2AD6" w:rsidRPr="008B2DDA">
        <w:rPr>
          <w:rStyle w:val="hps"/>
        </w:rPr>
        <w:t>au</w:t>
      </w:r>
      <w:r w:rsidR="0033136A" w:rsidRPr="008B2DDA">
        <w:rPr>
          <w:rStyle w:val="hps"/>
        </w:rPr>
        <w:t xml:space="preserve"> paiement des </w:t>
      </w:r>
      <w:r w:rsidR="000B2AD6" w:rsidRPr="008B2DDA">
        <w:rPr>
          <w:rStyle w:val="hps"/>
        </w:rPr>
        <w:t>taxes</w:t>
      </w:r>
      <w:r w:rsidR="0033136A" w:rsidRPr="008B2DDA">
        <w:rPr>
          <w:rStyle w:val="hps"/>
        </w:rPr>
        <w:t xml:space="preserve">. </w:t>
      </w:r>
      <w:r w:rsidR="000B2AD6" w:rsidRPr="008B2DDA">
        <w:rPr>
          <w:rStyle w:val="hps"/>
        </w:rPr>
        <w:t xml:space="preserve"> </w:t>
      </w:r>
      <w:r w:rsidR="0033136A" w:rsidRPr="008B2DDA">
        <w:rPr>
          <w:rStyle w:val="hps"/>
        </w:rPr>
        <w:t xml:space="preserve">Le </w:t>
      </w:r>
      <w:r w:rsidR="00BE2682" w:rsidRPr="008B2DDA">
        <w:rPr>
          <w:rStyle w:val="hps"/>
        </w:rPr>
        <w:t>non</w:t>
      </w:r>
      <w:r w:rsidR="00D67EA4" w:rsidRPr="008B2DDA">
        <w:rPr>
          <w:rStyle w:val="hps"/>
        </w:rPr>
        <w:noBreakHyphen/>
      </w:r>
      <w:r w:rsidR="00BE2682" w:rsidRPr="008B2DDA">
        <w:rPr>
          <w:rStyle w:val="hps"/>
        </w:rPr>
        <w:t>paiement</w:t>
      </w:r>
      <w:r w:rsidR="004A65DA" w:rsidRPr="008B2DDA">
        <w:rPr>
          <w:rStyle w:val="hps"/>
        </w:rPr>
        <w:t xml:space="preserve"> </w:t>
      </w:r>
      <w:r w:rsidR="000B2AD6" w:rsidRPr="008B2DDA">
        <w:rPr>
          <w:rStyle w:val="hps"/>
        </w:rPr>
        <w:t>d</w:t>
      </w:r>
      <w:r w:rsidR="00A341C2" w:rsidRPr="008B2DDA">
        <w:rPr>
          <w:rStyle w:val="hps"/>
        </w:rPr>
        <w:t>’</w:t>
      </w:r>
      <w:r w:rsidR="000B2AD6" w:rsidRPr="008B2DDA">
        <w:rPr>
          <w:rStyle w:val="hps"/>
        </w:rPr>
        <w:t>une</w:t>
      </w:r>
      <w:r w:rsidR="004A65DA" w:rsidRPr="008B2DDA">
        <w:rPr>
          <w:rStyle w:val="hps"/>
        </w:rPr>
        <w:t xml:space="preserve"> taxe individuelle </w:t>
      </w:r>
      <w:r w:rsidR="000B2AD6" w:rsidRPr="008B2DDA">
        <w:rPr>
          <w:rStyle w:val="hps"/>
        </w:rPr>
        <w:t>a pour effet qu</w:t>
      </w:r>
      <w:r w:rsidR="00A341C2" w:rsidRPr="008B2DDA">
        <w:rPr>
          <w:rStyle w:val="hps"/>
        </w:rPr>
        <w:t>’</w:t>
      </w:r>
      <w:r w:rsidR="000B2AD6" w:rsidRPr="008B2DDA">
        <w:rPr>
          <w:rStyle w:val="hps"/>
        </w:rPr>
        <w:t xml:space="preserve">il est renoncé à la protection </w:t>
      </w:r>
      <w:r w:rsidR="00A341C2" w:rsidRPr="008B2DDA">
        <w:rPr>
          <w:rStyle w:val="hps"/>
        </w:rPr>
        <w:t>à l’égard</w:t>
      </w:r>
      <w:r w:rsidR="000B2AD6" w:rsidRPr="008B2DDA">
        <w:rPr>
          <w:rStyle w:val="hps"/>
        </w:rPr>
        <w:t xml:space="preserve"> de la partie contractante exigeant la taxe</w:t>
      </w:r>
      <w:r w:rsidR="004A65DA" w:rsidRPr="008B2DDA">
        <w:rPr>
          <w:rStyle w:val="hps"/>
        </w:rPr>
        <w:t>.</w:t>
      </w:r>
    </w:p>
    <w:p w14:paraId="39BFFFA7" w14:textId="558D4061" w:rsidR="00A341C2" w:rsidRPr="008B2DDA" w:rsidRDefault="00CB2781" w:rsidP="008B2DDA">
      <w:pPr>
        <w:pStyle w:val="ONUMFS"/>
        <w:numPr>
          <w:ilvl w:val="0"/>
          <w:numId w:val="0"/>
        </w:numPr>
        <w:rPr>
          <w:rStyle w:val="hps"/>
        </w:rPr>
      </w:pPr>
      <w:r w:rsidRPr="008B2DDA">
        <w:rPr>
          <w:rStyle w:val="hps"/>
        </w:rPr>
        <w:t xml:space="preserve">Les </w:t>
      </w:r>
      <w:r w:rsidR="000B2AD6" w:rsidRPr="008B2DDA">
        <w:rPr>
          <w:rStyle w:val="hps"/>
        </w:rPr>
        <w:t>É</w:t>
      </w:r>
      <w:r w:rsidRPr="008B2DDA">
        <w:rPr>
          <w:rStyle w:val="hps"/>
        </w:rPr>
        <w:t>tats</w:t>
      </w:r>
      <w:r w:rsidR="00D67EA4" w:rsidRPr="008B2DDA">
        <w:rPr>
          <w:rStyle w:val="hps"/>
        </w:rPr>
        <w:noBreakHyphen/>
      </w:r>
      <w:r w:rsidRPr="008B2DDA">
        <w:rPr>
          <w:rStyle w:val="hps"/>
        </w:rPr>
        <w:t>Unis</w:t>
      </w:r>
      <w:r w:rsidR="00E26A2C" w:rsidRPr="008B2DDA">
        <w:rPr>
          <w:rStyle w:val="hps"/>
        </w:rPr>
        <w:t xml:space="preserve"> d’Amérique</w:t>
      </w:r>
      <w:r w:rsidRPr="008B2DDA">
        <w:rPr>
          <w:rStyle w:val="hps"/>
        </w:rPr>
        <w:t xml:space="preserve"> s</w:t>
      </w:r>
      <w:r w:rsidR="00A341C2" w:rsidRPr="008B2DDA">
        <w:rPr>
          <w:rStyle w:val="hps"/>
        </w:rPr>
        <w:t>’</w:t>
      </w:r>
      <w:r w:rsidR="004A65DA" w:rsidRPr="008B2DDA">
        <w:rPr>
          <w:rStyle w:val="hps"/>
        </w:rPr>
        <w:t xml:space="preserve">opposent à </w:t>
      </w:r>
      <w:r w:rsidRPr="008B2DDA">
        <w:rPr>
          <w:rStyle w:val="hps"/>
        </w:rPr>
        <w:t xml:space="preserve">la variante B de </w:t>
      </w:r>
      <w:r w:rsidR="004A65DA" w:rsidRPr="008B2DDA">
        <w:rPr>
          <w:rStyle w:val="hps"/>
        </w:rPr>
        <w:t>l</w:t>
      </w:r>
      <w:r w:rsidR="00A341C2" w:rsidRPr="008B2DDA">
        <w:rPr>
          <w:rStyle w:val="hps"/>
        </w:rPr>
        <w:t>’</w:t>
      </w:r>
      <w:r w:rsidRPr="008B2DDA">
        <w:rPr>
          <w:rStyle w:val="hps"/>
        </w:rPr>
        <w:t>article 7.5), laquelle</w:t>
      </w:r>
      <w:r w:rsidR="004A65DA" w:rsidRPr="008B2DDA">
        <w:rPr>
          <w:rStyle w:val="hps"/>
        </w:rPr>
        <w:t xml:space="preserve"> prévoit que l</w:t>
      </w:r>
      <w:r w:rsidR="00A341C2" w:rsidRPr="008B2DDA">
        <w:rPr>
          <w:rStyle w:val="hps"/>
        </w:rPr>
        <w:t>’</w:t>
      </w:r>
      <w:r w:rsidR="004A65DA" w:rsidRPr="008B2DDA">
        <w:rPr>
          <w:rStyle w:val="hps"/>
        </w:rPr>
        <w:t xml:space="preserve">Assemblée de Lisbonne peut décider </w:t>
      </w:r>
      <w:r w:rsidR="002264BF" w:rsidRPr="008B2DDA">
        <w:rPr>
          <w:rStyle w:val="hps"/>
        </w:rPr>
        <w:t>ultérieurement</w:t>
      </w:r>
      <w:r w:rsidR="004A65DA" w:rsidRPr="008B2DDA">
        <w:rPr>
          <w:rStyle w:val="hps"/>
        </w:rPr>
        <w:t xml:space="preserve"> </w:t>
      </w:r>
      <w:r w:rsidR="002264BF" w:rsidRPr="008B2DDA">
        <w:rPr>
          <w:rStyle w:val="hps"/>
        </w:rPr>
        <w:t>s</w:t>
      </w:r>
      <w:r w:rsidR="00A341C2" w:rsidRPr="008B2DDA">
        <w:rPr>
          <w:rStyle w:val="hps"/>
        </w:rPr>
        <w:t>’</w:t>
      </w:r>
      <w:r w:rsidR="002264BF" w:rsidRPr="008B2DDA">
        <w:rPr>
          <w:rStyle w:val="hps"/>
        </w:rPr>
        <w:t>il est nécessaire d</w:t>
      </w:r>
      <w:r w:rsidR="00A341C2" w:rsidRPr="008B2DDA">
        <w:rPr>
          <w:rStyle w:val="hps"/>
        </w:rPr>
        <w:t>’</w:t>
      </w:r>
      <w:r w:rsidR="002264BF" w:rsidRPr="008B2DDA">
        <w:rPr>
          <w:rStyle w:val="hps"/>
        </w:rPr>
        <w:t>établir les</w:t>
      </w:r>
      <w:r w:rsidR="004A65DA" w:rsidRPr="008B2DDA">
        <w:rPr>
          <w:rStyle w:val="hps"/>
        </w:rPr>
        <w:t xml:space="preserve"> règlements </w:t>
      </w:r>
      <w:r w:rsidR="002264BF" w:rsidRPr="008B2DDA">
        <w:rPr>
          <w:rStyle w:val="hps"/>
        </w:rPr>
        <w:t xml:space="preserve">qui permettraient </w:t>
      </w:r>
      <w:r w:rsidR="00CD7395" w:rsidRPr="008B2DDA">
        <w:rPr>
          <w:rStyle w:val="hps"/>
        </w:rPr>
        <w:t>aux</w:t>
      </w:r>
      <w:r w:rsidR="004A65DA" w:rsidRPr="008B2DDA">
        <w:rPr>
          <w:rStyle w:val="hps"/>
        </w:rPr>
        <w:t xml:space="preserve"> parties contractantes </w:t>
      </w:r>
      <w:r w:rsidR="007852C1" w:rsidRPr="008B2DDA">
        <w:rPr>
          <w:rStyle w:val="hps"/>
        </w:rPr>
        <w:t>d</w:t>
      </w:r>
      <w:r w:rsidR="00A341C2" w:rsidRPr="008B2DDA">
        <w:rPr>
          <w:rStyle w:val="hps"/>
        </w:rPr>
        <w:t>’</w:t>
      </w:r>
      <w:r w:rsidR="007852C1" w:rsidRPr="008B2DDA">
        <w:rPr>
          <w:rStyle w:val="hps"/>
        </w:rPr>
        <w:t>adopter</w:t>
      </w:r>
      <w:r w:rsidR="004A65DA" w:rsidRPr="008B2DDA">
        <w:rPr>
          <w:rStyle w:val="hps"/>
        </w:rPr>
        <w:t xml:space="preserve"> des </w:t>
      </w:r>
      <w:r w:rsidR="00CD7395" w:rsidRPr="008B2DDA">
        <w:rPr>
          <w:rStyle w:val="hps"/>
        </w:rPr>
        <w:t>taxes individuelles</w:t>
      </w:r>
      <w:r w:rsidR="004A65DA" w:rsidRPr="008B2DDA">
        <w:rPr>
          <w:rStyle w:val="hps"/>
        </w:rPr>
        <w:t xml:space="preserve"> </w:t>
      </w:r>
      <w:r w:rsidR="007852C1" w:rsidRPr="008B2DDA">
        <w:rPr>
          <w:rStyle w:val="hps"/>
        </w:rPr>
        <w:t>afin de</w:t>
      </w:r>
      <w:r w:rsidR="004A65DA" w:rsidRPr="008B2DDA">
        <w:rPr>
          <w:rStyle w:val="hps"/>
        </w:rPr>
        <w:t xml:space="preserve"> couvrir </w:t>
      </w:r>
      <w:r w:rsidR="00CD7395" w:rsidRPr="008B2DDA">
        <w:rPr>
          <w:rStyle w:val="hps"/>
        </w:rPr>
        <w:t>le</w:t>
      </w:r>
      <w:r w:rsidR="007852C1" w:rsidRPr="008B2DDA">
        <w:rPr>
          <w:rStyle w:val="hps"/>
        </w:rPr>
        <w:t xml:space="preserve">s </w:t>
      </w:r>
      <w:r w:rsidR="00CD7395" w:rsidRPr="008B2DDA">
        <w:rPr>
          <w:rStyle w:val="hps"/>
        </w:rPr>
        <w:t>coût</w:t>
      </w:r>
      <w:r w:rsidR="007852C1" w:rsidRPr="008B2DDA">
        <w:rPr>
          <w:rStyle w:val="hps"/>
        </w:rPr>
        <w:t>s</w:t>
      </w:r>
      <w:r w:rsidR="004A65DA" w:rsidRPr="008B2DDA">
        <w:rPr>
          <w:rStyle w:val="hps"/>
        </w:rPr>
        <w:t xml:space="preserve"> de l</w:t>
      </w:r>
      <w:r w:rsidR="00A341C2" w:rsidRPr="008B2DDA">
        <w:rPr>
          <w:rStyle w:val="hps"/>
        </w:rPr>
        <w:t>’</w:t>
      </w:r>
      <w:r w:rsidR="004A65DA" w:rsidRPr="008B2DDA">
        <w:rPr>
          <w:rStyle w:val="hps"/>
        </w:rPr>
        <w:t xml:space="preserve">examen </w:t>
      </w:r>
      <w:r w:rsidR="00CD7395" w:rsidRPr="008B2DDA">
        <w:rPr>
          <w:rStyle w:val="hps"/>
        </w:rPr>
        <w:t>quant au fond</w:t>
      </w:r>
      <w:r w:rsidR="004A65DA" w:rsidRPr="008B2DDA">
        <w:rPr>
          <w:rStyle w:val="hps"/>
        </w:rPr>
        <w:t xml:space="preserve">. </w:t>
      </w:r>
      <w:r w:rsidR="00CD7395" w:rsidRPr="008B2DDA">
        <w:rPr>
          <w:rStyle w:val="hps"/>
        </w:rPr>
        <w:t xml:space="preserve"> </w:t>
      </w:r>
      <w:r w:rsidR="004A65DA" w:rsidRPr="008B2DDA">
        <w:rPr>
          <w:rStyle w:val="hps"/>
        </w:rPr>
        <w:t xml:space="preserve">La capacité </w:t>
      </w:r>
      <w:r w:rsidR="002264BF" w:rsidRPr="008B2DDA">
        <w:rPr>
          <w:rStyle w:val="hps"/>
        </w:rPr>
        <w:t>d</w:t>
      </w:r>
      <w:r w:rsidR="00A341C2" w:rsidRPr="008B2DDA">
        <w:rPr>
          <w:rStyle w:val="hps"/>
        </w:rPr>
        <w:t>’</w:t>
      </w:r>
      <w:r w:rsidR="002264BF" w:rsidRPr="008B2DDA">
        <w:rPr>
          <w:rStyle w:val="hps"/>
        </w:rPr>
        <w:t>adopter</w:t>
      </w:r>
      <w:r w:rsidR="004A65DA" w:rsidRPr="008B2DDA">
        <w:rPr>
          <w:rStyle w:val="hps"/>
        </w:rPr>
        <w:t xml:space="preserve"> une taxe individuelle est une question fondamentale pour de nombreuses </w:t>
      </w:r>
      <w:r w:rsidR="00134381" w:rsidRPr="008B2DDA">
        <w:rPr>
          <w:rStyle w:val="hps"/>
        </w:rPr>
        <w:t xml:space="preserve">futures </w:t>
      </w:r>
      <w:r w:rsidR="004A65DA" w:rsidRPr="008B2DDA">
        <w:rPr>
          <w:rStyle w:val="hps"/>
        </w:rPr>
        <w:t xml:space="preserve">parties contractantes </w:t>
      </w:r>
      <w:r w:rsidR="00F74F06" w:rsidRPr="008B2DDA">
        <w:rPr>
          <w:rStyle w:val="hps"/>
        </w:rPr>
        <w:t>et doit exister</w:t>
      </w:r>
      <w:r w:rsidR="004A65DA" w:rsidRPr="008B2DDA">
        <w:rPr>
          <w:rStyle w:val="hps"/>
        </w:rPr>
        <w:t xml:space="preserve"> avant </w:t>
      </w:r>
      <w:r w:rsidR="00CD7395" w:rsidRPr="008B2DDA">
        <w:rPr>
          <w:rStyle w:val="hps"/>
        </w:rPr>
        <w:t xml:space="preserve">que </w:t>
      </w:r>
      <w:r w:rsidR="004A65DA" w:rsidRPr="008B2DDA">
        <w:rPr>
          <w:rStyle w:val="hps"/>
        </w:rPr>
        <w:t>l</w:t>
      </w:r>
      <w:r w:rsidR="00A341C2" w:rsidRPr="008B2DDA">
        <w:rPr>
          <w:rStyle w:val="hps"/>
        </w:rPr>
        <w:t>’</w:t>
      </w:r>
      <w:r w:rsidR="004A65DA" w:rsidRPr="008B2DDA">
        <w:rPr>
          <w:rStyle w:val="hps"/>
        </w:rPr>
        <w:t xml:space="preserve">adhésion </w:t>
      </w:r>
      <w:r w:rsidR="00CD7395" w:rsidRPr="008B2DDA">
        <w:rPr>
          <w:rStyle w:val="hps"/>
        </w:rPr>
        <w:t xml:space="preserve">puisse </w:t>
      </w:r>
      <w:r w:rsidR="004A65DA" w:rsidRPr="008B2DDA">
        <w:rPr>
          <w:rStyle w:val="hps"/>
        </w:rPr>
        <w:t>être envisagée</w:t>
      </w:r>
      <w:r w:rsidR="00311638" w:rsidRPr="008B2DDA">
        <w:rPr>
          <w:rStyle w:val="hps"/>
        </w:rPr>
        <w:t>.</w:t>
      </w:r>
    </w:p>
    <w:p w14:paraId="504EE609" w14:textId="6C9980A9" w:rsidR="007079A8" w:rsidRPr="008B2DDA" w:rsidRDefault="001F705D" w:rsidP="008B2DDA">
      <w:pPr>
        <w:pStyle w:val="ONUMFS"/>
        <w:numPr>
          <w:ilvl w:val="0"/>
          <w:numId w:val="0"/>
        </w:numPr>
        <w:rPr>
          <w:rStyle w:val="hps"/>
          <w:b/>
        </w:rPr>
      </w:pPr>
      <w:hyperlink w:anchor="Article_29" w:history="1">
        <w:r w:rsidR="00056603" w:rsidRPr="00450AF4">
          <w:rPr>
            <w:rStyle w:val="Hyperlink"/>
            <w:b/>
            <w:color w:val="0000FF"/>
          </w:rPr>
          <w:t>Article </w:t>
        </w:r>
        <w:r w:rsidR="00513506" w:rsidRPr="00450AF4">
          <w:rPr>
            <w:rStyle w:val="Hyperlink"/>
            <w:b/>
            <w:color w:val="0000FF"/>
          </w:rPr>
          <w:t>29.</w:t>
        </w:r>
        <w:r w:rsidR="00311638" w:rsidRPr="00450AF4">
          <w:rPr>
            <w:rStyle w:val="Hyperlink"/>
            <w:b/>
            <w:color w:val="0000FF"/>
          </w:rPr>
          <w:t>4)</w:t>
        </w:r>
      </w:hyperlink>
      <w:r w:rsidR="00311638" w:rsidRPr="008B2DDA">
        <w:rPr>
          <w:b/>
        </w:rPr>
        <w:t xml:space="preserve"> </w:t>
      </w:r>
      <w:r w:rsidR="0080323D" w:rsidRPr="008B2DDA">
        <w:rPr>
          <w:b/>
        </w:rPr>
        <w:t>et</w:t>
      </w:r>
      <w:r w:rsidR="00311638" w:rsidRPr="008B2DDA">
        <w:rPr>
          <w:b/>
        </w:rPr>
        <w:t xml:space="preserve"> </w:t>
      </w:r>
      <w:hyperlink w:anchor="Rule_9" w:history="1">
        <w:r w:rsidR="00513506" w:rsidRPr="00450AF4">
          <w:rPr>
            <w:rStyle w:val="Hyperlink"/>
            <w:b/>
            <w:color w:val="0000FF"/>
          </w:rPr>
          <w:t>règle 9.</w:t>
        </w:r>
        <w:r w:rsidR="00056603" w:rsidRPr="00450AF4">
          <w:rPr>
            <w:rStyle w:val="Hyperlink"/>
            <w:b/>
            <w:color w:val="0000FF"/>
          </w:rPr>
          <w:t>1)</w:t>
        </w:r>
        <w:r w:rsidR="00311638" w:rsidRPr="00450AF4">
          <w:rPr>
            <w:rStyle w:val="Hyperlink"/>
            <w:b/>
            <w:color w:val="0000FF"/>
          </w:rPr>
          <w:t>b)</w:t>
        </w:r>
      </w:hyperlink>
      <w:r w:rsidR="00311638" w:rsidRPr="008B2DDA">
        <w:rPr>
          <w:b/>
        </w:rPr>
        <w:t xml:space="preserve"> </w:t>
      </w:r>
      <w:r w:rsidR="002264BF" w:rsidRPr="008B2DDA">
        <w:rPr>
          <w:b/>
        </w:rPr>
        <w:t>E</w:t>
      </w:r>
      <w:r w:rsidR="004A65DA" w:rsidRPr="008B2DDA">
        <w:rPr>
          <w:b/>
          <w:bCs/>
          <w:szCs w:val="28"/>
        </w:rPr>
        <w:t xml:space="preserve">nregistrements </w:t>
      </w:r>
      <w:r w:rsidR="002264BF" w:rsidRPr="008B2DDA">
        <w:rPr>
          <w:b/>
          <w:bCs/>
          <w:szCs w:val="28"/>
        </w:rPr>
        <w:t xml:space="preserve">internationaux </w:t>
      </w:r>
      <w:r w:rsidR="004A65DA" w:rsidRPr="008B2DDA">
        <w:rPr>
          <w:b/>
          <w:bCs/>
          <w:szCs w:val="28"/>
        </w:rPr>
        <w:t>effectués avant l</w:t>
      </w:r>
      <w:r w:rsidR="00A341C2" w:rsidRPr="008B2DDA">
        <w:rPr>
          <w:b/>
          <w:bCs/>
          <w:szCs w:val="28"/>
        </w:rPr>
        <w:t>’</w:t>
      </w:r>
      <w:r w:rsidR="004A65DA" w:rsidRPr="008B2DDA">
        <w:rPr>
          <w:b/>
          <w:bCs/>
          <w:szCs w:val="28"/>
        </w:rPr>
        <w:t>adhésion</w:t>
      </w:r>
      <w:r w:rsidR="002264BF" w:rsidRPr="008B2DDA">
        <w:rPr>
          <w:b/>
          <w:bCs/>
          <w:szCs w:val="28"/>
        </w:rPr>
        <w:t> </w:t>
      </w:r>
      <w:r w:rsidR="004A65DA" w:rsidRPr="008B2DDA">
        <w:rPr>
          <w:b/>
          <w:bCs/>
          <w:szCs w:val="28"/>
        </w:rPr>
        <w:t>:</w:t>
      </w:r>
      <w:r w:rsidR="004A65DA" w:rsidRPr="008B2DDA">
        <w:rPr>
          <w:rStyle w:val="hps"/>
        </w:rPr>
        <w:t xml:space="preserve"> Nous </w:t>
      </w:r>
      <w:r w:rsidR="002264BF" w:rsidRPr="008B2DDA">
        <w:rPr>
          <w:rStyle w:val="hps"/>
        </w:rPr>
        <w:t>approuvons</w:t>
      </w:r>
      <w:r w:rsidR="004A65DA" w:rsidRPr="008B2DDA">
        <w:rPr>
          <w:rStyle w:val="hps"/>
        </w:rPr>
        <w:t xml:space="preserve"> également l</w:t>
      </w:r>
      <w:r w:rsidR="00A341C2" w:rsidRPr="008B2DDA">
        <w:rPr>
          <w:rStyle w:val="hps"/>
        </w:rPr>
        <w:t>’</w:t>
      </w:r>
      <w:r w:rsidR="004A65DA" w:rsidRPr="008B2DDA">
        <w:rPr>
          <w:rStyle w:val="hps"/>
        </w:rPr>
        <w:t xml:space="preserve">incorporation par renvoi </w:t>
      </w:r>
      <w:r w:rsidR="00F74F06" w:rsidRPr="008B2DDA">
        <w:rPr>
          <w:rStyle w:val="hps"/>
        </w:rPr>
        <w:t>des</w:t>
      </w:r>
      <w:r w:rsidR="004A65DA" w:rsidRPr="008B2DDA">
        <w:rPr>
          <w:rStyle w:val="hps"/>
        </w:rPr>
        <w:t xml:space="preserve"> dispositions de </w:t>
      </w:r>
      <w:r w:rsidR="004A65DA" w:rsidRPr="008B2DDA">
        <w:t>l</w:t>
      </w:r>
      <w:r w:rsidR="00A341C2" w:rsidRPr="008B2DDA">
        <w:t>’</w:t>
      </w:r>
      <w:r w:rsidR="00E409C7" w:rsidRPr="008B2DDA">
        <w:t>article </w:t>
      </w:r>
      <w:r w:rsidR="004A65DA" w:rsidRPr="008B2DDA">
        <w:t>7</w:t>
      </w:r>
      <w:r w:rsidR="00E409C7" w:rsidRPr="008B2DDA">
        <w:rPr>
          <w:rStyle w:val="hps"/>
        </w:rPr>
        <w:t>.</w:t>
      </w:r>
      <w:r w:rsidR="004A65DA" w:rsidRPr="008B2DDA">
        <w:rPr>
          <w:rStyle w:val="hps"/>
        </w:rPr>
        <w:t xml:space="preserve">5) </w:t>
      </w:r>
      <w:r w:rsidR="00F74F06" w:rsidRPr="008B2DDA">
        <w:rPr>
          <w:rStyle w:val="hps"/>
        </w:rPr>
        <w:t>dans</w:t>
      </w:r>
      <w:r w:rsidR="004A65DA" w:rsidRPr="008B2DDA">
        <w:rPr>
          <w:rStyle w:val="hps"/>
        </w:rPr>
        <w:t xml:space="preserve"> l</w:t>
      </w:r>
      <w:r w:rsidR="00A341C2" w:rsidRPr="008B2DDA">
        <w:rPr>
          <w:rStyle w:val="hps"/>
        </w:rPr>
        <w:t>’</w:t>
      </w:r>
      <w:r w:rsidR="00E409C7" w:rsidRPr="008B2DDA">
        <w:rPr>
          <w:rStyle w:val="hps"/>
        </w:rPr>
        <w:t>article 29.</w:t>
      </w:r>
      <w:r w:rsidR="004A65DA" w:rsidRPr="008B2DDA">
        <w:rPr>
          <w:rStyle w:val="hps"/>
        </w:rPr>
        <w:t>4)</w:t>
      </w:r>
      <w:r w:rsidR="00F74F06" w:rsidRPr="008B2DDA">
        <w:rPr>
          <w:rStyle w:val="hps"/>
        </w:rPr>
        <w:t>, ce qui permettrait à</w:t>
      </w:r>
      <w:r w:rsidR="00232188" w:rsidRPr="008B2DDA">
        <w:rPr>
          <w:rStyle w:val="hps"/>
        </w:rPr>
        <w:t xml:space="preserve"> </w:t>
      </w:r>
      <w:r w:rsidR="004A65DA" w:rsidRPr="008B2DDA">
        <w:rPr>
          <w:rStyle w:val="hps"/>
        </w:rPr>
        <w:t xml:space="preserve">de nouvelles parties contractantes </w:t>
      </w:r>
      <w:r w:rsidR="00F74F06" w:rsidRPr="008B2DDA">
        <w:rPr>
          <w:rStyle w:val="hps"/>
        </w:rPr>
        <w:t>d</w:t>
      </w:r>
      <w:r w:rsidR="00A341C2" w:rsidRPr="008B2DDA">
        <w:rPr>
          <w:rStyle w:val="hps"/>
        </w:rPr>
        <w:t>’</w:t>
      </w:r>
      <w:r w:rsidR="00F74F06" w:rsidRPr="008B2DDA">
        <w:rPr>
          <w:rStyle w:val="hps"/>
        </w:rPr>
        <w:t xml:space="preserve">exiger </w:t>
      </w:r>
      <w:r w:rsidR="004A65DA" w:rsidRPr="008B2DDA">
        <w:rPr>
          <w:rStyle w:val="hps"/>
        </w:rPr>
        <w:t xml:space="preserve">une taxe </w:t>
      </w:r>
      <w:r w:rsidR="004A65DA" w:rsidRPr="008B2DDA">
        <w:rPr>
          <w:rStyle w:val="hps"/>
        </w:rPr>
        <w:lastRenderedPageBreak/>
        <w:t xml:space="preserve">individuelle pour </w:t>
      </w:r>
      <w:r w:rsidR="00F74F06" w:rsidRPr="008B2DDA">
        <w:rPr>
          <w:rStyle w:val="hps"/>
        </w:rPr>
        <w:t xml:space="preserve">couvrir </w:t>
      </w:r>
      <w:r w:rsidR="000464EA" w:rsidRPr="008B2DDA">
        <w:rPr>
          <w:rStyle w:val="hps"/>
        </w:rPr>
        <w:t>le coût du</w:t>
      </w:r>
      <w:r w:rsidR="00F74F06" w:rsidRPr="008B2DDA">
        <w:rPr>
          <w:rStyle w:val="hps"/>
        </w:rPr>
        <w:t xml:space="preserve"> traitement des</w:t>
      </w:r>
      <w:r w:rsidR="004A65DA" w:rsidRPr="008B2DDA">
        <w:rPr>
          <w:rStyle w:val="hps"/>
        </w:rPr>
        <w:t xml:space="preserve"> enregistrements internationaux déjà enregistrés </w:t>
      </w:r>
      <w:r w:rsidR="000464EA" w:rsidRPr="008B2DDA">
        <w:rPr>
          <w:rStyle w:val="hps"/>
        </w:rPr>
        <w:t>conformément à</w:t>
      </w:r>
      <w:r w:rsidR="004A65DA" w:rsidRPr="008B2DDA">
        <w:rPr>
          <w:rStyle w:val="hps"/>
        </w:rPr>
        <w:t xml:space="preserve"> </w:t>
      </w:r>
      <w:r w:rsidR="00232188" w:rsidRPr="008B2DDA">
        <w:rPr>
          <w:rStyle w:val="hps"/>
        </w:rPr>
        <w:t>l</w:t>
      </w:r>
      <w:r w:rsidR="00A341C2" w:rsidRPr="008B2DDA">
        <w:rPr>
          <w:rStyle w:val="hps"/>
        </w:rPr>
        <w:t>’</w:t>
      </w:r>
      <w:r w:rsidR="00232188" w:rsidRPr="008B2DDA">
        <w:rPr>
          <w:rStyle w:val="hps"/>
        </w:rPr>
        <w:t>Acte</w:t>
      </w:r>
      <w:r w:rsidR="004A65DA" w:rsidRPr="008B2DDA">
        <w:rPr>
          <w:rStyle w:val="hps"/>
        </w:rPr>
        <w:t xml:space="preserve"> et </w:t>
      </w:r>
      <w:r w:rsidR="00F74F06" w:rsidRPr="008B2DDA">
        <w:rPr>
          <w:rStyle w:val="hps"/>
        </w:rPr>
        <w:t xml:space="preserve">de </w:t>
      </w:r>
      <w:r w:rsidR="004A65DA" w:rsidRPr="008B2DDA">
        <w:rPr>
          <w:rStyle w:val="hps"/>
        </w:rPr>
        <w:t>renonce</w:t>
      </w:r>
      <w:r w:rsidR="00232188" w:rsidRPr="008B2DDA">
        <w:rPr>
          <w:rStyle w:val="hps"/>
        </w:rPr>
        <w:t xml:space="preserve">r à la protection en cas de </w:t>
      </w:r>
      <w:r w:rsidR="00BE2682" w:rsidRPr="008B2DDA">
        <w:rPr>
          <w:rStyle w:val="hps"/>
        </w:rPr>
        <w:t>non</w:t>
      </w:r>
      <w:r w:rsidR="00D67EA4" w:rsidRPr="008B2DDA">
        <w:rPr>
          <w:rStyle w:val="hps"/>
        </w:rPr>
        <w:noBreakHyphen/>
      </w:r>
      <w:r w:rsidR="00BE2682" w:rsidRPr="008B2DDA">
        <w:rPr>
          <w:rStyle w:val="hps"/>
        </w:rPr>
        <w:t>paiement</w:t>
      </w:r>
      <w:r w:rsidR="004A65DA" w:rsidRPr="008B2DDA">
        <w:rPr>
          <w:rStyle w:val="hps"/>
        </w:rPr>
        <w:t xml:space="preserve">. </w:t>
      </w:r>
      <w:r w:rsidR="00232188" w:rsidRPr="008B2DDA">
        <w:rPr>
          <w:rStyle w:val="hps"/>
        </w:rPr>
        <w:t xml:space="preserve"> </w:t>
      </w:r>
      <w:r w:rsidR="0080323D" w:rsidRPr="008B2DDA">
        <w:rPr>
          <w:rStyle w:val="hps"/>
        </w:rPr>
        <w:t>Il </w:t>
      </w:r>
      <w:r w:rsidR="00F74F06" w:rsidRPr="008B2DDA">
        <w:rPr>
          <w:rStyle w:val="hps"/>
        </w:rPr>
        <w:t>serait très contraignant</w:t>
      </w:r>
      <w:r w:rsidR="004A65DA" w:rsidRPr="008B2DDA">
        <w:rPr>
          <w:rStyle w:val="hps"/>
        </w:rPr>
        <w:t xml:space="preserve"> pour les nouveaux pays adhérents </w:t>
      </w:r>
      <w:r w:rsidR="00F74F06" w:rsidRPr="008B2DDA">
        <w:rPr>
          <w:rStyle w:val="hps"/>
        </w:rPr>
        <w:t>de devoir</w:t>
      </w:r>
      <w:r w:rsidR="004A65DA" w:rsidRPr="008B2DDA">
        <w:rPr>
          <w:rStyle w:val="hps"/>
        </w:rPr>
        <w:t xml:space="preserve"> accepter les appellations </w:t>
      </w:r>
      <w:r w:rsidR="00F74F06" w:rsidRPr="008B2DDA">
        <w:rPr>
          <w:rStyle w:val="hps"/>
        </w:rPr>
        <w:t>d</w:t>
      </w:r>
      <w:r w:rsidR="00A341C2" w:rsidRPr="008B2DDA">
        <w:rPr>
          <w:rStyle w:val="hps"/>
        </w:rPr>
        <w:t>’</w:t>
      </w:r>
      <w:r w:rsidR="00F74F06" w:rsidRPr="008B2DDA">
        <w:rPr>
          <w:rStyle w:val="hps"/>
        </w:rPr>
        <w:t xml:space="preserve">origine </w:t>
      </w:r>
      <w:r w:rsidR="004A65DA" w:rsidRPr="008B2DDA">
        <w:rPr>
          <w:rStyle w:val="hps"/>
        </w:rPr>
        <w:t xml:space="preserve">et indications géographiques </w:t>
      </w:r>
      <w:r w:rsidR="00F74F06" w:rsidRPr="008B2DDA">
        <w:rPr>
          <w:rStyle w:val="hps"/>
        </w:rPr>
        <w:t xml:space="preserve">déjà enregistrées </w:t>
      </w:r>
      <w:r w:rsidR="004A65DA" w:rsidRPr="008B2DDA">
        <w:rPr>
          <w:rStyle w:val="hps"/>
        </w:rPr>
        <w:t xml:space="preserve">sans </w:t>
      </w:r>
      <w:r w:rsidR="00F74F06" w:rsidRPr="008B2DDA">
        <w:rPr>
          <w:rStyle w:val="hps"/>
        </w:rPr>
        <w:t>exiger de taxes</w:t>
      </w:r>
      <w:r w:rsidR="004A65DA" w:rsidRPr="008B2DDA">
        <w:rPr>
          <w:rStyle w:val="hps"/>
        </w:rPr>
        <w:t xml:space="preserve"> pour </w:t>
      </w:r>
      <w:r w:rsidR="00F74F06" w:rsidRPr="008B2DDA">
        <w:rPr>
          <w:rStyle w:val="hps"/>
        </w:rPr>
        <w:t>couvrir le coût de l</w:t>
      </w:r>
      <w:r w:rsidR="00A341C2" w:rsidRPr="008B2DDA">
        <w:rPr>
          <w:rStyle w:val="hps"/>
        </w:rPr>
        <w:t>’</w:t>
      </w:r>
      <w:r w:rsidR="004A65DA" w:rsidRPr="008B2DDA">
        <w:rPr>
          <w:rStyle w:val="hps"/>
        </w:rPr>
        <w:t xml:space="preserve">examen accéléré nécessaire dans les </w:t>
      </w:r>
      <w:r w:rsidR="00E26A2C" w:rsidRPr="008B2DDA">
        <w:rPr>
          <w:rStyle w:val="hps"/>
        </w:rPr>
        <w:t>12</w:t>
      </w:r>
      <w:r w:rsidR="00E409C7" w:rsidRPr="008B2DDA">
        <w:rPr>
          <w:rStyle w:val="hps"/>
        </w:rPr>
        <w:t> </w:t>
      </w:r>
      <w:r w:rsidR="004A65DA" w:rsidRPr="008B2DDA">
        <w:rPr>
          <w:rStyle w:val="hps"/>
        </w:rPr>
        <w:t>mois suivant l</w:t>
      </w:r>
      <w:r w:rsidR="00A341C2" w:rsidRPr="008B2DDA">
        <w:rPr>
          <w:rStyle w:val="hps"/>
        </w:rPr>
        <w:t>’</w:t>
      </w:r>
      <w:r w:rsidR="004A65DA" w:rsidRPr="008B2DDA">
        <w:rPr>
          <w:rStyle w:val="hps"/>
        </w:rPr>
        <w:t>entrée en vigueur</w:t>
      </w:r>
      <w:r w:rsidR="00F74F06" w:rsidRPr="008B2DDA">
        <w:rPr>
          <w:rStyle w:val="hps"/>
        </w:rPr>
        <w:t xml:space="preserve"> conformément à</w:t>
      </w:r>
      <w:r w:rsidR="004A65DA" w:rsidRPr="008B2DDA">
        <w:rPr>
          <w:rStyle w:val="hps"/>
        </w:rPr>
        <w:t xml:space="preserve"> l</w:t>
      </w:r>
      <w:r w:rsidR="00A341C2" w:rsidRPr="008B2DDA">
        <w:rPr>
          <w:rStyle w:val="hps"/>
        </w:rPr>
        <w:t>’</w:t>
      </w:r>
      <w:r w:rsidR="00E409C7" w:rsidRPr="008B2DDA">
        <w:rPr>
          <w:rStyle w:val="hps"/>
        </w:rPr>
        <w:t>article 29.</w:t>
      </w:r>
      <w:r w:rsidR="004A65DA" w:rsidRPr="008B2DDA">
        <w:rPr>
          <w:rStyle w:val="hps"/>
        </w:rPr>
        <w:t>4).</w:t>
      </w:r>
      <w:r w:rsidR="00E409C7" w:rsidRPr="008B2DDA">
        <w:rPr>
          <w:rStyle w:val="hps"/>
        </w:rPr>
        <w:t xml:space="preserve"> </w:t>
      </w:r>
      <w:r w:rsidR="004A65DA" w:rsidRPr="008B2DDA">
        <w:rPr>
          <w:rStyle w:val="hps"/>
        </w:rPr>
        <w:t xml:space="preserve"> Nous reconnaissons que l</w:t>
      </w:r>
      <w:r w:rsidR="00A341C2" w:rsidRPr="008B2DDA">
        <w:rPr>
          <w:rStyle w:val="hps"/>
        </w:rPr>
        <w:t>’</w:t>
      </w:r>
      <w:r w:rsidR="00E409C7" w:rsidRPr="008B2DDA">
        <w:rPr>
          <w:rStyle w:val="hps"/>
        </w:rPr>
        <w:t>article 29.</w:t>
      </w:r>
      <w:r w:rsidR="004A65DA" w:rsidRPr="008B2DDA">
        <w:rPr>
          <w:rStyle w:val="hps"/>
        </w:rPr>
        <w:t xml:space="preserve">4) prévoit </w:t>
      </w:r>
      <w:r w:rsidR="000464EA" w:rsidRPr="008B2DDA">
        <w:rPr>
          <w:rStyle w:val="hps"/>
        </w:rPr>
        <w:t>que ce délai peut être prolongé conformément aux dispositions de la règle</w:t>
      </w:r>
      <w:r w:rsidR="00E409C7" w:rsidRPr="008B2DDA">
        <w:rPr>
          <w:rStyle w:val="hps"/>
        </w:rPr>
        <w:t> 9.</w:t>
      </w:r>
      <w:r w:rsidR="004A65DA" w:rsidRPr="008B2DDA">
        <w:rPr>
          <w:rStyle w:val="hps"/>
        </w:rPr>
        <w:t xml:space="preserve">1) </w:t>
      </w:r>
      <w:r w:rsidR="008609A9" w:rsidRPr="008B2DDA">
        <w:rPr>
          <w:rStyle w:val="hps"/>
        </w:rPr>
        <w:t>aux fins de refus des</w:t>
      </w:r>
      <w:r w:rsidR="004A65DA" w:rsidRPr="008B2DDA">
        <w:rPr>
          <w:rStyle w:val="hps"/>
        </w:rPr>
        <w:t xml:space="preserve"> appellations </w:t>
      </w:r>
      <w:r w:rsidR="00F74F06" w:rsidRPr="008B2DDA">
        <w:rPr>
          <w:rStyle w:val="hps"/>
        </w:rPr>
        <w:t>d</w:t>
      </w:r>
      <w:r w:rsidR="00A341C2" w:rsidRPr="008B2DDA">
        <w:rPr>
          <w:rStyle w:val="hps"/>
        </w:rPr>
        <w:t>’</w:t>
      </w:r>
      <w:r w:rsidR="00F74F06" w:rsidRPr="008B2DDA">
        <w:rPr>
          <w:rStyle w:val="hps"/>
        </w:rPr>
        <w:t xml:space="preserve">origine et indications géographiques </w:t>
      </w:r>
      <w:r w:rsidR="004A65DA" w:rsidRPr="008B2DDA">
        <w:rPr>
          <w:rStyle w:val="hps"/>
        </w:rPr>
        <w:t xml:space="preserve">existantes </w:t>
      </w:r>
      <w:r w:rsidR="00F74F06" w:rsidRPr="008B2DDA">
        <w:rPr>
          <w:rStyle w:val="hps"/>
        </w:rPr>
        <w:t>dans</w:t>
      </w:r>
      <w:r w:rsidR="004A65DA" w:rsidRPr="008B2DDA">
        <w:rPr>
          <w:rStyle w:val="hps"/>
        </w:rPr>
        <w:t xml:space="preserve"> le </w:t>
      </w:r>
      <w:r w:rsidR="0050682F" w:rsidRPr="008B2DDA">
        <w:rPr>
          <w:rStyle w:val="hps"/>
        </w:rPr>
        <w:t>r</w:t>
      </w:r>
      <w:r w:rsidR="004A65DA" w:rsidRPr="008B2DDA">
        <w:rPr>
          <w:rStyle w:val="hps"/>
        </w:rPr>
        <w:t>egis</w:t>
      </w:r>
      <w:r w:rsidR="00E409C7" w:rsidRPr="008B2DDA">
        <w:rPr>
          <w:rStyle w:val="hps"/>
        </w:rPr>
        <w:t xml:space="preserve">tre </w:t>
      </w:r>
      <w:r w:rsidR="00F74F06" w:rsidRPr="008B2DDA">
        <w:rPr>
          <w:rStyle w:val="hps"/>
        </w:rPr>
        <w:t>du nouvel Acte</w:t>
      </w:r>
      <w:r w:rsidR="000464EA" w:rsidRPr="008B2DDA">
        <w:rPr>
          <w:rStyle w:val="hps"/>
        </w:rPr>
        <w:t>;  la règle </w:t>
      </w:r>
      <w:r w:rsidR="00E409C7" w:rsidRPr="008B2DDA">
        <w:rPr>
          <w:rStyle w:val="hps"/>
        </w:rPr>
        <w:t>9.1)</w:t>
      </w:r>
      <w:r w:rsidR="004A65DA" w:rsidRPr="008B2DDA">
        <w:rPr>
          <w:rStyle w:val="hps"/>
        </w:rPr>
        <w:t xml:space="preserve">b) prévoit </w:t>
      </w:r>
      <w:r w:rsidR="000464EA" w:rsidRPr="008B2DDA">
        <w:rPr>
          <w:rStyle w:val="hps"/>
        </w:rPr>
        <w:t>un délai supplémentaire d</w:t>
      </w:r>
      <w:r w:rsidR="00A341C2" w:rsidRPr="008B2DDA">
        <w:rPr>
          <w:rStyle w:val="hps"/>
        </w:rPr>
        <w:t>’</w:t>
      </w:r>
      <w:r w:rsidR="000464EA" w:rsidRPr="008B2DDA">
        <w:rPr>
          <w:rStyle w:val="hps"/>
        </w:rPr>
        <w:t>une</w:t>
      </w:r>
      <w:r w:rsidR="004A65DA" w:rsidRPr="008B2DDA">
        <w:rPr>
          <w:rStyle w:val="hps"/>
        </w:rPr>
        <w:t xml:space="preserve"> année pour évaluer les enregistrements existants. </w:t>
      </w:r>
      <w:r w:rsidR="00F74F06" w:rsidRPr="008B2DDA">
        <w:rPr>
          <w:rStyle w:val="hps"/>
        </w:rPr>
        <w:t xml:space="preserve"> </w:t>
      </w:r>
      <w:r w:rsidR="004A65DA" w:rsidRPr="008B2DDA">
        <w:rPr>
          <w:rStyle w:val="hps"/>
        </w:rPr>
        <w:t xml:space="preserve">Selon le nombre </w:t>
      </w:r>
      <w:r w:rsidR="00F74F06" w:rsidRPr="008B2DDA">
        <w:rPr>
          <w:rStyle w:val="hps"/>
        </w:rPr>
        <w:t>d</w:t>
      </w:r>
      <w:r w:rsidR="00A341C2" w:rsidRPr="008B2DDA">
        <w:rPr>
          <w:rStyle w:val="hps"/>
        </w:rPr>
        <w:t>’</w:t>
      </w:r>
      <w:r w:rsidR="00F74F06" w:rsidRPr="008B2DDA">
        <w:rPr>
          <w:rStyle w:val="hps"/>
        </w:rPr>
        <w:t>enregistrements</w:t>
      </w:r>
      <w:r w:rsidR="004A65DA" w:rsidRPr="008B2DDA">
        <w:rPr>
          <w:rStyle w:val="hps"/>
        </w:rPr>
        <w:t xml:space="preserve"> </w:t>
      </w:r>
      <w:r w:rsidR="00F74F06" w:rsidRPr="008B2DDA">
        <w:rPr>
          <w:rStyle w:val="hps"/>
        </w:rPr>
        <w:t>au titre</w:t>
      </w:r>
      <w:r w:rsidR="004A65DA" w:rsidRPr="008B2DDA">
        <w:rPr>
          <w:rStyle w:val="hps"/>
        </w:rPr>
        <w:t xml:space="preserve"> </w:t>
      </w:r>
      <w:r w:rsidR="00F74F06" w:rsidRPr="008B2DDA">
        <w:rPr>
          <w:rStyle w:val="hps"/>
        </w:rPr>
        <w:t>du nouvel Acte</w:t>
      </w:r>
      <w:r w:rsidR="004A65DA" w:rsidRPr="008B2DDA">
        <w:rPr>
          <w:rStyle w:val="hps"/>
        </w:rPr>
        <w:t xml:space="preserve"> qui existe</w:t>
      </w:r>
      <w:r w:rsidR="00F74F06" w:rsidRPr="008B2DDA">
        <w:rPr>
          <w:rStyle w:val="hps"/>
        </w:rPr>
        <w:t>nt</w:t>
      </w:r>
      <w:r w:rsidR="004A65DA" w:rsidRPr="008B2DDA">
        <w:rPr>
          <w:rStyle w:val="hps"/>
        </w:rPr>
        <w:t xml:space="preserve"> avant l</w:t>
      </w:r>
      <w:r w:rsidR="00A341C2" w:rsidRPr="008B2DDA">
        <w:rPr>
          <w:rStyle w:val="hps"/>
        </w:rPr>
        <w:t>’</w:t>
      </w:r>
      <w:r w:rsidR="004A65DA" w:rsidRPr="008B2DDA">
        <w:rPr>
          <w:rStyle w:val="hps"/>
        </w:rPr>
        <w:t>adhésion d</w:t>
      </w:r>
      <w:r w:rsidR="00A341C2" w:rsidRPr="008B2DDA">
        <w:rPr>
          <w:rStyle w:val="hps"/>
        </w:rPr>
        <w:t>’</w:t>
      </w:r>
      <w:r w:rsidR="004A65DA" w:rsidRPr="008B2DDA">
        <w:rPr>
          <w:rStyle w:val="hps"/>
        </w:rPr>
        <w:t xml:space="preserve">une nouvelle partie </w:t>
      </w:r>
      <w:r w:rsidR="00F74F06" w:rsidRPr="008B2DDA">
        <w:rPr>
          <w:rStyle w:val="hps"/>
        </w:rPr>
        <w:t>contractante, nous craignons qu</w:t>
      </w:r>
      <w:r w:rsidR="00A341C2" w:rsidRPr="008B2DDA">
        <w:rPr>
          <w:rStyle w:val="hps"/>
        </w:rPr>
        <w:t>’</w:t>
      </w:r>
      <w:r w:rsidR="00F74F06" w:rsidRPr="008B2DDA">
        <w:rPr>
          <w:rStyle w:val="hps"/>
        </w:rPr>
        <w:t xml:space="preserve">un </w:t>
      </w:r>
      <w:r w:rsidR="008609A9" w:rsidRPr="008B2DDA">
        <w:rPr>
          <w:rStyle w:val="hps"/>
        </w:rPr>
        <w:t xml:space="preserve">délai </w:t>
      </w:r>
      <w:r w:rsidR="00F74F06" w:rsidRPr="008B2DDA">
        <w:rPr>
          <w:rStyle w:val="hps"/>
        </w:rPr>
        <w:t>total de deux ans ne suffise pas</w:t>
      </w:r>
      <w:r w:rsidR="004A65DA" w:rsidRPr="008B2DDA">
        <w:rPr>
          <w:rStyle w:val="hps"/>
        </w:rPr>
        <w:t xml:space="preserve"> pour évaluer correctement ces enregistrements existants</w:t>
      </w:r>
      <w:r w:rsidR="008609A9" w:rsidRPr="008B2DDA">
        <w:rPr>
          <w:rStyle w:val="hps"/>
        </w:rPr>
        <w:t>,</w:t>
      </w:r>
      <w:r w:rsidR="004A65DA" w:rsidRPr="008B2DDA">
        <w:rPr>
          <w:rStyle w:val="hps"/>
        </w:rPr>
        <w:t xml:space="preserve"> </w:t>
      </w:r>
      <w:r w:rsidR="008609A9" w:rsidRPr="008B2DDA">
        <w:rPr>
          <w:rStyle w:val="hps"/>
        </w:rPr>
        <w:t>sans compter le</w:t>
      </w:r>
      <w:r w:rsidR="004A65DA" w:rsidRPr="008B2DDA">
        <w:rPr>
          <w:rStyle w:val="hps"/>
        </w:rPr>
        <w:t xml:space="preserve"> flux de nouveaux enregistrements internationaux </w:t>
      </w:r>
      <w:r w:rsidR="002354A2" w:rsidRPr="008B2DDA">
        <w:rPr>
          <w:rStyle w:val="hps"/>
        </w:rPr>
        <w:t>issus de</w:t>
      </w:r>
      <w:r w:rsidR="004A65DA" w:rsidRPr="008B2DDA">
        <w:rPr>
          <w:rStyle w:val="hps"/>
        </w:rPr>
        <w:t xml:space="preserve"> </w:t>
      </w:r>
      <w:r w:rsidR="002354A2" w:rsidRPr="008B2DDA">
        <w:rPr>
          <w:rStyle w:val="hps"/>
        </w:rPr>
        <w:t>nouvelles</w:t>
      </w:r>
      <w:r w:rsidR="00056603" w:rsidRPr="008B2DDA">
        <w:rPr>
          <w:rStyle w:val="hps"/>
        </w:rPr>
        <w:t xml:space="preserve"> parties contractantes</w:t>
      </w:r>
      <w:r w:rsidR="002354A2" w:rsidRPr="008B2DDA">
        <w:rPr>
          <w:rStyle w:val="hps"/>
        </w:rPr>
        <w:t xml:space="preserve"> </w:t>
      </w:r>
      <w:r w:rsidR="00B2672C" w:rsidRPr="008B2DDA">
        <w:rPr>
          <w:rStyle w:val="hps"/>
        </w:rPr>
        <w:t>adhérentes</w:t>
      </w:r>
      <w:r w:rsidR="004A65DA" w:rsidRPr="008B2DDA">
        <w:rPr>
          <w:rStyle w:val="hps"/>
        </w:rPr>
        <w:t xml:space="preserve">. </w:t>
      </w:r>
      <w:r w:rsidR="00056603" w:rsidRPr="008B2DDA">
        <w:rPr>
          <w:rStyle w:val="hps"/>
        </w:rPr>
        <w:t xml:space="preserve"> </w:t>
      </w:r>
      <w:r w:rsidR="004A65DA" w:rsidRPr="008B2DDA">
        <w:rPr>
          <w:rStyle w:val="hps"/>
        </w:rPr>
        <w:t xml:space="preserve">Nous proposons </w:t>
      </w:r>
      <w:r w:rsidR="008609A9" w:rsidRPr="008B2DDA">
        <w:rPr>
          <w:rStyle w:val="hps"/>
        </w:rPr>
        <w:t>donc un délai supplémentaire de deux ans voire</w:t>
      </w:r>
      <w:r w:rsidR="004A65DA" w:rsidRPr="008B2DDA">
        <w:rPr>
          <w:rStyle w:val="hps"/>
        </w:rPr>
        <w:t xml:space="preserve"> plus pour </w:t>
      </w:r>
      <w:r w:rsidR="002354A2" w:rsidRPr="008B2DDA">
        <w:rPr>
          <w:rStyle w:val="hps"/>
        </w:rPr>
        <w:t>le traitement des</w:t>
      </w:r>
      <w:r w:rsidR="004A65DA" w:rsidRPr="008B2DDA">
        <w:rPr>
          <w:rStyle w:val="hps"/>
        </w:rPr>
        <w:t xml:space="preserve"> enregistrements internationaux ex</w:t>
      </w:r>
      <w:r w:rsidR="00E409C7" w:rsidRPr="008B2DDA">
        <w:rPr>
          <w:rStyle w:val="hps"/>
        </w:rPr>
        <w:t>istants conformément à la règle 9.1)</w:t>
      </w:r>
      <w:r w:rsidR="004A65DA" w:rsidRPr="008B2DDA">
        <w:rPr>
          <w:rStyle w:val="hps"/>
        </w:rPr>
        <w:t>b).</w:t>
      </w:r>
    </w:p>
    <w:p w14:paraId="7DDBC6BA" w14:textId="740C9614" w:rsidR="007079A8" w:rsidRPr="008B2DDA" w:rsidRDefault="001F705D" w:rsidP="008B2DDA">
      <w:pPr>
        <w:pStyle w:val="ONUMFS"/>
        <w:numPr>
          <w:ilvl w:val="0"/>
          <w:numId w:val="0"/>
        </w:numPr>
        <w:rPr>
          <w:rStyle w:val="hps"/>
        </w:rPr>
      </w:pPr>
      <w:hyperlink w:anchor="Article_29" w:history="1">
        <w:r w:rsidR="00056603" w:rsidRPr="00450AF4">
          <w:rPr>
            <w:rStyle w:val="Hyperlink"/>
            <w:b/>
            <w:color w:val="0000FF"/>
          </w:rPr>
          <w:t>Article </w:t>
        </w:r>
        <w:r w:rsidR="00513506" w:rsidRPr="00450AF4">
          <w:rPr>
            <w:rStyle w:val="Hyperlink"/>
            <w:b/>
            <w:color w:val="0000FF"/>
          </w:rPr>
          <w:t>29.</w:t>
        </w:r>
        <w:r w:rsidR="00311638" w:rsidRPr="00450AF4">
          <w:rPr>
            <w:rStyle w:val="Hyperlink"/>
            <w:b/>
            <w:color w:val="0000FF"/>
          </w:rPr>
          <w:t>4)</w:t>
        </w:r>
      </w:hyperlink>
      <w:r w:rsidR="00311638" w:rsidRPr="008B2DDA">
        <w:rPr>
          <w:b/>
        </w:rPr>
        <w:t xml:space="preserve"> </w:t>
      </w:r>
      <w:r w:rsidR="008609A9" w:rsidRPr="008B2DDA">
        <w:rPr>
          <w:b/>
        </w:rPr>
        <w:t>E</w:t>
      </w:r>
      <w:r w:rsidR="008609A9" w:rsidRPr="008B2DDA">
        <w:rPr>
          <w:b/>
          <w:bCs/>
          <w:szCs w:val="28"/>
        </w:rPr>
        <w:t>nregistrements internationaux effectués avant l</w:t>
      </w:r>
      <w:r w:rsidR="00A341C2" w:rsidRPr="008B2DDA">
        <w:rPr>
          <w:b/>
          <w:bCs/>
          <w:szCs w:val="28"/>
        </w:rPr>
        <w:t>’</w:t>
      </w:r>
      <w:r w:rsidR="008609A9" w:rsidRPr="008B2DDA">
        <w:rPr>
          <w:b/>
          <w:bCs/>
          <w:szCs w:val="28"/>
        </w:rPr>
        <w:t>adhésion </w:t>
      </w:r>
      <w:r w:rsidR="004A65DA" w:rsidRPr="008B2DDA">
        <w:rPr>
          <w:b/>
        </w:rPr>
        <w:t>:</w:t>
      </w:r>
      <w:r w:rsidR="004A65DA" w:rsidRPr="008B2DDA">
        <w:rPr>
          <w:rStyle w:val="hps"/>
        </w:rPr>
        <w:t xml:space="preserve"> Nous proposons également de modifier l</w:t>
      </w:r>
      <w:r w:rsidR="00A341C2" w:rsidRPr="008B2DDA">
        <w:rPr>
          <w:rStyle w:val="hps"/>
        </w:rPr>
        <w:t>’</w:t>
      </w:r>
      <w:r w:rsidR="00E409C7" w:rsidRPr="008B2DDA">
        <w:rPr>
          <w:rStyle w:val="hps"/>
        </w:rPr>
        <w:t>article 29.</w:t>
      </w:r>
      <w:r w:rsidR="004A65DA" w:rsidRPr="008B2DDA">
        <w:rPr>
          <w:rStyle w:val="hps"/>
        </w:rPr>
        <w:t xml:space="preserve">4) pour </w:t>
      </w:r>
      <w:r w:rsidR="00936234" w:rsidRPr="008B2DDA">
        <w:rPr>
          <w:rStyle w:val="hps"/>
        </w:rPr>
        <w:t>expliquer</w:t>
      </w:r>
      <w:r w:rsidR="00027BB0" w:rsidRPr="008B2DDA">
        <w:rPr>
          <w:rStyle w:val="hps"/>
        </w:rPr>
        <w:t xml:space="preserve"> que</w:t>
      </w:r>
      <w:r w:rsidR="004A65DA" w:rsidRPr="008B2DDA">
        <w:rPr>
          <w:rStyle w:val="hps"/>
        </w:rPr>
        <w:t xml:space="preserve"> les États et les organisations intergouvernementales </w:t>
      </w:r>
      <w:r w:rsidR="00936234" w:rsidRPr="008B2DDA">
        <w:rPr>
          <w:rStyle w:val="hps"/>
        </w:rPr>
        <w:t xml:space="preserve">adhérents </w:t>
      </w:r>
      <w:r w:rsidR="00E63C16" w:rsidRPr="008B2DDA">
        <w:rPr>
          <w:rStyle w:val="hps"/>
        </w:rPr>
        <w:t>peuvent indiquer</w:t>
      </w:r>
      <w:r w:rsidR="004A65DA" w:rsidRPr="008B2DDA">
        <w:rPr>
          <w:rStyle w:val="hps"/>
        </w:rPr>
        <w:t>, dans une déclaration, que leurs législations nationales exigent le paiement d</w:t>
      </w:r>
      <w:r w:rsidR="00A341C2" w:rsidRPr="008B2DDA">
        <w:rPr>
          <w:rStyle w:val="hps"/>
        </w:rPr>
        <w:t>’</w:t>
      </w:r>
      <w:r w:rsidR="00027BB0" w:rsidRPr="008B2DDA">
        <w:rPr>
          <w:rStyle w:val="hps"/>
        </w:rPr>
        <w:t xml:space="preserve">une taxe individuelle, et </w:t>
      </w:r>
      <w:r w:rsidR="00936234" w:rsidRPr="008B2DDA">
        <w:rPr>
          <w:rStyle w:val="hps"/>
        </w:rPr>
        <w:t>que la protection d</w:t>
      </w:r>
      <w:r w:rsidR="00A341C2" w:rsidRPr="008B2DDA">
        <w:rPr>
          <w:rStyle w:val="hps"/>
        </w:rPr>
        <w:t>’</w:t>
      </w:r>
      <w:r w:rsidR="00936234" w:rsidRPr="008B2DDA">
        <w:rPr>
          <w:rStyle w:val="hps"/>
        </w:rPr>
        <w:t>un</w:t>
      </w:r>
      <w:r w:rsidR="00E63C16" w:rsidRPr="008B2DDA">
        <w:rPr>
          <w:rStyle w:val="hps"/>
        </w:rPr>
        <w:t xml:space="preserve"> </w:t>
      </w:r>
      <w:r w:rsidR="004A65DA" w:rsidRPr="008B2DDA">
        <w:rPr>
          <w:rStyle w:val="hps"/>
        </w:rPr>
        <w:t xml:space="preserve">enregistrement international </w:t>
      </w:r>
      <w:r w:rsidR="00027BB0" w:rsidRPr="008B2DDA">
        <w:rPr>
          <w:rStyle w:val="hps"/>
        </w:rPr>
        <w:t>déjà</w:t>
      </w:r>
      <w:r w:rsidR="004A65DA" w:rsidRPr="008B2DDA">
        <w:rPr>
          <w:rStyle w:val="hps"/>
        </w:rPr>
        <w:t xml:space="preserve"> enregistré </w:t>
      </w:r>
      <w:r w:rsidR="00027BB0" w:rsidRPr="008B2DDA">
        <w:rPr>
          <w:rStyle w:val="hps"/>
        </w:rPr>
        <w:t>ne sera</w:t>
      </w:r>
      <w:r w:rsidR="004A65DA" w:rsidRPr="008B2DDA">
        <w:rPr>
          <w:rStyle w:val="hps"/>
        </w:rPr>
        <w:t xml:space="preserve"> </w:t>
      </w:r>
      <w:r w:rsidR="00936234" w:rsidRPr="008B2DDA">
        <w:rPr>
          <w:rStyle w:val="hps"/>
        </w:rPr>
        <w:t>pas envisagée</w:t>
      </w:r>
      <w:r w:rsidR="004A65DA" w:rsidRPr="008B2DDA">
        <w:rPr>
          <w:rStyle w:val="hps"/>
        </w:rPr>
        <w:t xml:space="preserve"> dans </w:t>
      </w:r>
      <w:r w:rsidR="00027BB0" w:rsidRPr="008B2DDA">
        <w:rPr>
          <w:rStyle w:val="hps"/>
        </w:rPr>
        <w:t>cette p</w:t>
      </w:r>
      <w:r w:rsidR="004A65DA" w:rsidRPr="008B2DDA">
        <w:rPr>
          <w:rStyle w:val="hps"/>
        </w:rPr>
        <w:t xml:space="preserve">artie contractante tant que cette taxe </w:t>
      </w:r>
      <w:r w:rsidR="00027BB0" w:rsidRPr="008B2DDA">
        <w:rPr>
          <w:rStyle w:val="hps"/>
        </w:rPr>
        <w:t>n</w:t>
      </w:r>
      <w:r w:rsidR="00A341C2" w:rsidRPr="008B2DDA">
        <w:rPr>
          <w:rStyle w:val="hps"/>
        </w:rPr>
        <w:t>’</w:t>
      </w:r>
      <w:r w:rsidR="00027BB0" w:rsidRPr="008B2DDA">
        <w:rPr>
          <w:rStyle w:val="hps"/>
        </w:rPr>
        <w:t>aura pas</w:t>
      </w:r>
      <w:r w:rsidR="004A65DA" w:rsidRPr="008B2DDA">
        <w:rPr>
          <w:rStyle w:val="hps"/>
        </w:rPr>
        <w:t xml:space="preserve"> été</w:t>
      </w:r>
      <w:r w:rsidR="00027BB0" w:rsidRPr="008B2DDA">
        <w:rPr>
          <w:rStyle w:val="hps"/>
        </w:rPr>
        <w:t xml:space="preserve"> acquittée</w:t>
      </w:r>
      <w:r w:rsidR="004A65DA" w:rsidRPr="008B2DDA">
        <w:rPr>
          <w:rStyle w:val="hps"/>
        </w:rPr>
        <w:t xml:space="preserve">. </w:t>
      </w:r>
      <w:r w:rsidR="00027BB0" w:rsidRPr="008B2DDA">
        <w:rPr>
          <w:rStyle w:val="hps"/>
        </w:rPr>
        <w:t xml:space="preserve"> </w:t>
      </w:r>
      <w:r w:rsidR="004A65DA" w:rsidRPr="008B2DDA">
        <w:rPr>
          <w:rStyle w:val="hps"/>
        </w:rPr>
        <w:t xml:space="preserve">Dans </w:t>
      </w:r>
      <w:r w:rsidR="00027BB0" w:rsidRPr="008B2DDA">
        <w:rPr>
          <w:rStyle w:val="hps"/>
        </w:rPr>
        <w:t>ce</w:t>
      </w:r>
      <w:r w:rsidR="004A65DA" w:rsidRPr="008B2DDA">
        <w:rPr>
          <w:rStyle w:val="hps"/>
        </w:rPr>
        <w:t xml:space="preserve"> cas, </w:t>
      </w:r>
      <w:r w:rsidR="00936234" w:rsidRPr="008B2DDA">
        <w:rPr>
          <w:rStyle w:val="hps"/>
        </w:rPr>
        <w:t>au sens</w:t>
      </w:r>
      <w:r w:rsidR="004A65DA" w:rsidRPr="008B2DDA">
        <w:rPr>
          <w:rStyle w:val="hps"/>
        </w:rPr>
        <w:t xml:space="preserve"> </w:t>
      </w:r>
      <w:r w:rsidR="00936234" w:rsidRPr="008B2DDA">
        <w:rPr>
          <w:rStyle w:val="hps"/>
        </w:rPr>
        <w:t xml:space="preserve">de </w:t>
      </w:r>
      <w:r w:rsidR="004A65DA" w:rsidRPr="008B2DDA">
        <w:rPr>
          <w:rStyle w:val="hps"/>
        </w:rPr>
        <w:t>cette partie contractante</w:t>
      </w:r>
      <w:r w:rsidR="00027BB0" w:rsidRPr="008B2DDA">
        <w:rPr>
          <w:rStyle w:val="hps"/>
        </w:rPr>
        <w:t>,</w:t>
      </w:r>
      <w:r w:rsidR="004A65DA" w:rsidRPr="008B2DDA">
        <w:rPr>
          <w:rStyle w:val="hps"/>
        </w:rPr>
        <w:t xml:space="preserve"> la date d</w:t>
      </w:r>
      <w:r w:rsidR="00A341C2" w:rsidRPr="008B2DDA">
        <w:rPr>
          <w:rStyle w:val="hps"/>
        </w:rPr>
        <w:t>’</w:t>
      </w:r>
      <w:r w:rsidR="004A65DA" w:rsidRPr="008B2DDA">
        <w:rPr>
          <w:rStyle w:val="hps"/>
        </w:rPr>
        <w:t>effet de l</w:t>
      </w:r>
      <w:r w:rsidR="00A341C2" w:rsidRPr="008B2DDA">
        <w:rPr>
          <w:rStyle w:val="hps"/>
        </w:rPr>
        <w:t>’</w:t>
      </w:r>
      <w:r w:rsidR="004A65DA" w:rsidRPr="008B2DDA">
        <w:rPr>
          <w:rStyle w:val="hps"/>
        </w:rPr>
        <w:t xml:space="preserve">enregistrement international </w:t>
      </w:r>
      <w:r w:rsidR="00027BB0" w:rsidRPr="008B2DDA">
        <w:rPr>
          <w:rStyle w:val="hps"/>
        </w:rPr>
        <w:t>doit</w:t>
      </w:r>
      <w:r w:rsidR="004A65DA" w:rsidRPr="008B2DDA">
        <w:rPr>
          <w:rStyle w:val="hps"/>
        </w:rPr>
        <w:t xml:space="preserve"> être la date </w:t>
      </w:r>
      <w:r w:rsidR="00027BB0" w:rsidRPr="008B2DDA">
        <w:rPr>
          <w:rStyle w:val="hps"/>
        </w:rPr>
        <w:t xml:space="preserve">à laquelle </w:t>
      </w:r>
      <w:r w:rsidR="004A65DA" w:rsidRPr="008B2DDA">
        <w:rPr>
          <w:rStyle w:val="hps"/>
        </w:rPr>
        <w:t>la taxe individuelle a été</w:t>
      </w:r>
      <w:r w:rsidR="00027BB0" w:rsidRPr="008B2DDA">
        <w:rPr>
          <w:rStyle w:val="hps"/>
        </w:rPr>
        <w:t xml:space="preserve"> acquittée</w:t>
      </w:r>
      <w:r w:rsidR="004A65DA" w:rsidRPr="008B2DDA">
        <w:rPr>
          <w:rStyle w:val="hps"/>
        </w:rPr>
        <w:t>.</w:t>
      </w:r>
    </w:p>
    <w:p w14:paraId="7363B724" w14:textId="335DCCE9" w:rsidR="007079A8" w:rsidRPr="008B2DDA" w:rsidRDefault="001F705D" w:rsidP="008B2DDA">
      <w:pPr>
        <w:pStyle w:val="ONUMFS"/>
        <w:numPr>
          <w:ilvl w:val="0"/>
          <w:numId w:val="0"/>
        </w:numPr>
        <w:rPr>
          <w:rStyle w:val="hps"/>
        </w:rPr>
      </w:pPr>
      <w:hyperlink w:anchor="Article_6" w:history="1">
        <w:r w:rsidR="00311638" w:rsidRPr="00450AF4">
          <w:rPr>
            <w:rStyle w:val="Hyperlink"/>
            <w:b/>
            <w:color w:val="0000FF"/>
          </w:rPr>
          <w:t>Article</w:t>
        </w:r>
        <w:r w:rsidR="00056603" w:rsidRPr="00450AF4">
          <w:rPr>
            <w:rStyle w:val="Hyperlink"/>
            <w:b/>
            <w:color w:val="0000FF"/>
          </w:rPr>
          <w:t> </w:t>
        </w:r>
        <w:r w:rsidR="00311638" w:rsidRPr="00450AF4">
          <w:rPr>
            <w:rStyle w:val="Hyperlink"/>
            <w:b/>
            <w:color w:val="0000FF"/>
          </w:rPr>
          <w:t>6</w:t>
        </w:r>
        <w:r w:rsidR="00056603" w:rsidRPr="00450AF4">
          <w:rPr>
            <w:rStyle w:val="Hyperlink"/>
            <w:b/>
            <w:color w:val="0000FF"/>
          </w:rPr>
          <w:t>.</w:t>
        </w:r>
        <w:r w:rsidR="00311638" w:rsidRPr="00450AF4">
          <w:rPr>
            <w:rStyle w:val="Hyperlink"/>
            <w:b/>
            <w:color w:val="0000FF"/>
          </w:rPr>
          <w:t>5)</w:t>
        </w:r>
      </w:hyperlink>
      <w:r w:rsidR="00311638" w:rsidRPr="008B2DDA">
        <w:rPr>
          <w:b/>
        </w:rPr>
        <w:t xml:space="preserve"> </w:t>
      </w:r>
      <w:r w:rsidR="008609A9" w:rsidRPr="008B2DDA">
        <w:rPr>
          <w:b/>
          <w:bCs/>
          <w:szCs w:val="28"/>
        </w:rPr>
        <w:t>Date d</w:t>
      </w:r>
      <w:r w:rsidR="00A341C2" w:rsidRPr="008B2DDA">
        <w:rPr>
          <w:b/>
          <w:bCs/>
          <w:szCs w:val="28"/>
        </w:rPr>
        <w:t>’</w:t>
      </w:r>
      <w:r w:rsidR="008609A9" w:rsidRPr="008B2DDA">
        <w:rPr>
          <w:b/>
          <w:bCs/>
          <w:szCs w:val="28"/>
        </w:rPr>
        <w:t>effet de l</w:t>
      </w:r>
      <w:r w:rsidR="00A341C2" w:rsidRPr="008B2DDA">
        <w:rPr>
          <w:b/>
          <w:bCs/>
          <w:szCs w:val="28"/>
        </w:rPr>
        <w:t>’</w:t>
      </w:r>
      <w:r w:rsidR="008609A9" w:rsidRPr="008B2DDA">
        <w:rPr>
          <w:b/>
          <w:bCs/>
          <w:szCs w:val="28"/>
        </w:rPr>
        <w:t>enregistrement international </w:t>
      </w:r>
      <w:r w:rsidR="004A65DA" w:rsidRPr="008B2DDA">
        <w:rPr>
          <w:b/>
          <w:bCs/>
          <w:szCs w:val="28"/>
        </w:rPr>
        <w:t>:</w:t>
      </w:r>
      <w:r w:rsidR="004A65DA" w:rsidRPr="008B2DDA">
        <w:rPr>
          <w:rStyle w:val="hps"/>
        </w:rPr>
        <w:t xml:space="preserve"> En outre, </w:t>
      </w:r>
      <w:r w:rsidR="007D3847" w:rsidRPr="008B2DDA">
        <w:rPr>
          <w:rStyle w:val="hps"/>
        </w:rPr>
        <w:t>par souci de</w:t>
      </w:r>
      <w:r w:rsidR="004A65DA" w:rsidRPr="008B2DDA">
        <w:rPr>
          <w:rStyle w:val="hps"/>
        </w:rPr>
        <w:t xml:space="preserve"> clarté, 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4A65DA" w:rsidRPr="008B2DDA">
        <w:rPr>
          <w:rStyle w:val="hps"/>
        </w:rPr>
        <w:t>propose</w:t>
      </w:r>
      <w:r w:rsidR="00936234" w:rsidRPr="008B2DDA">
        <w:rPr>
          <w:rStyle w:val="hps"/>
        </w:rPr>
        <w:t>nt d</w:t>
      </w:r>
      <w:r w:rsidR="00A341C2" w:rsidRPr="008B2DDA">
        <w:rPr>
          <w:rStyle w:val="hps"/>
        </w:rPr>
        <w:t>’</w:t>
      </w:r>
      <w:r w:rsidR="00936234" w:rsidRPr="008B2DDA">
        <w:rPr>
          <w:rStyle w:val="hps"/>
        </w:rPr>
        <w:t>apporter une modification</w:t>
      </w:r>
      <w:r w:rsidR="004A65DA" w:rsidRPr="008B2DDA">
        <w:rPr>
          <w:rStyle w:val="hps"/>
        </w:rPr>
        <w:t xml:space="preserve"> à l</w:t>
      </w:r>
      <w:r w:rsidR="00A341C2" w:rsidRPr="008B2DDA">
        <w:rPr>
          <w:rStyle w:val="hps"/>
        </w:rPr>
        <w:t>’</w:t>
      </w:r>
      <w:r w:rsidR="00E409C7" w:rsidRPr="008B2DDA">
        <w:rPr>
          <w:rStyle w:val="hps"/>
        </w:rPr>
        <w:t>article 6.</w:t>
      </w:r>
      <w:r w:rsidR="004A65DA" w:rsidRPr="008B2DDA">
        <w:rPr>
          <w:rStyle w:val="hps"/>
        </w:rPr>
        <w:t>5)</w:t>
      </w:r>
      <w:r w:rsidR="00936234" w:rsidRPr="008B2DDA">
        <w:rPr>
          <w:rStyle w:val="hps"/>
        </w:rPr>
        <w:t xml:space="preserve">, </w:t>
      </w:r>
      <w:r w:rsidR="00A341C2" w:rsidRPr="008B2DDA">
        <w:rPr>
          <w:rStyle w:val="hps"/>
        </w:rPr>
        <w:t>à savoir</w:t>
      </w:r>
      <w:r w:rsidR="00936234" w:rsidRPr="008B2DDA">
        <w:rPr>
          <w:rStyle w:val="hps"/>
        </w:rPr>
        <w:t xml:space="preserve"> l</w:t>
      </w:r>
      <w:r w:rsidR="00A341C2" w:rsidRPr="008B2DDA">
        <w:rPr>
          <w:rStyle w:val="hps"/>
        </w:rPr>
        <w:t>’</w:t>
      </w:r>
      <w:r w:rsidR="00936234" w:rsidRPr="008B2DDA">
        <w:rPr>
          <w:rStyle w:val="hps"/>
        </w:rPr>
        <w:t>ajout d</w:t>
      </w:r>
      <w:r w:rsidR="00A341C2" w:rsidRPr="008B2DDA">
        <w:rPr>
          <w:rStyle w:val="hps"/>
        </w:rPr>
        <w:t>’</w:t>
      </w:r>
      <w:r w:rsidR="00E409C7" w:rsidRPr="008B2DDA">
        <w:rPr>
          <w:rStyle w:val="hps"/>
        </w:rPr>
        <w:t xml:space="preserve">un </w:t>
      </w:r>
      <w:r w:rsidR="00E31DD2" w:rsidRPr="008B2DDA">
        <w:rPr>
          <w:rStyle w:val="hps"/>
        </w:rPr>
        <w:t>nouveau sous</w:t>
      </w:r>
      <w:r w:rsidR="00D67EA4" w:rsidRPr="008B2DDA">
        <w:rPr>
          <w:rStyle w:val="hps"/>
        </w:rPr>
        <w:noBreakHyphen/>
      </w:r>
      <w:r w:rsidR="00E409C7" w:rsidRPr="008B2DDA">
        <w:rPr>
          <w:rStyle w:val="hps"/>
        </w:rPr>
        <w:t>alinéa</w:t>
      </w:r>
      <w:r w:rsidR="00E26A2C" w:rsidRPr="008B2DDA">
        <w:rPr>
          <w:rStyle w:val="hps"/>
        </w:rPr>
        <w:t> </w:t>
      </w:r>
      <w:r w:rsidR="004A65DA" w:rsidRPr="008B2DDA">
        <w:rPr>
          <w:rStyle w:val="hps"/>
        </w:rPr>
        <w:t xml:space="preserve">b) </w:t>
      </w:r>
      <w:r w:rsidR="00936234" w:rsidRPr="008B2DDA">
        <w:rPr>
          <w:rStyle w:val="hps"/>
        </w:rPr>
        <w:t>précisant</w:t>
      </w:r>
      <w:r w:rsidR="004A65DA" w:rsidRPr="008B2DDA">
        <w:rPr>
          <w:rStyle w:val="hps"/>
        </w:rPr>
        <w:t xml:space="preserve"> que</w:t>
      </w:r>
      <w:r w:rsidR="00936234" w:rsidRPr="008B2DDA">
        <w:rPr>
          <w:rStyle w:val="hps"/>
        </w:rPr>
        <w:t>,</w:t>
      </w:r>
      <w:r w:rsidR="004A65DA" w:rsidRPr="008B2DDA">
        <w:rPr>
          <w:rStyle w:val="hps"/>
        </w:rPr>
        <w:t xml:space="preserve"> dans le cas de l</w:t>
      </w:r>
      <w:r w:rsidR="00A341C2" w:rsidRPr="008B2DDA">
        <w:rPr>
          <w:rStyle w:val="hps"/>
        </w:rPr>
        <w:t>’</w:t>
      </w:r>
      <w:r w:rsidR="00E409C7" w:rsidRPr="008B2DDA">
        <w:rPr>
          <w:rStyle w:val="hps"/>
        </w:rPr>
        <w:t>article 29.</w:t>
      </w:r>
      <w:r w:rsidR="004A65DA" w:rsidRPr="008B2DDA">
        <w:rPr>
          <w:rStyle w:val="hps"/>
        </w:rPr>
        <w:t>4), l</w:t>
      </w:r>
      <w:r w:rsidR="00936234" w:rsidRPr="008B2DDA">
        <w:rPr>
          <w:rStyle w:val="hps"/>
        </w:rPr>
        <w:t>a</w:t>
      </w:r>
      <w:r w:rsidR="004A65DA" w:rsidRPr="008B2DDA">
        <w:rPr>
          <w:rStyle w:val="hps"/>
        </w:rPr>
        <w:t xml:space="preserve"> date </w:t>
      </w:r>
      <w:r w:rsidR="00936234" w:rsidRPr="008B2DDA">
        <w:rPr>
          <w:rStyle w:val="hps"/>
        </w:rPr>
        <w:t>d</w:t>
      </w:r>
      <w:r w:rsidR="00A341C2" w:rsidRPr="008B2DDA">
        <w:rPr>
          <w:rStyle w:val="hps"/>
        </w:rPr>
        <w:t>’</w:t>
      </w:r>
      <w:r w:rsidR="00936234" w:rsidRPr="008B2DDA">
        <w:rPr>
          <w:rStyle w:val="hps"/>
        </w:rPr>
        <w:t xml:space="preserve">effet </w:t>
      </w:r>
      <w:r w:rsidR="004A65DA" w:rsidRPr="008B2DDA">
        <w:rPr>
          <w:rStyle w:val="hps"/>
        </w:rPr>
        <w:t>de l</w:t>
      </w:r>
      <w:r w:rsidR="00A341C2" w:rsidRPr="008B2DDA">
        <w:rPr>
          <w:rStyle w:val="hps"/>
        </w:rPr>
        <w:t>’</w:t>
      </w:r>
      <w:r w:rsidR="004A65DA" w:rsidRPr="008B2DDA">
        <w:rPr>
          <w:rStyle w:val="hps"/>
        </w:rPr>
        <w:t>enregistrement international dans une partie con</w:t>
      </w:r>
      <w:r w:rsidR="00936234" w:rsidRPr="008B2DDA">
        <w:rPr>
          <w:rStyle w:val="hps"/>
        </w:rPr>
        <w:t>tractante nouvellement adhérente</w:t>
      </w:r>
      <w:r w:rsidR="004A65DA" w:rsidRPr="008B2DDA">
        <w:rPr>
          <w:rStyle w:val="hps"/>
        </w:rPr>
        <w:t xml:space="preserve"> </w:t>
      </w:r>
      <w:r w:rsidR="00936234" w:rsidRPr="008B2DDA">
        <w:rPr>
          <w:rStyle w:val="hps"/>
        </w:rPr>
        <w:t>doit être</w:t>
      </w:r>
      <w:r w:rsidR="004A65DA" w:rsidRPr="008B2DDA">
        <w:rPr>
          <w:rStyle w:val="hps"/>
        </w:rPr>
        <w:t xml:space="preserve"> la date d</w:t>
      </w:r>
      <w:r w:rsidR="00A341C2" w:rsidRPr="008B2DDA">
        <w:rPr>
          <w:rStyle w:val="hps"/>
        </w:rPr>
        <w:t>’</w:t>
      </w:r>
      <w:r w:rsidR="004A65DA" w:rsidRPr="008B2DDA">
        <w:rPr>
          <w:rStyle w:val="hps"/>
        </w:rPr>
        <w:t xml:space="preserve">entrée en vigueur ou, le cas échéant, la date indiquée dans la déclaration </w:t>
      </w:r>
      <w:r w:rsidR="00936234" w:rsidRPr="008B2DDA">
        <w:rPr>
          <w:rStyle w:val="hps"/>
        </w:rPr>
        <w:t xml:space="preserve">conformément aux dispositions du </w:t>
      </w:r>
      <w:r w:rsidR="007C001A" w:rsidRPr="008B2DDA">
        <w:rPr>
          <w:rStyle w:val="hps"/>
        </w:rPr>
        <w:t>nouvel article</w:t>
      </w:r>
      <w:r w:rsidR="00E26A2C" w:rsidRPr="008B2DDA">
        <w:rPr>
          <w:rStyle w:val="hps"/>
        </w:rPr>
        <w:t> </w:t>
      </w:r>
      <w:r w:rsidR="007C001A" w:rsidRPr="008B2DDA">
        <w:rPr>
          <w:rStyle w:val="hps"/>
        </w:rPr>
        <w:t>6.5)</w:t>
      </w:r>
      <w:r w:rsidR="004A65DA" w:rsidRPr="008B2DDA">
        <w:rPr>
          <w:rStyle w:val="hps"/>
        </w:rPr>
        <w:t>c).</w:t>
      </w:r>
      <w:r w:rsidR="007C001A" w:rsidRPr="008B2DDA">
        <w:rPr>
          <w:rStyle w:val="hps"/>
        </w:rPr>
        <w:t xml:space="preserve"> </w:t>
      </w:r>
      <w:r w:rsidR="004A65DA" w:rsidRPr="008B2DDA">
        <w:rPr>
          <w:rStyle w:val="hps"/>
        </w:rPr>
        <w:t xml:space="preserve"> </w:t>
      </w:r>
      <w:r w:rsidR="00936234" w:rsidRPr="008B2DDA">
        <w:rPr>
          <w:rStyle w:val="hps"/>
        </w:rPr>
        <w:t>Le renvoi,</w:t>
      </w:r>
      <w:r w:rsidR="004A65DA" w:rsidRPr="008B2DDA">
        <w:rPr>
          <w:rStyle w:val="hps"/>
        </w:rPr>
        <w:t xml:space="preserve"> </w:t>
      </w:r>
      <w:r w:rsidR="00936234" w:rsidRPr="008B2DDA">
        <w:rPr>
          <w:rStyle w:val="hps"/>
        </w:rPr>
        <w:t>dans</w:t>
      </w:r>
      <w:r w:rsidR="004A65DA" w:rsidRPr="008B2DDA">
        <w:rPr>
          <w:rStyle w:val="hps"/>
        </w:rPr>
        <w:t xml:space="preserve"> l</w:t>
      </w:r>
      <w:r w:rsidR="00A341C2" w:rsidRPr="008B2DDA">
        <w:rPr>
          <w:rStyle w:val="hps"/>
        </w:rPr>
        <w:t>’</w:t>
      </w:r>
      <w:r w:rsidR="007C001A" w:rsidRPr="008B2DDA">
        <w:rPr>
          <w:rStyle w:val="hps"/>
        </w:rPr>
        <w:t>article 29.</w:t>
      </w:r>
      <w:r w:rsidR="004A65DA" w:rsidRPr="008B2DDA">
        <w:rPr>
          <w:rStyle w:val="hps"/>
        </w:rPr>
        <w:t>4)</w:t>
      </w:r>
      <w:r w:rsidR="00936234" w:rsidRPr="008B2DDA">
        <w:rPr>
          <w:rStyle w:val="hps"/>
        </w:rPr>
        <w:t>,</w:t>
      </w:r>
      <w:r w:rsidR="004A65DA" w:rsidRPr="008B2DDA">
        <w:rPr>
          <w:rStyle w:val="hps"/>
        </w:rPr>
        <w:t xml:space="preserve"> à la date </w:t>
      </w:r>
      <w:r w:rsidR="00936234" w:rsidRPr="008B2DDA">
        <w:rPr>
          <w:rStyle w:val="hps"/>
        </w:rPr>
        <w:t>de demande</w:t>
      </w:r>
      <w:r w:rsidR="004A65DA" w:rsidRPr="008B2DDA">
        <w:rPr>
          <w:rStyle w:val="hps"/>
        </w:rPr>
        <w:t xml:space="preserve"> </w:t>
      </w:r>
      <w:r w:rsidR="0060193F" w:rsidRPr="008B2DDA">
        <w:rPr>
          <w:rStyle w:val="hps"/>
        </w:rPr>
        <w:t>d</w:t>
      </w:r>
      <w:r w:rsidR="00A341C2" w:rsidRPr="008B2DDA">
        <w:rPr>
          <w:rStyle w:val="hps"/>
        </w:rPr>
        <w:t>’</w:t>
      </w:r>
      <w:r w:rsidR="0060193F" w:rsidRPr="008B2DDA">
        <w:rPr>
          <w:rStyle w:val="hps"/>
        </w:rPr>
        <w:t>un</w:t>
      </w:r>
      <w:r w:rsidR="00936234" w:rsidRPr="008B2DDA">
        <w:rPr>
          <w:rStyle w:val="hps"/>
        </w:rPr>
        <w:t xml:space="preserve"> enregistrement international existant n</w:t>
      </w:r>
      <w:r w:rsidR="00A341C2" w:rsidRPr="008B2DDA">
        <w:rPr>
          <w:rStyle w:val="hps"/>
        </w:rPr>
        <w:t>’</w:t>
      </w:r>
      <w:r w:rsidR="004A65DA" w:rsidRPr="008B2DDA">
        <w:rPr>
          <w:rStyle w:val="hps"/>
        </w:rPr>
        <w:t>est pas part</w:t>
      </w:r>
      <w:r w:rsidR="0060193F" w:rsidRPr="008B2DDA">
        <w:rPr>
          <w:rStyle w:val="hps"/>
        </w:rPr>
        <w:t>iculièrement clair</w:t>
      </w:r>
      <w:r w:rsidR="004A65DA" w:rsidRPr="008B2DDA">
        <w:rPr>
          <w:rStyle w:val="hps"/>
        </w:rPr>
        <w:t xml:space="preserve"> et ne semble pas envisager l</w:t>
      </w:r>
      <w:r w:rsidR="00A341C2" w:rsidRPr="008B2DDA">
        <w:rPr>
          <w:rStyle w:val="hps"/>
        </w:rPr>
        <w:t>’</w:t>
      </w:r>
      <w:r w:rsidR="004A65DA" w:rsidRPr="008B2DDA">
        <w:rPr>
          <w:rStyle w:val="hps"/>
        </w:rPr>
        <w:t xml:space="preserve">application de la disposition </w:t>
      </w:r>
      <w:r w:rsidR="00AC6600" w:rsidRPr="008B2DDA">
        <w:rPr>
          <w:rStyle w:val="hps"/>
        </w:rPr>
        <w:t>sur la</w:t>
      </w:r>
      <w:r w:rsidR="004A65DA" w:rsidRPr="008B2DDA">
        <w:rPr>
          <w:rStyle w:val="hps"/>
        </w:rPr>
        <w:t xml:space="preserve"> déclaration </w:t>
      </w:r>
      <w:r w:rsidR="00AC6600" w:rsidRPr="008B2DDA">
        <w:rPr>
          <w:rStyle w:val="hps"/>
        </w:rPr>
        <w:t xml:space="preserve">figurant dans </w:t>
      </w:r>
      <w:r w:rsidR="004A65DA" w:rsidRPr="008B2DDA">
        <w:rPr>
          <w:rStyle w:val="hps"/>
        </w:rPr>
        <w:t>l</w:t>
      </w:r>
      <w:r w:rsidR="00A341C2" w:rsidRPr="008B2DDA">
        <w:rPr>
          <w:rStyle w:val="hps"/>
        </w:rPr>
        <w:t>’</w:t>
      </w:r>
      <w:r w:rsidR="007C001A" w:rsidRPr="008B2DDA">
        <w:rPr>
          <w:rStyle w:val="hps"/>
        </w:rPr>
        <w:t>article 6.5)</w:t>
      </w:r>
      <w:r w:rsidR="004A65DA" w:rsidRPr="008B2DDA">
        <w:rPr>
          <w:rStyle w:val="hps"/>
        </w:rPr>
        <w:t>b)</w:t>
      </w:r>
      <w:r w:rsidR="007C001A" w:rsidRPr="008B2DDA">
        <w:rPr>
          <w:rStyle w:val="hps"/>
        </w:rPr>
        <w:t xml:space="preserve"> en vigueur</w:t>
      </w:r>
      <w:r w:rsidR="004A65DA" w:rsidRPr="008B2DDA">
        <w:rPr>
          <w:rStyle w:val="hps"/>
        </w:rPr>
        <w:t>.</w:t>
      </w:r>
    </w:p>
    <w:p w14:paraId="5375DDBB" w14:textId="7D0A90B1" w:rsidR="007079A8" w:rsidRPr="008B2DDA" w:rsidRDefault="00311638" w:rsidP="002D6873">
      <w:pPr>
        <w:pStyle w:val="Heading4"/>
        <w:ind w:left="567"/>
        <w:rPr>
          <w:b/>
          <w:i w:val="0"/>
        </w:rPr>
      </w:pPr>
      <w:r w:rsidRPr="008B2DDA">
        <w:rPr>
          <w:b/>
          <w:i w:val="0"/>
        </w:rPr>
        <w:t>2.</w:t>
      </w:r>
      <w:r w:rsidR="00471C17" w:rsidRPr="008B2DDA">
        <w:rPr>
          <w:b/>
          <w:i w:val="0"/>
        </w:rPr>
        <w:tab/>
      </w:r>
      <w:r w:rsidR="0002192F" w:rsidRPr="008B2DDA">
        <w:rPr>
          <w:b/>
          <w:i w:val="0"/>
        </w:rPr>
        <w:t>L</w:t>
      </w:r>
      <w:r w:rsidR="00A341C2" w:rsidRPr="008B2DDA">
        <w:rPr>
          <w:b/>
          <w:i w:val="0"/>
        </w:rPr>
        <w:t>’</w:t>
      </w:r>
      <w:r w:rsidR="0002192F" w:rsidRPr="008B2DDA">
        <w:rPr>
          <w:b/>
          <w:i w:val="0"/>
        </w:rPr>
        <w:t>augmentation de la taxe applicable aux demandes internationales</w:t>
      </w:r>
    </w:p>
    <w:p w14:paraId="6BC8404C" w14:textId="77777777" w:rsidR="00471C17" w:rsidRPr="008B2DDA" w:rsidRDefault="00471C17" w:rsidP="008B2DDA"/>
    <w:p w14:paraId="7C579CFD" w14:textId="62394295" w:rsidR="007079A8" w:rsidRPr="008B2DDA" w:rsidRDefault="001F705D" w:rsidP="008B2DDA">
      <w:pPr>
        <w:pStyle w:val="ONUMFS"/>
        <w:numPr>
          <w:ilvl w:val="0"/>
          <w:numId w:val="0"/>
        </w:numPr>
        <w:rPr>
          <w:b/>
          <w:bCs/>
          <w:szCs w:val="28"/>
        </w:rPr>
      </w:pPr>
      <w:hyperlink w:anchor="Article_24_4" w:history="1">
        <w:r w:rsidR="00A807AE" w:rsidRPr="00450AF4">
          <w:rPr>
            <w:rStyle w:val="Hyperlink"/>
            <w:b/>
            <w:color w:val="0000FF"/>
          </w:rPr>
          <w:t>Article 24.</w:t>
        </w:r>
        <w:r w:rsidR="00311638" w:rsidRPr="00450AF4">
          <w:rPr>
            <w:rStyle w:val="Hyperlink"/>
            <w:b/>
            <w:color w:val="0000FF"/>
          </w:rPr>
          <w:t>4)</w:t>
        </w:r>
      </w:hyperlink>
      <w:r w:rsidR="00311638" w:rsidRPr="008B2DDA">
        <w:rPr>
          <w:b/>
        </w:rPr>
        <w:t xml:space="preserve"> </w:t>
      </w:r>
      <w:r w:rsidR="0060193F" w:rsidRPr="008B2DDA">
        <w:rPr>
          <w:b/>
        </w:rPr>
        <w:t>Fixation</w:t>
      </w:r>
      <w:r w:rsidR="002264BF" w:rsidRPr="008B2DDA">
        <w:rPr>
          <w:b/>
        </w:rPr>
        <w:t xml:space="preserve"> des taxes</w:t>
      </w:r>
      <w:r w:rsidR="00311638" w:rsidRPr="008B2DDA">
        <w:rPr>
          <w:b/>
        </w:rPr>
        <w:t xml:space="preserve"> </w:t>
      </w:r>
      <w:r w:rsidR="0080323D" w:rsidRPr="008B2DDA">
        <w:rPr>
          <w:b/>
        </w:rPr>
        <w:t>et</w:t>
      </w:r>
      <w:r w:rsidR="00311638" w:rsidRPr="008B2DDA">
        <w:rPr>
          <w:b/>
        </w:rPr>
        <w:t xml:space="preserve"> </w:t>
      </w:r>
      <w:hyperlink w:anchor="Rule_8_1" w:history="1">
        <w:r w:rsidR="00A807AE" w:rsidRPr="00450AF4">
          <w:rPr>
            <w:rStyle w:val="Hyperlink"/>
            <w:b/>
            <w:color w:val="0000FF"/>
          </w:rPr>
          <w:t>règle 8.</w:t>
        </w:r>
        <w:r w:rsidR="00311638" w:rsidRPr="00450AF4">
          <w:rPr>
            <w:rStyle w:val="Hyperlink"/>
            <w:b/>
            <w:color w:val="0000FF"/>
          </w:rPr>
          <w:t>1)</w:t>
        </w:r>
      </w:hyperlink>
      <w:r w:rsidR="00311638" w:rsidRPr="008B2DDA">
        <w:rPr>
          <w:b/>
        </w:rPr>
        <w:t xml:space="preserve"> </w:t>
      </w:r>
      <w:r w:rsidR="002264BF" w:rsidRPr="008B2DDA">
        <w:rPr>
          <w:b/>
        </w:rPr>
        <w:t>Montant des taxes </w:t>
      </w:r>
      <w:r w:rsidR="00311638" w:rsidRPr="008B2DDA">
        <w:rPr>
          <w:b/>
        </w:rPr>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CB2781" w:rsidRPr="008B2DDA">
        <w:rPr>
          <w:rStyle w:val="hps"/>
        </w:rPr>
        <w:t>approuvent</w:t>
      </w:r>
      <w:r w:rsidR="004A65DA" w:rsidRPr="008B2DDA">
        <w:rPr>
          <w:rStyle w:val="hps"/>
        </w:rPr>
        <w:t xml:space="preserve"> l</w:t>
      </w:r>
      <w:r w:rsidR="00A341C2" w:rsidRPr="008B2DDA">
        <w:rPr>
          <w:rStyle w:val="hps"/>
        </w:rPr>
        <w:t>’</w:t>
      </w:r>
      <w:r w:rsidR="00BB07EC" w:rsidRPr="008B2DDA">
        <w:rPr>
          <w:rStyle w:val="hps"/>
        </w:rPr>
        <w:t>article 24.</w:t>
      </w:r>
      <w:r w:rsidR="004A65DA" w:rsidRPr="008B2DDA">
        <w:rPr>
          <w:rStyle w:val="hps"/>
        </w:rPr>
        <w:t>4),</w:t>
      </w:r>
      <w:r w:rsidR="002264BF" w:rsidRPr="008B2DDA">
        <w:rPr>
          <w:rStyle w:val="hps"/>
        </w:rPr>
        <w:t xml:space="preserve"> qui</w:t>
      </w:r>
      <w:r w:rsidR="004A65DA" w:rsidRPr="008B2DDA">
        <w:rPr>
          <w:rStyle w:val="hps"/>
        </w:rPr>
        <w:t xml:space="preserve"> </w:t>
      </w:r>
      <w:r w:rsidR="00512A22" w:rsidRPr="008B2DDA">
        <w:rPr>
          <w:rStyle w:val="hps"/>
        </w:rPr>
        <w:t>exigerait que</w:t>
      </w:r>
      <w:r w:rsidR="004A65DA" w:rsidRPr="008B2DDA">
        <w:rPr>
          <w:rStyle w:val="hps"/>
        </w:rPr>
        <w:t xml:space="preserve"> les </w:t>
      </w:r>
      <w:r w:rsidR="00512A22" w:rsidRPr="008B2DDA">
        <w:rPr>
          <w:rStyle w:val="hps"/>
        </w:rPr>
        <w:t>taxes</w:t>
      </w:r>
      <w:r w:rsidR="004A65DA" w:rsidRPr="008B2DDA">
        <w:rPr>
          <w:rStyle w:val="hps"/>
        </w:rPr>
        <w:t xml:space="preserve"> soient fixé</w:t>
      </w:r>
      <w:r w:rsidR="00512A22" w:rsidRPr="008B2DDA">
        <w:rPr>
          <w:rStyle w:val="hps"/>
        </w:rPr>
        <w:t>e</w:t>
      </w:r>
      <w:r w:rsidR="004A65DA" w:rsidRPr="008B2DDA">
        <w:rPr>
          <w:rStyle w:val="hps"/>
        </w:rPr>
        <w:t xml:space="preserve">s </w:t>
      </w:r>
      <w:r w:rsidR="00512A22" w:rsidRPr="008B2DDA">
        <w:rPr>
          <w:rStyle w:val="hps"/>
        </w:rPr>
        <w:t>de manière à ce que les recettes</w:t>
      </w:r>
      <w:r w:rsidR="004A65DA" w:rsidRPr="008B2DDA">
        <w:rPr>
          <w:rStyle w:val="hps"/>
        </w:rPr>
        <w:t xml:space="preserve"> du système </w:t>
      </w:r>
      <w:r w:rsidR="00512A22" w:rsidRPr="008B2DDA">
        <w:rPr>
          <w:rStyle w:val="hps"/>
        </w:rPr>
        <w:t xml:space="preserve">soient suffisantes pour </w:t>
      </w:r>
      <w:r w:rsidR="004A65DA" w:rsidRPr="008B2DDA">
        <w:rPr>
          <w:rStyle w:val="hps"/>
        </w:rPr>
        <w:t xml:space="preserve">couvrir les dépenses, sans </w:t>
      </w:r>
      <w:r w:rsidR="00512A22" w:rsidRPr="008B2DDA">
        <w:rPr>
          <w:rStyle w:val="hps"/>
        </w:rPr>
        <w:t>qu</w:t>
      </w:r>
      <w:r w:rsidR="00A341C2" w:rsidRPr="008B2DDA">
        <w:rPr>
          <w:rStyle w:val="hps"/>
        </w:rPr>
        <w:t>’</w:t>
      </w:r>
      <w:r w:rsidR="00512A22" w:rsidRPr="008B2DDA">
        <w:rPr>
          <w:rStyle w:val="hps"/>
        </w:rPr>
        <w:t xml:space="preserve">il soit recouru au versement des </w:t>
      </w:r>
      <w:r w:rsidR="004A65DA" w:rsidRPr="008B2DDA">
        <w:rPr>
          <w:rStyle w:val="hps"/>
        </w:rPr>
        <w:t xml:space="preserve">contributions </w:t>
      </w:r>
      <w:r w:rsidR="00512A22" w:rsidRPr="008B2DDA">
        <w:rPr>
          <w:rStyle w:val="hps"/>
        </w:rPr>
        <w:t>des p</w:t>
      </w:r>
      <w:r w:rsidR="004A65DA" w:rsidRPr="008B2DDA">
        <w:rPr>
          <w:rStyle w:val="hps"/>
        </w:rPr>
        <w:t xml:space="preserve">arties contractantes. </w:t>
      </w:r>
      <w:r w:rsidR="00512A22" w:rsidRPr="008B2DDA">
        <w:rPr>
          <w:rStyle w:val="hps"/>
        </w:rPr>
        <w:t xml:space="preserve"> </w:t>
      </w:r>
      <w:r w:rsidR="004A65DA" w:rsidRPr="008B2DDA">
        <w:rPr>
          <w:rStyle w:val="hps"/>
        </w:rPr>
        <w:t xml:space="preserve">Pour </w:t>
      </w:r>
      <w:r w:rsidR="00512A22" w:rsidRPr="008B2DDA">
        <w:rPr>
          <w:rStyle w:val="hps"/>
        </w:rPr>
        <w:t>que les recettes couvrent</w:t>
      </w:r>
      <w:r w:rsidR="004A65DA" w:rsidRPr="008B2DDA">
        <w:rPr>
          <w:rStyle w:val="hps"/>
        </w:rPr>
        <w:t xml:space="preserve"> les dépenses, </w:t>
      </w:r>
      <w:r w:rsidR="00512A22" w:rsidRPr="008B2DDA">
        <w:rPr>
          <w:rStyle w:val="hps"/>
        </w:rPr>
        <w:t xml:space="preserve">la taxe </w:t>
      </w:r>
      <w:r w:rsidR="0072134F" w:rsidRPr="008B2DDA">
        <w:rPr>
          <w:rStyle w:val="hps"/>
        </w:rPr>
        <w:t>d</w:t>
      </w:r>
      <w:r w:rsidR="00A341C2" w:rsidRPr="008B2DDA">
        <w:rPr>
          <w:rStyle w:val="hps"/>
        </w:rPr>
        <w:t>’</w:t>
      </w:r>
      <w:r w:rsidR="0072134F" w:rsidRPr="008B2DDA">
        <w:rPr>
          <w:rStyle w:val="hps"/>
        </w:rPr>
        <w:t>enregistrement international</w:t>
      </w:r>
      <w:r w:rsidR="00512A22" w:rsidRPr="008B2DDA">
        <w:rPr>
          <w:rStyle w:val="hps"/>
        </w:rPr>
        <w:t xml:space="preserve"> de 500 francs suisses mentionnée dans la règle </w:t>
      </w:r>
      <w:r w:rsidR="00BB07EC" w:rsidRPr="008B2DDA">
        <w:rPr>
          <w:rStyle w:val="hps"/>
        </w:rPr>
        <w:t>8.</w:t>
      </w:r>
      <w:r w:rsidR="004A65DA" w:rsidRPr="008B2DDA">
        <w:rPr>
          <w:rStyle w:val="hps"/>
        </w:rPr>
        <w:t xml:space="preserve">1) </w:t>
      </w:r>
      <w:r w:rsidR="00512A22" w:rsidRPr="008B2DDA">
        <w:rPr>
          <w:rStyle w:val="hps"/>
        </w:rPr>
        <w:t xml:space="preserve">devrait </w:t>
      </w:r>
      <w:r w:rsidR="004A65DA" w:rsidRPr="008B2DDA">
        <w:rPr>
          <w:rStyle w:val="hps"/>
        </w:rPr>
        <w:t>être considérablement augmenté</w:t>
      </w:r>
      <w:r w:rsidR="00512A22" w:rsidRPr="008B2DDA">
        <w:rPr>
          <w:rStyle w:val="hps"/>
        </w:rPr>
        <w:t>e</w:t>
      </w:r>
      <w:r w:rsidR="004A65DA" w:rsidRPr="008B2DDA">
        <w:rPr>
          <w:rStyle w:val="hps"/>
        </w:rPr>
        <w:t>, au</w:t>
      </w:r>
      <w:r w:rsidR="00D67EA4" w:rsidRPr="008B2DDA">
        <w:rPr>
          <w:rStyle w:val="hps"/>
        </w:rPr>
        <w:noBreakHyphen/>
      </w:r>
      <w:r w:rsidR="004A65DA" w:rsidRPr="008B2DDA">
        <w:rPr>
          <w:rStyle w:val="hps"/>
        </w:rPr>
        <w:t xml:space="preserve">delà </w:t>
      </w:r>
      <w:r w:rsidR="00512A22" w:rsidRPr="008B2DDA">
        <w:rPr>
          <w:rStyle w:val="hps"/>
        </w:rPr>
        <w:t>du montant de</w:t>
      </w:r>
      <w:r w:rsidR="00E26A2C" w:rsidRPr="008B2DDA">
        <w:rPr>
          <w:rStyle w:val="hps"/>
        </w:rPr>
        <w:t> </w:t>
      </w:r>
      <w:r w:rsidR="00512A22" w:rsidRPr="008B2DDA">
        <w:rPr>
          <w:rStyle w:val="hps"/>
        </w:rPr>
        <w:t xml:space="preserve">1000 francs suisses proposé </w:t>
      </w:r>
      <w:r w:rsidR="004A65DA" w:rsidRPr="008B2DDA">
        <w:rPr>
          <w:rStyle w:val="hps"/>
        </w:rPr>
        <w:t>p</w:t>
      </w:r>
      <w:r w:rsidR="00BB07EC" w:rsidRPr="008B2DDA">
        <w:rPr>
          <w:rStyle w:val="hps"/>
        </w:rPr>
        <w:t>ar le Directeur général</w:t>
      </w:r>
      <w:r w:rsidR="004A65DA" w:rsidRPr="008B2DDA">
        <w:rPr>
          <w:rStyle w:val="hps"/>
        </w:rPr>
        <w:t>.</w:t>
      </w:r>
      <w:r w:rsidR="00512A22" w:rsidRPr="008B2DDA">
        <w:rPr>
          <w:rStyle w:val="hps"/>
        </w:rPr>
        <w:t xml:space="preserve"> </w:t>
      </w:r>
      <w:r w:rsidR="004A65DA" w:rsidRPr="008B2DDA">
        <w:rPr>
          <w:rStyle w:val="hps"/>
        </w:rPr>
        <w:t xml:space="preserve"> 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4A65DA" w:rsidRPr="008B2DDA">
        <w:rPr>
          <w:rStyle w:val="hps"/>
        </w:rPr>
        <w:t xml:space="preserve">demandent une estimation du Secrétariat </w:t>
      </w:r>
      <w:r w:rsidR="00512A22" w:rsidRPr="008B2DDA">
        <w:rPr>
          <w:rStyle w:val="hps"/>
        </w:rPr>
        <w:t>sur les</w:t>
      </w:r>
      <w:r w:rsidR="004A65DA" w:rsidRPr="008B2DDA">
        <w:rPr>
          <w:rStyle w:val="hps"/>
        </w:rPr>
        <w:t xml:space="preserve"> montants </w:t>
      </w:r>
      <w:r w:rsidR="00512A22" w:rsidRPr="008B2DDA">
        <w:rPr>
          <w:rStyle w:val="hps"/>
        </w:rPr>
        <w:t xml:space="preserve">à prévoir </w:t>
      </w:r>
      <w:r w:rsidR="004A65DA" w:rsidRPr="008B2DDA">
        <w:rPr>
          <w:rStyle w:val="hps"/>
        </w:rPr>
        <w:t>pour le prochain exercice biennal.</w:t>
      </w:r>
    </w:p>
    <w:p w14:paraId="482EA001" w14:textId="0A2FF0AF" w:rsidR="007079A8" w:rsidRPr="008B2DDA" w:rsidRDefault="00311638" w:rsidP="002D6873">
      <w:pPr>
        <w:pStyle w:val="Heading4"/>
        <w:ind w:left="567"/>
        <w:rPr>
          <w:b/>
          <w:i w:val="0"/>
        </w:rPr>
      </w:pPr>
      <w:r w:rsidRPr="008B2DDA">
        <w:rPr>
          <w:b/>
          <w:i w:val="0"/>
        </w:rPr>
        <w:t>3.</w:t>
      </w:r>
      <w:r w:rsidR="00471C17" w:rsidRPr="008B2DDA">
        <w:rPr>
          <w:b/>
          <w:i w:val="0"/>
        </w:rPr>
        <w:tab/>
      </w:r>
      <w:r w:rsidR="00C9550C" w:rsidRPr="008B2DDA">
        <w:rPr>
          <w:b/>
          <w:i w:val="0"/>
        </w:rPr>
        <w:t>La mise en place d</w:t>
      </w:r>
      <w:r w:rsidR="00A341C2" w:rsidRPr="008B2DDA">
        <w:rPr>
          <w:b/>
          <w:i w:val="0"/>
        </w:rPr>
        <w:t>’</w:t>
      </w:r>
      <w:r w:rsidR="00C9550C" w:rsidRPr="008B2DDA">
        <w:rPr>
          <w:b/>
          <w:i w:val="0"/>
        </w:rPr>
        <w:t xml:space="preserve">une taxe </w:t>
      </w:r>
      <w:r w:rsidR="00C0473A" w:rsidRPr="008B2DDA">
        <w:rPr>
          <w:b/>
          <w:i w:val="0"/>
        </w:rPr>
        <w:t>pour le</w:t>
      </w:r>
      <w:r w:rsidR="00C9550C" w:rsidRPr="008B2DDA">
        <w:rPr>
          <w:b/>
          <w:i w:val="0"/>
        </w:rPr>
        <w:t xml:space="preserve"> maintien </w:t>
      </w:r>
      <w:r w:rsidR="0072134F" w:rsidRPr="008B2DDA">
        <w:rPr>
          <w:b/>
          <w:i w:val="0"/>
        </w:rPr>
        <w:t xml:space="preserve">en vigueur </w:t>
      </w:r>
      <w:r w:rsidR="00C9550C" w:rsidRPr="008B2DDA">
        <w:rPr>
          <w:b/>
          <w:i w:val="0"/>
        </w:rPr>
        <w:t>de chaque enregistrement international</w:t>
      </w:r>
    </w:p>
    <w:p w14:paraId="3FBD1736" w14:textId="77777777" w:rsidR="00471C17" w:rsidRPr="008B2DDA" w:rsidRDefault="00471C17" w:rsidP="008B2DDA"/>
    <w:p w14:paraId="54304C15" w14:textId="52D010C5" w:rsidR="007079A8" w:rsidRPr="008B2DDA" w:rsidRDefault="001F705D" w:rsidP="008B2DDA">
      <w:pPr>
        <w:pStyle w:val="ONUMFS"/>
        <w:numPr>
          <w:ilvl w:val="0"/>
          <w:numId w:val="0"/>
        </w:numPr>
        <w:rPr>
          <w:rStyle w:val="hps"/>
        </w:rPr>
      </w:pPr>
      <w:hyperlink w:anchor="Article_7" w:history="1">
        <w:r w:rsidR="00BB07EC" w:rsidRPr="00450AF4">
          <w:rPr>
            <w:rStyle w:val="Hyperlink"/>
            <w:b/>
            <w:color w:val="0000FF"/>
          </w:rPr>
          <w:t>Article 7.</w:t>
        </w:r>
        <w:r w:rsidR="00311638" w:rsidRPr="00450AF4">
          <w:rPr>
            <w:rStyle w:val="Hyperlink"/>
            <w:b/>
            <w:color w:val="0000FF"/>
          </w:rPr>
          <w:t>3)</w:t>
        </w:r>
      </w:hyperlink>
      <w:r w:rsidR="00311638" w:rsidRPr="008B2DDA">
        <w:rPr>
          <w:b/>
        </w:rPr>
        <w:t xml:space="preserve"> </w:t>
      </w:r>
      <w:r w:rsidR="0080323D" w:rsidRPr="008B2DDA">
        <w:rPr>
          <w:b/>
        </w:rPr>
        <w:t>et</w:t>
      </w:r>
      <w:r w:rsidR="00311638" w:rsidRPr="008B2DDA">
        <w:rPr>
          <w:b/>
        </w:rPr>
        <w:t xml:space="preserve"> </w:t>
      </w:r>
      <w:hyperlink w:anchor="Article_24" w:history="1">
        <w:r w:rsidR="00BB07EC" w:rsidRPr="00450AF4">
          <w:rPr>
            <w:rStyle w:val="Hyperlink"/>
            <w:b/>
            <w:color w:val="0000FF"/>
          </w:rPr>
          <w:t>24.3</w:t>
        </w:r>
        <w:proofErr w:type="gramStart"/>
        <w:r w:rsidR="00BB07EC" w:rsidRPr="00450AF4">
          <w:rPr>
            <w:rStyle w:val="Hyperlink"/>
            <w:b/>
            <w:color w:val="0000FF"/>
          </w:rPr>
          <w:t>)</w:t>
        </w:r>
        <w:r w:rsidR="00311638" w:rsidRPr="00450AF4">
          <w:rPr>
            <w:rStyle w:val="Hyperlink"/>
            <w:b/>
            <w:color w:val="0000FF"/>
          </w:rPr>
          <w:t>ii</w:t>
        </w:r>
        <w:proofErr w:type="gramEnd"/>
        <w:r w:rsidR="00311638" w:rsidRPr="00450AF4">
          <w:rPr>
            <w:rStyle w:val="Hyperlink"/>
            <w:b/>
            <w:color w:val="0000FF"/>
          </w:rPr>
          <w:t>)</w:t>
        </w:r>
      </w:hyperlink>
      <w:r w:rsidR="00311638" w:rsidRPr="008B2DDA">
        <w:rPr>
          <w:b/>
        </w:rPr>
        <w:t xml:space="preserve"> </w:t>
      </w:r>
      <w:r w:rsidR="00AC6600" w:rsidRPr="008B2DDA">
        <w:rPr>
          <w:b/>
        </w:rPr>
        <w:t>Taxe de maintien en vigueur </w:t>
      </w:r>
      <w:r w:rsidR="00311638" w:rsidRPr="008B2DDA">
        <w:rPr>
          <w:b/>
        </w:rPr>
        <w:t>:</w:t>
      </w:r>
      <w:r w:rsidR="00311638" w:rsidRPr="008B2DDA">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125A30" w:rsidRPr="008B2DDA">
        <w:rPr>
          <w:rStyle w:val="hps"/>
        </w:rPr>
        <w:t>appuient énergiquement</w:t>
      </w:r>
      <w:r w:rsidR="004A65DA" w:rsidRPr="008B2DDA">
        <w:rPr>
          <w:rStyle w:val="hps"/>
        </w:rPr>
        <w:t xml:space="preserve"> la variante A de l</w:t>
      </w:r>
      <w:r w:rsidR="00A341C2" w:rsidRPr="008B2DDA">
        <w:rPr>
          <w:rStyle w:val="hps"/>
        </w:rPr>
        <w:t>’</w:t>
      </w:r>
      <w:r w:rsidR="009B4241" w:rsidRPr="008B2DDA">
        <w:rPr>
          <w:rStyle w:val="hps"/>
        </w:rPr>
        <w:t>article 7.</w:t>
      </w:r>
      <w:r w:rsidR="004A65DA" w:rsidRPr="008B2DDA">
        <w:rPr>
          <w:rStyle w:val="hps"/>
        </w:rPr>
        <w:t xml:space="preserve">3) et </w:t>
      </w:r>
      <w:r w:rsidR="00125A30" w:rsidRPr="008B2DDA">
        <w:rPr>
          <w:rStyle w:val="hps"/>
        </w:rPr>
        <w:t xml:space="preserve">de </w:t>
      </w:r>
      <w:r w:rsidR="004A65DA" w:rsidRPr="008B2DDA">
        <w:rPr>
          <w:rStyle w:val="hps"/>
        </w:rPr>
        <w:t>l</w:t>
      </w:r>
      <w:r w:rsidR="00A341C2" w:rsidRPr="008B2DDA">
        <w:rPr>
          <w:rStyle w:val="hps"/>
        </w:rPr>
        <w:t>’</w:t>
      </w:r>
      <w:r w:rsidR="009B4241" w:rsidRPr="008B2DDA">
        <w:rPr>
          <w:rStyle w:val="hps"/>
        </w:rPr>
        <w:t>article 24.3)</w:t>
      </w:r>
      <w:r w:rsidR="00125A30" w:rsidRPr="008B2DDA">
        <w:rPr>
          <w:rStyle w:val="hps"/>
        </w:rPr>
        <w:t>ii) stipulant l</w:t>
      </w:r>
      <w:r w:rsidR="00A341C2" w:rsidRPr="008B2DDA">
        <w:rPr>
          <w:rStyle w:val="hps"/>
        </w:rPr>
        <w:t>’</w:t>
      </w:r>
      <w:r w:rsidR="00125A30" w:rsidRPr="008B2DDA">
        <w:rPr>
          <w:rStyle w:val="hps"/>
        </w:rPr>
        <w:t>établissement d</w:t>
      </w:r>
      <w:r w:rsidR="00A341C2" w:rsidRPr="008B2DDA">
        <w:rPr>
          <w:rStyle w:val="hps"/>
        </w:rPr>
        <w:t>’</w:t>
      </w:r>
      <w:r w:rsidR="004A65DA" w:rsidRPr="008B2DDA">
        <w:rPr>
          <w:rStyle w:val="hps"/>
        </w:rPr>
        <w:t xml:space="preserve">une taxe de maintien </w:t>
      </w:r>
      <w:r w:rsidR="00125A30" w:rsidRPr="008B2DDA">
        <w:rPr>
          <w:rStyle w:val="hps"/>
        </w:rPr>
        <w:t xml:space="preserve">en vigueur </w:t>
      </w:r>
      <w:r w:rsidR="004A65DA" w:rsidRPr="008B2DDA">
        <w:rPr>
          <w:rStyle w:val="hps"/>
        </w:rPr>
        <w:t xml:space="preserve">obligatoire </w:t>
      </w:r>
      <w:r w:rsidR="00125A30" w:rsidRPr="008B2DDA">
        <w:rPr>
          <w:rStyle w:val="hps"/>
        </w:rPr>
        <w:t>afin d</w:t>
      </w:r>
      <w:r w:rsidR="00A341C2" w:rsidRPr="008B2DDA">
        <w:rPr>
          <w:rStyle w:val="hps"/>
        </w:rPr>
        <w:t>’</w:t>
      </w:r>
      <w:r w:rsidR="00125A30" w:rsidRPr="008B2DDA">
        <w:rPr>
          <w:rStyle w:val="hps"/>
        </w:rPr>
        <w:t>étendre</w:t>
      </w:r>
      <w:r w:rsidR="004A65DA" w:rsidRPr="008B2DDA">
        <w:rPr>
          <w:rStyle w:val="hps"/>
        </w:rPr>
        <w:t xml:space="preserve"> le recouvrement des coûts sur la durée de l</w:t>
      </w:r>
      <w:r w:rsidR="00A341C2" w:rsidRPr="008B2DDA">
        <w:rPr>
          <w:rStyle w:val="hps"/>
        </w:rPr>
        <w:t>’</w:t>
      </w:r>
      <w:r w:rsidR="004A65DA" w:rsidRPr="008B2DDA">
        <w:rPr>
          <w:rStyle w:val="hps"/>
        </w:rPr>
        <w:t xml:space="preserve">enregistrement international. </w:t>
      </w:r>
      <w:r w:rsidR="00125A30" w:rsidRPr="008B2DDA">
        <w:rPr>
          <w:rStyle w:val="hps"/>
        </w:rPr>
        <w:t xml:space="preserve"> Le fait de rendre</w:t>
      </w:r>
      <w:r w:rsidR="004A65DA" w:rsidRPr="008B2DDA">
        <w:rPr>
          <w:rStyle w:val="hps"/>
        </w:rPr>
        <w:t xml:space="preserve"> la taxe de maintien </w:t>
      </w:r>
      <w:r w:rsidR="0072134F" w:rsidRPr="008B2DDA">
        <w:rPr>
          <w:rStyle w:val="hps"/>
        </w:rPr>
        <w:t xml:space="preserve">en vigueur </w:t>
      </w:r>
      <w:r w:rsidR="004A65DA" w:rsidRPr="008B2DDA">
        <w:rPr>
          <w:rStyle w:val="hps"/>
        </w:rPr>
        <w:t>obligatoire permettrait d</w:t>
      </w:r>
      <w:r w:rsidR="00A341C2" w:rsidRPr="008B2DDA">
        <w:rPr>
          <w:rStyle w:val="hps"/>
        </w:rPr>
        <w:t>’</w:t>
      </w:r>
      <w:r w:rsidR="004A65DA" w:rsidRPr="008B2DDA">
        <w:rPr>
          <w:rStyle w:val="hps"/>
        </w:rPr>
        <w:t>assurer un flux de revenu relativement f</w:t>
      </w:r>
      <w:r w:rsidR="00125A30" w:rsidRPr="008B2DDA">
        <w:rPr>
          <w:rStyle w:val="hps"/>
        </w:rPr>
        <w:t>iable</w:t>
      </w:r>
      <w:r w:rsidR="004A65DA" w:rsidRPr="008B2DDA">
        <w:rPr>
          <w:rStyle w:val="hps"/>
        </w:rPr>
        <w:t xml:space="preserve"> qui soutiendra le système </w:t>
      </w:r>
      <w:r w:rsidR="00125A30" w:rsidRPr="008B2DDA">
        <w:rPr>
          <w:rStyle w:val="hps"/>
        </w:rPr>
        <w:t>à</w:t>
      </w:r>
      <w:r w:rsidR="004A65DA" w:rsidRPr="008B2DDA">
        <w:rPr>
          <w:rStyle w:val="hps"/>
        </w:rPr>
        <w:t xml:space="preserve"> long terme. </w:t>
      </w:r>
      <w:r w:rsidR="00125A30" w:rsidRPr="008B2DDA">
        <w:rPr>
          <w:rStyle w:val="hps"/>
        </w:rPr>
        <w:t xml:space="preserve"> </w:t>
      </w:r>
      <w:r w:rsidR="004A65DA" w:rsidRPr="008B2DDA">
        <w:rPr>
          <w:rStyle w:val="hps"/>
        </w:rPr>
        <w:t>Un</w:t>
      </w:r>
      <w:r w:rsidR="00125A30" w:rsidRPr="008B2DDA">
        <w:rPr>
          <w:rStyle w:val="hps"/>
        </w:rPr>
        <w:t xml:space="preserve">e taxe </w:t>
      </w:r>
      <w:r w:rsidR="004A65DA" w:rsidRPr="008B2DDA">
        <w:rPr>
          <w:rStyle w:val="hps"/>
        </w:rPr>
        <w:t xml:space="preserve">unique ne crée pas </w:t>
      </w:r>
      <w:r w:rsidR="00125A30" w:rsidRPr="008B2DDA">
        <w:rPr>
          <w:rStyle w:val="hps"/>
        </w:rPr>
        <w:t xml:space="preserve">de source de revenu </w:t>
      </w:r>
      <w:r w:rsidR="004A65DA" w:rsidRPr="008B2DDA">
        <w:rPr>
          <w:rStyle w:val="hps"/>
        </w:rPr>
        <w:t xml:space="preserve">durable pour couvrir </w:t>
      </w:r>
      <w:r w:rsidR="00180F31" w:rsidRPr="008B2DDA">
        <w:rPr>
          <w:rStyle w:val="hps"/>
        </w:rPr>
        <w:t>les coûts administratifs</w:t>
      </w:r>
      <w:r w:rsidR="004A65DA" w:rsidRPr="008B2DDA">
        <w:rPr>
          <w:rStyle w:val="hps"/>
        </w:rPr>
        <w:t xml:space="preserve"> du système, </w:t>
      </w:r>
      <w:r w:rsidR="00A341C2" w:rsidRPr="008B2DDA">
        <w:rPr>
          <w:rStyle w:val="hps"/>
        </w:rPr>
        <w:t>y compris</w:t>
      </w:r>
      <w:r w:rsidR="004A65DA" w:rsidRPr="008B2DDA">
        <w:rPr>
          <w:rStyle w:val="hps"/>
        </w:rPr>
        <w:t xml:space="preserve"> </w:t>
      </w:r>
      <w:r w:rsidR="00180F31" w:rsidRPr="008B2DDA">
        <w:rPr>
          <w:rStyle w:val="hps"/>
        </w:rPr>
        <w:t>ceux</w:t>
      </w:r>
      <w:r w:rsidR="004A65DA" w:rsidRPr="008B2DDA">
        <w:rPr>
          <w:rStyle w:val="hps"/>
        </w:rPr>
        <w:t xml:space="preserve"> </w:t>
      </w:r>
      <w:r w:rsidR="00125A30" w:rsidRPr="008B2DDA">
        <w:rPr>
          <w:rStyle w:val="hps"/>
        </w:rPr>
        <w:t xml:space="preserve">liés aux </w:t>
      </w:r>
      <w:r w:rsidR="004A65DA" w:rsidRPr="008B2DDA">
        <w:rPr>
          <w:rStyle w:val="hps"/>
        </w:rPr>
        <w:t>technologies de l</w:t>
      </w:r>
      <w:r w:rsidR="00A341C2" w:rsidRPr="008B2DDA">
        <w:rPr>
          <w:rStyle w:val="hps"/>
        </w:rPr>
        <w:t>’</w:t>
      </w:r>
      <w:r w:rsidR="004A65DA" w:rsidRPr="008B2DDA">
        <w:rPr>
          <w:rStyle w:val="hps"/>
        </w:rPr>
        <w:t xml:space="preserve">information. </w:t>
      </w:r>
      <w:r w:rsidR="00125A30" w:rsidRPr="008B2DDA">
        <w:rPr>
          <w:rStyle w:val="hps"/>
        </w:rPr>
        <w:t xml:space="preserve"> Une</w:t>
      </w:r>
      <w:r w:rsidR="004A65DA" w:rsidRPr="008B2DDA">
        <w:rPr>
          <w:rStyle w:val="hps"/>
        </w:rPr>
        <w:t xml:space="preserve"> </w:t>
      </w:r>
      <w:r w:rsidR="00125A30" w:rsidRPr="008B2DDA">
        <w:rPr>
          <w:rStyle w:val="hps"/>
        </w:rPr>
        <w:t xml:space="preserve">taxe </w:t>
      </w:r>
      <w:r w:rsidR="004A65DA" w:rsidRPr="008B2DDA">
        <w:rPr>
          <w:rStyle w:val="hps"/>
        </w:rPr>
        <w:t xml:space="preserve">de </w:t>
      </w:r>
      <w:r w:rsidR="00125A30" w:rsidRPr="008B2DDA">
        <w:rPr>
          <w:rStyle w:val="hps"/>
        </w:rPr>
        <w:lastRenderedPageBreak/>
        <w:t xml:space="preserve">maintien en vigueur </w:t>
      </w:r>
      <w:r w:rsidR="004A65DA" w:rsidRPr="008B2DDA">
        <w:rPr>
          <w:rStyle w:val="hps"/>
        </w:rPr>
        <w:t>ad</w:t>
      </w:r>
      <w:r w:rsidR="00E26A2C" w:rsidRPr="008B2DDA">
        <w:rPr>
          <w:rStyle w:val="hps"/>
        </w:rPr>
        <w:t> </w:t>
      </w:r>
      <w:r w:rsidR="004A65DA" w:rsidRPr="008B2DDA">
        <w:rPr>
          <w:rStyle w:val="hps"/>
        </w:rPr>
        <w:t>hoc</w:t>
      </w:r>
      <w:r w:rsidR="004A65DA" w:rsidRPr="008B2DDA">
        <w:rPr>
          <w:rStyle w:val="hps"/>
          <w:i/>
        </w:rPr>
        <w:t xml:space="preserve"> </w:t>
      </w:r>
      <w:r w:rsidR="00125A30" w:rsidRPr="008B2DDA">
        <w:rPr>
          <w:rStyle w:val="hps"/>
        </w:rPr>
        <w:t>–</w:t>
      </w:r>
      <w:r w:rsidR="004A65DA" w:rsidRPr="008B2DDA">
        <w:rPr>
          <w:rStyle w:val="hps"/>
        </w:rPr>
        <w:t xml:space="preserve"> </w:t>
      </w:r>
      <w:r w:rsidR="00125A30" w:rsidRPr="008B2DDA">
        <w:rPr>
          <w:rStyle w:val="hps"/>
        </w:rPr>
        <w:t>dont</w:t>
      </w:r>
      <w:r w:rsidR="004A65DA" w:rsidRPr="008B2DDA">
        <w:rPr>
          <w:rStyle w:val="hps"/>
        </w:rPr>
        <w:t xml:space="preserve"> les titulaires d</w:t>
      </w:r>
      <w:r w:rsidR="00A341C2" w:rsidRPr="008B2DDA">
        <w:rPr>
          <w:rStyle w:val="hps"/>
        </w:rPr>
        <w:t>’</w:t>
      </w:r>
      <w:r w:rsidR="004A65DA" w:rsidRPr="008B2DDA">
        <w:rPr>
          <w:rStyle w:val="hps"/>
        </w:rPr>
        <w:t xml:space="preserve">enregistrements internationaux </w:t>
      </w:r>
      <w:r w:rsidR="00180F31" w:rsidRPr="008B2DDA">
        <w:rPr>
          <w:rStyle w:val="hps"/>
        </w:rPr>
        <w:t>devraient</w:t>
      </w:r>
      <w:r w:rsidR="00125A30" w:rsidRPr="008B2DDA">
        <w:rPr>
          <w:rStyle w:val="hps"/>
        </w:rPr>
        <w:t xml:space="preserve"> s</w:t>
      </w:r>
      <w:r w:rsidR="00A341C2" w:rsidRPr="008B2DDA">
        <w:rPr>
          <w:rStyle w:val="hps"/>
        </w:rPr>
        <w:t>’</w:t>
      </w:r>
      <w:r w:rsidR="00125A30" w:rsidRPr="008B2DDA">
        <w:rPr>
          <w:rStyle w:val="hps"/>
        </w:rPr>
        <w:t xml:space="preserve">acquitter </w:t>
      </w:r>
      <w:r w:rsidR="004A65DA" w:rsidRPr="008B2DDA">
        <w:rPr>
          <w:rStyle w:val="hps"/>
        </w:rPr>
        <w:t xml:space="preserve">lorsque </w:t>
      </w:r>
      <w:r w:rsidR="00125A30" w:rsidRPr="008B2DDA">
        <w:rPr>
          <w:rStyle w:val="hps"/>
        </w:rPr>
        <w:t>le montant des taxes perçues</w:t>
      </w:r>
      <w:r w:rsidR="004A65DA" w:rsidRPr="008B2DDA">
        <w:rPr>
          <w:rStyle w:val="hps"/>
        </w:rPr>
        <w:t xml:space="preserve"> </w:t>
      </w:r>
      <w:r w:rsidR="00125A30" w:rsidRPr="008B2DDA">
        <w:rPr>
          <w:rStyle w:val="hps"/>
        </w:rPr>
        <w:t xml:space="preserve">est en baisse et ne </w:t>
      </w:r>
      <w:r w:rsidR="00180F31" w:rsidRPr="008B2DDA">
        <w:rPr>
          <w:rStyle w:val="hps"/>
        </w:rPr>
        <w:t>permet pas de couvrir</w:t>
      </w:r>
      <w:r w:rsidR="004A65DA" w:rsidRPr="008B2DDA">
        <w:rPr>
          <w:rStyle w:val="hps"/>
        </w:rPr>
        <w:t xml:space="preserve"> les </w:t>
      </w:r>
      <w:r w:rsidR="00125A30" w:rsidRPr="008B2DDA">
        <w:rPr>
          <w:rStyle w:val="hps"/>
        </w:rPr>
        <w:t>dépenses</w:t>
      </w:r>
      <w:r w:rsidR="004A65DA" w:rsidRPr="008B2DDA">
        <w:rPr>
          <w:rStyle w:val="hps"/>
        </w:rPr>
        <w:t xml:space="preserve"> </w:t>
      </w:r>
      <w:r w:rsidR="00180F31" w:rsidRPr="008B2DDA">
        <w:rPr>
          <w:rStyle w:val="hps"/>
        </w:rPr>
        <w:t>conformément à</w:t>
      </w:r>
      <w:r w:rsidR="004A65DA" w:rsidRPr="008B2DDA">
        <w:rPr>
          <w:rStyle w:val="hps"/>
        </w:rPr>
        <w:t xml:space="preserve"> l</w:t>
      </w:r>
      <w:r w:rsidR="00A341C2" w:rsidRPr="008B2DDA">
        <w:rPr>
          <w:rStyle w:val="hps"/>
        </w:rPr>
        <w:t>’</w:t>
      </w:r>
      <w:r w:rsidR="009B4241" w:rsidRPr="008B2DDA">
        <w:rPr>
          <w:rStyle w:val="hps"/>
        </w:rPr>
        <w:t>article 24.</w:t>
      </w:r>
      <w:r w:rsidR="004A65DA" w:rsidRPr="008B2DDA">
        <w:rPr>
          <w:rStyle w:val="hps"/>
        </w:rPr>
        <w:t>4)</w:t>
      </w:r>
      <w:r w:rsidR="00125A30" w:rsidRPr="008B2DDA">
        <w:rPr>
          <w:rStyle w:val="hps"/>
        </w:rPr>
        <w:t xml:space="preserve"> –</w:t>
      </w:r>
      <w:r w:rsidR="004A65DA" w:rsidRPr="008B2DDA">
        <w:rPr>
          <w:rStyle w:val="hps"/>
        </w:rPr>
        <w:t xml:space="preserve"> </w:t>
      </w:r>
      <w:r w:rsidR="00125A30" w:rsidRPr="008B2DDA">
        <w:rPr>
          <w:rStyle w:val="hps"/>
        </w:rPr>
        <w:t xml:space="preserve">suscite </w:t>
      </w:r>
      <w:r w:rsidR="007C737A" w:rsidRPr="008B2DDA">
        <w:rPr>
          <w:rStyle w:val="hps"/>
        </w:rPr>
        <w:t>l</w:t>
      </w:r>
      <w:r w:rsidR="00A341C2" w:rsidRPr="008B2DDA">
        <w:rPr>
          <w:rStyle w:val="hps"/>
        </w:rPr>
        <w:t>’</w:t>
      </w:r>
      <w:r w:rsidR="007C737A" w:rsidRPr="008B2DDA">
        <w:rPr>
          <w:rStyle w:val="hps"/>
        </w:rPr>
        <w:t xml:space="preserve">inquiétude des titulaires </w:t>
      </w:r>
      <w:r w:rsidR="00125A30" w:rsidRPr="008B2DDA">
        <w:rPr>
          <w:rStyle w:val="hps"/>
        </w:rPr>
        <w:t xml:space="preserve">quant à la difficulté de </w:t>
      </w:r>
      <w:r w:rsidR="00811AA9" w:rsidRPr="008B2DDA">
        <w:rPr>
          <w:rStyle w:val="hps"/>
        </w:rPr>
        <w:t>notification</w:t>
      </w:r>
      <w:r w:rsidR="004A65DA" w:rsidRPr="008B2DDA">
        <w:rPr>
          <w:rStyle w:val="hps"/>
        </w:rPr>
        <w:t xml:space="preserve"> </w:t>
      </w:r>
      <w:r w:rsidR="00125A30" w:rsidRPr="008B2DDA">
        <w:rPr>
          <w:rStyle w:val="hps"/>
        </w:rPr>
        <w:t>et au budget</w:t>
      </w:r>
      <w:r w:rsidR="00DB4A2E" w:rsidRPr="008B2DDA">
        <w:rPr>
          <w:rStyle w:val="hps"/>
        </w:rPr>
        <w:t>,</w:t>
      </w:r>
      <w:r w:rsidR="004A65DA" w:rsidRPr="008B2DDA">
        <w:rPr>
          <w:rStyle w:val="hps"/>
        </w:rPr>
        <w:t xml:space="preserve"> et entraînerait probablement </w:t>
      </w:r>
      <w:r w:rsidR="00DB4A2E" w:rsidRPr="008B2DDA">
        <w:rPr>
          <w:rStyle w:val="hps"/>
        </w:rPr>
        <w:t xml:space="preserve">des </w:t>
      </w:r>
      <w:r w:rsidR="00E2764E" w:rsidRPr="008B2DDA">
        <w:rPr>
          <w:rStyle w:val="hps"/>
        </w:rPr>
        <w:t>radiations</w:t>
      </w:r>
      <w:r w:rsidR="00DB4A2E" w:rsidRPr="008B2DDA">
        <w:rPr>
          <w:rStyle w:val="hps"/>
        </w:rPr>
        <w:t xml:space="preserve"> </w:t>
      </w:r>
      <w:r w:rsidR="004A65DA" w:rsidRPr="008B2DDA">
        <w:rPr>
          <w:rStyle w:val="hps"/>
        </w:rPr>
        <w:t>imprévues d</w:t>
      </w:r>
      <w:r w:rsidR="00A341C2" w:rsidRPr="008B2DDA">
        <w:rPr>
          <w:rStyle w:val="hps"/>
        </w:rPr>
        <w:t>’</w:t>
      </w:r>
      <w:r w:rsidR="004A65DA" w:rsidRPr="008B2DDA">
        <w:rPr>
          <w:rStyle w:val="hps"/>
        </w:rPr>
        <w:t>enregistrements internationaux.</w:t>
      </w:r>
      <w:r w:rsidR="00DB4A2E" w:rsidRPr="008B2DDA">
        <w:rPr>
          <w:rStyle w:val="hps"/>
        </w:rPr>
        <w:t xml:space="preserve"> </w:t>
      </w:r>
      <w:r w:rsidR="004A65DA" w:rsidRPr="008B2DDA">
        <w:rPr>
          <w:rStyle w:val="hps"/>
        </w:rPr>
        <w:t xml:space="preserve"> En outre, les coûts </w:t>
      </w:r>
      <w:r w:rsidR="00DB4A2E" w:rsidRPr="008B2DDA">
        <w:rPr>
          <w:rStyle w:val="hps"/>
        </w:rPr>
        <w:t>administratifs</w:t>
      </w:r>
      <w:r w:rsidR="004A65DA" w:rsidRPr="008B2DDA">
        <w:rPr>
          <w:rStyle w:val="hps"/>
        </w:rPr>
        <w:t xml:space="preserve"> d</w:t>
      </w:r>
      <w:r w:rsidR="00A341C2" w:rsidRPr="008B2DDA">
        <w:rPr>
          <w:rStyle w:val="hps"/>
        </w:rPr>
        <w:t>’</w:t>
      </w:r>
      <w:r w:rsidR="004A65DA" w:rsidRPr="008B2DDA">
        <w:rPr>
          <w:rStyle w:val="hps"/>
        </w:rPr>
        <w:t>un système ad</w:t>
      </w:r>
      <w:r w:rsidR="00E26A2C" w:rsidRPr="008B2DDA">
        <w:rPr>
          <w:rStyle w:val="hps"/>
        </w:rPr>
        <w:t> </w:t>
      </w:r>
      <w:r w:rsidR="004A65DA" w:rsidRPr="008B2DDA">
        <w:rPr>
          <w:rStyle w:val="hps"/>
        </w:rPr>
        <w:t xml:space="preserve">hoc seraient probablement </w:t>
      </w:r>
      <w:r w:rsidR="00DB4A2E" w:rsidRPr="008B2DDA">
        <w:rPr>
          <w:rStyle w:val="hps"/>
        </w:rPr>
        <w:t>supérieurs aux</w:t>
      </w:r>
      <w:r w:rsidR="004A65DA" w:rsidRPr="008B2DDA">
        <w:rPr>
          <w:rStyle w:val="hps"/>
        </w:rPr>
        <w:t xml:space="preserve"> coûts </w:t>
      </w:r>
      <w:r w:rsidR="00180F31" w:rsidRPr="008B2DDA">
        <w:rPr>
          <w:rStyle w:val="hps"/>
        </w:rPr>
        <w:t>d</w:t>
      </w:r>
      <w:r w:rsidR="00A341C2" w:rsidRPr="008B2DDA">
        <w:rPr>
          <w:rStyle w:val="hps"/>
        </w:rPr>
        <w:t>’</w:t>
      </w:r>
      <w:r w:rsidR="00180F31" w:rsidRPr="008B2DDA">
        <w:rPr>
          <w:rStyle w:val="hps"/>
        </w:rPr>
        <w:t>une</w:t>
      </w:r>
      <w:r w:rsidR="00DB4A2E" w:rsidRPr="008B2DDA">
        <w:rPr>
          <w:rStyle w:val="hps"/>
        </w:rPr>
        <w:t xml:space="preserve"> taxe de maintien en vigueur</w:t>
      </w:r>
      <w:r w:rsidR="004A65DA" w:rsidRPr="008B2DDA">
        <w:rPr>
          <w:rStyle w:val="hps"/>
        </w:rPr>
        <w:t>.</w:t>
      </w:r>
      <w:r w:rsidR="00DB4A2E" w:rsidRPr="008B2DDA">
        <w:rPr>
          <w:rStyle w:val="hps"/>
        </w:rPr>
        <w:t xml:space="preserve"> </w:t>
      </w:r>
      <w:r w:rsidR="004A65DA" w:rsidRPr="008B2DDA">
        <w:rPr>
          <w:rStyle w:val="hps"/>
        </w:rPr>
        <w:t xml:space="preserve"> Nous proposons </w:t>
      </w:r>
      <w:r w:rsidR="00DB4A2E" w:rsidRPr="008B2DDA">
        <w:rPr>
          <w:rStyle w:val="hps"/>
        </w:rPr>
        <w:t>d</w:t>
      </w:r>
      <w:r w:rsidR="00A341C2" w:rsidRPr="008B2DDA">
        <w:rPr>
          <w:rStyle w:val="hps"/>
        </w:rPr>
        <w:t>’</w:t>
      </w:r>
      <w:r w:rsidR="00DB4A2E" w:rsidRPr="008B2DDA">
        <w:rPr>
          <w:rStyle w:val="hps"/>
        </w:rPr>
        <w:t xml:space="preserve">ajouter </w:t>
      </w:r>
      <w:r w:rsidR="00180F31" w:rsidRPr="008B2DDA">
        <w:rPr>
          <w:rStyle w:val="hps"/>
        </w:rPr>
        <w:t>à la variante A de l</w:t>
      </w:r>
      <w:r w:rsidR="00A341C2" w:rsidRPr="008B2DDA">
        <w:rPr>
          <w:rStyle w:val="hps"/>
        </w:rPr>
        <w:t>’</w:t>
      </w:r>
      <w:r w:rsidR="00180F31" w:rsidRPr="008B2DDA">
        <w:rPr>
          <w:rStyle w:val="hps"/>
        </w:rPr>
        <w:t>article 7.3) le</w:t>
      </w:r>
      <w:r w:rsidR="004A65DA" w:rsidRPr="008B2DDA">
        <w:rPr>
          <w:rStyle w:val="hps"/>
        </w:rPr>
        <w:t xml:space="preserve"> </w:t>
      </w:r>
      <w:r w:rsidR="00180F31" w:rsidRPr="008B2DDA">
        <w:rPr>
          <w:rStyle w:val="hps"/>
        </w:rPr>
        <w:t xml:space="preserve">passage indiqué en mode </w:t>
      </w:r>
      <w:r w:rsidR="00E26A2C" w:rsidRPr="008B2DDA">
        <w:rPr>
          <w:rStyle w:val="hps"/>
        </w:rPr>
        <w:t>“</w:t>
      </w:r>
      <w:r w:rsidR="00180F31" w:rsidRPr="008B2DDA">
        <w:rPr>
          <w:rStyle w:val="hps"/>
        </w:rPr>
        <w:t>suivi de modifications</w:t>
      </w:r>
      <w:r w:rsidR="00E26A2C" w:rsidRPr="008B2DDA">
        <w:rPr>
          <w:rStyle w:val="hps"/>
        </w:rPr>
        <w:t>”</w:t>
      </w:r>
      <w:r w:rsidR="00180F31" w:rsidRPr="008B2DDA">
        <w:rPr>
          <w:rStyle w:val="hps"/>
        </w:rPr>
        <w:t xml:space="preserve"> dans la partie ci</w:t>
      </w:r>
      <w:r w:rsidR="00D67EA4" w:rsidRPr="008B2DDA">
        <w:rPr>
          <w:rStyle w:val="hps"/>
        </w:rPr>
        <w:noBreakHyphen/>
      </w:r>
      <w:r w:rsidR="00180F31" w:rsidRPr="008B2DDA">
        <w:rPr>
          <w:rStyle w:val="hps"/>
        </w:rPr>
        <w:t>dessous</w:t>
      </w:r>
      <w:r w:rsidR="004A65DA" w:rsidRPr="008B2DDA">
        <w:rPr>
          <w:rStyle w:val="hps"/>
        </w:rPr>
        <w:t>.</w:t>
      </w:r>
    </w:p>
    <w:p w14:paraId="5BE396D2" w14:textId="6A1651FB" w:rsidR="007079A8" w:rsidRPr="008B2DDA" w:rsidRDefault="001F705D" w:rsidP="008B2DDA">
      <w:pPr>
        <w:pStyle w:val="ONUMFS"/>
        <w:numPr>
          <w:ilvl w:val="0"/>
          <w:numId w:val="0"/>
        </w:numPr>
        <w:rPr>
          <w:rStyle w:val="hps"/>
        </w:rPr>
      </w:pPr>
      <w:hyperlink w:anchor="Article_8_3" w:history="1">
        <w:r w:rsidR="00BB07EC" w:rsidRPr="00450AF4">
          <w:rPr>
            <w:rStyle w:val="Hyperlink"/>
            <w:b/>
            <w:color w:val="0000FF"/>
          </w:rPr>
          <w:t>Article 8.</w:t>
        </w:r>
        <w:r w:rsidR="00311638" w:rsidRPr="00450AF4">
          <w:rPr>
            <w:rStyle w:val="Hyperlink"/>
            <w:b/>
            <w:color w:val="0000FF"/>
          </w:rPr>
          <w:t>3)</w:t>
        </w:r>
      </w:hyperlink>
      <w:r w:rsidR="00311638" w:rsidRPr="008B2DDA">
        <w:rPr>
          <w:b/>
        </w:rPr>
        <w:t xml:space="preserve"> </w:t>
      </w:r>
      <w:r w:rsidR="00180F31" w:rsidRPr="008B2DDA">
        <w:rPr>
          <w:b/>
        </w:rPr>
        <w:t xml:space="preserve">Effet du </w:t>
      </w:r>
      <w:r w:rsidR="00BE2682" w:rsidRPr="008B2DDA">
        <w:rPr>
          <w:b/>
        </w:rPr>
        <w:t>non</w:t>
      </w:r>
      <w:r w:rsidR="00D67EA4" w:rsidRPr="008B2DDA">
        <w:rPr>
          <w:b/>
        </w:rPr>
        <w:noBreakHyphen/>
      </w:r>
      <w:r w:rsidR="00BE2682" w:rsidRPr="008B2DDA">
        <w:rPr>
          <w:b/>
        </w:rPr>
        <w:t>paiement</w:t>
      </w:r>
      <w:r w:rsidR="00180F31" w:rsidRPr="008B2DDA">
        <w:rPr>
          <w:b/>
        </w:rPr>
        <w:t xml:space="preserve"> d</w:t>
      </w:r>
      <w:r w:rsidR="00A341C2" w:rsidRPr="008B2DDA">
        <w:rPr>
          <w:b/>
        </w:rPr>
        <w:t>’</w:t>
      </w:r>
      <w:r w:rsidR="00180F31" w:rsidRPr="008B2DDA">
        <w:rPr>
          <w:b/>
        </w:rPr>
        <w:t>une taxe de maintien en vigueur</w:t>
      </w:r>
      <w:r w:rsidR="00466769" w:rsidRPr="008B2DDA">
        <w:rPr>
          <w:b/>
        </w:rPr>
        <w:t> </w:t>
      </w:r>
      <w:r w:rsidR="00311638" w:rsidRPr="008B2DDA">
        <w:rPr>
          <w:b/>
        </w:rPr>
        <w:t>:</w:t>
      </w:r>
      <w:r w:rsidR="00311638" w:rsidRPr="008B2DDA">
        <w:t xml:space="preserve"> </w:t>
      </w:r>
      <w:r w:rsidR="004A65DA" w:rsidRPr="008B2DDA">
        <w:rPr>
          <w:rStyle w:val="hps"/>
        </w:rPr>
        <w:t xml:space="preserve">Cette délégation </w:t>
      </w:r>
      <w:r w:rsidR="00180F31" w:rsidRPr="008B2DDA">
        <w:rPr>
          <w:rStyle w:val="hps"/>
        </w:rPr>
        <w:t>approuve</w:t>
      </w:r>
      <w:r w:rsidR="004A65DA" w:rsidRPr="008B2DDA">
        <w:rPr>
          <w:rStyle w:val="hps"/>
        </w:rPr>
        <w:t xml:space="preserve"> l</w:t>
      </w:r>
      <w:r w:rsidR="00A341C2" w:rsidRPr="008B2DDA">
        <w:rPr>
          <w:rStyle w:val="hps"/>
        </w:rPr>
        <w:t>’</w:t>
      </w:r>
      <w:r w:rsidR="00466769" w:rsidRPr="008B2DDA">
        <w:rPr>
          <w:rStyle w:val="hps"/>
        </w:rPr>
        <w:t>article 8.</w:t>
      </w:r>
      <w:r w:rsidR="004A65DA" w:rsidRPr="008B2DDA">
        <w:rPr>
          <w:rStyle w:val="hps"/>
        </w:rPr>
        <w:t>3)</w:t>
      </w:r>
      <w:r w:rsidR="00AF51C3" w:rsidRPr="008B2DDA">
        <w:rPr>
          <w:rStyle w:val="hps"/>
        </w:rPr>
        <w:t xml:space="preserve"> stipulant que</w:t>
      </w:r>
      <w:r w:rsidR="004A65DA" w:rsidRPr="008B2DDA">
        <w:rPr>
          <w:rStyle w:val="hps"/>
        </w:rPr>
        <w:t xml:space="preserve"> l</w:t>
      </w:r>
      <w:r w:rsidR="00A341C2" w:rsidRPr="008B2DDA">
        <w:rPr>
          <w:rStyle w:val="hps"/>
        </w:rPr>
        <w:t>’</w:t>
      </w:r>
      <w:r w:rsidR="004A65DA" w:rsidRPr="008B2DDA">
        <w:rPr>
          <w:rStyle w:val="hps"/>
        </w:rPr>
        <w:t xml:space="preserve">enregistrement international sera </w:t>
      </w:r>
      <w:r w:rsidR="00180F31" w:rsidRPr="008B2DDA">
        <w:rPr>
          <w:rStyle w:val="hps"/>
        </w:rPr>
        <w:t>radié</w:t>
      </w:r>
      <w:r w:rsidR="004A65DA" w:rsidRPr="008B2DDA">
        <w:rPr>
          <w:rStyle w:val="hps"/>
        </w:rPr>
        <w:t xml:space="preserve"> </w:t>
      </w:r>
      <w:r w:rsidR="00180F31" w:rsidRPr="008B2DDA">
        <w:rPr>
          <w:rStyle w:val="hps"/>
        </w:rPr>
        <w:t>si</w:t>
      </w:r>
      <w:r w:rsidR="004A65DA" w:rsidRPr="008B2DDA">
        <w:rPr>
          <w:rStyle w:val="hps"/>
        </w:rPr>
        <w:t xml:space="preserve"> la taxe de maintien</w:t>
      </w:r>
      <w:r w:rsidR="0072134F" w:rsidRPr="008B2DDA">
        <w:rPr>
          <w:rStyle w:val="hps"/>
        </w:rPr>
        <w:t xml:space="preserve"> en vigueur</w:t>
      </w:r>
      <w:r w:rsidR="00180F31" w:rsidRPr="008B2DDA">
        <w:rPr>
          <w:rStyle w:val="hps"/>
        </w:rPr>
        <w:t xml:space="preserve"> n</w:t>
      </w:r>
      <w:r w:rsidR="00A341C2" w:rsidRPr="008B2DDA">
        <w:rPr>
          <w:rStyle w:val="hps"/>
        </w:rPr>
        <w:t>’</w:t>
      </w:r>
      <w:r w:rsidR="00180F31" w:rsidRPr="008B2DDA">
        <w:rPr>
          <w:rStyle w:val="hps"/>
        </w:rPr>
        <w:t>est pas acquittée</w:t>
      </w:r>
      <w:r w:rsidR="004A65DA" w:rsidRPr="008B2DDA">
        <w:rPr>
          <w:rStyle w:val="hps"/>
        </w:rPr>
        <w:t>.</w:t>
      </w:r>
    </w:p>
    <w:p w14:paraId="26CB90E0" w14:textId="72CD882A" w:rsidR="00471C17" w:rsidRPr="008B2DDA" w:rsidRDefault="00311638" w:rsidP="002D6873">
      <w:pPr>
        <w:pStyle w:val="Heading4"/>
        <w:ind w:left="567"/>
        <w:rPr>
          <w:b/>
          <w:i w:val="0"/>
        </w:rPr>
      </w:pPr>
      <w:r w:rsidRPr="008B2DDA">
        <w:rPr>
          <w:b/>
          <w:i w:val="0"/>
        </w:rPr>
        <w:t>4.</w:t>
      </w:r>
      <w:r w:rsidR="00471C17" w:rsidRPr="008B2DDA">
        <w:rPr>
          <w:b/>
          <w:i w:val="0"/>
        </w:rPr>
        <w:tab/>
      </w:r>
      <w:r w:rsidR="00C9550C" w:rsidRPr="008B2DDA">
        <w:rPr>
          <w:b/>
          <w:i w:val="0"/>
        </w:rPr>
        <w:t>La création d</w:t>
      </w:r>
      <w:r w:rsidR="00A341C2" w:rsidRPr="008B2DDA">
        <w:rPr>
          <w:b/>
          <w:i w:val="0"/>
        </w:rPr>
        <w:t>’</w:t>
      </w:r>
      <w:r w:rsidR="00C9550C" w:rsidRPr="008B2DDA">
        <w:rPr>
          <w:b/>
          <w:i w:val="0"/>
        </w:rPr>
        <w:t>un système de contribution financière</w:t>
      </w:r>
    </w:p>
    <w:p w14:paraId="78328588" w14:textId="77777777" w:rsidR="00C9550C" w:rsidRPr="008B2DDA" w:rsidRDefault="00C9550C" w:rsidP="008B2DDA"/>
    <w:p w14:paraId="71C13964" w14:textId="74D316C6" w:rsidR="004A65DA" w:rsidRPr="008B2DDA" w:rsidRDefault="001F705D" w:rsidP="008B2DDA">
      <w:pPr>
        <w:pStyle w:val="ONUMFS"/>
        <w:numPr>
          <w:ilvl w:val="0"/>
          <w:numId w:val="0"/>
        </w:numPr>
        <w:rPr>
          <w:rStyle w:val="hps"/>
        </w:rPr>
      </w:pPr>
      <w:hyperlink w:anchor="Article_24" w:history="1">
        <w:r w:rsidR="00BB07EC" w:rsidRPr="00450AF4">
          <w:rPr>
            <w:rStyle w:val="Hyperlink"/>
            <w:b/>
            <w:color w:val="0000FF"/>
          </w:rPr>
          <w:t>Article 24.3)</w:t>
        </w:r>
        <w:r w:rsidR="00311638" w:rsidRPr="00450AF4">
          <w:rPr>
            <w:rStyle w:val="Hyperlink"/>
            <w:b/>
            <w:color w:val="0000FF"/>
          </w:rPr>
          <w:t>vi)</w:t>
        </w:r>
      </w:hyperlink>
      <w:r w:rsidR="00311638" w:rsidRPr="008B2DDA">
        <w:rPr>
          <w:b/>
        </w:rPr>
        <w:t xml:space="preserve"> </w:t>
      </w:r>
      <w:r w:rsidR="00E2764E" w:rsidRPr="008B2DDA">
        <w:rPr>
          <w:b/>
        </w:rPr>
        <w:t>Sources de financement du budget</w:t>
      </w:r>
      <w:r w:rsidR="00311638" w:rsidRPr="008B2DDA">
        <w:rPr>
          <w:b/>
        </w:rPr>
        <w:t xml:space="preserve"> </w:t>
      </w:r>
      <w:r w:rsidR="00E2764E" w:rsidRPr="008B2DDA">
        <w:rPr>
          <w:b/>
        </w:rPr>
        <w:t>–</w:t>
      </w:r>
      <w:r w:rsidR="00311638" w:rsidRPr="008B2DDA">
        <w:rPr>
          <w:b/>
        </w:rPr>
        <w:t xml:space="preserve"> Contributions</w:t>
      </w:r>
      <w:r w:rsidR="00E2764E" w:rsidRPr="008B2DDA">
        <w:rPr>
          <w:b/>
        </w:rPr>
        <w:t> </w:t>
      </w:r>
      <w:r w:rsidR="00311638" w:rsidRPr="008B2DDA">
        <w:rPr>
          <w:b/>
        </w:rPr>
        <w:t>:</w:t>
      </w:r>
      <w:r w:rsidR="00311638" w:rsidRPr="008B2DDA">
        <w:t xml:space="preserve"> </w:t>
      </w:r>
      <w:r w:rsidR="00C42ABB" w:rsidRPr="008B2DDA">
        <w:rPr>
          <w:rStyle w:val="hps"/>
        </w:rPr>
        <w:t>Si</w:t>
      </w:r>
      <w:r w:rsidR="004A65DA" w:rsidRPr="008B2DDA">
        <w:rPr>
          <w:rStyle w:val="hps"/>
        </w:rPr>
        <w:t xml:space="preserve"> nous sommes ouverts à l</w:t>
      </w:r>
      <w:r w:rsidR="00A341C2" w:rsidRPr="008B2DDA">
        <w:rPr>
          <w:rStyle w:val="hps"/>
        </w:rPr>
        <w:t>’</w:t>
      </w:r>
      <w:r w:rsidR="004A65DA" w:rsidRPr="008B2DDA">
        <w:rPr>
          <w:rStyle w:val="hps"/>
        </w:rPr>
        <w:t>idée d</w:t>
      </w:r>
      <w:r w:rsidR="00A341C2" w:rsidRPr="008B2DDA">
        <w:rPr>
          <w:rStyle w:val="hps"/>
        </w:rPr>
        <w:t>’</w:t>
      </w:r>
      <w:r w:rsidR="004A65DA" w:rsidRPr="008B2DDA">
        <w:rPr>
          <w:rStyle w:val="hps"/>
        </w:rPr>
        <w:t>exiger des contributions des parties contractantes pour couvrir tout déficit créé en vertu de l</w:t>
      </w:r>
      <w:r w:rsidR="00A341C2" w:rsidRPr="008B2DDA">
        <w:rPr>
          <w:rStyle w:val="hps"/>
        </w:rPr>
        <w:t>’</w:t>
      </w:r>
      <w:r w:rsidR="00466769" w:rsidRPr="008B2DDA">
        <w:rPr>
          <w:rStyle w:val="hps"/>
        </w:rPr>
        <w:t>article 24.3)</w:t>
      </w:r>
      <w:r w:rsidR="004A65DA" w:rsidRPr="008B2DDA">
        <w:rPr>
          <w:rStyle w:val="hps"/>
        </w:rPr>
        <w:t xml:space="preserve">vi), </w:t>
      </w:r>
      <w:r w:rsidR="00E2764E" w:rsidRPr="008B2DDA">
        <w:rPr>
          <w:rStyle w:val="hps"/>
        </w:rPr>
        <w:t xml:space="preserve">nous sommes sceptiques </w:t>
      </w:r>
      <w:r w:rsidR="00C42ABB" w:rsidRPr="008B2DDA">
        <w:rPr>
          <w:rStyle w:val="hps"/>
        </w:rPr>
        <w:t>quant au fait que</w:t>
      </w:r>
      <w:r w:rsidR="00E2764E" w:rsidRPr="008B2DDA">
        <w:rPr>
          <w:rStyle w:val="hps"/>
        </w:rPr>
        <w:t xml:space="preserve"> les p</w:t>
      </w:r>
      <w:r w:rsidR="004A65DA" w:rsidRPr="008B2DDA">
        <w:rPr>
          <w:rStyle w:val="hps"/>
        </w:rPr>
        <w:t xml:space="preserve">arties contractantes </w:t>
      </w:r>
      <w:r w:rsidR="00C42ABB" w:rsidRPr="008B2DDA">
        <w:rPr>
          <w:rStyle w:val="hps"/>
        </w:rPr>
        <w:t xml:space="preserve">soient invitées </w:t>
      </w:r>
      <w:r w:rsidR="004A65DA" w:rsidRPr="008B2DDA">
        <w:rPr>
          <w:rStyle w:val="hps"/>
        </w:rPr>
        <w:t>par l</w:t>
      </w:r>
      <w:r w:rsidR="00A341C2" w:rsidRPr="008B2DDA">
        <w:rPr>
          <w:rStyle w:val="hps"/>
        </w:rPr>
        <w:t>’</w:t>
      </w:r>
      <w:r w:rsidR="004A65DA" w:rsidRPr="008B2DDA">
        <w:rPr>
          <w:rStyle w:val="hps"/>
        </w:rPr>
        <w:t xml:space="preserve">Union de Lisbonne </w:t>
      </w:r>
      <w:r w:rsidR="00C42ABB" w:rsidRPr="008B2DDA">
        <w:rPr>
          <w:rStyle w:val="hps"/>
        </w:rPr>
        <w:t>à</w:t>
      </w:r>
      <w:r w:rsidR="004A65DA" w:rsidRPr="008B2DDA">
        <w:rPr>
          <w:rStyle w:val="hps"/>
        </w:rPr>
        <w:t xml:space="preserve"> couvrir le déficit </w:t>
      </w:r>
      <w:r w:rsidR="00C42ABB" w:rsidRPr="008B2DDA">
        <w:rPr>
          <w:rStyle w:val="hps"/>
        </w:rPr>
        <w:t>sachant que</w:t>
      </w:r>
      <w:r w:rsidR="004A65DA" w:rsidRPr="008B2DDA">
        <w:rPr>
          <w:rStyle w:val="hps"/>
        </w:rPr>
        <w:t xml:space="preserve"> l</w:t>
      </w:r>
      <w:r w:rsidR="00A341C2" w:rsidRPr="008B2DDA">
        <w:rPr>
          <w:rStyle w:val="hps"/>
        </w:rPr>
        <w:t>’</w:t>
      </w:r>
      <w:r w:rsidR="004A65DA" w:rsidRPr="008B2DDA">
        <w:rPr>
          <w:rStyle w:val="hps"/>
        </w:rPr>
        <w:t xml:space="preserve">Union </w:t>
      </w:r>
      <w:r w:rsidR="00C42ABB" w:rsidRPr="008B2DDA">
        <w:rPr>
          <w:rStyle w:val="hps"/>
        </w:rPr>
        <w:t>n</w:t>
      </w:r>
      <w:r w:rsidR="00A341C2" w:rsidRPr="008B2DDA">
        <w:rPr>
          <w:rStyle w:val="hps"/>
        </w:rPr>
        <w:t>’</w:t>
      </w:r>
      <w:r w:rsidR="004A65DA" w:rsidRPr="008B2DDA">
        <w:rPr>
          <w:rStyle w:val="hps"/>
        </w:rPr>
        <w:t xml:space="preserve">a jamais demandé </w:t>
      </w:r>
      <w:r w:rsidR="00C42ABB" w:rsidRPr="008B2DDA">
        <w:rPr>
          <w:rStyle w:val="hps"/>
        </w:rPr>
        <w:t>aux</w:t>
      </w:r>
      <w:r w:rsidR="004A65DA" w:rsidRPr="008B2DDA">
        <w:rPr>
          <w:rStyle w:val="hps"/>
        </w:rPr>
        <w:t xml:space="preserve"> parties contractantes existantes </w:t>
      </w:r>
      <w:r w:rsidR="00C42ABB" w:rsidRPr="008B2DDA">
        <w:rPr>
          <w:rStyle w:val="hps"/>
        </w:rPr>
        <w:t>au titre</w:t>
      </w:r>
      <w:r w:rsidR="004A65DA" w:rsidRPr="008B2DDA">
        <w:rPr>
          <w:rStyle w:val="hps"/>
        </w:rPr>
        <w:t xml:space="preserve"> de l</w:t>
      </w:r>
      <w:r w:rsidR="00A341C2" w:rsidRPr="008B2DDA">
        <w:rPr>
          <w:rStyle w:val="hps"/>
        </w:rPr>
        <w:t>’</w:t>
      </w:r>
      <w:r w:rsidR="004A65DA" w:rsidRPr="008B2DDA">
        <w:rPr>
          <w:rStyle w:val="hps"/>
        </w:rPr>
        <w:t xml:space="preserve">Arrangement de Lisbonne en </w:t>
      </w:r>
      <w:r w:rsidR="00C42ABB" w:rsidRPr="008B2DDA">
        <w:rPr>
          <w:rStyle w:val="hps"/>
        </w:rPr>
        <w:t>vigueur</w:t>
      </w:r>
      <w:r w:rsidR="004A65DA" w:rsidRPr="008B2DDA">
        <w:rPr>
          <w:rStyle w:val="hps"/>
        </w:rPr>
        <w:t xml:space="preserve"> </w:t>
      </w:r>
      <w:r w:rsidR="00C42ABB" w:rsidRPr="008B2DDA">
        <w:rPr>
          <w:rStyle w:val="hps"/>
        </w:rPr>
        <w:t>de</w:t>
      </w:r>
      <w:r w:rsidR="004A65DA" w:rsidRPr="008B2DDA">
        <w:rPr>
          <w:rStyle w:val="hps"/>
        </w:rPr>
        <w:t xml:space="preserve"> financer le déficit </w:t>
      </w:r>
      <w:r w:rsidR="00C42ABB" w:rsidRPr="008B2DDA">
        <w:rPr>
          <w:rStyle w:val="hps"/>
        </w:rPr>
        <w:t>qui ne cesse de se creuser</w:t>
      </w:r>
      <w:r w:rsidR="004A65DA" w:rsidRPr="008B2DDA">
        <w:rPr>
          <w:rStyle w:val="hps"/>
        </w:rPr>
        <w:t xml:space="preserve">. </w:t>
      </w:r>
      <w:r w:rsidR="00E2764E" w:rsidRPr="008B2DDA">
        <w:rPr>
          <w:rStyle w:val="hps"/>
        </w:rPr>
        <w:t xml:space="preserve"> </w:t>
      </w:r>
      <w:r w:rsidR="00C42ABB" w:rsidRPr="008B2DDA">
        <w:rPr>
          <w:rStyle w:val="hps"/>
        </w:rPr>
        <w:t>Par conséquent, n</w:t>
      </w:r>
      <w:r w:rsidR="004A65DA" w:rsidRPr="008B2DDA">
        <w:rPr>
          <w:rStyle w:val="hps"/>
        </w:rPr>
        <w:t xml:space="preserve">ous ne pensons pas que les contributions </w:t>
      </w:r>
      <w:r w:rsidR="00C42ABB" w:rsidRPr="008B2DDA">
        <w:rPr>
          <w:rStyle w:val="hps"/>
        </w:rPr>
        <w:t>soient</w:t>
      </w:r>
      <w:r w:rsidR="004A65DA" w:rsidRPr="008B2DDA">
        <w:rPr>
          <w:rStyle w:val="hps"/>
        </w:rPr>
        <w:t xml:space="preserve"> une source de revenus fiable pour le système</w:t>
      </w:r>
      <w:r w:rsidR="00C42ABB" w:rsidRPr="008B2DDA">
        <w:rPr>
          <w:rStyle w:val="hps"/>
        </w:rPr>
        <w:t>,</w:t>
      </w:r>
      <w:r w:rsidR="004A65DA" w:rsidRPr="008B2DDA">
        <w:rPr>
          <w:rStyle w:val="hps"/>
        </w:rPr>
        <w:t xml:space="preserve"> et </w:t>
      </w:r>
      <w:r w:rsidR="00C42ABB" w:rsidRPr="008B2DDA">
        <w:rPr>
          <w:rStyle w:val="hps"/>
        </w:rPr>
        <w:t>nous approuvons le</w:t>
      </w:r>
      <w:r w:rsidR="004A65DA" w:rsidRPr="008B2DDA">
        <w:rPr>
          <w:rStyle w:val="hps"/>
        </w:rPr>
        <w:t xml:space="preserve"> maintien de </w:t>
      </w:r>
      <w:r w:rsidR="00466769" w:rsidRPr="008B2DDA">
        <w:rPr>
          <w:rStyle w:val="hps"/>
        </w:rPr>
        <w:t>l</w:t>
      </w:r>
      <w:r w:rsidR="00A341C2" w:rsidRPr="008B2DDA">
        <w:rPr>
          <w:rStyle w:val="hps"/>
        </w:rPr>
        <w:t>’</w:t>
      </w:r>
      <w:r w:rsidR="00466769" w:rsidRPr="008B2DDA">
        <w:rPr>
          <w:rStyle w:val="hps"/>
        </w:rPr>
        <w:t xml:space="preserve">article 24.3)vi) </w:t>
      </w:r>
      <w:r w:rsidR="004A65DA" w:rsidRPr="008B2DDA">
        <w:rPr>
          <w:rStyle w:val="hps"/>
        </w:rPr>
        <w:t xml:space="preserve">dans le texte </w:t>
      </w:r>
      <w:r w:rsidR="00C42ABB" w:rsidRPr="008B2DDA">
        <w:rPr>
          <w:rStyle w:val="hps"/>
        </w:rPr>
        <w:t>autant que</w:t>
      </w:r>
      <w:r w:rsidR="004A65DA" w:rsidRPr="008B2DDA">
        <w:rPr>
          <w:rStyle w:val="hps"/>
        </w:rPr>
        <w:t xml:space="preserve"> nécessaire pour faire face à des circonstances ou </w:t>
      </w:r>
      <w:r w:rsidR="00C42ABB" w:rsidRPr="008B2DDA">
        <w:rPr>
          <w:rStyle w:val="hps"/>
        </w:rPr>
        <w:t xml:space="preserve">à </w:t>
      </w:r>
      <w:r w:rsidR="004A65DA" w:rsidRPr="008B2DDA">
        <w:rPr>
          <w:rStyle w:val="hps"/>
        </w:rPr>
        <w:t xml:space="preserve">des projets exceptionnels où les </w:t>
      </w:r>
      <w:r w:rsidR="00C42ABB" w:rsidRPr="008B2DDA">
        <w:rPr>
          <w:rStyle w:val="hps"/>
        </w:rPr>
        <w:t>taxes</w:t>
      </w:r>
      <w:r w:rsidR="004A65DA" w:rsidRPr="008B2DDA">
        <w:rPr>
          <w:rStyle w:val="hps"/>
        </w:rPr>
        <w:t xml:space="preserve"> ne </w:t>
      </w:r>
      <w:r w:rsidR="00C42ABB" w:rsidRPr="008B2DDA">
        <w:rPr>
          <w:rStyle w:val="hps"/>
        </w:rPr>
        <w:t xml:space="preserve">permettent pas de couvrir </w:t>
      </w:r>
      <w:r w:rsidR="004A65DA" w:rsidRPr="008B2DDA">
        <w:rPr>
          <w:rStyle w:val="hps"/>
        </w:rPr>
        <w:t xml:space="preserve">les </w:t>
      </w:r>
      <w:r w:rsidR="00C42ABB" w:rsidRPr="008B2DDA">
        <w:rPr>
          <w:rStyle w:val="hps"/>
        </w:rPr>
        <w:t>dépenses</w:t>
      </w:r>
      <w:r w:rsidR="004A65DA" w:rsidRPr="008B2DDA">
        <w:rPr>
          <w:rStyle w:val="hps"/>
        </w:rPr>
        <w:t xml:space="preserve"> </w:t>
      </w:r>
      <w:r w:rsidR="00C42ABB" w:rsidRPr="008B2DDA">
        <w:rPr>
          <w:rStyle w:val="hps"/>
        </w:rPr>
        <w:t>du</w:t>
      </w:r>
      <w:r w:rsidR="0050682F" w:rsidRPr="008B2DDA">
        <w:rPr>
          <w:rStyle w:val="hps"/>
        </w:rPr>
        <w:t xml:space="preserve"> s</w:t>
      </w:r>
      <w:r w:rsidR="004A65DA" w:rsidRPr="008B2DDA">
        <w:rPr>
          <w:rStyle w:val="hps"/>
        </w:rPr>
        <w:t>ystème.</w:t>
      </w:r>
    </w:p>
    <w:p w14:paraId="08BF5ACB" w14:textId="290A7973" w:rsidR="007079A8" w:rsidRPr="008B2DDA" w:rsidRDefault="004A65DA" w:rsidP="008B2DDA">
      <w:pPr>
        <w:pStyle w:val="ONUMFS"/>
        <w:numPr>
          <w:ilvl w:val="0"/>
          <w:numId w:val="0"/>
        </w:numPr>
        <w:rPr>
          <w:rStyle w:val="hps"/>
        </w:rPr>
      </w:pPr>
      <w:r w:rsidRPr="008B2DDA">
        <w:rPr>
          <w:rStyle w:val="hps"/>
        </w:rPr>
        <w:t xml:space="preserve">Si les </w:t>
      </w:r>
      <w:r w:rsidR="00E2764E" w:rsidRPr="008B2DDA">
        <w:rPr>
          <w:rStyle w:val="hps"/>
        </w:rPr>
        <w:t>contributions</w:t>
      </w:r>
      <w:r w:rsidRPr="008B2DDA">
        <w:rPr>
          <w:rStyle w:val="hps"/>
        </w:rPr>
        <w:t xml:space="preserve"> sont </w:t>
      </w:r>
      <w:r w:rsidR="005C010C" w:rsidRPr="008B2DDA">
        <w:rPr>
          <w:rStyle w:val="hps"/>
        </w:rPr>
        <w:t>conservées</w:t>
      </w:r>
      <w:r w:rsidRPr="008B2DDA">
        <w:rPr>
          <w:rStyle w:val="hps"/>
        </w:rPr>
        <w:t xml:space="preserve"> dans le texte, nous suggérons </w:t>
      </w:r>
      <w:r w:rsidR="00E2764E" w:rsidRPr="008B2DDA">
        <w:rPr>
          <w:rStyle w:val="hps"/>
        </w:rPr>
        <w:t>d</w:t>
      </w:r>
      <w:r w:rsidR="00A341C2" w:rsidRPr="008B2DDA">
        <w:rPr>
          <w:rStyle w:val="hps"/>
        </w:rPr>
        <w:t>’</w:t>
      </w:r>
      <w:r w:rsidR="00E2764E" w:rsidRPr="008B2DDA">
        <w:rPr>
          <w:rStyle w:val="hps"/>
        </w:rPr>
        <w:t>apporter une modification</w:t>
      </w:r>
      <w:r w:rsidRPr="008B2DDA">
        <w:rPr>
          <w:rStyle w:val="hps"/>
        </w:rPr>
        <w:t xml:space="preserve"> à </w:t>
      </w:r>
      <w:r w:rsidR="00466769" w:rsidRPr="008B2DDA">
        <w:rPr>
          <w:rStyle w:val="hps"/>
        </w:rPr>
        <w:t>l</w:t>
      </w:r>
      <w:r w:rsidR="00A341C2" w:rsidRPr="008B2DDA">
        <w:rPr>
          <w:rStyle w:val="hps"/>
        </w:rPr>
        <w:t>’</w:t>
      </w:r>
      <w:r w:rsidR="00466769" w:rsidRPr="008B2DDA">
        <w:rPr>
          <w:rStyle w:val="hps"/>
        </w:rPr>
        <w:t>article 24.3</w:t>
      </w:r>
      <w:proofErr w:type="gramStart"/>
      <w:r w:rsidR="00466769" w:rsidRPr="008B2DDA">
        <w:rPr>
          <w:rStyle w:val="hps"/>
        </w:rPr>
        <w:t>)vi</w:t>
      </w:r>
      <w:proofErr w:type="gramEnd"/>
      <w:r w:rsidR="00466769" w:rsidRPr="008B2DDA">
        <w:rPr>
          <w:rStyle w:val="hps"/>
        </w:rPr>
        <w:t xml:space="preserve">) </w:t>
      </w:r>
      <w:r w:rsidRPr="008B2DDA">
        <w:rPr>
          <w:rStyle w:val="hps"/>
        </w:rPr>
        <w:t xml:space="preserve">pour ajouter des détails </w:t>
      </w:r>
      <w:r w:rsidR="005C010C" w:rsidRPr="008B2DDA">
        <w:rPr>
          <w:rStyle w:val="hps"/>
        </w:rPr>
        <w:t xml:space="preserve">en ce qui concerne le moment où </w:t>
      </w:r>
      <w:r w:rsidRPr="008B2DDA">
        <w:rPr>
          <w:rStyle w:val="hps"/>
        </w:rPr>
        <w:t xml:space="preserve">la nécessité de contributions doit être évaluée et </w:t>
      </w:r>
      <w:r w:rsidR="00E83164" w:rsidRPr="008B2DDA">
        <w:rPr>
          <w:rStyle w:val="hps"/>
        </w:rPr>
        <w:t xml:space="preserve">la part contributive </w:t>
      </w:r>
      <w:r w:rsidR="00E2764E" w:rsidRPr="008B2DDA">
        <w:rPr>
          <w:rStyle w:val="hps"/>
        </w:rPr>
        <w:t>des différentes parties contractantes</w:t>
      </w:r>
      <w:r w:rsidRPr="008B2DDA">
        <w:rPr>
          <w:rStyle w:val="hps"/>
        </w:rPr>
        <w:t>.</w:t>
      </w:r>
      <w:r w:rsidR="00E2764E" w:rsidRPr="008B2DDA">
        <w:rPr>
          <w:rStyle w:val="hps"/>
        </w:rPr>
        <w:t xml:space="preserve"> </w:t>
      </w:r>
      <w:r w:rsidRPr="008B2DDA">
        <w:rPr>
          <w:rStyle w:val="hps"/>
        </w:rPr>
        <w:t xml:space="preserve"> Cet</w:t>
      </w:r>
      <w:r w:rsidR="00E2764E" w:rsidRPr="008B2DDA">
        <w:rPr>
          <w:rStyle w:val="hps"/>
        </w:rPr>
        <w:t>te</w:t>
      </w:r>
      <w:r w:rsidRPr="008B2DDA">
        <w:rPr>
          <w:rStyle w:val="hps"/>
        </w:rPr>
        <w:t xml:space="preserve"> </w:t>
      </w:r>
      <w:r w:rsidR="00E2764E" w:rsidRPr="008B2DDA">
        <w:rPr>
          <w:rStyle w:val="hps"/>
        </w:rPr>
        <w:t>modification</w:t>
      </w:r>
      <w:r w:rsidRPr="008B2DDA">
        <w:rPr>
          <w:rStyle w:val="hps"/>
        </w:rPr>
        <w:t xml:space="preserve"> devrait rendre la disposition plus simple à mettre en œuvre.</w:t>
      </w:r>
      <w:r w:rsidR="00E2764E" w:rsidRPr="008B2DDA">
        <w:rPr>
          <w:rStyle w:val="hps"/>
        </w:rPr>
        <w:t xml:space="preserve"> </w:t>
      </w:r>
      <w:r w:rsidRPr="008B2DDA">
        <w:rPr>
          <w:rStyle w:val="hps"/>
        </w:rPr>
        <w:t xml:space="preserve"> Cette modification </w:t>
      </w:r>
      <w:r w:rsidR="005C010C" w:rsidRPr="008B2DDA">
        <w:rPr>
          <w:rStyle w:val="hps"/>
        </w:rPr>
        <w:t>remplacerait</w:t>
      </w:r>
      <w:r w:rsidRPr="008B2DDA">
        <w:rPr>
          <w:rStyle w:val="hps"/>
        </w:rPr>
        <w:t xml:space="preserve"> </w:t>
      </w:r>
      <w:r w:rsidR="005C010C" w:rsidRPr="008B2DDA">
        <w:rPr>
          <w:rStyle w:val="hps"/>
        </w:rPr>
        <w:t xml:space="preserve">le </w:t>
      </w:r>
      <w:r w:rsidRPr="008B2DDA">
        <w:rPr>
          <w:rStyle w:val="hps"/>
        </w:rPr>
        <w:t xml:space="preserve">texte entre crochets </w:t>
      </w:r>
      <w:r w:rsidR="00E2764E" w:rsidRPr="008B2DDA">
        <w:rPr>
          <w:rStyle w:val="hps"/>
        </w:rPr>
        <w:t>dans</w:t>
      </w:r>
      <w:r w:rsidRPr="008B2DDA">
        <w:rPr>
          <w:rStyle w:val="hps"/>
        </w:rPr>
        <w:t xml:space="preserve"> l</w:t>
      </w:r>
      <w:r w:rsidR="00A341C2" w:rsidRPr="008B2DDA">
        <w:rPr>
          <w:rStyle w:val="hps"/>
        </w:rPr>
        <w:t>’</w:t>
      </w:r>
      <w:r w:rsidR="00466769" w:rsidRPr="008B2DDA">
        <w:rPr>
          <w:rStyle w:val="hps"/>
        </w:rPr>
        <w:t>article 24.</w:t>
      </w:r>
      <w:r w:rsidRPr="008B2DDA">
        <w:rPr>
          <w:rStyle w:val="hps"/>
        </w:rPr>
        <w:t xml:space="preserve">5), qui prévoit des contributions </w:t>
      </w:r>
      <w:r w:rsidR="00E83164" w:rsidRPr="008B2DDA">
        <w:rPr>
          <w:rStyle w:val="hps"/>
        </w:rPr>
        <w:t xml:space="preserve">en fonction de la classe </w:t>
      </w:r>
      <w:r w:rsidR="005C010C" w:rsidRPr="008B2DDA">
        <w:rPr>
          <w:rStyle w:val="hps"/>
        </w:rPr>
        <w:t xml:space="preserve">à laquelle appartient chaque membre de la </w:t>
      </w:r>
      <w:r w:rsidR="00E83164" w:rsidRPr="008B2DDA">
        <w:rPr>
          <w:rStyle w:val="hps"/>
        </w:rPr>
        <w:t>Convention de Paris.</w:t>
      </w:r>
    </w:p>
    <w:p w14:paraId="300ACEE6" w14:textId="77777777" w:rsidR="007079A8" w:rsidRPr="008B2DDA" w:rsidRDefault="007079A8" w:rsidP="008B2DDA"/>
    <w:p w14:paraId="3BD35606" w14:textId="77777777" w:rsidR="00C62F15" w:rsidRDefault="00C62F15">
      <w:pPr>
        <w:rPr>
          <w:b/>
          <w:u w:val="single"/>
        </w:rPr>
      </w:pPr>
      <w:r>
        <w:rPr>
          <w:b/>
          <w:u w:val="single"/>
        </w:rPr>
        <w:br w:type="page"/>
      </w:r>
    </w:p>
    <w:p w14:paraId="29B02D64" w14:textId="760869E4" w:rsidR="007079A8" w:rsidRPr="008B2DDA" w:rsidRDefault="00C412D8" w:rsidP="008B2DDA">
      <w:pPr>
        <w:keepNext/>
        <w:jc w:val="center"/>
        <w:rPr>
          <w:b/>
          <w:u w:val="single"/>
        </w:rPr>
      </w:pPr>
      <w:r w:rsidRPr="008B2DDA">
        <w:rPr>
          <w:b/>
          <w:u w:val="single"/>
        </w:rPr>
        <w:lastRenderedPageBreak/>
        <w:t>A</w:t>
      </w:r>
      <w:r w:rsidR="0080323D" w:rsidRPr="008B2DDA">
        <w:rPr>
          <w:b/>
          <w:u w:val="single"/>
        </w:rPr>
        <w:t>PPENDICE</w:t>
      </w:r>
    </w:p>
    <w:p w14:paraId="66CA1504" w14:textId="77777777" w:rsidR="00172895" w:rsidRPr="008B2DDA" w:rsidRDefault="00172895" w:rsidP="008B2DDA">
      <w:pPr>
        <w:keepNext/>
        <w:rPr>
          <w:rStyle w:val="hps"/>
        </w:rPr>
      </w:pPr>
      <w:bookmarkStart w:id="5" w:name="Article_2_Subject_Matter"/>
    </w:p>
    <w:p w14:paraId="6BEBB44D" w14:textId="50056B9A" w:rsidR="00A341C2" w:rsidRPr="008B2DDA" w:rsidRDefault="004A65DA" w:rsidP="008B2DDA">
      <w:pPr>
        <w:rPr>
          <w:rStyle w:val="hps"/>
        </w:rPr>
      </w:pPr>
      <w:r w:rsidRPr="008B2DDA">
        <w:rPr>
          <w:rStyle w:val="hps"/>
        </w:rPr>
        <w:t>Les référ</w:t>
      </w:r>
      <w:r w:rsidR="0050682F" w:rsidRPr="008B2DDA">
        <w:rPr>
          <w:rStyle w:val="hps"/>
        </w:rPr>
        <w:t>ences au texte de la p</w:t>
      </w:r>
      <w:r w:rsidRPr="008B2DDA">
        <w:rPr>
          <w:rStyle w:val="hps"/>
        </w:rPr>
        <w:t xml:space="preserve">roposition de base </w:t>
      </w:r>
      <w:r w:rsidR="002C69D0" w:rsidRPr="008B2DDA">
        <w:rPr>
          <w:rStyle w:val="hps"/>
        </w:rPr>
        <w:t>ci</w:t>
      </w:r>
      <w:r w:rsidR="00D67EA4" w:rsidRPr="008B2DDA">
        <w:rPr>
          <w:rStyle w:val="hps"/>
        </w:rPr>
        <w:noBreakHyphen/>
      </w:r>
      <w:r w:rsidR="002C69D0" w:rsidRPr="008B2DDA">
        <w:rPr>
          <w:rStyle w:val="hps"/>
        </w:rPr>
        <w:t xml:space="preserve">après </w:t>
      </w:r>
      <w:r w:rsidRPr="008B2DDA">
        <w:rPr>
          <w:rStyle w:val="hps"/>
        </w:rPr>
        <w:t xml:space="preserve">sont </w:t>
      </w:r>
      <w:r w:rsidR="004F26C0" w:rsidRPr="008B2DDA">
        <w:rPr>
          <w:rStyle w:val="hps"/>
        </w:rPr>
        <w:t>intégrées</w:t>
      </w:r>
      <w:r w:rsidRPr="008B2DDA">
        <w:rPr>
          <w:rStyle w:val="hps"/>
        </w:rPr>
        <w:t xml:space="preserve"> </w:t>
      </w:r>
      <w:r w:rsidR="002C69D0" w:rsidRPr="008B2DDA">
        <w:rPr>
          <w:rStyle w:val="hps"/>
        </w:rPr>
        <w:t>afin</w:t>
      </w:r>
      <w:r w:rsidRPr="008B2DDA">
        <w:rPr>
          <w:rStyle w:val="hps"/>
        </w:rPr>
        <w:t xml:space="preserve"> </w:t>
      </w:r>
      <w:r w:rsidR="002C69D0" w:rsidRPr="008B2DDA">
        <w:rPr>
          <w:rStyle w:val="hps"/>
        </w:rPr>
        <w:t xml:space="preserve">de recenser les modifications ou </w:t>
      </w:r>
      <w:r w:rsidRPr="008B2DDA">
        <w:rPr>
          <w:rStyle w:val="hps"/>
        </w:rPr>
        <w:t xml:space="preserve">autres dispositions que les </w:t>
      </w:r>
      <w:r w:rsidR="00455F0B" w:rsidRPr="008B2DDA">
        <w:rPr>
          <w:rStyle w:val="hps"/>
        </w:rPr>
        <w:t>États</w:t>
      </w:r>
      <w:r w:rsidR="00D67EA4" w:rsidRPr="008B2DDA">
        <w:rPr>
          <w:rStyle w:val="hps"/>
        </w:rPr>
        <w:noBreakHyphen/>
      </w:r>
      <w:r w:rsidR="00455F0B" w:rsidRPr="008B2DDA">
        <w:rPr>
          <w:rStyle w:val="hps"/>
        </w:rPr>
        <w:t xml:space="preserve">Unis </w:t>
      </w:r>
      <w:r w:rsidR="00E26A2C" w:rsidRPr="008B2DDA">
        <w:rPr>
          <w:rStyle w:val="hps"/>
        </w:rPr>
        <w:t>d’Amérique</w:t>
      </w:r>
      <w:r w:rsidR="00455F0B" w:rsidRPr="008B2DDA">
        <w:rPr>
          <w:rStyle w:val="hps"/>
        </w:rPr>
        <w:t xml:space="preserve"> </w:t>
      </w:r>
      <w:r w:rsidRPr="008B2DDA">
        <w:rPr>
          <w:rStyle w:val="hps"/>
        </w:rPr>
        <w:t>estime</w:t>
      </w:r>
      <w:r w:rsidR="00455F0B" w:rsidRPr="008B2DDA">
        <w:rPr>
          <w:rStyle w:val="hps"/>
        </w:rPr>
        <w:t>nt</w:t>
      </w:r>
      <w:r w:rsidRPr="008B2DDA">
        <w:rPr>
          <w:rStyle w:val="hps"/>
        </w:rPr>
        <w:t xml:space="preserve"> nécessaires pour aligner le texte </w:t>
      </w:r>
      <w:r w:rsidR="002C69D0" w:rsidRPr="008B2DDA">
        <w:rPr>
          <w:rStyle w:val="hps"/>
        </w:rPr>
        <w:t>sur</w:t>
      </w:r>
      <w:r w:rsidRPr="008B2DDA">
        <w:rPr>
          <w:rStyle w:val="hps"/>
        </w:rPr>
        <w:t xml:space="preserve"> les principes de base</w:t>
      </w:r>
      <w:r w:rsidR="002C69D0" w:rsidRPr="008B2DDA">
        <w:rPr>
          <w:rStyle w:val="hps"/>
        </w:rPr>
        <w:t xml:space="preserve">, </w:t>
      </w:r>
      <w:r w:rsidR="00A341C2" w:rsidRPr="008B2DDA">
        <w:rPr>
          <w:rStyle w:val="hps"/>
        </w:rPr>
        <w:t>à savoir</w:t>
      </w:r>
      <w:r w:rsidR="002C69D0" w:rsidRPr="008B2DDA">
        <w:rPr>
          <w:rStyle w:val="hps"/>
        </w:rPr>
        <w:t> :</w:t>
      </w:r>
      <w:r w:rsidRPr="008B2DDA">
        <w:rPr>
          <w:rStyle w:val="hps"/>
        </w:rPr>
        <w:t xml:space="preserve"> 1)</w:t>
      </w:r>
      <w:r w:rsidR="0080323D" w:rsidRPr="008B2DDA">
        <w:rPr>
          <w:rStyle w:val="hps"/>
        </w:rPr>
        <w:t> </w:t>
      </w:r>
      <w:r w:rsidR="002C69D0" w:rsidRPr="008B2DDA">
        <w:rPr>
          <w:rStyle w:val="hps"/>
        </w:rPr>
        <w:t>la</w:t>
      </w:r>
      <w:r w:rsidRPr="008B2DDA">
        <w:rPr>
          <w:rStyle w:val="hps"/>
        </w:rPr>
        <w:t xml:space="preserve"> territorialité; </w:t>
      </w:r>
      <w:r w:rsidR="002C69D0" w:rsidRPr="008B2DDA">
        <w:rPr>
          <w:rStyle w:val="hps"/>
        </w:rPr>
        <w:t xml:space="preserve"> </w:t>
      </w:r>
      <w:r w:rsidR="0080323D" w:rsidRPr="008B2DDA">
        <w:rPr>
          <w:rStyle w:val="hps"/>
        </w:rPr>
        <w:t>2) </w:t>
      </w:r>
      <w:r w:rsidR="002C69D0" w:rsidRPr="008B2DDA">
        <w:rPr>
          <w:rStyle w:val="hps"/>
        </w:rPr>
        <w:t xml:space="preserve">une </w:t>
      </w:r>
      <w:r w:rsidRPr="008B2DDA">
        <w:rPr>
          <w:rStyle w:val="hps"/>
        </w:rPr>
        <w:t xml:space="preserve">procédure régulière; </w:t>
      </w:r>
      <w:r w:rsidR="002C69D0" w:rsidRPr="008B2DDA">
        <w:rPr>
          <w:rStyle w:val="hps"/>
        </w:rPr>
        <w:t xml:space="preserve"> </w:t>
      </w:r>
      <w:r w:rsidR="0080323D" w:rsidRPr="008B2DDA">
        <w:rPr>
          <w:rStyle w:val="hps"/>
        </w:rPr>
        <w:t>3) </w:t>
      </w:r>
      <w:r w:rsidR="004F26C0" w:rsidRPr="008B2DDA">
        <w:rPr>
          <w:rStyle w:val="hps"/>
        </w:rPr>
        <w:t xml:space="preserve">les </w:t>
      </w:r>
      <w:r w:rsidR="00AB2EF0" w:rsidRPr="008B2DDA">
        <w:rPr>
          <w:rStyle w:val="hps"/>
        </w:rPr>
        <w:t>indications géographiques</w:t>
      </w:r>
      <w:r w:rsidRPr="008B2DDA">
        <w:rPr>
          <w:rStyle w:val="hps"/>
        </w:rPr>
        <w:t xml:space="preserve"> </w:t>
      </w:r>
      <w:r w:rsidR="00455F0B" w:rsidRPr="008B2DDA">
        <w:rPr>
          <w:rStyle w:val="hps"/>
        </w:rPr>
        <w:t xml:space="preserve">en tant que </w:t>
      </w:r>
      <w:r w:rsidRPr="008B2DDA">
        <w:rPr>
          <w:rStyle w:val="hps"/>
        </w:rPr>
        <w:t xml:space="preserve">droits </w:t>
      </w:r>
      <w:r w:rsidR="00455F0B" w:rsidRPr="008B2DDA">
        <w:rPr>
          <w:rStyle w:val="hps"/>
        </w:rPr>
        <w:t>de propriété privée</w:t>
      </w:r>
      <w:r w:rsidRPr="008B2DDA">
        <w:rPr>
          <w:rStyle w:val="hps"/>
        </w:rPr>
        <w:t xml:space="preserve">. </w:t>
      </w:r>
      <w:r w:rsidR="00455F0B" w:rsidRPr="008B2DDA">
        <w:rPr>
          <w:rStyle w:val="hps"/>
        </w:rPr>
        <w:t xml:space="preserve"> </w:t>
      </w:r>
      <w:r w:rsidR="002C69D0" w:rsidRPr="008B2DDA">
        <w:rPr>
          <w:rStyle w:val="hps"/>
        </w:rPr>
        <w:t>L</w:t>
      </w:r>
      <w:r w:rsidR="00A341C2" w:rsidRPr="008B2DDA">
        <w:rPr>
          <w:rStyle w:val="hps"/>
        </w:rPr>
        <w:t>’</w:t>
      </w:r>
      <w:r w:rsidR="002C69D0" w:rsidRPr="008B2DDA">
        <w:rPr>
          <w:rStyle w:val="hps"/>
        </w:rPr>
        <w:t>adhésion à</w:t>
      </w:r>
      <w:r w:rsidRPr="008B2DDA">
        <w:rPr>
          <w:rStyle w:val="hps"/>
        </w:rPr>
        <w:t xml:space="preserve"> ces principes</w:t>
      </w:r>
      <w:r w:rsidR="002C69D0" w:rsidRPr="008B2DDA">
        <w:rPr>
          <w:rStyle w:val="hps"/>
        </w:rPr>
        <w:t xml:space="preserve"> permettra à</w:t>
      </w:r>
      <w:r w:rsidRPr="008B2DDA">
        <w:rPr>
          <w:rStyle w:val="hps"/>
        </w:rPr>
        <w:t xml:space="preserve"> </w:t>
      </w:r>
      <w:r w:rsidR="002C69D0" w:rsidRPr="008B2DDA">
        <w:rPr>
          <w:rStyle w:val="hps"/>
        </w:rPr>
        <w:t>davantage de</w:t>
      </w:r>
      <w:r w:rsidRPr="008B2DDA">
        <w:rPr>
          <w:rStyle w:val="hps"/>
        </w:rPr>
        <w:t xml:space="preserve"> membres de l</w:t>
      </w:r>
      <w:r w:rsidR="00A341C2" w:rsidRPr="008B2DDA">
        <w:rPr>
          <w:rStyle w:val="hps"/>
        </w:rPr>
        <w:t>’</w:t>
      </w:r>
      <w:r w:rsidRPr="008B2DDA">
        <w:rPr>
          <w:rStyle w:val="hps"/>
        </w:rPr>
        <w:t xml:space="preserve">OMPI </w:t>
      </w:r>
      <w:r w:rsidR="002C69D0" w:rsidRPr="008B2DDA">
        <w:rPr>
          <w:rStyle w:val="hps"/>
        </w:rPr>
        <w:t>d</w:t>
      </w:r>
      <w:r w:rsidR="00A341C2" w:rsidRPr="008B2DDA">
        <w:rPr>
          <w:rStyle w:val="hps"/>
        </w:rPr>
        <w:t>’</w:t>
      </w:r>
      <w:r w:rsidRPr="008B2DDA">
        <w:rPr>
          <w:rStyle w:val="hps"/>
        </w:rPr>
        <w:t>envisager d</w:t>
      </w:r>
      <w:r w:rsidR="00A341C2" w:rsidRPr="008B2DDA">
        <w:rPr>
          <w:rStyle w:val="hps"/>
        </w:rPr>
        <w:t>’</w:t>
      </w:r>
      <w:r w:rsidRPr="008B2DDA">
        <w:rPr>
          <w:rStyle w:val="hps"/>
        </w:rPr>
        <w:t>adhérer au système.</w:t>
      </w:r>
    </w:p>
    <w:p w14:paraId="017CF8CC" w14:textId="01747651" w:rsidR="007079A8" w:rsidRPr="008B2DDA" w:rsidRDefault="007079A8" w:rsidP="008B2DDA">
      <w:pPr>
        <w:rPr>
          <w:b/>
        </w:rPr>
      </w:pPr>
    </w:p>
    <w:p w14:paraId="098DA045" w14:textId="77777777" w:rsidR="002D6873" w:rsidRPr="008B2DDA" w:rsidRDefault="002D6873" w:rsidP="00807A13">
      <w:pPr>
        <w:pBdr>
          <w:top w:val="single" w:sz="4" w:space="1" w:color="auto"/>
        </w:pBdr>
        <w:rPr>
          <w:b/>
        </w:rPr>
      </w:pPr>
    </w:p>
    <w:p w14:paraId="326168AD" w14:textId="560B328D" w:rsidR="007079A8" w:rsidRPr="008B2DDA" w:rsidRDefault="00311638" w:rsidP="008B2DDA">
      <w:pPr>
        <w:rPr>
          <w:rStyle w:val="hps"/>
        </w:rPr>
      </w:pPr>
      <w:r w:rsidRPr="008B2DDA">
        <w:rPr>
          <w:b/>
        </w:rPr>
        <w:t>Article</w:t>
      </w:r>
      <w:r w:rsidR="00E26A2C" w:rsidRPr="008B2DDA">
        <w:rPr>
          <w:b/>
        </w:rPr>
        <w:t> </w:t>
      </w:r>
      <w:r w:rsidRPr="008B2DDA">
        <w:rPr>
          <w:b/>
        </w:rPr>
        <w:t xml:space="preserve">2 </w:t>
      </w:r>
      <w:bookmarkEnd w:id="5"/>
      <w:r w:rsidR="00540353" w:rsidRPr="008B2DDA">
        <w:rPr>
          <w:b/>
        </w:rPr>
        <w:t>Objet </w:t>
      </w:r>
      <w:r w:rsidRPr="008B2DDA">
        <w:rPr>
          <w:b/>
        </w:rPr>
        <w:t xml:space="preserve">: </w:t>
      </w:r>
      <w:r w:rsidR="004A65DA" w:rsidRPr="008B2DDA">
        <w:rPr>
          <w:rStyle w:val="hps"/>
        </w:rPr>
        <w:t xml:space="preserve">Pour </w:t>
      </w:r>
      <w:r w:rsidR="002C69D0" w:rsidRPr="008B2DDA">
        <w:rPr>
          <w:rStyle w:val="hps"/>
        </w:rPr>
        <w:t xml:space="preserve">que </w:t>
      </w:r>
      <w:r w:rsidR="004A65DA" w:rsidRPr="008B2DDA">
        <w:rPr>
          <w:rStyle w:val="hps"/>
        </w:rPr>
        <w:t xml:space="preserve">la </w:t>
      </w:r>
      <w:r w:rsidR="002C69D0" w:rsidRPr="008B2DDA">
        <w:rPr>
          <w:rStyle w:val="hps"/>
        </w:rPr>
        <w:t xml:space="preserve">notion de </w:t>
      </w:r>
      <w:r w:rsidR="00402F39" w:rsidRPr="008B2DDA">
        <w:rPr>
          <w:rStyle w:val="hps"/>
        </w:rPr>
        <w:t>notoriété</w:t>
      </w:r>
      <w:r w:rsidR="004A65DA" w:rsidRPr="008B2DDA">
        <w:rPr>
          <w:rStyle w:val="hps"/>
        </w:rPr>
        <w:t xml:space="preserve"> dans le pays </w:t>
      </w:r>
      <w:r w:rsidR="002C69D0" w:rsidRPr="008B2DDA">
        <w:rPr>
          <w:rStyle w:val="hps"/>
        </w:rPr>
        <w:t>bénéficiaire</w:t>
      </w:r>
      <w:r w:rsidR="004A65DA" w:rsidRPr="008B2DDA">
        <w:rPr>
          <w:rStyle w:val="hps"/>
        </w:rPr>
        <w:t xml:space="preserve"> </w:t>
      </w:r>
      <w:r w:rsidR="002C69D0" w:rsidRPr="008B2DDA">
        <w:rPr>
          <w:rStyle w:val="hps"/>
        </w:rPr>
        <w:t>devienne une</w:t>
      </w:r>
      <w:r w:rsidR="004A65DA" w:rsidRPr="008B2DDA">
        <w:rPr>
          <w:rStyle w:val="hps"/>
        </w:rPr>
        <w:t xml:space="preserve"> cond</w:t>
      </w:r>
      <w:r w:rsidR="002C69D0" w:rsidRPr="008B2DDA">
        <w:rPr>
          <w:rStyle w:val="hps"/>
        </w:rPr>
        <w:t>ition pour qu</w:t>
      </w:r>
      <w:r w:rsidR="00A341C2" w:rsidRPr="008B2DDA">
        <w:rPr>
          <w:rStyle w:val="hps"/>
        </w:rPr>
        <w:t>’</w:t>
      </w:r>
      <w:r w:rsidR="002C69D0" w:rsidRPr="008B2DDA">
        <w:rPr>
          <w:rStyle w:val="hps"/>
        </w:rPr>
        <w:t xml:space="preserve">une dénomination ou </w:t>
      </w:r>
      <w:r w:rsidR="004A65DA" w:rsidRPr="008B2DDA">
        <w:rPr>
          <w:rStyle w:val="hps"/>
        </w:rPr>
        <w:t xml:space="preserve">une indication </w:t>
      </w:r>
      <w:r w:rsidR="002C69D0" w:rsidRPr="008B2DDA">
        <w:rPr>
          <w:rStyle w:val="hps"/>
        </w:rPr>
        <w:t xml:space="preserve">soit considérée comme un objet éligible à la protection </w:t>
      </w:r>
      <w:r w:rsidR="004A65DA" w:rsidRPr="008B2DDA">
        <w:rPr>
          <w:rStyle w:val="hps"/>
        </w:rPr>
        <w:t xml:space="preserve">des </w:t>
      </w:r>
      <w:r w:rsidR="00AB2EF0" w:rsidRPr="008B2DDA">
        <w:rPr>
          <w:rStyle w:val="hps"/>
        </w:rPr>
        <w:t>indications géographiques</w:t>
      </w:r>
      <w:r w:rsidR="004A65DA" w:rsidRPr="008B2DDA">
        <w:rPr>
          <w:rStyle w:val="hps"/>
        </w:rPr>
        <w:t xml:space="preserve">, les </w:t>
      </w:r>
      <w:r w:rsidR="00455F0B" w:rsidRPr="008B2DDA">
        <w:rPr>
          <w:rStyle w:val="hps"/>
        </w:rPr>
        <w:t>États</w:t>
      </w:r>
      <w:r w:rsidR="00D67EA4" w:rsidRPr="008B2DDA">
        <w:rPr>
          <w:rStyle w:val="hps"/>
        </w:rPr>
        <w:noBreakHyphen/>
      </w:r>
      <w:r w:rsidR="00455F0B" w:rsidRPr="008B2DDA">
        <w:rPr>
          <w:rStyle w:val="hps"/>
        </w:rPr>
        <w:t xml:space="preserve">Unis </w:t>
      </w:r>
      <w:r w:rsidR="00E26A2C" w:rsidRPr="008B2DDA">
        <w:rPr>
          <w:rStyle w:val="hps"/>
        </w:rPr>
        <w:t>d’Amérique</w:t>
      </w:r>
      <w:r w:rsidR="00455F0B" w:rsidRPr="008B2DDA">
        <w:rPr>
          <w:rStyle w:val="hps"/>
        </w:rPr>
        <w:t xml:space="preserve"> </w:t>
      </w:r>
      <w:r w:rsidR="004A65DA" w:rsidRPr="008B2DDA">
        <w:rPr>
          <w:rStyle w:val="hps"/>
        </w:rPr>
        <w:t>propose</w:t>
      </w:r>
      <w:r w:rsidR="00455F0B" w:rsidRPr="008B2DDA">
        <w:rPr>
          <w:rStyle w:val="hps"/>
        </w:rPr>
        <w:t>nt</w:t>
      </w:r>
      <w:r w:rsidR="004A65DA" w:rsidRPr="008B2DDA">
        <w:rPr>
          <w:rStyle w:val="hps"/>
        </w:rPr>
        <w:t xml:space="preserve"> </w:t>
      </w:r>
      <w:r w:rsidR="002C69D0" w:rsidRPr="008B2DDA">
        <w:rPr>
          <w:rStyle w:val="hps"/>
        </w:rPr>
        <w:t>de modifier</w:t>
      </w:r>
      <w:r w:rsidR="004A65DA" w:rsidRPr="008B2DDA">
        <w:rPr>
          <w:rStyle w:val="hps"/>
        </w:rPr>
        <w:t xml:space="preserve"> l</w:t>
      </w:r>
      <w:r w:rsidR="00A341C2" w:rsidRPr="008B2DDA">
        <w:rPr>
          <w:rStyle w:val="hps"/>
        </w:rPr>
        <w:t>’</w:t>
      </w:r>
      <w:r w:rsidR="00455F0B" w:rsidRPr="008B2DDA">
        <w:rPr>
          <w:rStyle w:val="hps"/>
        </w:rPr>
        <w:t>article </w:t>
      </w:r>
      <w:r w:rsidR="004A65DA" w:rsidRPr="008B2DDA">
        <w:rPr>
          <w:rStyle w:val="hps"/>
        </w:rPr>
        <w:t>2</w:t>
      </w:r>
      <w:r w:rsidR="002C69D0" w:rsidRPr="008B2DDA">
        <w:rPr>
          <w:rStyle w:val="hps"/>
        </w:rPr>
        <w:t xml:space="preserve"> comme suit :</w:t>
      </w:r>
    </w:p>
    <w:p w14:paraId="5DF98206" w14:textId="77777777" w:rsidR="007079A8" w:rsidRPr="008B2DDA" w:rsidRDefault="007079A8" w:rsidP="008B2DDA"/>
    <w:p w14:paraId="47FE08F7" w14:textId="51D19929" w:rsidR="007079A8" w:rsidRPr="008B2DDA" w:rsidRDefault="00311638" w:rsidP="008B2DDA">
      <w:r w:rsidRPr="008B2DDA">
        <w:t>Article</w:t>
      </w:r>
      <w:r w:rsidR="00E26A2C" w:rsidRPr="008B2DDA">
        <w:t> </w:t>
      </w:r>
      <w:r w:rsidRPr="008B2DDA">
        <w:t>2</w:t>
      </w:r>
    </w:p>
    <w:p w14:paraId="77AAD9B9" w14:textId="77777777" w:rsidR="007079A8" w:rsidRPr="008B2DDA" w:rsidRDefault="007079A8" w:rsidP="008B2DDA"/>
    <w:p w14:paraId="706F80EB" w14:textId="6EDCEA2E" w:rsidR="007079A8" w:rsidRPr="008B2DDA" w:rsidRDefault="00540353" w:rsidP="008B2DDA">
      <w:r w:rsidRPr="008B2DDA">
        <w:t>1)</w:t>
      </w:r>
      <w:r w:rsidRPr="008B2DDA">
        <w:tab/>
      </w:r>
      <w:r w:rsidRPr="008B2DDA">
        <w:rPr>
          <w:i/>
        </w:rPr>
        <w:t>[Appellations d</w:t>
      </w:r>
      <w:r w:rsidR="00A341C2" w:rsidRPr="008B2DDA">
        <w:rPr>
          <w:i/>
        </w:rPr>
        <w:t>’</w:t>
      </w:r>
      <w:r w:rsidRPr="008B2DDA">
        <w:rPr>
          <w:i/>
        </w:rPr>
        <w:t xml:space="preserve">origine et indications géographiques] </w:t>
      </w:r>
      <w:r w:rsidR="00D357CB" w:rsidRPr="008B2DDA">
        <w:rPr>
          <w:i/>
        </w:rPr>
        <w:t xml:space="preserve"> </w:t>
      </w:r>
      <w:r w:rsidRPr="008B2DDA">
        <w:t>Le présent Acte s</w:t>
      </w:r>
      <w:r w:rsidR="00A341C2" w:rsidRPr="008B2DDA">
        <w:t>’</w:t>
      </w:r>
      <w:r w:rsidRPr="008B2DDA">
        <w:t xml:space="preserve">applique </w:t>
      </w:r>
      <w:r w:rsidR="00A341C2" w:rsidRPr="008B2DDA">
        <w:t>à l’égard</w:t>
      </w:r>
      <w:r w:rsidRPr="008B2DDA">
        <w:t xml:space="preserve"> de</w:t>
      </w:r>
    </w:p>
    <w:p w14:paraId="1F99DDA9" w14:textId="25D1BD3A" w:rsidR="00A341C2" w:rsidRPr="008B2DDA" w:rsidRDefault="00311638" w:rsidP="008B2DDA">
      <w:r w:rsidRPr="008B2DDA">
        <w:tab/>
      </w:r>
      <w:r w:rsidRPr="008B2DDA">
        <w:tab/>
      </w:r>
      <w:r w:rsidR="00540353" w:rsidRPr="008B2DDA">
        <w:t>i)</w:t>
      </w:r>
      <w:r w:rsidR="00540353" w:rsidRPr="008B2DDA">
        <w:tab/>
        <w:t>toute dénomination protégée dans la partie contractante d</w:t>
      </w:r>
      <w:r w:rsidR="00A341C2" w:rsidRPr="008B2DDA">
        <w:t>’</w:t>
      </w:r>
      <w:r w:rsidR="00540353" w:rsidRPr="008B2DDA">
        <w:t>origine, constituée du nom d</w:t>
      </w:r>
      <w:r w:rsidR="00A341C2" w:rsidRPr="008B2DDA">
        <w:t>’</w:t>
      </w:r>
      <w:r w:rsidR="00540353" w:rsidRPr="008B2DDA">
        <w:t>une aire géographique ou comprenant ce nom, ou constituée d</w:t>
      </w:r>
      <w:r w:rsidR="00A341C2" w:rsidRPr="008B2DDA">
        <w:t>’</w:t>
      </w:r>
      <w:r w:rsidR="00540353" w:rsidRPr="008B2DDA">
        <w:t xml:space="preserve">une autre dénomination connue comme faisant référence à cette aire ou comprenant cette dénomination, servant à désigner un produit qui est originaire de cette aire géographique, dans les cas où </w:t>
      </w:r>
      <w:r w:rsidR="00540353" w:rsidRPr="008B2DDA">
        <w:rPr>
          <w:u w:val="single"/>
        </w:rPr>
        <w:t>la réputation,</w:t>
      </w:r>
      <w:r w:rsidR="00540353" w:rsidRPr="008B2DDA">
        <w:t xml:space="preserve"> la qualité ou les caractères du produit sont dus exclusivement ou essentiellement au milieu géographique, comprenant les facteurs naturels et les facteurs humains, et qui a donné au produit sa notoriété;  et</w:t>
      </w:r>
    </w:p>
    <w:p w14:paraId="6FBA5D2C" w14:textId="4F8C03B2" w:rsidR="00A341C2" w:rsidRPr="008B2DDA" w:rsidRDefault="00311638" w:rsidP="008B2DDA">
      <w:r w:rsidRPr="008B2DDA">
        <w:tab/>
      </w:r>
      <w:r w:rsidRPr="008B2DDA">
        <w:tab/>
      </w:r>
      <w:r w:rsidR="00540353" w:rsidRPr="008B2DDA">
        <w:t>ii)</w:t>
      </w:r>
      <w:r w:rsidR="00540353" w:rsidRPr="008B2DDA">
        <w:tab/>
        <w:t>toute indication protégée dans la partie contractante d</w:t>
      </w:r>
      <w:r w:rsidR="00A341C2" w:rsidRPr="008B2DDA">
        <w:t>’</w:t>
      </w:r>
      <w:r w:rsidR="00540353" w:rsidRPr="008B2DDA">
        <w:t>origine, constituée du nom d</w:t>
      </w:r>
      <w:r w:rsidR="00A341C2" w:rsidRPr="008B2DDA">
        <w:t>’</w:t>
      </w:r>
      <w:r w:rsidR="00540353" w:rsidRPr="008B2DDA">
        <w:t>une aire géographique ou comprenant ce nom, ou constituée d</w:t>
      </w:r>
      <w:r w:rsidR="00A341C2" w:rsidRPr="008B2DDA">
        <w:t>’</w:t>
      </w:r>
      <w:r w:rsidR="00540353" w:rsidRPr="008B2DDA">
        <w:t>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14:paraId="18C8F0EB" w14:textId="15BF8768" w:rsidR="007079A8" w:rsidRPr="008B2DDA" w:rsidRDefault="007079A8" w:rsidP="008B2DDA"/>
    <w:p w14:paraId="6FCF288E" w14:textId="77777777" w:rsidR="007079A8" w:rsidRPr="008B2DDA" w:rsidRDefault="007079A8" w:rsidP="00807A13">
      <w:pPr>
        <w:pBdr>
          <w:top w:val="single" w:sz="4" w:space="1" w:color="auto"/>
        </w:pBdr>
      </w:pPr>
    </w:p>
    <w:p w14:paraId="7953D0D6" w14:textId="263A7C00" w:rsidR="007079A8" w:rsidRPr="008B2DDA" w:rsidRDefault="00526089" w:rsidP="008B2DDA">
      <w:pPr>
        <w:rPr>
          <w:rStyle w:val="hps"/>
        </w:rPr>
      </w:pPr>
      <w:r w:rsidRPr="008B2DDA">
        <w:rPr>
          <w:b/>
        </w:rPr>
        <w:t>Article </w:t>
      </w:r>
      <w:r w:rsidR="00311638" w:rsidRPr="008B2DDA">
        <w:rPr>
          <w:b/>
        </w:rPr>
        <w:t xml:space="preserve">5 </w:t>
      </w:r>
      <w:r w:rsidRPr="008B2DDA">
        <w:rPr>
          <w:b/>
        </w:rPr>
        <w:t>Droit de dépôt </w:t>
      </w:r>
      <w:r w:rsidR="00311638" w:rsidRPr="008B2DDA">
        <w:rPr>
          <w:b/>
        </w:rPr>
        <w:t>:</w:t>
      </w:r>
      <w:r w:rsidR="00540353" w:rsidRPr="008B2DDA">
        <w:t xml:space="preserve"> </w:t>
      </w:r>
      <w:r w:rsidR="004A65DA" w:rsidRPr="008B2DDA">
        <w:rPr>
          <w:rStyle w:val="hps"/>
        </w:rPr>
        <w:t xml:space="preserve">La délégation des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4A65DA" w:rsidRPr="008B2DDA">
        <w:rPr>
          <w:rStyle w:val="hps"/>
        </w:rPr>
        <w:t xml:space="preserve">propose </w:t>
      </w:r>
      <w:r w:rsidRPr="008B2DDA">
        <w:rPr>
          <w:rStyle w:val="hps"/>
        </w:rPr>
        <w:t>la modification de</w:t>
      </w:r>
      <w:r w:rsidR="004A65DA" w:rsidRPr="008B2DDA">
        <w:rPr>
          <w:rStyle w:val="hps"/>
        </w:rPr>
        <w:t xml:space="preserve"> l</w:t>
      </w:r>
      <w:r w:rsidR="00A341C2" w:rsidRPr="008B2DDA">
        <w:rPr>
          <w:rStyle w:val="hps"/>
        </w:rPr>
        <w:t>’</w:t>
      </w:r>
      <w:r w:rsidRPr="008B2DDA">
        <w:rPr>
          <w:rStyle w:val="hps"/>
        </w:rPr>
        <w:t>article </w:t>
      </w:r>
      <w:r w:rsidR="004A65DA" w:rsidRPr="008B2DDA">
        <w:rPr>
          <w:rStyle w:val="hps"/>
        </w:rPr>
        <w:t xml:space="preserve">5 </w:t>
      </w:r>
      <w:r w:rsidR="00235493" w:rsidRPr="008B2DDA">
        <w:rPr>
          <w:rStyle w:val="hps"/>
        </w:rPr>
        <w:t xml:space="preserve">afin de préciser que </w:t>
      </w:r>
      <w:r w:rsidR="004A65DA" w:rsidRPr="008B2DDA">
        <w:rPr>
          <w:rStyle w:val="hps"/>
        </w:rPr>
        <w:t>le titulaire de l</w:t>
      </w:r>
      <w:r w:rsidR="00A341C2" w:rsidRPr="008B2DDA">
        <w:rPr>
          <w:rStyle w:val="hps"/>
        </w:rPr>
        <w:t>’</w:t>
      </w:r>
      <w:r w:rsidR="004A65DA" w:rsidRPr="008B2DDA">
        <w:rPr>
          <w:rStyle w:val="hps"/>
        </w:rPr>
        <w:t>enregistrement international est l</w:t>
      </w:r>
      <w:r w:rsidR="00A341C2" w:rsidRPr="008B2DDA">
        <w:rPr>
          <w:rStyle w:val="hps"/>
        </w:rPr>
        <w:t>’</w:t>
      </w:r>
      <w:r w:rsidR="004A65DA" w:rsidRPr="008B2DDA">
        <w:rPr>
          <w:rStyle w:val="hps"/>
        </w:rPr>
        <w:t xml:space="preserve">entité au nom de laquelle la protection </w:t>
      </w:r>
      <w:r w:rsidR="00235493" w:rsidRPr="008B2DDA">
        <w:rPr>
          <w:rStyle w:val="hps"/>
        </w:rPr>
        <w:t>est accordée</w:t>
      </w:r>
      <w:r w:rsidR="004A65DA" w:rsidRPr="008B2DDA">
        <w:rPr>
          <w:rStyle w:val="hps"/>
        </w:rPr>
        <w:t xml:space="preserve"> dans le pays d</w:t>
      </w:r>
      <w:r w:rsidR="00A341C2" w:rsidRPr="008B2DDA">
        <w:rPr>
          <w:rStyle w:val="hps"/>
        </w:rPr>
        <w:t>’</w:t>
      </w:r>
      <w:r w:rsidR="004A65DA" w:rsidRPr="008B2DDA">
        <w:rPr>
          <w:rStyle w:val="hps"/>
        </w:rPr>
        <w:t>origine.</w:t>
      </w:r>
    </w:p>
    <w:p w14:paraId="1F7F8852" w14:textId="77777777" w:rsidR="007079A8" w:rsidRPr="008B2DDA" w:rsidRDefault="007079A8" w:rsidP="008B2DDA"/>
    <w:p w14:paraId="7A9D7EE3" w14:textId="6C84F0FF" w:rsidR="007079A8" w:rsidRPr="008B2DDA" w:rsidRDefault="00311638" w:rsidP="008B2DDA">
      <w:r w:rsidRPr="008B2DDA">
        <w:t>Article</w:t>
      </w:r>
      <w:r w:rsidR="00E26A2C" w:rsidRPr="008B2DDA">
        <w:t> </w:t>
      </w:r>
      <w:r w:rsidRPr="008B2DDA">
        <w:t>5</w:t>
      </w:r>
    </w:p>
    <w:p w14:paraId="0719C726" w14:textId="77777777" w:rsidR="007079A8" w:rsidRPr="008B2DDA" w:rsidRDefault="007079A8" w:rsidP="008B2DDA"/>
    <w:p w14:paraId="02F9B9E0" w14:textId="14D7A650" w:rsidR="007079A8" w:rsidRPr="008B2DDA" w:rsidRDefault="00311638" w:rsidP="008B2DDA">
      <w:pPr>
        <w:rPr>
          <w:strike/>
        </w:rPr>
      </w:pPr>
      <w:r w:rsidRPr="008B2DDA">
        <w:t>2)</w:t>
      </w:r>
      <w:r w:rsidRPr="008B2DDA">
        <w:tab/>
      </w:r>
      <w:r w:rsidR="00540353" w:rsidRPr="008B2DDA">
        <w:rPr>
          <w:i/>
          <w:strike/>
        </w:rPr>
        <w:t>[Demande déposée par l</w:t>
      </w:r>
      <w:r w:rsidR="00A341C2" w:rsidRPr="008B2DDA">
        <w:rPr>
          <w:i/>
          <w:strike/>
        </w:rPr>
        <w:t>’</w:t>
      </w:r>
      <w:r w:rsidR="00540353" w:rsidRPr="008B2DDA">
        <w:rPr>
          <w:i/>
          <w:strike/>
        </w:rPr>
        <w:t>administration compétente] Sous réserve de l</w:t>
      </w:r>
      <w:r w:rsidR="00A341C2" w:rsidRPr="008B2DDA">
        <w:rPr>
          <w:i/>
          <w:strike/>
        </w:rPr>
        <w:t>’</w:t>
      </w:r>
      <w:r w:rsidR="00540353" w:rsidRPr="008B2DDA">
        <w:rPr>
          <w:i/>
          <w:strike/>
        </w:rPr>
        <w:t>alinéa</w:t>
      </w:r>
      <w:r w:rsidR="00E26A2C" w:rsidRPr="008B2DDA">
        <w:rPr>
          <w:i/>
          <w:strike/>
        </w:rPr>
        <w:t> </w:t>
      </w:r>
      <w:r w:rsidR="00540353" w:rsidRPr="008B2DDA">
        <w:rPr>
          <w:i/>
          <w:strike/>
        </w:rPr>
        <w:t xml:space="preserve">3), </w:t>
      </w:r>
      <w:r w:rsidR="004A65DA" w:rsidRPr="008B2DDA">
        <w:rPr>
          <w:rStyle w:val="hps"/>
          <w:u w:val="single"/>
        </w:rPr>
        <w:t>la demande d</w:t>
      </w:r>
      <w:r w:rsidR="00A341C2" w:rsidRPr="008B2DDA">
        <w:rPr>
          <w:rStyle w:val="hps"/>
          <w:u w:val="single"/>
        </w:rPr>
        <w:t>’</w:t>
      </w:r>
      <w:r w:rsidR="004A65DA" w:rsidRPr="008B2DDA">
        <w:rPr>
          <w:u w:val="single"/>
        </w:rPr>
        <w:t xml:space="preserve">enregistrement international </w:t>
      </w:r>
      <w:r w:rsidR="004A65DA" w:rsidRPr="008B2DDA">
        <w:rPr>
          <w:rStyle w:val="hps"/>
          <w:u w:val="single"/>
        </w:rPr>
        <w:t>d</w:t>
      </w:r>
      <w:r w:rsidR="00A341C2" w:rsidRPr="008B2DDA">
        <w:rPr>
          <w:rStyle w:val="hps"/>
          <w:u w:val="single"/>
        </w:rPr>
        <w:t>’</w:t>
      </w:r>
      <w:r w:rsidR="004A65DA" w:rsidRPr="008B2DDA">
        <w:rPr>
          <w:rStyle w:val="hps"/>
          <w:u w:val="single"/>
        </w:rPr>
        <w:t>une appellation d</w:t>
      </w:r>
      <w:r w:rsidR="00A341C2" w:rsidRPr="008B2DDA">
        <w:rPr>
          <w:rStyle w:val="hps"/>
          <w:u w:val="single"/>
        </w:rPr>
        <w:t>’</w:t>
      </w:r>
      <w:r w:rsidR="004A65DA" w:rsidRPr="008B2DDA">
        <w:rPr>
          <w:u w:val="single"/>
        </w:rPr>
        <w:t>origine ou d</w:t>
      </w:r>
      <w:r w:rsidR="00A341C2" w:rsidRPr="008B2DDA">
        <w:rPr>
          <w:u w:val="single"/>
        </w:rPr>
        <w:t>’</w:t>
      </w:r>
      <w:r w:rsidR="004A65DA" w:rsidRPr="008B2DDA">
        <w:rPr>
          <w:u w:val="single"/>
        </w:rPr>
        <w:t xml:space="preserve">une </w:t>
      </w:r>
      <w:r w:rsidR="004A65DA" w:rsidRPr="008B2DDA">
        <w:rPr>
          <w:rStyle w:val="hps"/>
          <w:u w:val="single"/>
        </w:rPr>
        <w:t>indication géographique</w:t>
      </w:r>
      <w:r w:rsidR="004A65DA" w:rsidRPr="008B2DDA">
        <w:rPr>
          <w:u w:val="single"/>
        </w:rPr>
        <w:t xml:space="preserve"> </w:t>
      </w:r>
      <w:r w:rsidR="004A65DA" w:rsidRPr="008B2DDA">
        <w:rPr>
          <w:rStyle w:val="hps"/>
          <w:u w:val="single"/>
        </w:rPr>
        <w:t>doit être déposé</w:t>
      </w:r>
      <w:r w:rsidR="00235493" w:rsidRPr="008B2DDA">
        <w:rPr>
          <w:rStyle w:val="hps"/>
          <w:u w:val="single"/>
        </w:rPr>
        <w:t>e</w:t>
      </w:r>
      <w:r w:rsidR="004A65DA" w:rsidRPr="008B2DDA">
        <w:rPr>
          <w:u w:val="single"/>
        </w:rPr>
        <w:t xml:space="preserve">, </w:t>
      </w:r>
      <w:r w:rsidR="004A65DA" w:rsidRPr="008B2DDA">
        <w:rPr>
          <w:rStyle w:val="hps"/>
          <w:u w:val="single"/>
        </w:rPr>
        <w:t>par l</w:t>
      </w:r>
      <w:r w:rsidR="00A341C2" w:rsidRPr="008B2DDA">
        <w:rPr>
          <w:rStyle w:val="hps"/>
          <w:u w:val="single"/>
        </w:rPr>
        <w:t>’</w:t>
      </w:r>
      <w:r w:rsidR="004A65DA" w:rsidRPr="008B2DDA">
        <w:rPr>
          <w:rStyle w:val="hps"/>
          <w:u w:val="single"/>
        </w:rPr>
        <w:t>intermédiaire</w:t>
      </w:r>
      <w:r w:rsidR="004A65DA" w:rsidRPr="008B2DDA">
        <w:rPr>
          <w:u w:val="single"/>
        </w:rPr>
        <w:t xml:space="preserve"> </w:t>
      </w:r>
      <w:r w:rsidR="004A65DA" w:rsidRPr="008B2DDA">
        <w:rPr>
          <w:rStyle w:val="hps"/>
          <w:u w:val="single"/>
        </w:rPr>
        <w:t xml:space="preserve">de </w:t>
      </w:r>
      <w:r w:rsidR="00235493" w:rsidRPr="008B2DDA">
        <w:rPr>
          <w:rStyle w:val="hps"/>
          <w:u w:val="single"/>
        </w:rPr>
        <w:t>l</w:t>
      </w:r>
      <w:r w:rsidR="00A341C2" w:rsidRPr="008B2DDA">
        <w:rPr>
          <w:rStyle w:val="hps"/>
          <w:u w:val="single"/>
        </w:rPr>
        <w:t>’</w:t>
      </w:r>
      <w:r w:rsidR="00235493" w:rsidRPr="008B2DDA">
        <w:rPr>
          <w:rStyle w:val="hps"/>
          <w:u w:val="single"/>
        </w:rPr>
        <w:t>administration</w:t>
      </w:r>
      <w:r w:rsidR="004A65DA" w:rsidRPr="008B2DDA">
        <w:rPr>
          <w:rStyle w:val="hps"/>
          <w:u w:val="single"/>
        </w:rPr>
        <w:t xml:space="preserve"> compétente</w:t>
      </w:r>
      <w:r w:rsidR="004A65DA" w:rsidRPr="008B2DDA">
        <w:rPr>
          <w:u w:val="single"/>
        </w:rPr>
        <w:t xml:space="preserve">, </w:t>
      </w:r>
      <w:r w:rsidR="004A65DA" w:rsidRPr="008B2DDA">
        <w:rPr>
          <w:rStyle w:val="hps"/>
          <w:u w:val="single"/>
        </w:rPr>
        <w:t>par l</w:t>
      </w:r>
      <w:r w:rsidR="00A341C2" w:rsidRPr="008B2DDA">
        <w:rPr>
          <w:rStyle w:val="hps"/>
          <w:u w:val="single"/>
        </w:rPr>
        <w:t>’</w:t>
      </w:r>
      <w:r w:rsidR="004A65DA" w:rsidRPr="008B2DDA">
        <w:rPr>
          <w:rStyle w:val="hps"/>
          <w:u w:val="single"/>
        </w:rPr>
        <w:t>entité</w:t>
      </w:r>
      <w:r w:rsidR="004A65DA" w:rsidRPr="008B2DDA">
        <w:rPr>
          <w:u w:val="single"/>
        </w:rPr>
        <w:t xml:space="preserve"> </w:t>
      </w:r>
      <w:r w:rsidR="004A65DA" w:rsidRPr="008B2DDA">
        <w:rPr>
          <w:rStyle w:val="hps"/>
          <w:u w:val="single"/>
        </w:rPr>
        <w:t>au nom de laquelle</w:t>
      </w:r>
      <w:r w:rsidR="004A65DA" w:rsidRPr="008B2DDA">
        <w:rPr>
          <w:u w:val="single"/>
        </w:rPr>
        <w:t xml:space="preserve"> </w:t>
      </w:r>
      <w:r w:rsidR="00235493" w:rsidRPr="008B2DDA">
        <w:rPr>
          <w:rStyle w:val="hps"/>
          <w:u w:val="single"/>
        </w:rPr>
        <w:t>ladite</w:t>
      </w:r>
      <w:r w:rsidR="004A65DA" w:rsidRPr="008B2DDA">
        <w:rPr>
          <w:rStyle w:val="hps"/>
          <w:u w:val="single"/>
        </w:rPr>
        <w:t xml:space="preserve"> protection</w:t>
      </w:r>
      <w:r w:rsidR="004A65DA" w:rsidRPr="008B2DDA">
        <w:rPr>
          <w:u w:val="single"/>
        </w:rPr>
        <w:t xml:space="preserve"> </w:t>
      </w:r>
      <w:r w:rsidR="00235493" w:rsidRPr="008B2DDA">
        <w:rPr>
          <w:rStyle w:val="hps"/>
          <w:u w:val="single"/>
        </w:rPr>
        <w:t>est accordée</w:t>
      </w:r>
      <w:r w:rsidR="004A65DA" w:rsidRPr="008B2DDA">
        <w:rPr>
          <w:rStyle w:val="hps"/>
          <w:u w:val="single"/>
        </w:rPr>
        <w:t xml:space="preserve"> dans</w:t>
      </w:r>
      <w:r w:rsidR="004A65DA" w:rsidRPr="008B2DDA">
        <w:rPr>
          <w:u w:val="single"/>
        </w:rPr>
        <w:t xml:space="preserve"> </w:t>
      </w:r>
      <w:r w:rsidR="004A65DA" w:rsidRPr="008B2DDA">
        <w:rPr>
          <w:rStyle w:val="hps"/>
          <w:u w:val="single"/>
        </w:rPr>
        <w:t>la Partie contractante</w:t>
      </w:r>
      <w:r w:rsidR="004A65DA" w:rsidRPr="008B2DDA">
        <w:rPr>
          <w:u w:val="single"/>
        </w:rPr>
        <w:t xml:space="preserve"> </w:t>
      </w:r>
      <w:r w:rsidR="004A65DA" w:rsidRPr="008B2DDA">
        <w:rPr>
          <w:rStyle w:val="hps"/>
          <w:u w:val="single"/>
        </w:rPr>
        <w:t>d</w:t>
      </w:r>
      <w:r w:rsidR="00A341C2" w:rsidRPr="008B2DDA">
        <w:rPr>
          <w:rStyle w:val="hps"/>
          <w:u w:val="single"/>
        </w:rPr>
        <w:t>’</w:t>
      </w:r>
      <w:r w:rsidR="004A65DA" w:rsidRPr="008B2DDA">
        <w:rPr>
          <w:rStyle w:val="hps"/>
          <w:u w:val="single"/>
        </w:rPr>
        <w:t>origine</w:t>
      </w:r>
      <w:r w:rsidR="004A65DA" w:rsidRPr="008B2DDA">
        <w:rPr>
          <w:u w:val="single"/>
        </w:rPr>
        <w:t xml:space="preserve">, à condition que </w:t>
      </w:r>
      <w:r w:rsidR="004A65DA" w:rsidRPr="008B2DDA">
        <w:rPr>
          <w:rStyle w:val="hps"/>
          <w:u w:val="single"/>
        </w:rPr>
        <w:t xml:space="preserve">le </w:t>
      </w:r>
      <w:r w:rsidR="00235493" w:rsidRPr="008B2DDA">
        <w:rPr>
          <w:rStyle w:val="hps"/>
          <w:u w:val="single"/>
        </w:rPr>
        <w:t>déposant soit</w:t>
      </w:r>
      <w:r w:rsidR="004A65DA" w:rsidRPr="008B2DDA">
        <w:rPr>
          <w:rStyle w:val="hps"/>
          <w:u w:val="single"/>
        </w:rPr>
        <w:t xml:space="preserve"> un ressortissant de</w:t>
      </w:r>
      <w:r w:rsidR="00235493" w:rsidRPr="008B2DDA">
        <w:rPr>
          <w:rStyle w:val="hps"/>
          <w:u w:val="single"/>
        </w:rPr>
        <w:t xml:space="preserve"> ladite partie contractante</w:t>
      </w:r>
      <w:r w:rsidR="004A65DA" w:rsidRPr="008B2DDA">
        <w:rPr>
          <w:u w:val="single"/>
        </w:rPr>
        <w:t xml:space="preserve">, </w:t>
      </w:r>
      <w:r w:rsidR="00235493" w:rsidRPr="008B2DDA">
        <w:rPr>
          <w:u w:val="single"/>
        </w:rPr>
        <w:t>qu</w:t>
      </w:r>
      <w:r w:rsidR="00A341C2" w:rsidRPr="008B2DDA">
        <w:rPr>
          <w:u w:val="single"/>
        </w:rPr>
        <w:t>’</w:t>
      </w:r>
      <w:r w:rsidR="00235493" w:rsidRPr="008B2DDA">
        <w:rPr>
          <w:u w:val="single"/>
        </w:rPr>
        <w:t xml:space="preserve">il y soit </w:t>
      </w:r>
      <w:r w:rsidR="004A65DA" w:rsidRPr="008B2DDA">
        <w:rPr>
          <w:u w:val="single"/>
        </w:rPr>
        <w:t xml:space="preserve">domicilié </w:t>
      </w:r>
      <w:r w:rsidR="004A65DA" w:rsidRPr="008B2DDA">
        <w:rPr>
          <w:rStyle w:val="hps"/>
          <w:u w:val="single"/>
        </w:rPr>
        <w:t xml:space="preserve">ou </w:t>
      </w:r>
      <w:r w:rsidR="00235493" w:rsidRPr="008B2DDA">
        <w:rPr>
          <w:rStyle w:val="hps"/>
          <w:u w:val="single"/>
        </w:rPr>
        <w:t>qu</w:t>
      </w:r>
      <w:r w:rsidR="00A341C2" w:rsidRPr="008B2DDA">
        <w:rPr>
          <w:rStyle w:val="hps"/>
          <w:u w:val="single"/>
        </w:rPr>
        <w:t>’</w:t>
      </w:r>
      <w:r w:rsidR="00235493" w:rsidRPr="008B2DDA">
        <w:rPr>
          <w:rStyle w:val="hps"/>
          <w:u w:val="single"/>
        </w:rPr>
        <w:t xml:space="preserve">il y détienne </w:t>
      </w:r>
      <w:r w:rsidR="004A65DA" w:rsidRPr="008B2DDA">
        <w:rPr>
          <w:rStyle w:val="hps"/>
          <w:u w:val="single"/>
        </w:rPr>
        <w:t>un établissement</w:t>
      </w:r>
      <w:r w:rsidR="004A65DA" w:rsidRPr="008B2DDA">
        <w:rPr>
          <w:u w:val="single"/>
        </w:rPr>
        <w:t xml:space="preserve"> </w:t>
      </w:r>
      <w:r w:rsidR="004A65DA" w:rsidRPr="008B2DDA">
        <w:rPr>
          <w:rStyle w:val="hps"/>
          <w:u w:val="single"/>
        </w:rPr>
        <w:t>commercial effectif et sérieux</w:t>
      </w:r>
      <w:r w:rsidRPr="008B2DDA">
        <w:rPr>
          <w:u w:val="single"/>
        </w:rPr>
        <w:t xml:space="preserve">. </w:t>
      </w:r>
      <w:r w:rsidR="00E26A2C" w:rsidRPr="008B2DDA">
        <w:rPr>
          <w:u w:val="single"/>
        </w:rPr>
        <w:t xml:space="preserve"> </w:t>
      </w:r>
      <w:proofErr w:type="gramStart"/>
      <w:r w:rsidR="00540353" w:rsidRPr="008B2DDA">
        <w:rPr>
          <w:strike/>
        </w:rPr>
        <w:t>administration</w:t>
      </w:r>
      <w:proofErr w:type="gramEnd"/>
      <w:r w:rsidR="00540353" w:rsidRPr="008B2DDA">
        <w:rPr>
          <w:strike/>
        </w:rPr>
        <w:t xml:space="preserve"> compétente au nom</w:t>
      </w:r>
      <w:r w:rsidR="00E26A2C" w:rsidRPr="008B2DDA">
        <w:rPr>
          <w:strike/>
        </w:rPr>
        <w:t> </w:t>
      </w:r>
      <w:r w:rsidR="00540353" w:rsidRPr="008B2DDA">
        <w:rPr>
          <w:strike/>
        </w:rPr>
        <w:t>:</w:t>
      </w:r>
    </w:p>
    <w:p w14:paraId="415C7B46" w14:textId="77777777" w:rsidR="007079A8" w:rsidRPr="008B2DDA" w:rsidRDefault="00311638" w:rsidP="008B2DDA">
      <w:pPr>
        <w:rPr>
          <w:strike/>
        </w:rPr>
      </w:pPr>
      <w:r w:rsidRPr="008B2DDA">
        <w:rPr>
          <w:strike/>
        </w:rPr>
        <w:tab/>
      </w:r>
      <w:r w:rsidRPr="008B2DDA">
        <w:rPr>
          <w:strike/>
        </w:rPr>
        <w:tab/>
        <w:t>i)</w:t>
      </w:r>
      <w:r w:rsidRPr="008B2DDA">
        <w:rPr>
          <w:strike/>
        </w:rPr>
        <w:tab/>
      </w:r>
      <w:r w:rsidR="00540353" w:rsidRPr="008B2DDA">
        <w:rPr>
          <w:strike/>
        </w:rPr>
        <w:t>des bénéficiaires</w:t>
      </w:r>
      <w:r w:rsidRPr="008B2DDA">
        <w:rPr>
          <w:strike/>
        </w:rPr>
        <w:t>;</w:t>
      </w:r>
      <w:r w:rsidR="00540353" w:rsidRPr="008B2DDA">
        <w:rPr>
          <w:strike/>
        </w:rPr>
        <w:t xml:space="preserve"> </w:t>
      </w:r>
      <w:r w:rsidRPr="008B2DDA">
        <w:rPr>
          <w:strike/>
        </w:rPr>
        <w:t xml:space="preserve"> </w:t>
      </w:r>
      <w:r w:rsidR="00540353" w:rsidRPr="008B2DDA">
        <w:rPr>
          <w:strike/>
        </w:rPr>
        <w:t>ou</w:t>
      </w:r>
    </w:p>
    <w:p w14:paraId="13F20F6A" w14:textId="1BC3BB67" w:rsidR="007079A8" w:rsidRPr="008B2DDA" w:rsidRDefault="00311638" w:rsidP="008B2DDA">
      <w:pPr>
        <w:rPr>
          <w:iCs/>
          <w:strike/>
        </w:rPr>
      </w:pPr>
      <w:r w:rsidRPr="008B2DDA">
        <w:rPr>
          <w:strike/>
        </w:rPr>
        <w:tab/>
      </w:r>
      <w:r w:rsidRPr="008B2DDA">
        <w:rPr>
          <w:strike/>
        </w:rPr>
        <w:tab/>
        <w:t>ii)</w:t>
      </w:r>
      <w:r w:rsidRPr="008B2DDA">
        <w:rPr>
          <w:strike/>
        </w:rPr>
        <w:tab/>
      </w:r>
      <w:r w:rsidR="00540353" w:rsidRPr="008B2DDA">
        <w:rPr>
          <w:strike/>
        </w:rPr>
        <w:t>d</w:t>
      </w:r>
      <w:r w:rsidR="00A341C2" w:rsidRPr="008B2DDA">
        <w:rPr>
          <w:strike/>
        </w:rPr>
        <w:t>’</w:t>
      </w:r>
      <w:r w:rsidR="00540353" w:rsidRPr="008B2DDA">
        <w:rPr>
          <w:strike/>
        </w:rPr>
        <w:t>une personne morale habilitée à revendiquer les droits des bénéficiaires ou d</w:t>
      </w:r>
      <w:r w:rsidR="00A341C2" w:rsidRPr="008B2DDA">
        <w:rPr>
          <w:strike/>
        </w:rPr>
        <w:t>’</w:t>
      </w:r>
      <w:r w:rsidR="00540353" w:rsidRPr="008B2DDA">
        <w:rPr>
          <w:strike/>
        </w:rPr>
        <w:t>autres droits relatifs à l</w:t>
      </w:r>
      <w:r w:rsidR="00A341C2" w:rsidRPr="008B2DDA">
        <w:rPr>
          <w:strike/>
        </w:rPr>
        <w:t>’</w:t>
      </w:r>
      <w:r w:rsidR="00540353" w:rsidRPr="008B2DDA">
        <w:rPr>
          <w:strike/>
        </w:rPr>
        <w:t>appellation d</w:t>
      </w:r>
      <w:r w:rsidR="00A341C2" w:rsidRPr="008B2DDA">
        <w:rPr>
          <w:strike/>
        </w:rPr>
        <w:t>’</w:t>
      </w:r>
      <w:r w:rsidR="00540353" w:rsidRPr="008B2DDA">
        <w:rPr>
          <w:strike/>
        </w:rPr>
        <w:t>origine ou à l</w:t>
      </w:r>
      <w:r w:rsidR="00A341C2" w:rsidRPr="008B2DDA">
        <w:rPr>
          <w:strike/>
        </w:rPr>
        <w:t>’</w:t>
      </w:r>
      <w:r w:rsidR="00540353" w:rsidRPr="008B2DDA">
        <w:rPr>
          <w:strike/>
        </w:rPr>
        <w:t>indication géographique, telle que, par exemple, une fédération ou une association qui représente les bénéficiaires, ou un groupe de producteurs les représentant, quelle que soit sa composition ou la forme juridique sous laquelle elle se présente.</w:t>
      </w:r>
    </w:p>
    <w:p w14:paraId="24E51C03" w14:textId="77777777" w:rsidR="0080323D" w:rsidRPr="008B2DDA" w:rsidRDefault="0080323D" w:rsidP="008B2DDA">
      <w:pPr>
        <w:rPr>
          <w:strike/>
        </w:rPr>
      </w:pPr>
    </w:p>
    <w:p w14:paraId="48461DF7" w14:textId="1D9214C3" w:rsidR="007079A8" w:rsidRPr="008B2DDA" w:rsidRDefault="00281C15" w:rsidP="008B2DDA">
      <w:pPr>
        <w:rPr>
          <w:strike/>
        </w:rPr>
      </w:pPr>
      <w:r w:rsidRPr="008B2DDA">
        <w:rPr>
          <w:strike/>
        </w:rPr>
        <w:lastRenderedPageBreak/>
        <w:t>3)</w:t>
      </w:r>
      <w:r w:rsidRPr="008B2DDA">
        <w:rPr>
          <w:strike/>
        </w:rPr>
        <w:tab/>
      </w:r>
      <w:r w:rsidRPr="008B2DDA">
        <w:rPr>
          <w:i/>
          <w:strike/>
        </w:rPr>
        <w:t xml:space="preserve">[Demande déposée directement par les bénéficiaires ou par une personne morale] </w:t>
      </w:r>
      <w:r w:rsidRPr="008B2DDA">
        <w:rPr>
          <w:strike/>
        </w:rPr>
        <w:t>a) Si la législation de la partie contractante d</w:t>
      </w:r>
      <w:r w:rsidR="00A341C2" w:rsidRPr="008B2DDA">
        <w:rPr>
          <w:strike/>
        </w:rPr>
        <w:t>’</w:t>
      </w:r>
      <w:r w:rsidRPr="008B2DDA">
        <w:rPr>
          <w:strike/>
        </w:rPr>
        <w:t>origine le permet, la demande peut être déposée par les bénéficiaires ou par la personne morale visée à l</w:t>
      </w:r>
      <w:r w:rsidR="00A341C2" w:rsidRPr="008B2DDA">
        <w:rPr>
          <w:strike/>
        </w:rPr>
        <w:t>’</w:t>
      </w:r>
      <w:r w:rsidRPr="008B2DDA">
        <w:rPr>
          <w:strike/>
        </w:rPr>
        <w:t>alinéa 2</w:t>
      </w:r>
      <w:proofErr w:type="gramStart"/>
      <w:r w:rsidRPr="008B2DDA">
        <w:rPr>
          <w:strike/>
        </w:rPr>
        <w:t>)ii</w:t>
      </w:r>
      <w:proofErr w:type="gramEnd"/>
      <w:r w:rsidRPr="008B2DDA">
        <w:rPr>
          <w:strike/>
        </w:rPr>
        <w:t>).</w:t>
      </w:r>
    </w:p>
    <w:p w14:paraId="44F85902" w14:textId="06F93AAB" w:rsidR="007079A8" w:rsidRPr="008B2DDA" w:rsidRDefault="00281C15" w:rsidP="008B2DDA">
      <w:pPr>
        <w:ind w:firstLine="567"/>
        <w:rPr>
          <w:strike/>
        </w:rPr>
      </w:pPr>
      <w:r w:rsidRPr="008B2DDA">
        <w:rPr>
          <w:strike/>
        </w:rPr>
        <w:t>b)</w:t>
      </w:r>
      <w:r w:rsidRPr="008B2DDA">
        <w:rPr>
          <w:strike/>
        </w:rPr>
        <w:tab/>
        <w:t>Le sous</w:t>
      </w:r>
      <w:r w:rsidR="00D67EA4" w:rsidRPr="008B2DDA">
        <w:rPr>
          <w:strike/>
        </w:rPr>
        <w:noBreakHyphen/>
      </w:r>
      <w:r w:rsidRPr="008B2DDA">
        <w:rPr>
          <w:strike/>
        </w:rPr>
        <w:t>alinéa a) s</w:t>
      </w:r>
      <w:r w:rsidR="00A341C2" w:rsidRPr="008B2DDA">
        <w:rPr>
          <w:strike/>
        </w:rPr>
        <w:t>’</w:t>
      </w:r>
      <w:r w:rsidRPr="008B2DDA">
        <w:rPr>
          <w:strike/>
        </w:rPr>
        <w:t>applique sous réserve d</w:t>
      </w:r>
      <w:r w:rsidR="00A341C2" w:rsidRPr="008B2DDA">
        <w:rPr>
          <w:strike/>
        </w:rPr>
        <w:t>’</w:t>
      </w:r>
      <w:r w:rsidRPr="008B2DDA">
        <w:rPr>
          <w:strike/>
        </w:rPr>
        <w:t>une déclaration de la partie contractante indiquant que sa législation le permet.  Cette déclaration peut être faite par la partie contractante au moment du dépôt de son instrument de ratification ou d</w:t>
      </w:r>
      <w:r w:rsidR="00A341C2" w:rsidRPr="008B2DDA">
        <w:rPr>
          <w:strike/>
        </w:rPr>
        <w:t>’</w:t>
      </w:r>
      <w:r w:rsidRPr="008B2DDA">
        <w:rPr>
          <w:strike/>
        </w:rPr>
        <w:t>adhésion ou à tout moment ultérieur.  Lorsque la déclaration est faite au moment du dépôt de l</w:t>
      </w:r>
      <w:r w:rsidR="00A341C2" w:rsidRPr="008B2DDA">
        <w:rPr>
          <w:strike/>
        </w:rPr>
        <w:t>’</w:t>
      </w:r>
      <w:r w:rsidRPr="008B2DDA">
        <w:rPr>
          <w:strike/>
        </w:rPr>
        <w:t>instrument de ratification ou d</w:t>
      </w:r>
      <w:r w:rsidR="00A341C2" w:rsidRPr="008B2DDA">
        <w:rPr>
          <w:strike/>
        </w:rPr>
        <w:t>’</w:t>
      </w:r>
      <w:r w:rsidRPr="008B2DDA">
        <w:rPr>
          <w:strike/>
        </w:rPr>
        <w:t>adhésion, elle prend effet à l</w:t>
      </w:r>
      <w:r w:rsidR="00A341C2" w:rsidRPr="008B2DDA">
        <w:rPr>
          <w:strike/>
        </w:rPr>
        <w:t>’</w:t>
      </w:r>
      <w:r w:rsidRPr="008B2DDA">
        <w:rPr>
          <w:strike/>
        </w:rPr>
        <w:t xml:space="preserve">entrée en vigueur du présent Acte </w:t>
      </w:r>
      <w:r w:rsidR="00A341C2" w:rsidRPr="008B2DDA">
        <w:rPr>
          <w:strike/>
        </w:rPr>
        <w:t>à l’égard</w:t>
      </w:r>
      <w:r w:rsidRPr="008B2DDA">
        <w:rPr>
          <w:strike/>
        </w:rPr>
        <w:t xml:space="preserve"> de cette partie contractante.  Lorsque la déclaration est faite après l</w:t>
      </w:r>
      <w:r w:rsidR="00A341C2" w:rsidRPr="008B2DDA">
        <w:rPr>
          <w:strike/>
        </w:rPr>
        <w:t>’</w:t>
      </w:r>
      <w:r w:rsidRPr="008B2DDA">
        <w:rPr>
          <w:strike/>
        </w:rPr>
        <w:t xml:space="preserve">entrée en vigueur du présent Acte </w:t>
      </w:r>
      <w:r w:rsidR="00A341C2" w:rsidRPr="008B2DDA">
        <w:rPr>
          <w:strike/>
        </w:rPr>
        <w:t>à l’égard</w:t>
      </w:r>
      <w:r w:rsidRPr="008B2DDA">
        <w:rPr>
          <w:strike/>
        </w:rPr>
        <w:t xml:space="preserve"> de la partie contractante, elle prend effet trois mois après la date à laquelle le Directeur général a reçu la déclaration.</w:t>
      </w:r>
    </w:p>
    <w:p w14:paraId="067B781F" w14:textId="77777777" w:rsidR="007079A8" w:rsidRPr="008B2DDA" w:rsidRDefault="007079A8" w:rsidP="008B2DDA">
      <w:pPr>
        <w:rPr>
          <w:u w:val="single"/>
        </w:rPr>
      </w:pPr>
    </w:p>
    <w:p w14:paraId="49BC014C" w14:textId="77777777" w:rsidR="007079A8" w:rsidRPr="008B2DDA" w:rsidRDefault="007079A8" w:rsidP="00807A13">
      <w:pPr>
        <w:pBdr>
          <w:top w:val="single" w:sz="4" w:space="1" w:color="auto"/>
        </w:pBdr>
        <w:rPr>
          <w:b/>
        </w:rPr>
      </w:pPr>
    </w:p>
    <w:p w14:paraId="4C8A97C0" w14:textId="767E8543" w:rsidR="007079A8" w:rsidRPr="008B2DDA" w:rsidRDefault="00311638" w:rsidP="008B2DDA">
      <w:pPr>
        <w:rPr>
          <w:rStyle w:val="hps"/>
        </w:rPr>
      </w:pPr>
      <w:bookmarkStart w:id="6" w:name="Article_6"/>
      <w:r w:rsidRPr="008B2DDA">
        <w:rPr>
          <w:b/>
        </w:rPr>
        <w:t>Article</w:t>
      </w:r>
      <w:r w:rsidR="00E26A2C" w:rsidRPr="008B2DDA">
        <w:rPr>
          <w:b/>
        </w:rPr>
        <w:t> </w:t>
      </w:r>
      <w:r w:rsidRPr="008B2DDA">
        <w:rPr>
          <w:b/>
        </w:rPr>
        <w:t>6</w:t>
      </w:r>
      <w:r w:rsidR="00D74E17" w:rsidRPr="008B2DDA">
        <w:rPr>
          <w:b/>
        </w:rPr>
        <w:t>.</w:t>
      </w:r>
      <w:r w:rsidRPr="008B2DDA">
        <w:rPr>
          <w:b/>
        </w:rPr>
        <w:t xml:space="preserve">5) </w:t>
      </w:r>
      <w:bookmarkEnd w:id="6"/>
      <w:r w:rsidR="00D74E17" w:rsidRPr="008B2DDA">
        <w:rPr>
          <w:b/>
        </w:rPr>
        <w:t>Date d</w:t>
      </w:r>
      <w:r w:rsidR="00A341C2" w:rsidRPr="008B2DDA">
        <w:rPr>
          <w:b/>
        </w:rPr>
        <w:t>’</w:t>
      </w:r>
      <w:r w:rsidR="00D74E17" w:rsidRPr="008B2DDA">
        <w:rPr>
          <w:b/>
        </w:rPr>
        <w:t>effet de l</w:t>
      </w:r>
      <w:r w:rsidR="00A341C2" w:rsidRPr="008B2DDA">
        <w:rPr>
          <w:b/>
        </w:rPr>
        <w:t>’</w:t>
      </w:r>
      <w:r w:rsidR="00D74E17" w:rsidRPr="008B2DDA">
        <w:rPr>
          <w:b/>
        </w:rPr>
        <w:t>enregistrement international </w:t>
      </w:r>
      <w:r w:rsidRPr="008B2DDA">
        <w:rPr>
          <w:b/>
        </w:rPr>
        <w:t>:</w:t>
      </w:r>
      <w:r w:rsidRPr="008B2DDA">
        <w:t xml:space="preserve"> </w:t>
      </w:r>
      <w:r w:rsidR="004A65DA" w:rsidRPr="008B2DDA">
        <w:rPr>
          <w:rStyle w:val="hps"/>
        </w:rPr>
        <w:t xml:space="preserve">Les </w:t>
      </w:r>
      <w:r w:rsidR="00A64909" w:rsidRPr="008B2DDA">
        <w:rPr>
          <w:rStyle w:val="hps"/>
        </w:rPr>
        <w:t>États</w:t>
      </w:r>
      <w:r w:rsidR="00D67EA4" w:rsidRPr="008B2DDA">
        <w:rPr>
          <w:rStyle w:val="hps"/>
        </w:rPr>
        <w:noBreakHyphen/>
      </w:r>
      <w:r w:rsidR="004A65DA" w:rsidRPr="008B2DDA">
        <w:rPr>
          <w:rStyle w:val="hps"/>
        </w:rPr>
        <w:t xml:space="preserve">Unis </w:t>
      </w:r>
      <w:r w:rsidR="00E26A2C" w:rsidRPr="008B2DDA">
        <w:rPr>
          <w:rStyle w:val="hps"/>
        </w:rPr>
        <w:t>d’Amérique</w:t>
      </w:r>
      <w:r w:rsidR="004A65DA" w:rsidRPr="008B2DDA">
        <w:rPr>
          <w:rStyle w:val="hps"/>
        </w:rPr>
        <w:t xml:space="preserve"> propose</w:t>
      </w:r>
      <w:r w:rsidR="00A64909" w:rsidRPr="008B2DDA">
        <w:rPr>
          <w:rStyle w:val="hps"/>
        </w:rPr>
        <w:t>nt</w:t>
      </w:r>
      <w:r w:rsidR="004A65DA" w:rsidRPr="008B2DDA">
        <w:rPr>
          <w:rStyle w:val="hps"/>
        </w:rPr>
        <w:t xml:space="preserve"> </w:t>
      </w:r>
      <w:r w:rsidR="00A64909" w:rsidRPr="008B2DDA">
        <w:rPr>
          <w:rStyle w:val="hps"/>
        </w:rPr>
        <w:t>d</w:t>
      </w:r>
      <w:r w:rsidR="00A341C2" w:rsidRPr="008B2DDA">
        <w:rPr>
          <w:rStyle w:val="hps"/>
        </w:rPr>
        <w:t>’</w:t>
      </w:r>
      <w:r w:rsidR="00A64909" w:rsidRPr="008B2DDA">
        <w:rPr>
          <w:rStyle w:val="hps"/>
        </w:rPr>
        <w:t>insérer</w:t>
      </w:r>
      <w:r w:rsidR="004A65DA" w:rsidRPr="008B2DDA">
        <w:rPr>
          <w:rStyle w:val="hps"/>
        </w:rPr>
        <w:t xml:space="preserve"> à l</w:t>
      </w:r>
      <w:r w:rsidR="00A341C2" w:rsidRPr="008B2DDA">
        <w:rPr>
          <w:rStyle w:val="hps"/>
        </w:rPr>
        <w:t>’</w:t>
      </w:r>
      <w:r w:rsidR="00A64909" w:rsidRPr="008B2DDA">
        <w:rPr>
          <w:rStyle w:val="hps"/>
        </w:rPr>
        <w:t>article 6.</w:t>
      </w:r>
      <w:r w:rsidR="004A65DA" w:rsidRPr="008B2DDA">
        <w:rPr>
          <w:rStyle w:val="hps"/>
        </w:rPr>
        <w:t xml:space="preserve">5) </w:t>
      </w:r>
      <w:r w:rsidR="00A64909" w:rsidRPr="008B2DDA">
        <w:rPr>
          <w:rStyle w:val="hps"/>
        </w:rPr>
        <w:t>un n</w:t>
      </w:r>
      <w:r w:rsidR="00E31DD2" w:rsidRPr="008B2DDA">
        <w:rPr>
          <w:rStyle w:val="hps"/>
        </w:rPr>
        <w:t>ouveau sous</w:t>
      </w:r>
      <w:r w:rsidR="00D67EA4" w:rsidRPr="008B2DDA">
        <w:rPr>
          <w:rStyle w:val="hps"/>
        </w:rPr>
        <w:noBreakHyphen/>
      </w:r>
      <w:r w:rsidR="00A64909" w:rsidRPr="008B2DDA">
        <w:rPr>
          <w:rStyle w:val="hps"/>
        </w:rPr>
        <w:t>alinéa</w:t>
      </w:r>
      <w:r w:rsidR="00E26A2C" w:rsidRPr="008B2DDA">
        <w:rPr>
          <w:rStyle w:val="hps"/>
        </w:rPr>
        <w:t> </w:t>
      </w:r>
      <w:r w:rsidR="004A65DA" w:rsidRPr="008B2DDA">
        <w:rPr>
          <w:rStyle w:val="hps"/>
        </w:rPr>
        <w:t xml:space="preserve">b) </w:t>
      </w:r>
      <w:r w:rsidR="00A64909" w:rsidRPr="008B2DDA">
        <w:rPr>
          <w:rStyle w:val="hps"/>
        </w:rPr>
        <w:t>précisant</w:t>
      </w:r>
      <w:r w:rsidR="004A65DA" w:rsidRPr="008B2DDA">
        <w:rPr>
          <w:rStyle w:val="hps"/>
        </w:rPr>
        <w:t xml:space="preserve"> que</w:t>
      </w:r>
      <w:r w:rsidR="00A64909" w:rsidRPr="008B2DDA">
        <w:rPr>
          <w:rStyle w:val="hps"/>
        </w:rPr>
        <w:t>,</w:t>
      </w:r>
      <w:r w:rsidR="004A65DA" w:rsidRPr="008B2DDA">
        <w:rPr>
          <w:rStyle w:val="hps"/>
        </w:rPr>
        <w:t xml:space="preserve"> dans le cas de l</w:t>
      </w:r>
      <w:r w:rsidR="00A341C2" w:rsidRPr="008B2DDA">
        <w:rPr>
          <w:rStyle w:val="hps"/>
        </w:rPr>
        <w:t>’</w:t>
      </w:r>
      <w:r w:rsidR="00A64909" w:rsidRPr="008B2DDA">
        <w:rPr>
          <w:rStyle w:val="hps"/>
        </w:rPr>
        <w:t>article 29.</w:t>
      </w:r>
      <w:r w:rsidR="004A65DA" w:rsidRPr="008B2DDA">
        <w:rPr>
          <w:rStyle w:val="hps"/>
        </w:rPr>
        <w:t>4), la date d</w:t>
      </w:r>
      <w:r w:rsidR="00A341C2" w:rsidRPr="008B2DDA">
        <w:rPr>
          <w:rStyle w:val="hps"/>
        </w:rPr>
        <w:t>’</w:t>
      </w:r>
      <w:r w:rsidR="004A65DA" w:rsidRPr="008B2DDA">
        <w:rPr>
          <w:rStyle w:val="hps"/>
        </w:rPr>
        <w:t>effet de l</w:t>
      </w:r>
      <w:r w:rsidR="00A341C2" w:rsidRPr="008B2DDA">
        <w:rPr>
          <w:rStyle w:val="hps"/>
        </w:rPr>
        <w:t>’</w:t>
      </w:r>
      <w:r w:rsidR="004A65DA" w:rsidRPr="008B2DDA">
        <w:rPr>
          <w:rStyle w:val="hps"/>
        </w:rPr>
        <w:t xml:space="preserve">enregistrement international dans </w:t>
      </w:r>
      <w:r w:rsidR="00247FCB" w:rsidRPr="008B2DDA">
        <w:rPr>
          <w:rStyle w:val="hps"/>
        </w:rPr>
        <w:t>une p</w:t>
      </w:r>
      <w:r w:rsidR="004A65DA" w:rsidRPr="008B2DDA">
        <w:rPr>
          <w:rStyle w:val="hps"/>
        </w:rPr>
        <w:t xml:space="preserve">artie contractante </w:t>
      </w:r>
      <w:r w:rsidR="00247FCB" w:rsidRPr="008B2DDA">
        <w:rPr>
          <w:rStyle w:val="hps"/>
        </w:rPr>
        <w:t>nouvellement adhérente doit être</w:t>
      </w:r>
      <w:r w:rsidR="004A65DA" w:rsidRPr="008B2DDA">
        <w:rPr>
          <w:rStyle w:val="hps"/>
        </w:rPr>
        <w:t xml:space="preserve"> la date d</w:t>
      </w:r>
      <w:r w:rsidR="00A341C2" w:rsidRPr="008B2DDA">
        <w:rPr>
          <w:rStyle w:val="hps"/>
        </w:rPr>
        <w:t>’</w:t>
      </w:r>
      <w:r w:rsidR="00247FCB" w:rsidRPr="008B2DDA">
        <w:rPr>
          <w:rStyle w:val="hps"/>
        </w:rPr>
        <w:t>entrée en vigueur</w:t>
      </w:r>
      <w:r w:rsidR="004A65DA" w:rsidRPr="008B2DDA">
        <w:rPr>
          <w:rStyle w:val="hps"/>
        </w:rPr>
        <w:t xml:space="preserve"> ou, le cas échéant, la date indiquée dans la déclaration </w:t>
      </w:r>
      <w:r w:rsidR="00247FCB" w:rsidRPr="008B2DDA">
        <w:rPr>
          <w:rStyle w:val="hps"/>
        </w:rPr>
        <w:t>conformément aux dispositions du nouvel article </w:t>
      </w:r>
      <w:r w:rsidR="00A64909" w:rsidRPr="008B2DDA">
        <w:rPr>
          <w:rStyle w:val="hps"/>
        </w:rPr>
        <w:t>6.5)</w:t>
      </w:r>
      <w:r w:rsidR="004A65DA" w:rsidRPr="008B2DDA">
        <w:rPr>
          <w:rStyle w:val="hps"/>
        </w:rPr>
        <w:t>c).</w:t>
      </w:r>
    </w:p>
    <w:p w14:paraId="7BEC841A" w14:textId="77777777" w:rsidR="007079A8" w:rsidRPr="008B2DDA" w:rsidRDefault="007079A8" w:rsidP="008B2DDA"/>
    <w:p w14:paraId="3B94D41B" w14:textId="338AB91C" w:rsidR="007079A8" w:rsidRPr="008B2DDA" w:rsidRDefault="00311638" w:rsidP="008B2DDA">
      <w:r w:rsidRPr="008B2DDA">
        <w:t>Article</w:t>
      </w:r>
      <w:r w:rsidR="00E26A2C" w:rsidRPr="008B2DDA">
        <w:t> </w:t>
      </w:r>
      <w:r w:rsidRPr="008B2DDA">
        <w:t>6</w:t>
      </w:r>
    </w:p>
    <w:p w14:paraId="5799D09F" w14:textId="77777777" w:rsidR="007079A8" w:rsidRPr="008B2DDA" w:rsidRDefault="007079A8" w:rsidP="008B2DDA"/>
    <w:p w14:paraId="42E5422C" w14:textId="0F02119A" w:rsidR="007079A8" w:rsidRPr="008B2DDA" w:rsidRDefault="00311638" w:rsidP="008B2DDA">
      <w:r w:rsidRPr="008B2DDA">
        <w:t>5)</w:t>
      </w:r>
      <w:r w:rsidRPr="008B2DDA">
        <w:tab/>
      </w:r>
      <w:r w:rsidR="000F6670" w:rsidRPr="008B2DDA">
        <w:rPr>
          <w:i/>
        </w:rPr>
        <w:t>[Date d</w:t>
      </w:r>
      <w:r w:rsidR="00A341C2" w:rsidRPr="008B2DDA">
        <w:rPr>
          <w:i/>
        </w:rPr>
        <w:t>’</w:t>
      </w:r>
      <w:r w:rsidR="000F6670" w:rsidRPr="008B2DDA">
        <w:rPr>
          <w:i/>
        </w:rPr>
        <w:t>effet de l</w:t>
      </w:r>
      <w:r w:rsidR="00A341C2" w:rsidRPr="008B2DDA">
        <w:rPr>
          <w:i/>
        </w:rPr>
        <w:t>’</w:t>
      </w:r>
      <w:r w:rsidR="000F6670" w:rsidRPr="008B2DDA">
        <w:rPr>
          <w:i/>
        </w:rPr>
        <w:t>enregistrement international]</w:t>
      </w:r>
      <w:r w:rsidR="00A54CD5" w:rsidRPr="008B2DDA">
        <w:t xml:space="preserve"> a) </w:t>
      </w:r>
      <w:r w:rsidR="000F6670" w:rsidRPr="008B2DDA">
        <w:t>Sous réserve du sous</w:t>
      </w:r>
      <w:r w:rsidR="00D67EA4" w:rsidRPr="008B2DDA">
        <w:noBreakHyphen/>
      </w:r>
      <w:r w:rsidR="000F6670" w:rsidRPr="008B2DDA">
        <w:t>alinéa b), une appellation d</w:t>
      </w:r>
      <w:r w:rsidR="00A341C2" w:rsidRPr="008B2DDA">
        <w:t>’</w:t>
      </w:r>
      <w:r w:rsidR="000F6670" w:rsidRPr="008B2DDA">
        <w:t>origine ou indication géographique enregistrée est protégée, dans chaque partie contractante qui n</w:t>
      </w:r>
      <w:r w:rsidR="00A341C2" w:rsidRPr="008B2DDA">
        <w:t>’</w:t>
      </w:r>
      <w:r w:rsidR="000F6670" w:rsidRPr="008B2DDA">
        <w:t>a pas refusé la protection conformément à l</w:t>
      </w:r>
      <w:r w:rsidR="00A341C2" w:rsidRPr="008B2DDA">
        <w:t>’</w:t>
      </w:r>
      <w:r w:rsidR="000F6670" w:rsidRPr="008B2DDA">
        <w:t>article 15 ou qui a envoyé au Bureau international une notification d</w:t>
      </w:r>
      <w:r w:rsidR="00A341C2" w:rsidRPr="008B2DDA">
        <w:t>’</w:t>
      </w:r>
      <w:r w:rsidR="000F6670" w:rsidRPr="008B2DDA">
        <w:t>octroi de la protection conformément à l</w:t>
      </w:r>
      <w:r w:rsidR="00A341C2" w:rsidRPr="008B2DDA">
        <w:t>’</w:t>
      </w:r>
      <w:r w:rsidR="000F6670" w:rsidRPr="008B2DDA">
        <w:t>article 18, à compter de la date de l</w:t>
      </w:r>
      <w:r w:rsidR="00A341C2" w:rsidRPr="008B2DDA">
        <w:t>’</w:t>
      </w:r>
      <w:r w:rsidR="000F6670" w:rsidRPr="008B2DDA">
        <w:t>enregistrement international.</w:t>
      </w:r>
    </w:p>
    <w:p w14:paraId="702866BA" w14:textId="654FE882" w:rsidR="007079A8" w:rsidRPr="008B2DDA" w:rsidRDefault="00311638" w:rsidP="008B2DDA">
      <w:pPr>
        <w:ind w:firstLine="567"/>
        <w:rPr>
          <w:u w:val="single"/>
        </w:rPr>
      </w:pPr>
      <w:r w:rsidRPr="008B2DDA">
        <w:rPr>
          <w:u w:val="single"/>
        </w:rPr>
        <w:t>b)</w:t>
      </w:r>
      <w:r w:rsidRPr="008B2DDA">
        <w:rPr>
          <w:u w:val="single"/>
        </w:rPr>
        <w:tab/>
      </w:r>
      <w:r w:rsidR="004A65DA" w:rsidRPr="008B2DDA">
        <w:rPr>
          <w:rStyle w:val="hps"/>
          <w:u w:val="single"/>
        </w:rPr>
        <w:t>Dans le cas</w:t>
      </w:r>
      <w:r w:rsidR="004A65DA" w:rsidRPr="008B2DDA">
        <w:rPr>
          <w:u w:val="single"/>
        </w:rPr>
        <w:t xml:space="preserve"> </w:t>
      </w:r>
      <w:r w:rsidR="004A65DA" w:rsidRPr="008B2DDA">
        <w:rPr>
          <w:rStyle w:val="hps"/>
          <w:u w:val="single"/>
        </w:rPr>
        <w:t>de l</w:t>
      </w:r>
      <w:r w:rsidR="00A341C2" w:rsidRPr="008B2DDA">
        <w:rPr>
          <w:rStyle w:val="hps"/>
          <w:u w:val="single"/>
        </w:rPr>
        <w:t>’</w:t>
      </w:r>
      <w:r w:rsidR="004A65DA" w:rsidRPr="008B2DDA">
        <w:rPr>
          <w:rStyle w:val="hps"/>
          <w:u w:val="single"/>
        </w:rPr>
        <w:t>article</w:t>
      </w:r>
      <w:r w:rsidR="00247FCB" w:rsidRPr="008B2DDA">
        <w:rPr>
          <w:u w:val="single"/>
        </w:rPr>
        <w:t> </w:t>
      </w:r>
      <w:r w:rsidR="004A65DA" w:rsidRPr="008B2DDA">
        <w:rPr>
          <w:rStyle w:val="hps"/>
          <w:u w:val="single"/>
        </w:rPr>
        <w:t>29</w:t>
      </w:r>
      <w:r w:rsidR="00247FCB" w:rsidRPr="008B2DDA">
        <w:rPr>
          <w:u w:val="single"/>
        </w:rPr>
        <w:t>.</w:t>
      </w:r>
      <w:r w:rsidR="004A65DA" w:rsidRPr="008B2DDA">
        <w:rPr>
          <w:u w:val="single"/>
        </w:rPr>
        <w:t xml:space="preserve">4), </w:t>
      </w:r>
      <w:r w:rsidR="004A65DA" w:rsidRPr="008B2DDA">
        <w:rPr>
          <w:rStyle w:val="hps"/>
          <w:u w:val="single"/>
        </w:rPr>
        <w:t>la date d</w:t>
      </w:r>
      <w:r w:rsidR="00A341C2" w:rsidRPr="008B2DDA">
        <w:rPr>
          <w:rStyle w:val="hps"/>
          <w:u w:val="single"/>
        </w:rPr>
        <w:t>’</w:t>
      </w:r>
      <w:r w:rsidR="004A65DA" w:rsidRPr="008B2DDA">
        <w:rPr>
          <w:rStyle w:val="hps"/>
          <w:u w:val="single"/>
        </w:rPr>
        <w:t>effet</w:t>
      </w:r>
      <w:r w:rsidR="004A65DA" w:rsidRPr="008B2DDA">
        <w:rPr>
          <w:u w:val="single"/>
        </w:rPr>
        <w:t xml:space="preserve"> </w:t>
      </w:r>
      <w:r w:rsidR="004A65DA" w:rsidRPr="008B2DDA">
        <w:rPr>
          <w:rStyle w:val="hps"/>
          <w:u w:val="single"/>
        </w:rPr>
        <w:t>de l</w:t>
      </w:r>
      <w:r w:rsidR="00A341C2" w:rsidRPr="008B2DDA">
        <w:rPr>
          <w:rStyle w:val="hps"/>
          <w:u w:val="single"/>
        </w:rPr>
        <w:t>’</w:t>
      </w:r>
      <w:r w:rsidR="004A65DA" w:rsidRPr="008B2DDA">
        <w:rPr>
          <w:rStyle w:val="hps"/>
          <w:u w:val="single"/>
        </w:rPr>
        <w:t>enregistrement international</w:t>
      </w:r>
      <w:r w:rsidR="004A65DA" w:rsidRPr="008B2DDA">
        <w:rPr>
          <w:u w:val="single"/>
        </w:rPr>
        <w:t xml:space="preserve"> </w:t>
      </w:r>
      <w:r w:rsidR="004A65DA" w:rsidRPr="008B2DDA">
        <w:rPr>
          <w:rStyle w:val="hps"/>
          <w:u w:val="single"/>
        </w:rPr>
        <w:t>dans une partie contractante</w:t>
      </w:r>
      <w:r w:rsidR="004A65DA" w:rsidRPr="008B2DDA">
        <w:rPr>
          <w:u w:val="single"/>
        </w:rPr>
        <w:t xml:space="preserve"> </w:t>
      </w:r>
      <w:r w:rsidR="004A65DA" w:rsidRPr="008B2DDA">
        <w:rPr>
          <w:rStyle w:val="hps"/>
          <w:u w:val="single"/>
        </w:rPr>
        <w:t>nouvellement</w:t>
      </w:r>
      <w:r w:rsidR="004A65DA" w:rsidRPr="008B2DDA">
        <w:rPr>
          <w:u w:val="single"/>
        </w:rPr>
        <w:t xml:space="preserve"> </w:t>
      </w:r>
      <w:r w:rsidR="00247FCB" w:rsidRPr="008B2DDA">
        <w:rPr>
          <w:rStyle w:val="hps"/>
          <w:u w:val="single"/>
        </w:rPr>
        <w:t>adhérente doit être</w:t>
      </w:r>
      <w:r w:rsidR="004A65DA" w:rsidRPr="008B2DDA">
        <w:rPr>
          <w:rStyle w:val="hps"/>
          <w:u w:val="single"/>
        </w:rPr>
        <w:t xml:space="preserve"> la date</w:t>
      </w:r>
      <w:r w:rsidR="004A65DA" w:rsidRPr="008B2DDA">
        <w:rPr>
          <w:u w:val="single"/>
        </w:rPr>
        <w:t xml:space="preserve"> </w:t>
      </w:r>
      <w:r w:rsidR="00247FCB" w:rsidRPr="008B2DDA">
        <w:rPr>
          <w:rStyle w:val="hps"/>
          <w:u w:val="single"/>
        </w:rPr>
        <w:t>d</w:t>
      </w:r>
      <w:r w:rsidR="00A341C2" w:rsidRPr="008B2DDA">
        <w:rPr>
          <w:rStyle w:val="hps"/>
          <w:u w:val="single"/>
        </w:rPr>
        <w:t>’</w:t>
      </w:r>
      <w:r w:rsidR="00247FCB" w:rsidRPr="008B2DDA">
        <w:rPr>
          <w:rStyle w:val="hps"/>
          <w:u w:val="single"/>
        </w:rPr>
        <w:t>entrée en vigueur</w:t>
      </w:r>
      <w:r w:rsidR="007D3847" w:rsidRPr="008B2DDA">
        <w:rPr>
          <w:rStyle w:val="hps"/>
          <w:u w:val="single"/>
        </w:rPr>
        <w:t xml:space="preserve"> sur</w:t>
      </w:r>
      <w:r w:rsidR="004A65DA" w:rsidRPr="008B2DDA">
        <w:rPr>
          <w:rStyle w:val="hps"/>
          <w:u w:val="single"/>
        </w:rPr>
        <w:t xml:space="preserve"> ce territoire</w:t>
      </w:r>
      <w:r w:rsidR="004A65DA" w:rsidRPr="008B2DDA">
        <w:rPr>
          <w:u w:val="single"/>
        </w:rPr>
        <w:t xml:space="preserve">, sous réserve de </w:t>
      </w:r>
      <w:r w:rsidR="004A65DA" w:rsidRPr="008B2DDA">
        <w:rPr>
          <w:rStyle w:val="hps"/>
          <w:u w:val="single"/>
        </w:rPr>
        <w:t>toute déclaration faite</w:t>
      </w:r>
      <w:r w:rsidR="004A65DA" w:rsidRPr="008B2DDA">
        <w:rPr>
          <w:u w:val="single"/>
        </w:rPr>
        <w:t xml:space="preserve"> </w:t>
      </w:r>
      <w:r w:rsidR="00E31DD2" w:rsidRPr="008B2DDA">
        <w:rPr>
          <w:rStyle w:val="hps"/>
          <w:u w:val="single"/>
        </w:rPr>
        <w:t>au sous</w:t>
      </w:r>
      <w:r w:rsidR="00D67EA4" w:rsidRPr="008B2DDA">
        <w:rPr>
          <w:rStyle w:val="hps"/>
          <w:u w:val="single"/>
        </w:rPr>
        <w:noBreakHyphen/>
      </w:r>
      <w:r w:rsidR="00E31DD2" w:rsidRPr="008B2DDA">
        <w:rPr>
          <w:rStyle w:val="hps"/>
          <w:u w:val="single"/>
        </w:rPr>
        <w:t>alinéa</w:t>
      </w:r>
      <w:r w:rsidR="00E26A2C" w:rsidRPr="008B2DDA">
        <w:rPr>
          <w:rStyle w:val="hps"/>
          <w:u w:val="single"/>
        </w:rPr>
        <w:t> </w:t>
      </w:r>
      <w:r w:rsidR="004A65DA" w:rsidRPr="008B2DDA">
        <w:rPr>
          <w:u w:val="single"/>
        </w:rPr>
        <w:t>c).</w:t>
      </w:r>
    </w:p>
    <w:p w14:paraId="58F9D81E" w14:textId="538BACA7" w:rsidR="007079A8" w:rsidRPr="008B2DDA" w:rsidRDefault="00311638" w:rsidP="008B2DDA">
      <w:pPr>
        <w:ind w:firstLine="567"/>
      </w:pPr>
      <w:proofErr w:type="spellStart"/>
      <w:proofErr w:type="gramStart"/>
      <w:r w:rsidRPr="008B2DDA">
        <w:rPr>
          <w:strike/>
        </w:rPr>
        <w:t>b</w:t>
      </w:r>
      <w:r w:rsidRPr="008B2DDA">
        <w:rPr>
          <w:u w:val="single"/>
        </w:rPr>
        <w:t>c</w:t>
      </w:r>
      <w:proofErr w:type="spellEnd"/>
      <w:proofErr w:type="gramEnd"/>
      <w:r w:rsidRPr="008B2DDA">
        <w:t>)</w:t>
      </w:r>
      <w:r w:rsidRPr="008B2DDA">
        <w:tab/>
      </w:r>
      <w:r w:rsidR="000F6670" w:rsidRPr="008B2DDA">
        <w:t>Toute partie contractante peut, dans une déclaration, notifier au Directeur général que, conformément à sa législation nationale ou régionale, une indication géographique ou appellation d</w:t>
      </w:r>
      <w:r w:rsidR="00A341C2" w:rsidRPr="008B2DDA">
        <w:t>’</w:t>
      </w:r>
      <w:r w:rsidR="000F6670" w:rsidRPr="008B2DDA">
        <w:t>origine enregistrée est protégée à compter d</w:t>
      </w:r>
      <w:r w:rsidR="00A341C2" w:rsidRPr="008B2DDA">
        <w:t>’</w:t>
      </w:r>
      <w:r w:rsidR="000F6670" w:rsidRPr="008B2DDA">
        <w:t>une date qui est mentionnée dans la déclaration, cette date ne pouvant toutefois être postérieure à la date d</w:t>
      </w:r>
      <w:r w:rsidR="00A341C2" w:rsidRPr="008B2DDA">
        <w:t>’</w:t>
      </w:r>
      <w:r w:rsidR="000F6670" w:rsidRPr="008B2DDA">
        <w:t>expiration du délai de refus prescrit dans le règlement d</w:t>
      </w:r>
      <w:r w:rsidR="00A341C2" w:rsidRPr="008B2DDA">
        <w:t>’</w:t>
      </w:r>
      <w:r w:rsidR="000F6670" w:rsidRPr="008B2DDA">
        <w:t>exécution conformément à l</w:t>
      </w:r>
      <w:r w:rsidR="00A341C2" w:rsidRPr="008B2DDA">
        <w:t>’</w:t>
      </w:r>
      <w:r w:rsidR="000F6670" w:rsidRPr="008B2DDA">
        <w:t>article 15.1)a).</w:t>
      </w:r>
    </w:p>
    <w:p w14:paraId="03E4DC21" w14:textId="77777777" w:rsidR="007079A8" w:rsidRPr="008B2DDA" w:rsidRDefault="007079A8" w:rsidP="008B2DDA">
      <w:pPr>
        <w:rPr>
          <w:b/>
        </w:rPr>
      </w:pPr>
      <w:bookmarkStart w:id="7" w:name="Article_7"/>
    </w:p>
    <w:p w14:paraId="7DDDA0AC" w14:textId="77777777" w:rsidR="007079A8" w:rsidRPr="008B2DDA" w:rsidRDefault="007079A8" w:rsidP="00807A13">
      <w:pPr>
        <w:pBdr>
          <w:top w:val="single" w:sz="4" w:space="1" w:color="auto"/>
        </w:pBdr>
        <w:rPr>
          <w:b/>
        </w:rPr>
      </w:pPr>
    </w:p>
    <w:p w14:paraId="3A69D9A6" w14:textId="3704765E" w:rsidR="007079A8" w:rsidRPr="008B2DDA" w:rsidRDefault="007D3847" w:rsidP="008B2DDA">
      <w:r w:rsidRPr="008B2DDA">
        <w:rPr>
          <w:b/>
        </w:rPr>
        <w:t>Article </w:t>
      </w:r>
      <w:r w:rsidR="00311638" w:rsidRPr="008B2DDA">
        <w:rPr>
          <w:b/>
        </w:rPr>
        <w:t xml:space="preserve">7 </w:t>
      </w:r>
      <w:bookmarkEnd w:id="7"/>
      <w:r w:rsidRPr="008B2DDA">
        <w:rPr>
          <w:b/>
        </w:rPr>
        <w:t>Taxe de maintien en vigueur </w:t>
      </w:r>
      <w:r w:rsidR="00311638" w:rsidRPr="008B2DDA">
        <w:rPr>
          <w:b/>
        </w:rPr>
        <w:t>:</w:t>
      </w:r>
      <w:r w:rsidR="00311638" w:rsidRPr="008B2DDA">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4A65DA" w:rsidRPr="008B2DDA">
        <w:rPr>
          <w:rStyle w:val="hps"/>
        </w:rPr>
        <w:t>d</w:t>
      </w:r>
      <w:r w:rsidR="00A341C2" w:rsidRPr="008B2DDA">
        <w:rPr>
          <w:rStyle w:val="hps"/>
        </w:rPr>
        <w:t>’</w:t>
      </w:r>
      <w:r w:rsidR="004A65DA" w:rsidRPr="008B2DDA">
        <w:rPr>
          <w:rStyle w:val="hps"/>
        </w:rPr>
        <w:t>Amérique</w:t>
      </w:r>
      <w:r w:rsidR="004A65DA" w:rsidRPr="008B2DDA">
        <w:t xml:space="preserve"> approuvent </w:t>
      </w:r>
      <w:r w:rsidR="00A54CD5" w:rsidRPr="008B2DDA">
        <w:rPr>
          <w:rStyle w:val="hps"/>
        </w:rPr>
        <w:t>la variante </w:t>
      </w:r>
      <w:r w:rsidR="004A65DA" w:rsidRPr="008B2DDA">
        <w:rPr>
          <w:rStyle w:val="hps"/>
        </w:rPr>
        <w:t>A</w:t>
      </w:r>
      <w:r w:rsidR="004A65DA" w:rsidRPr="008B2DDA">
        <w:t xml:space="preserve"> </w:t>
      </w:r>
      <w:r w:rsidR="004A65DA" w:rsidRPr="008B2DDA">
        <w:rPr>
          <w:rStyle w:val="hps"/>
        </w:rPr>
        <w:t>de l</w:t>
      </w:r>
      <w:r w:rsidR="00A341C2" w:rsidRPr="008B2DDA">
        <w:rPr>
          <w:rStyle w:val="hps"/>
        </w:rPr>
        <w:t>’</w:t>
      </w:r>
      <w:r w:rsidR="004A65DA" w:rsidRPr="008B2DDA">
        <w:rPr>
          <w:rStyle w:val="hps"/>
        </w:rPr>
        <w:t>article</w:t>
      </w:r>
      <w:r w:rsidR="004A65DA" w:rsidRPr="008B2DDA">
        <w:t> </w:t>
      </w:r>
      <w:r w:rsidR="004A65DA" w:rsidRPr="008B2DDA">
        <w:rPr>
          <w:rStyle w:val="hps"/>
        </w:rPr>
        <w:t>7</w:t>
      </w:r>
      <w:r w:rsidR="00247FCB" w:rsidRPr="008B2DDA">
        <w:t>.</w:t>
      </w:r>
      <w:r w:rsidR="004A65DA" w:rsidRPr="008B2DDA">
        <w:t xml:space="preserve">3) avec la </w:t>
      </w:r>
      <w:r w:rsidR="00247FCB" w:rsidRPr="008B2DDA">
        <w:rPr>
          <w:rStyle w:val="hps"/>
        </w:rPr>
        <w:t>proposition de modification</w:t>
      </w:r>
      <w:r w:rsidR="004A65DA" w:rsidRPr="008B2DDA">
        <w:rPr>
          <w:rStyle w:val="hps"/>
        </w:rPr>
        <w:t xml:space="preserve"> suivante</w:t>
      </w:r>
      <w:r w:rsidR="00311638" w:rsidRPr="008B2DDA">
        <w:t>.</w:t>
      </w:r>
    </w:p>
    <w:p w14:paraId="09CF9631" w14:textId="77777777" w:rsidR="007079A8" w:rsidRPr="008B2DDA" w:rsidRDefault="007079A8" w:rsidP="008B2DDA"/>
    <w:p w14:paraId="7BC183F4" w14:textId="062A9DC0" w:rsidR="007079A8" w:rsidRPr="008B2DDA" w:rsidRDefault="00311638" w:rsidP="008B2DDA">
      <w:r w:rsidRPr="008B2DDA">
        <w:t>Article</w:t>
      </w:r>
      <w:r w:rsidR="00E26A2C" w:rsidRPr="008B2DDA">
        <w:t> </w:t>
      </w:r>
      <w:r w:rsidRPr="008B2DDA">
        <w:t>7</w:t>
      </w:r>
    </w:p>
    <w:p w14:paraId="49F023A6" w14:textId="77777777" w:rsidR="007079A8" w:rsidRPr="008B2DDA" w:rsidRDefault="007079A8" w:rsidP="008B2DDA">
      <w:pPr>
        <w:rPr>
          <w:u w:val="single"/>
        </w:rPr>
      </w:pPr>
    </w:p>
    <w:p w14:paraId="1C946276" w14:textId="77777777" w:rsidR="007079A8" w:rsidRPr="008B2DDA" w:rsidRDefault="00862C2F" w:rsidP="008B2DDA">
      <w:pPr>
        <w:rPr>
          <w:u w:val="single"/>
        </w:rPr>
      </w:pPr>
      <w:r w:rsidRPr="008B2DDA">
        <w:rPr>
          <w:u w:val="single"/>
        </w:rPr>
        <w:t>VARIANTE A</w:t>
      </w:r>
    </w:p>
    <w:p w14:paraId="03920377" w14:textId="77777777" w:rsidR="007079A8" w:rsidRPr="008B2DDA" w:rsidRDefault="007079A8" w:rsidP="008B2DDA"/>
    <w:p w14:paraId="139BA15C" w14:textId="2BF27E2E" w:rsidR="007079A8" w:rsidRPr="008B2DDA" w:rsidRDefault="00862C2F" w:rsidP="008B2DDA">
      <w:pPr>
        <w:rPr>
          <w:u w:val="single"/>
        </w:rPr>
      </w:pPr>
      <w:r w:rsidRPr="008B2DDA">
        <w:t>3)</w:t>
      </w:r>
      <w:r w:rsidRPr="008B2DDA">
        <w:tab/>
      </w:r>
      <w:r w:rsidRPr="008B2DDA">
        <w:rPr>
          <w:i/>
        </w:rPr>
        <w:t>[Taxe de maintien en vigueur]</w:t>
      </w:r>
      <w:r w:rsidRPr="008B2DDA">
        <w:t xml:space="preserve"> L</w:t>
      </w:r>
      <w:r w:rsidR="00A341C2" w:rsidRPr="008B2DDA">
        <w:t>’</w:t>
      </w:r>
      <w:r w:rsidRPr="008B2DDA">
        <w:t>Assemblée établit une taxe à payer pour le maintien en vigueur de chaque enregistrement international, d</w:t>
      </w:r>
      <w:r w:rsidR="00A341C2" w:rsidRPr="008B2DDA">
        <w:t>’</w:t>
      </w:r>
      <w:r w:rsidRPr="008B2DDA">
        <w:t>un montant déterminé par la mesure dans laquelle les recettes provenant des sources mentionnées à l</w:t>
      </w:r>
      <w:r w:rsidR="00A341C2" w:rsidRPr="008B2DDA">
        <w:t>’</w:t>
      </w:r>
      <w:r w:rsidRPr="008B2DDA">
        <w:t>article 24.3)i) et iii) à v) ne suffisent pas à couvrir les dépenses de l</w:t>
      </w:r>
      <w:r w:rsidR="00A341C2" w:rsidRPr="008B2DDA">
        <w:t>’</w:t>
      </w:r>
      <w:r w:rsidRPr="008B2DDA">
        <w:t xml:space="preserve">Union particulière. </w:t>
      </w:r>
      <w:r w:rsidR="00311638" w:rsidRPr="008B2DDA">
        <w:t xml:space="preserve"> </w:t>
      </w:r>
      <w:r w:rsidR="004A65DA" w:rsidRPr="008B2DDA">
        <w:rPr>
          <w:rStyle w:val="hps"/>
          <w:u w:val="single"/>
        </w:rPr>
        <w:t>Les règlements peuvent préciser</w:t>
      </w:r>
      <w:r w:rsidR="004A65DA" w:rsidRPr="008B2DDA">
        <w:rPr>
          <w:u w:val="single"/>
        </w:rPr>
        <w:t xml:space="preserve"> </w:t>
      </w:r>
      <w:r w:rsidR="009F24AB" w:rsidRPr="008B2DDA">
        <w:rPr>
          <w:rStyle w:val="hps"/>
          <w:u w:val="single"/>
        </w:rPr>
        <w:t xml:space="preserve">les taxes de maintien en vigueur </w:t>
      </w:r>
      <w:r w:rsidR="004A65DA" w:rsidRPr="008B2DDA">
        <w:rPr>
          <w:rStyle w:val="hps"/>
          <w:u w:val="single"/>
        </w:rPr>
        <w:t>à payer</w:t>
      </w:r>
      <w:r w:rsidR="004A65DA" w:rsidRPr="008B2DDA">
        <w:rPr>
          <w:u w:val="single"/>
        </w:rPr>
        <w:t xml:space="preserve"> </w:t>
      </w:r>
      <w:r w:rsidR="004A65DA" w:rsidRPr="008B2DDA">
        <w:rPr>
          <w:rStyle w:val="hps"/>
          <w:u w:val="single"/>
        </w:rPr>
        <w:t>et le calendrier</w:t>
      </w:r>
      <w:r w:rsidR="004A65DA" w:rsidRPr="008B2DDA">
        <w:rPr>
          <w:u w:val="single"/>
        </w:rPr>
        <w:t xml:space="preserve"> </w:t>
      </w:r>
      <w:r w:rsidR="004A65DA" w:rsidRPr="008B2DDA">
        <w:rPr>
          <w:rStyle w:val="hps"/>
          <w:u w:val="single"/>
        </w:rPr>
        <w:t xml:space="preserve">de ces </w:t>
      </w:r>
      <w:r w:rsidR="009F24AB" w:rsidRPr="008B2DDA">
        <w:rPr>
          <w:rStyle w:val="hps"/>
          <w:u w:val="single"/>
        </w:rPr>
        <w:t>taxes</w:t>
      </w:r>
      <w:r w:rsidR="004A65DA" w:rsidRPr="008B2DDA">
        <w:rPr>
          <w:u w:val="single"/>
        </w:rPr>
        <w:t xml:space="preserve">. </w:t>
      </w:r>
      <w:r w:rsidR="009F24AB" w:rsidRPr="008B2DDA">
        <w:rPr>
          <w:u w:val="single"/>
        </w:rPr>
        <w:t xml:space="preserve"> </w:t>
      </w:r>
      <w:r w:rsidR="009F24AB" w:rsidRPr="008B2DDA">
        <w:rPr>
          <w:rStyle w:val="hps"/>
          <w:u w:val="single"/>
        </w:rPr>
        <w:t>En ce qui concerne</w:t>
      </w:r>
      <w:r w:rsidR="004A65DA" w:rsidRPr="008B2DDA">
        <w:rPr>
          <w:u w:val="single"/>
        </w:rPr>
        <w:t xml:space="preserve"> </w:t>
      </w:r>
      <w:r w:rsidR="004A65DA" w:rsidRPr="008B2DDA">
        <w:rPr>
          <w:rStyle w:val="hps"/>
          <w:u w:val="single"/>
        </w:rPr>
        <w:t>les appellations</w:t>
      </w:r>
      <w:r w:rsidR="004A65DA" w:rsidRPr="008B2DDA">
        <w:rPr>
          <w:u w:val="single"/>
        </w:rPr>
        <w:t xml:space="preserve"> </w:t>
      </w:r>
      <w:r w:rsidR="004A65DA" w:rsidRPr="008B2DDA">
        <w:rPr>
          <w:rStyle w:val="hps"/>
          <w:u w:val="single"/>
        </w:rPr>
        <w:t>d</w:t>
      </w:r>
      <w:r w:rsidR="00A341C2" w:rsidRPr="008B2DDA">
        <w:rPr>
          <w:rStyle w:val="hps"/>
          <w:u w:val="single"/>
        </w:rPr>
        <w:t>’</w:t>
      </w:r>
      <w:r w:rsidR="004A65DA" w:rsidRPr="008B2DDA">
        <w:rPr>
          <w:rStyle w:val="hps"/>
          <w:u w:val="single"/>
        </w:rPr>
        <w:t xml:space="preserve">origine </w:t>
      </w:r>
      <w:r w:rsidR="009F24AB" w:rsidRPr="008B2DDA">
        <w:rPr>
          <w:rStyle w:val="hps"/>
          <w:u w:val="single"/>
        </w:rPr>
        <w:t xml:space="preserve">déjà </w:t>
      </w:r>
      <w:r w:rsidR="004A65DA" w:rsidRPr="008B2DDA">
        <w:rPr>
          <w:rStyle w:val="hps"/>
          <w:u w:val="single"/>
        </w:rPr>
        <w:t>enregistrées</w:t>
      </w:r>
      <w:r w:rsidR="004A65DA" w:rsidRPr="008B2DDA">
        <w:rPr>
          <w:u w:val="single"/>
        </w:rPr>
        <w:t xml:space="preserve">, </w:t>
      </w:r>
      <w:r w:rsidR="004A65DA" w:rsidRPr="008B2DDA">
        <w:rPr>
          <w:rStyle w:val="hps"/>
          <w:u w:val="single"/>
        </w:rPr>
        <w:t xml:space="preserve">ces </w:t>
      </w:r>
      <w:r w:rsidR="009F24AB" w:rsidRPr="008B2DDA">
        <w:rPr>
          <w:rStyle w:val="hps"/>
          <w:u w:val="single"/>
        </w:rPr>
        <w:t>taxes de maintien en vigueur</w:t>
      </w:r>
      <w:r w:rsidR="004A65DA" w:rsidRPr="008B2DDA">
        <w:rPr>
          <w:rStyle w:val="hps"/>
          <w:u w:val="single"/>
        </w:rPr>
        <w:t xml:space="preserve"> </w:t>
      </w:r>
      <w:r w:rsidR="009F24AB" w:rsidRPr="008B2DDA">
        <w:rPr>
          <w:rStyle w:val="hps"/>
          <w:u w:val="single"/>
        </w:rPr>
        <w:t xml:space="preserve">doivent être </w:t>
      </w:r>
      <w:r w:rsidR="00BE2682" w:rsidRPr="008B2DDA">
        <w:rPr>
          <w:rStyle w:val="hps"/>
          <w:u w:val="single"/>
        </w:rPr>
        <w:t>acquittées</w:t>
      </w:r>
      <w:r w:rsidR="004A65DA" w:rsidRPr="008B2DDA">
        <w:rPr>
          <w:u w:val="single"/>
        </w:rPr>
        <w:t xml:space="preserve"> </w:t>
      </w:r>
      <w:r w:rsidR="009F24AB" w:rsidRPr="008B2DDA">
        <w:rPr>
          <w:rStyle w:val="hps"/>
          <w:u w:val="single"/>
        </w:rPr>
        <w:t>avant l</w:t>
      </w:r>
      <w:r w:rsidR="00A341C2" w:rsidRPr="008B2DDA">
        <w:rPr>
          <w:rStyle w:val="hps"/>
          <w:u w:val="single"/>
        </w:rPr>
        <w:t>’</w:t>
      </w:r>
      <w:r w:rsidR="009F24AB" w:rsidRPr="008B2DDA">
        <w:rPr>
          <w:rStyle w:val="hps"/>
          <w:u w:val="single"/>
        </w:rPr>
        <w:t>expiration d</w:t>
      </w:r>
      <w:r w:rsidR="00A341C2" w:rsidRPr="008B2DDA">
        <w:rPr>
          <w:rStyle w:val="hps"/>
          <w:u w:val="single"/>
        </w:rPr>
        <w:t>’</w:t>
      </w:r>
      <w:r w:rsidR="009F24AB" w:rsidRPr="008B2DDA">
        <w:rPr>
          <w:rStyle w:val="hps"/>
          <w:u w:val="single"/>
        </w:rPr>
        <w:t>un délai d</w:t>
      </w:r>
      <w:r w:rsidR="00A341C2" w:rsidRPr="008B2DDA">
        <w:rPr>
          <w:rStyle w:val="hps"/>
          <w:u w:val="single"/>
        </w:rPr>
        <w:t>’</w:t>
      </w:r>
      <w:r w:rsidR="009F24AB" w:rsidRPr="008B2DDA">
        <w:rPr>
          <w:rStyle w:val="hps"/>
          <w:u w:val="single"/>
        </w:rPr>
        <w:t>une année à compter de l</w:t>
      </w:r>
      <w:r w:rsidR="00A341C2" w:rsidRPr="008B2DDA">
        <w:rPr>
          <w:rStyle w:val="hps"/>
          <w:u w:val="single"/>
        </w:rPr>
        <w:t>’</w:t>
      </w:r>
      <w:r w:rsidR="009F24AB" w:rsidRPr="008B2DDA">
        <w:rPr>
          <w:rStyle w:val="hps"/>
          <w:u w:val="single"/>
        </w:rPr>
        <w:t>entrée en vigueur du nouvel Acte</w:t>
      </w:r>
      <w:r w:rsidR="004A65DA" w:rsidRPr="008B2DDA">
        <w:rPr>
          <w:u w:val="single"/>
        </w:rPr>
        <w:t xml:space="preserve">, </w:t>
      </w:r>
      <w:r w:rsidR="004A65DA" w:rsidRPr="008B2DDA">
        <w:rPr>
          <w:rStyle w:val="hps"/>
          <w:u w:val="single"/>
        </w:rPr>
        <w:t>et si</w:t>
      </w:r>
      <w:r w:rsidR="004A65DA" w:rsidRPr="008B2DDA">
        <w:rPr>
          <w:u w:val="single"/>
        </w:rPr>
        <w:t xml:space="preserve"> </w:t>
      </w:r>
      <w:r w:rsidR="009F24AB" w:rsidRPr="008B2DDA">
        <w:rPr>
          <w:rStyle w:val="hps"/>
          <w:u w:val="single"/>
        </w:rPr>
        <w:t>elles ne sont pas acquittées</w:t>
      </w:r>
      <w:r w:rsidR="004A65DA" w:rsidRPr="008B2DDA">
        <w:rPr>
          <w:u w:val="single"/>
        </w:rPr>
        <w:t xml:space="preserve">, </w:t>
      </w:r>
      <w:r w:rsidR="004A65DA" w:rsidRPr="008B2DDA">
        <w:rPr>
          <w:rStyle w:val="hps"/>
          <w:u w:val="single"/>
        </w:rPr>
        <w:t>l</w:t>
      </w:r>
      <w:r w:rsidR="00A341C2" w:rsidRPr="008B2DDA">
        <w:rPr>
          <w:rStyle w:val="hps"/>
          <w:u w:val="single"/>
        </w:rPr>
        <w:t>’</w:t>
      </w:r>
      <w:r w:rsidR="004A65DA" w:rsidRPr="008B2DDA">
        <w:rPr>
          <w:rStyle w:val="hps"/>
          <w:u w:val="single"/>
        </w:rPr>
        <w:t>enregistrement international</w:t>
      </w:r>
      <w:r w:rsidR="004A65DA" w:rsidRPr="008B2DDA">
        <w:rPr>
          <w:u w:val="single"/>
        </w:rPr>
        <w:t xml:space="preserve"> </w:t>
      </w:r>
      <w:r w:rsidR="004A65DA" w:rsidRPr="008B2DDA">
        <w:rPr>
          <w:rStyle w:val="hps"/>
          <w:u w:val="single"/>
        </w:rPr>
        <w:t xml:space="preserve">sera considéré comme </w:t>
      </w:r>
      <w:r w:rsidR="009F24AB" w:rsidRPr="008B2DDA">
        <w:rPr>
          <w:rStyle w:val="hps"/>
          <w:u w:val="single"/>
        </w:rPr>
        <w:t>radié</w:t>
      </w:r>
      <w:r w:rsidR="004A65DA" w:rsidRPr="008B2DDA">
        <w:rPr>
          <w:u w:val="single"/>
        </w:rPr>
        <w:t xml:space="preserve">. </w:t>
      </w:r>
      <w:r w:rsidR="009F24AB" w:rsidRPr="008B2DDA">
        <w:rPr>
          <w:u w:val="single"/>
        </w:rPr>
        <w:t xml:space="preserve"> </w:t>
      </w:r>
      <w:r w:rsidR="004A65DA" w:rsidRPr="008B2DDA">
        <w:rPr>
          <w:rStyle w:val="hps"/>
          <w:u w:val="single"/>
        </w:rPr>
        <w:t>Les règlements peuvent</w:t>
      </w:r>
      <w:r w:rsidR="004A65DA" w:rsidRPr="008B2DDA">
        <w:rPr>
          <w:u w:val="single"/>
        </w:rPr>
        <w:t xml:space="preserve"> </w:t>
      </w:r>
      <w:r w:rsidR="004A65DA" w:rsidRPr="008B2DDA">
        <w:rPr>
          <w:rStyle w:val="hps"/>
          <w:u w:val="single"/>
        </w:rPr>
        <w:t>également prévoir des</w:t>
      </w:r>
      <w:r w:rsidR="004A65DA" w:rsidRPr="008B2DDA">
        <w:rPr>
          <w:u w:val="single"/>
        </w:rPr>
        <w:t xml:space="preserve"> </w:t>
      </w:r>
      <w:r w:rsidR="004A65DA" w:rsidRPr="008B2DDA">
        <w:rPr>
          <w:rStyle w:val="hps"/>
          <w:u w:val="single"/>
        </w:rPr>
        <w:t>délais de grâce pour</w:t>
      </w:r>
      <w:r w:rsidR="004A65DA" w:rsidRPr="008B2DDA">
        <w:rPr>
          <w:u w:val="single"/>
        </w:rPr>
        <w:t xml:space="preserve"> </w:t>
      </w:r>
      <w:r w:rsidR="004A65DA" w:rsidRPr="008B2DDA">
        <w:rPr>
          <w:rStyle w:val="hps"/>
          <w:u w:val="single"/>
        </w:rPr>
        <w:t xml:space="preserve">le </w:t>
      </w:r>
      <w:r w:rsidR="009F24AB" w:rsidRPr="008B2DDA">
        <w:rPr>
          <w:rStyle w:val="hps"/>
          <w:u w:val="single"/>
        </w:rPr>
        <w:t xml:space="preserve">retard de </w:t>
      </w:r>
      <w:r w:rsidR="004A65DA" w:rsidRPr="008B2DDA">
        <w:rPr>
          <w:rStyle w:val="hps"/>
          <w:u w:val="single"/>
        </w:rPr>
        <w:t>paiement des</w:t>
      </w:r>
      <w:r w:rsidR="004A65DA" w:rsidRPr="008B2DDA">
        <w:rPr>
          <w:u w:val="single"/>
        </w:rPr>
        <w:t xml:space="preserve"> </w:t>
      </w:r>
      <w:r w:rsidR="009F24AB" w:rsidRPr="008B2DDA">
        <w:rPr>
          <w:rStyle w:val="hps"/>
          <w:u w:val="single"/>
        </w:rPr>
        <w:t>taxes de maintien en vigueur</w:t>
      </w:r>
      <w:r w:rsidR="004A65DA" w:rsidRPr="008B2DDA">
        <w:rPr>
          <w:u w:val="single"/>
        </w:rPr>
        <w:t xml:space="preserve">. </w:t>
      </w:r>
      <w:r w:rsidR="009F24AB" w:rsidRPr="008B2DDA">
        <w:rPr>
          <w:u w:val="single"/>
        </w:rPr>
        <w:t xml:space="preserve"> </w:t>
      </w:r>
      <w:r w:rsidR="004A65DA" w:rsidRPr="008B2DDA">
        <w:rPr>
          <w:rStyle w:val="hps"/>
          <w:u w:val="single"/>
        </w:rPr>
        <w:t xml:space="preserve">Ces </w:t>
      </w:r>
      <w:r w:rsidR="009F24AB" w:rsidRPr="008B2DDA">
        <w:rPr>
          <w:rStyle w:val="hps"/>
          <w:u w:val="single"/>
        </w:rPr>
        <w:t>taxes</w:t>
      </w:r>
      <w:r w:rsidR="004A65DA" w:rsidRPr="008B2DDA">
        <w:rPr>
          <w:u w:val="single"/>
        </w:rPr>
        <w:t xml:space="preserve"> </w:t>
      </w:r>
      <w:r w:rsidR="004A65DA" w:rsidRPr="008B2DDA">
        <w:rPr>
          <w:rStyle w:val="hps"/>
          <w:u w:val="single"/>
        </w:rPr>
        <w:t>doivent être</w:t>
      </w:r>
      <w:r w:rsidR="004A65DA" w:rsidRPr="008B2DDA">
        <w:rPr>
          <w:u w:val="single"/>
        </w:rPr>
        <w:t xml:space="preserve"> </w:t>
      </w:r>
      <w:r w:rsidR="009F24AB" w:rsidRPr="008B2DDA">
        <w:rPr>
          <w:rStyle w:val="hps"/>
          <w:u w:val="single"/>
        </w:rPr>
        <w:t xml:space="preserve">examinées </w:t>
      </w:r>
      <w:r w:rsidR="004A65DA" w:rsidRPr="008B2DDA">
        <w:rPr>
          <w:rStyle w:val="hps"/>
          <w:u w:val="single"/>
        </w:rPr>
        <w:t>par l</w:t>
      </w:r>
      <w:r w:rsidR="00A341C2" w:rsidRPr="008B2DDA">
        <w:rPr>
          <w:rStyle w:val="hps"/>
          <w:u w:val="single"/>
        </w:rPr>
        <w:t>’</w:t>
      </w:r>
      <w:r w:rsidR="004A65DA" w:rsidRPr="008B2DDA">
        <w:rPr>
          <w:rStyle w:val="hps"/>
          <w:u w:val="single"/>
        </w:rPr>
        <w:t>Assemblée</w:t>
      </w:r>
      <w:r w:rsidR="004A65DA" w:rsidRPr="008B2DDA">
        <w:rPr>
          <w:u w:val="single"/>
        </w:rPr>
        <w:t xml:space="preserve"> </w:t>
      </w:r>
      <w:r w:rsidR="004A65DA" w:rsidRPr="008B2DDA">
        <w:rPr>
          <w:rStyle w:val="hps"/>
          <w:u w:val="single"/>
        </w:rPr>
        <w:t>à chaque exercice biennal</w:t>
      </w:r>
      <w:r w:rsidR="00311638" w:rsidRPr="008B2DDA">
        <w:rPr>
          <w:u w:val="single"/>
        </w:rPr>
        <w:t>.</w:t>
      </w:r>
    </w:p>
    <w:p w14:paraId="5489F194" w14:textId="77777777" w:rsidR="007079A8" w:rsidRPr="008B2DDA" w:rsidRDefault="007079A8" w:rsidP="00807A13">
      <w:pPr>
        <w:pBdr>
          <w:bottom w:val="single" w:sz="4" w:space="1" w:color="auto"/>
        </w:pBdr>
        <w:rPr>
          <w:u w:val="single"/>
        </w:rPr>
      </w:pPr>
      <w:bookmarkStart w:id="8" w:name="Article_7_5"/>
      <w:bookmarkStart w:id="9" w:name="Article_11"/>
    </w:p>
    <w:p w14:paraId="4B05AC95" w14:textId="77777777" w:rsidR="007079A8" w:rsidRPr="008B2DDA" w:rsidRDefault="007079A8" w:rsidP="008B2DDA"/>
    <w:p w14:paraId="33BAA699" w14:textId="590BDBFD" w:rsidR="007079A8" w:rsidRPr="008B2DDA" w:rsidRDefault="00862C2F" w:rsidP="008B2DDA">
      <w:r w:rsidRPr="008B2DDA">
        <w:rPr>
          <w:b/>
        </w:rPr>
        <w:t>Article</w:t>
      </w:r>
      <w:r w:rsidR="00E26A2C" w:rsidRPr="008B2DDA">
        <w:rPr>
          <w:b/>
        </w:rPr>
        <w:t> </w:t>
      </w:r>
      <w:r w:rsidRPr="008B2DDA">
        <w:rPr>
          <w:b/>
        </w:rPr>
        <w:t>7.</w:t>
      </w:r>
      <w:r w:rsidR="00311638" w:rsidRPr="008B2DDA">
        <w:rPr>
          <w:b/>
        </w:rPr>
        <w:t xml:space="preserve">5) </w:t>
      </w:r>
      <w:bookmarkEnd w:id="8"/>
      <w:r w:rsidRPr="008B2DDA">
        <w:rPr>
          <w:b/>
        </w:rPr>
        <w:t>Taxe individuelle</w:t>
      </w:r>
      <w:r w:rsidR="00E26A2C" w:rsidRPr="008B2DDA">
        <w:rPr>
          <w:b/>
        </w:rPr>
        <w:t> </w:t>
      </w:r>
      <w:r w:rsidR="00311638" w:rsidRPr="008B2DDA">
        <w:rPr>
          <w:b/>
        </w:rPr>
        <w:t>:</w:t>
      </w:r>
      <w:r w:rsidR="00311638" w:rsidRPr="008B2DDA">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4A65DA" w:rsidRPr="008B2DDA">
        <w:rPr>
          <w:rStyle w:val="hps"/>
        </w:rPr>
        <w:t>d</w:t>
      </w:r>
      <w:r w:rsidR="00A341C2" w:rsidRPr="008B2DDA">
        <w:rPr>
          <w:rStyle w:val="hps"/>
        </w:rPr>
        <w:t>’</w:t>
      </w:r>
      <w:r w:rsidR="004A65DA" w:rsidRPr="008B2DDA">
        <w:rPr>
          <w:rStyle w:val="hps"/>
        </w:rPr>
        <w:t>Amérique</w:t>
      </w:r>
      <w:r w:rsidR="004A65DA" w:rsidRPr="008B2DDA">
        <w:t xml:space="preserve"> approuvent </w:t>
      </w:r>
      <w:r w:rsidR="00A54CD5" w:rsidRPr="008B2DDA">
        <w:rPr>
          <w:rStyle w:val="hps"/>
        </w:rPr>
        <w:t>la variante </w:t>
      </w:r>
      <w:r w:rsidR="00311638" w:rsidRPr="008B2DDA">
        <w:t xml:space="preserve">A </w:t>
      </w:r>
      <w:r w:rsidR="004A65DA" w:rsidRPr="008B2DDA">
        <w:t>de l</w:t>
      </w:r>
      <w:r w:rsidR="00A341C2" w:rsidRPr="008B2DDA">
        <w:t>’</w:t>
      </w:r>
      <w:r w:rsidR="004A65DA" w:rsidRPr="008B2DDA">
        <w:t>article </w:t>
      </w:r>
      <w:r w:rsidR="00247FCB" w:rsidRPr="008B2DDA">
        <w:t>7.</w:t>
      </w:r>
      <w:r w:rsidR="00311638" w:rsidRPr="008B2DDA">
        <w:t>5).</w:t>
      </w:r>
    </w:p>
    <w:p w14:paraId="1A960696" w14:textId="77777777" w:rsidR="007079A8" w:rsidRPr="008B2DDA" w:rsidRDefault="007079A8" w:rsidP="008B2DDA"/>
    <w:p w14:paraId="08877B84" w14:textId="035C2BCA" w:rsidR="007079A8" w:rsidRPr="008B2DDA" w:rsidRDefault="00311638" w:rsidP="008B2DDA">
      <w:r w:rsidRPr="008B2DDA">
        <w:t>Article</w:t>
      </w:r>
      <w:r w:rsidR="00E26A2C" w:rsidRPr="008B2DDA">
        <w:t> </w:t>
      </w:r>
      <w:r w:rsidRPr="008B2DDA">
        <w:t>7</w:t>
      </w:r>
      <w:r w:rsidR="00862C2F" w:rsidRPr="008B2DDA">
        <w:t>.</w:t>
      </w:r>
      <w:r w:rsidRPr="008B2DDA">
        <w:t>5)</w:t>
      </w:r>
    </w:p>
    <w:p w14:paraId="509A3452" w14:textId="77777777" w:rsidR="007079A8" w:rsidRPr="008B2DDA" w:rsidRDefault="007079A8" w:rsidP="008B2DDA"/>
    <w:p w14:paraId="46D5FE90" w14:textId="77777777" w:rsidR="007079A8" w:rsidRPr="008B2DDA" w:rsidRDefault="00311638" w:rsidP="008B2DDA">
      <w:r w:rsidRPr="008B2DDA">
        <w:t>5)</w:t>
      </w:r>
      <w:r w:rsidRPr="008B2DDA">
        <w:tab/>
      </w:r>
      <w:r w:rsidRPr="008B2DDA">
        <w:rPr>
          <w:i/>
        </w:rPr>
        <w:t>[</w:t>
      </w:r>
      <w:r w:rsidR="00862C2F" w:rsidRPr="008B2DDA">
        <w:rPr>
          <w:i/>
        </w:rPr>
        <w:t>Taxe individuelle</w:t>
      </w:r>
      <w:r w:rsidRPr="008B2DDA">
        <w:rPr>
          <w:i/>
        </w:rPr>
        <w:t>]</w:t>
      </w:r>
    </w:p>
    <w:p w14:paraId="1A93ACD0" w14:textId="77777777" w:rsidR="007079A8" w:rsidRPr="008B2DDA" w:rsidRDefault="007079A8" w:rsidP="008B2DDA"/>
    <w:p w14:paraId="2E595A84" w14:textId="77777777" w:rsidR="007079A8" w:rsidRPr="008B2DDA" w:rsidRDefault="00391392" w:rsidP="008B2DDA">
      <w:pPr>
        <w:rPr>
          <w:u w:val="single"/>
        </w:rPr>
      </w:pPr>
      <w:r w:rsidRPr="008B2DDA">
        <w:rPr>
          <w:u w:val="single"/>
        </w:rPr>
        <w:t>VARIANTE A</w:t>
      </w:r>
    </w:p>
    <w:p w14:paraId="34F24136" w14:textId="77777777" w:rsidR="007079A8" w:rsidRPr="008B2DDA" w:rsidRDefault="007079A8" w:rsidP="008B2DDA"/>
    <w:p w14:paraId="4CBC847E" w14:textId="6C464EA6" w:rsidR="007079A8" w:rsidRPr="008B2DDA" w:rsidRDefault="00391392" w:rsidP="008B2DDA">
      <w:pPr>
        <w:ind w:firstLine="567"/>
      </w:pPr>
      <w:r w:rsidRPr="008B2DDA">
        <w:t>a)</w:t>
      </w:r>
      <w:r w:rsidRPr="008B2DDA">
        <w:tab/>
        <w:t>Toute partie contractante peut, dans une déclaration, notifier au Directeur général que la protection découlant de l</w:t>
      </w:r>
      <w:r w:rsidR="00A341C2" w:rsidRPr="008B2DDA">
        <w:t>’</w:t>
      </w:r>
      <w:r w:rsidRPr="008B2DDA">
        <w:t>enregistrement international ne s</w:t>
      </w:r>
      <w:r w:rsidR="00A341C2" w:rsidRPr="008B2DDA">
        <w:t>’</w:t>
      </w:r>
      <w:r w:rsidRPr="008B2DDA">
        <w:t>étend à elle que si une taxe est acquittée pour couvrir le coût de l</w:t>
      </w:r>
      <w:r w:rsidR="00A341C2" w:rsidRPr="008B2DDA">
        <w:t>’</w:t>
      </w:r>
      <w:r w:rsidRPr="008B2DDA">
        <w:t>examen quant au fond de l</w:t>
      </w:r>
      <w:r w:rsidR="00A341C2" w:rsidRPr="008B2DDA">
        <w:t>’</w:t>
      </w:r>
      <w:r w:rsidRPr="008B2DDA">
        <w:t>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  En outre, la partie contractante peut, dans une déclaration, notifier au Directeur général que la protection résultant de l</w:t>
      </w:r>
      <w:r w:rsidR="00A341C2" w:rsidRPr="008B2DDA">
        <w:t>’</w:t>
      </w:r>
      <w:r w:rsidRPr="008B2DDA">
        <w:t>enregistrement international est subordonnée à des conditions de maintien en vigueur ou de renouvellement et au paiement de taxes.</w:t>
      </w:r>
    </w:p>
    <w:p w14:paraId="7733A15F" w14:textId="6EE3B17A" w:rsidR="007079A8" w:rsidRPr="008B2DDA" w:rsidRDefault="00391392" w:rsidP="008B2DDA">
      <w:pPr>
        <w:ind w:firstLine="567"/>
      </w:pPr>
      <w:r w:rsidRPr="008B2DDA">
        <w:t>b)</w:t>
      </w:r>
      <w:r w:rsidRPr="008B2DDA">
        <w:tab/>
        <w:t>Le non</w:t>
      </w:r>
      <w:r w:rsidR="00D67EA4" w:rsidRPr="008B2DDA">
        <w:noBreakHyphen/>
      </w:r>
      <w:r w:rsidRPr="008B2DDA">
        <w:t>paiement d</w:t>
      </w:r>
      <w:r w:rsidR="00A341C2" w:rsidRPr="008B2DDA">
        <w:t>’</w:t>
      </w:r>
      <w:r w:rsidRPr="008B2DDA">
        <w:t>une taxe individuelle a pour effet qu</w:t>
      </w:r>
      <w:r w:rsidR="00A341C2" w:rsidRPr="008B2DDA">
        <w:t>’</w:t>
      </w:r>
      <w:r w:rsidRPr="008B2DDA">
        <w:t xml:space="preserve">il est renoncé à la protection </w:t>
      </w:r>
      <w:r w:rsidR="00A341C2" w:rsidRPr="008B2DDA">
        <w:t>à l’égard</w:t>
      </w:r>
      <w:r w:rsidRPr="008B2DDA">
        <w:t xml:space="preserve"> de la partie contractante exigeant la taxe.</w:t>
      </w:r>
    </w:p>
    <w:p w14:paraId="12C2C448" w14:textId="77777777" w:rsidR="007079A8" w:rsidRPr="008B2DDA" w:rsidRDefault="007079A8" w:rsidP="008B2DDA">
      <w:pPr>
        <w:rPr>
          <w:b/>
        </w:rPr>
      </w:pPr>
      <w:bookmarkStart w:id="10" w:name="Article_8_3"/>
    </w:p>
    <w:p w14:paraId="54F0C0EB" w14:textId="77777777" w:rsidR="007079A8" w:rsidRPr="008B2DDA" w:rsidRDefault="007079A8" w:rsidP="00807A13">
      <w:pPr>
        <w:pBdr>
          <w:top w:val="single" w:sz="4" w:space="1" w:color="auto"/>
        </w:pBdr>
        <w:rPr>
          <w:b/>
        </w:rPr>
      </w:pPr>
    </w:p>
    <w:p w14:paraId="3325CB24" w14:textId="62594E15" w:rsidR="007079A8" w:rsidRPr="008B2DDA" w:rsidRDefault="00311638" w:rsidP="008B2DDA">
      <w:r w:rsidRPr="008B2DDA">
        <w:rPr>
          <w:b/>
        </w:rPr>
        <w:t>Article</w:t>
      </w:r>
      <w:r w:rsidR="00E26A2C" w:rsidRPr="008B2DDA">
        <w:rPr>
          <w:b/>
        </w:rPr>
        <w:t> </w:t>
      </w:r>
      <w:r w:rsidRPr="008B2DDA">
        <w:rPr>
          <w:b/>
        </w:rPr>
        <w:t>8</w:t>
      </w:r>
      <w:r w:rsidR="00391392" w:rsidRPr="008B2DDA">
        <w:rPr>
          <w:b/>
        </w:rPr>
        <w:t>.</w:t>
      </w:r>
      <w:r w:rsidRPr="008B2DDA">
        <w:rPr>
          <w:b/>
        </w:rPr>
        <w:t>3)</w:t>
      </w:r>
      <w:bookmarkEnd w:id="10"/>
      <w:r w:rsidRPr="008B2DDA">
        <w:rPr>
          <w:b/>
        </w:rPr>
        <w:t xml:space="preserve"> </w:t>
      </w:r>
      <w:r w:rsidR="0050682F" w:rsidRPr="008B2DDA">
        <w:rPr>
          <w:b/>
        </w:rPr>
        <w:t>Effet du non</w:t>
      </w:r>
      <w:r w:rsidR="00D67EA4" w:rsidRPr="008B2DDA">
        <w:rPr>
          <w:b/>
        </w:rPr>
        <w:noBreakHyphen/>
      </w:r>
      <w:r w:rsidR="00391392" w:rsidRPr="008B2DDA">
        <w:rPr>
          <w:b/>
        </w:rPr>
        <w:t>paiement d</w:t>
      </w:r>
      <w:r w:rsidR="00A341C2" w:rsidRPr="008B2DDA">
        <w:rPr>
          <w:b/>
        </w:rPr>
        <w:t>’</w:t>
      </w:r>
      <w:r w:rsidR="00391392" w:rsidRPr="008B2DDA">
        <w:rPr>
          <w:b/>
        </w:rPr>
        <w:t>une taxe de maintien en vigueur</w:t>
      </w:r>
      <w:r w:rsidR="00E26A2C" w:rsidRPr="008B2DDA">
        <w:rPr>
          <w:b/>
        </w:rPr>
        <w:t> </w:t>
      </w:r>
      <w:r w:rsidRPr="008B2DDA">
        <w:rPr>
          <w:b/>
        </w:rPr>
        <w:t>:</w:t>
      </w:r>
      <w:r w:rsidRPr="008B2DDA">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6244C7" w:rsidRPr="008B2DDA">
        <w:rPr>
          <w:rStyle w:val="hps"/>
        </w:rPr>
        <w:t>approuvent</w:t>
      </w:r>
      <w:r w:rsidR="004A65DA" w:rsidRPr="008B2DDA">
        <w:rPr>
          <w:rStyle w:val="hps"/>
        </w:rPr>
        <w:t xml:space="preserve"> la </w:t>
      </w:r>
      <w:r w:rsidR="006244C7" w:rsidRPr="008B2DDA">
        <w:rPr>
          <w:rStyle w:val="hps"/>
        </w:rPr>
        <w:t>mise en place</w:t>
      </w:r>
      <w:r w:rsidR="004A65DA" w:rsidRPr="008B2DDA">
        <w:rPr>
          <w:rStyle w:val="hps"/>
        </w:rPr>
        <w:t xml:space="preserve"> d</w:t>
      </w:r>
      <w:r w:rsidR="00A341C2" w:rsidRPr="008B2DDA">
        <w:rPr>
          <w:rStyle w:val="hps"/>
        </w:rPr>
        <w:t>’</w:t>
      </w:r>
      <w:r w:rsidR="004A65DA" w:rsidRPr="008B2DDA">
        <w:t xml:space="preserve">une taxe de maintien </w:t>
      </w:r>
      <w:r w:rsidR="0072134F" w:rsidRPr="008B2DDA">
        <w:t xml:space="preserve">en vigueur </w:t>
      </w:r>
      <w:r w:rsidR="004A65DA" w:rsidRPr="008B2DDA">
        <w:rPr>
          <w:rStyle w:val="hps"/>
        </w:rPr>
        <w:t xml:space="preserve">obligatoire </w:t>
      </w:r>
      <w:r w:rsidR="006244C7" w:rsidRPr="008B2DDA">
        <w:rPr>
          <w:rStyle w:val="hps"/>
        </w:rPr>
        <w:t>ainsi que</w:t>
      </w:r>
      <w:r w:rsidR="004A65DA" w:rsidRPr="008B2DDA">
        <w:t xml:space="preserve"> </w:t>
      </w:r>
      <w:r w:rsidR="006244C7" w:rsidRPr="008B2DDA">
        <w:rPr>
          <w:rStyle w:val="hps"/>
        </w:rPr>
        <w:t>la</w:t>
      </w:r>
      <w:r w:rsidR="004A65DA" w:rsidRPr="008B2DDA">
        <w:rPr>
          <w:rStyle w:val="hps"/>
        </w:rPr>
        <w:t xml:space="preserve"> disposition</w:t>
      </w:r>
      <w:r w:rsidR="004A65DA" w:rsidRPr="008B2DDA">
        <w:t xml:space="preserve"> </w:t>
      </w:r>
      <w:r w:rsidR="004A65DA" w:rsidRPr="008B2DDA">
        <w:rPr>
          <w:rStyle w:val="hps"/>
        </w:rPr>
        <w:t>qui prévoit</w:t>
      </w:r>
      <w:r w:rsidR="004A65DA" w:rsidRPr="008B2DDA">
        <w:t xml:space="preserve"> </w:t>
      </w:r>
      <w:r w:rsidR="006244C7" w:rsidRPr="008B2DDA">
        <w:rPr>
          <w:rStyle w:val="hps"/>
        </w:rPr>
        <w:t>la radiation</w:t>
      </w:r>
      <w:r w:rsidR="004A65DA" w:rsidRPr="008B2DDA">
        <w:t xml:space="preserve"> </w:t>
      </w:r>
      <w:r w:rsidR="004A65DA" w:rsidRPr="008B2DDA">
        <w:rPr>
          <w:rStyle w:val="hps"/>
        </w:rPr>
        <w:t>de l</w:t>
      </w:r>
      <w:r w:rsidR="00A341C2" w:rsidRPr="008B2DDA">
        <w:rPr>
          <w:rStyle w:val="hps"/>
        </w:rPr>
        <w:t>’</w:t>
      </w:r>
      <w:r w:rsidR="004A65DA" w:rsidRPr="008B2DDA">
        <w:rPr>
          <w:rStyle w:val="hps"/>
        </w:rPr>
        <w:t>enregistrement international</w:t>
      </w:r>
      <w:r w:rsidR="004A65DA" w:rsidRPr="008B2DDA">
        <w:t xml:space="preserve"> </w:t>
      </w:r>
      <w:r w:rsidR="006244C7" w:rsidRPr="008B2DDA">
        <w:rPr>
          <w:rStyle w:val="hps"/>
        </w:rPr>
        <w:t>si</w:t>
      </w:r>
      <w:r w:rsidR="004A65DA" w:rsidRPr="008B2DDA">
        <w:rPr>
          <w:rStyle w:val="hps"/>
        </w:rPr>
        <w:t xml:space="preserve"> la taxe</w:t>
      </w:r>
      <w:r w:rsidR="006244C7" w:rsidRPr="008B2DDA">
        <w:rPr>
          <w:rStyle w:val="hps"/>
        </w:rPr>
        <w:t xml:space="preserve"> n</w:t>
      </w:r>
      <w:r w:rsidR="00A341C2" w:rsidRPr="008B2DDA">
        <w:rPr>
          <w:rStyle w:val="hps"/>
        </w:rPr>
        <w:t>’</w:t>
      </w:r>
      <w:r w:rsidR="006244C7" w:rsidRPr="008B2DDA">
        <w:rPr>
          <w:rStyle w:val="hps"/>
        </w:rPr>
        <w:t>est pas acquittée</w:t>
      </w:r>
      <w:r w:rsidR="004A65DA" w:rsidRPr="008B2DDA">
        <w:rPr>
          <w:rStyle w:val="hps"/>
        </w:rPr>
        <w:t>.</w:t>
      </w:r>
    </w:p>
    <w:p w14:paraId="4BEF00C4" w14:textId="77777777" w:rsidR="007079A8" w:rsidRPr="008B2DDA" w:rsidRDefault="007079A8" w:rsidP="008B2DDA"/>
    <w:p w14:paraId="2AFD2D21" w14:textId="6A125792" w:rsidR="007079A8" w:rsidRPr="008B2DDA" w:rsidRDefault="00391392" w:rsidP="008B2DDA">
      <w:r w:rsidRPr="008B2DDA">
        <w:t>Article</w:t>
      </w:r>
      <w:r w:rsidR="00E26A2C" w:rsidRPr="008B2DDA">
        <w:t> </w:t>
      </w:r>
      <w:r w:rsidRPr="008B2DDA">
        <w:t>8.</w:t>
      </w:r>
      <w:r w:rsidR="00311638" w:rsidRPr="008B2DDA">
        <w:t>3)</w:t>
      </w:r>
    </w:p>
    <w:p w14:paraId="4DB9213B" w14:textId="77777777" w:rsidR="007079A8" w:rsidRPr="008B2DDA" w:rsidRDefault="007079A8" w:rsidP="008B2DDA"/>
    <w:p w14:paraId="523CB0E5" w14:textId="2CE93B50" w:rsidR="007079A8" w:rsidRPr="008B2DDA" w:rsidRDefault="00391392" w:rsidP="008B2DDA">
      <w:r w:rsidRPr="008B2DDA">
        <w:t>[</w:t>
      </w:r>
      <w:r w:rsidR="00311638" w:rsidRPr="008B2DDA">
        <w:t>3)</w:t>
      </w:r>
      <w:r w:rsidR="00311638" w:rsidRPr="008B2DDA">
        <w:tab/>
      </w:r>
      <w:r w:rsidR="00311638" w:rsidRPr="008B2DDA">
        <w:rPr>
          <w:i/>
        </w:rPr>
        <w:t>[</w:t>
      </w:r>
      <w:r w:rsidRPr="008B2DDA">
        <w:rPr>
          <w:i/>
        </w:rPr>
        <w:t>Effet du non</w:t>
      </w:r>
      <w:r w:rsidR="00D67EA4" w:rsidRPr="008B2DDA">
        <w:rPr>
          <w:i/>
        </w:rPr>
        <w:noBreakHyphen/>
      </w:r>
      <w:r w:rsidRPr="008B2DDA">
        <w:rPr>
          <w:i/>
        </w:rPr>
        <w:t>paiement d</w:t>
      </w:r>
      <w:r w:rsidR="00A341C2" w:rsidRPr="008B2DDA">
        <w:rPr>
          <w:i/>
        </w:rPr>
        <w:t>’</w:t>
      </w:r>
      <w:r w:rsidRPr="008B2DDA">
        <w:rPr>
          <w:i/>
        </w:rPr>
        <w:t>une taxe de maintien en vigueur</w:t>
      </w:r>
      <w:r w:rsidR="00311638" w:rsidRPr="008B2DDA">
        <w:rPr>
          <w:i/>
        </w:rPr>
        <w:t xml:space="preserve">] </w:t>
      </w:r>
      <w:r w:rsidRPr="008B2DDA">
        <w:t>Nonobstant l</w:t>
      </w:r>
      <w:r w:rsidR="00A341C2" w:rsidRPr="008B2DDA">
        <w:t>’</w:t>
      </w:r>
      <w:r w:rsidRPr="008B2DDA">
        <w:t>alinéa 1), un enregistrement international est radié si la taxe visée à l</w:t>
      </w:r>
      <w:r w:rsidR="00A341C2" w:rsidRPr="008B2DDA">
        <w:t>’</w:t>
      </w:r>
      <w:r w:rsidRPr="008B2DDA">
        <w:t>article 7.3) n</w:t>
      </w:r>
      <w:r w:rsidR="00A341C2" w:rsidRPr="008B2DDA">
        <w:t>’</w:t>
      </w:r>
      <w:r w:rsidRPr="008B2DDA">
        <w:t>est pas acquittée.]</w:t>
      </w:r>
    </w:p>
    <w:p w14:paraId="7D5B2092" w14:textId="77777777" w:rsidR="007079A8" w:rsidRPr="008B2DDA" w:rsidRDefault="007079A8" w:rsidP="008B2DDA">
      <w:pPr>
        <w:rPr>
          <w:b/>
        </w:rPr>
      </w:pPr>
    </w:p>
    <w:p w14:paraId="2BFD8A02" w14:textId="77777777" w:rsidR="007079A8" w:rsidRPr="008B2DDA" w:rsidRDefault="007079A8" w:rsidP="00807A13">
      <w:pPr>
        <w:pBdr>
          <w:top w:val="single" w:sz="4" w:space="1" w:color="auto"/>
        </w:pBdr>
        <w:rPr>
          <w:b/>
        </w:rPr>
      </w:pPr>
    </w:p>
    <w:p w14:paraId="38A44A11" w14:textId="62A0396E" w:rsidR="007079A8" w:rsidRPr="008B2DDA" w:rsidRDefault="00311638" w:rsidP="008B2DDA">
      <w:r w:rsidRPr="008B2DDA">
        <w:rPr>
          <w:b/>
        </w:rPr>
        <w:t>Article</w:t>
      </w:r>
      <w:r w:rsidR="00E26A2C" w:rsidRPr="008B2DDA">
        <w:rPr>
          <w:b/>
        </w:rPr>
        <w:t> </w:t>
      </w:r>
      <w:r w:rsidRPr="008B2DDA">
        <w:rPr>
          <w:b/>
        </w:rPr>
        <w:t>11 Protection</w:t>
      </w:r>
      <w:bookmarkEnd w:id="9"/>
      <w:r w:rsidR="006244C7" w:rsidRPr="008B2DDA">
        <w:rPr>
          <w:b/>
        </w:rPr>
        <w:t> </w:t>
      </w:r>
      <w:r w:rsidRPr="008B2DDA">
        <w:rPr>
          <w:b/>
        </w:rPr>
        <w:t>:</w:t>
      </w:r>
      <w:r w:rsidR="006244C7" w:rsidRPr="008B2DDA">
        <w:t xml:space="preserve"> </w:t>
      </w:r>
      <w:r w:rsidR="004A65DA" w:rsidRPr="008B2DDA">
        <w:rPr>
          <w:rStyle w:val="hps"/>
        </w:rPr>
        <w:t xml:space="preserve">Les </w:t>
      </w:r>
      <w:r w:rsidR="006244C7" w:rsidRPr="008B2DDA">
        <w:rPr>
          <w:rStyle w:val="hps"/>
        </w:rPr>
        <w:t>États</w:t>
      </w:r>
      <w:r w:rsidR="00D67EA4" w:rsidRPr="008B2DDA">
        <w:rPr>
          <w:rStyle w:val="hps"/>
        </w:rPr>
        <w:noBreakHyphen/>
      </w:r>
      <w:r w:rsidR="006244C7" w:rsidRPr="008B2DDA">
        <w:rPr>
          <w:rStyle w:val="hps"/>
        </w:rPr>
        <w:t>Unis</w:t>
      </w:r>
      <w:r w:rsidR="00E26A2C" w:rsidRPr="008B2DDA">
        <w:rPr>
          <w:rStyle w:val="hps"/>
        </w:rPr>
        <w:t xml:space="preserve"> d’Amérique</w:t>
      </w:r>
      <w:r w:rsidR="006244C7" w:rsidRPr="008B2DDA">
        <w:rPr>
          <w:rStyle w:val="hps"/>
        </w:rPr>
        <w:t xml:space="preserve"> </w:t>
      </w:r>
      <w:r w:rsidR="006244C7" w:rsidRPr="008B2DDA">
        <w:t>approuvent</w:t>
      </w:r>
      <w:r w:rsidR="004A65DA" w:rsidRPr="008B2DDA">
        <w:t xml:space="preserve"> </w:t>
      </w:r>
      <w:r w:rsidR="00A54CD5" w:rsidRPr="008B2DDA">
        <w:rPr>
          <w:rStyle w:val="hps"/>
        </w:rPr>
        <w:t>la variante </w:t>
      </w:r>
      <w:r w:rsidR="004A65DA" w:rsidRPr="008B2DDA">
        <w:rPr>
          <w:rStyle w:val="hps"/>
        </w:rPr>
        <w:t>B</w:t>
      </w:r>
      <w:r w:rsidR="004A65DA" w:rsidRPr="008B2DDA">
        <w:t xml:space="preserve"> </w:t>
      </w:r>
      <w:r w:rsidR="004A65DA" w:rsidRPr="008B2DDA">
        <w:rPr>
          <w:rStyle w:val="hps"/>
        </w:rPr>
        <w:t>de l</w:t>
      </w:r>
      <w:r w:rsidR="00A341C2" w:rsidRPr="008B2DDA">
        <w:rPr>
          <w:rStyle w:val="hps"/>
        </w:rPr>
        <w:t>’</w:t>
      </w:r>
      <w:r w:rsidR="004A65DA" w:rsidRPr="008B2DDA">
        <w:rPr>
          <w:rStyle w:val="hps"/>
        </w:rPr>
        <w:t>article</w:t>
      </w:r>
      <w:r w:rsidR="006244C7" w:rsidRPr="008B2DDA">
        <w:t> </w:t>
      </w:r>
      <w:r w:rsidR="004A65DA" w:rsidRPr="008B2DDA">
        <w:rPr>
          <w:rStyle w:val="hps"/>
        </w:rPr>
        <w:t>11</w:t>
      </w:r>
      <w:r w:rsidR="006244C7" w:rsidRPr="008B2DDA">
        <w:t>.1)a)</w:t>
      </w:r>
      <w:r w:rsidR="004A65DA" w:rsidRPr="008B2DDA">
        <w:t xml:space="preserve">ii) </w:t>
      </w:r>
      <w:r w:rsidR="004A65DA" w:rsidRPr="008B2DDA">
        <w:rPr>
          <w:rStyle w:val="hps"/>
        </w:rPr>
        <w:t xml:space="preserve">bien que </w:t>
      </w:r>
      <w:r w:rsidR="006244C7" w:rsidRPr="008B2DDA">
        <w:rPr>
          <w:rStyle w:val="hps"/>
        </w:rPr>
        <w:t>la délégation propose</w:t>
      </w:r>
      <w:r w:rsidR="004A65DA" w:rsidRPr="008B2DDA">
        <w:t xml:space="preserve"> </w:t>
      </w:r>
      <w:r w:rsidR="004A65DA" w:rsidRPr="008B2DDA">
        <w:rPr>
          <w:rStyle w:val="hps"/>
        </w:rPr>
        <w:t>d</w:t>
      </w:r>
      <w:r w:rsidR="00A341C2" w:rsidRPr="008B2DDA">
        <w:rPr>
          <w:rStyle w:val="hps"/>
        </w:rPr>
        <w:t>’</w:t>
      </w:r>
      <w:r w:rsidR="004A65DA" w:rsidRPr="008B2DDA">
        <w:rPr>
          <w:rStyle w:val="hps"/>
        </w:rPr>
        <w:t>étendre encore</w:t>
      </w:r>
      <w:r w:rsidR="004A65DA" w:rsidRPr="008B2DDA">
        <w:t xml:space="preserve"> </w:t>
      </w:r>
      <w:r w:rsidR="004A65DA" w:rsidRPr="008B2DDA">
        <w:rPr>
          <w:rStyle w:val="hps"/>
        </w:rPr>
        <w:t xml:space="preserve">la </w:t>
      </w:r>
      <w:r w:rsidR="006244C7" w:rsidRPr="008B2DDA">
        <w:rPr>
          <w:rStyle w:val="hps"/>
        </w:rPr>
        <w:t>portée</w:t>
      </w:r>
      <w:r w:rsidR="004A65DA" w:rsidRPr="008B2DDA">
        <w:t xml:space="preserve"> </w:t>
      </w:r>
      <w:r w:rsidR="00A54CD5" w:rsidRPr="008B2DDA">
        <w:rPr>
          <w:rStyle w:val="hps"/>
        </w:rPr>
        <w:t>de la variante </w:t>
      </w:r>
      <w:r w:rsidR="004A65DA" w:rsidRPr="008B2DDA">
        <w:rPr>
          <w:rStyle w:val="hps"/>
        </w:rPr>
        <w:t>B</w:t>
      </w:r>
      <w:r w:rsidR="004A65DA" w:rsidRPr="008B2DDA">
        <w:t xml:space="preserve"> </w:t>
      </w:r>
      <w:r w:rsidR="006244C7" w:rsidRPr="008B2DDA">
        <w:rPr>
          <w:rStyle w:val="hps"/>
        </w:rPr>
        <w:t>pour</w:t>
      </w:r>
      <w:r w:rsidR="004A65DA" w:rsidRPr="008B2DDA">
        <w:rPr>
          <w:rStyle w:val="hps"/>
        </w:rPr>
        <w:t xml:space="preserve"> remplacer l</w:t>
      </w:r>
      <w:r w:rsidR="00A341C2" w:rsidRPr="008B2DDA">
        <w:rPr>
          <w:rStyle w:val="hps"/>
        </w:rPr>
        <w:t>’</w:t>
      </w:r>
      <w:r w:rsidR="004A65DA" w:rsidRPr="008B2DDA">
        <w:rPr>
          <w:rStyle w:val="hps"/>
        </w:rPr>
        <w:t>article</w:t>
      </w:r>
      <w:r w:rsidR="006244C7" w:rsidRPr="008B2DDA">
        <w:t> </w:t>
      </w:r>
      <w:r w:rsidR="004A65DA" w:rsidRPr="008B2DDA">
        <w:rPr>
          <w:rStyle w:val="hps"/>
        </w:rPr>
        <w:t>11</w:t>
      </w:r>
      <w:r w:rsidR="006244C7" w:rsidRPr="008B2DDA">
        <w:rPr>
          <w:rStyle w:val="hps"/>
        </w:rPr>
        <w:t>.</w:t>
      </w:r>
      <w:r w:rsidR="006244C7" w:rsidRPr="008B2DDA">
        <w:t>1)a)</w:t>
      </w:r>
      <w:r w:rsidR="004A65DA" w:rsidRPr="008B2DDA">
        <w:t xml:space="preserve">i) </w:t>
      </w:r>
      <w:r w:rsidR="006244C7" w:rsidRPr="008B2DDA">
        <w:rPr>
          <w:rStyle w:val="hps"/>
        </w:rPr>
        <w:t>et</w:t>
      </w:r>
      <w:r w:rsidR="00A54CD5" w:rsidRPr="008B2DDA">
        <w:t> </w:t>
      </w:r>
      <w:r w:rsidR="004A65DA" w:rsidRPr="008B2DDA">
        <w:t>ii).</w:t>
      </w:r>
    </w:p>
    <w:p w14:paraId="11BA31C4" w14:textId="77777777" w:rsidR="007079A8" w:rsidRPr="008B2DDA" w:rsidRDefault="007079A8" w:rsidP="008B2DDA"/>
    <w:p w14:paraId="2F13D989" w14:textId="7CEC35C1" w:rsidR="007079A8" w:rsidRPr="008B2DDA" w:rsidRDefault="00311638" w:rsidP="008B2DDA">
      <w:r w:rsidRPr="008B2DDA">
        <w:t>Article</w:t>
      </w:r>
      <w:r w:rsidR="00E26A2C" w:rsidRPr="008B2DDA">
        <w:t> </w:t>
      </w:r>
      <w:r w:rsidRPr="008B2DDA">
        <w:t>11</w:t>
      </w:r>
    </w:p>
    <w:p w14:paraId="278D327D" w14:textId="77777777" w:rsidR="007079A8" w:rsidRPr="008B2DDA" w:rsidRDefault="007079A8" w:rsidP="008B2DDA">
      <w:pPr>
        <w:rPr>
          <w:u w:val="single"/>
        </w:rPr>
      </w:pPr>
    </w:p>
    <w:p w14:paraId="6ED6B774" w14:textId="77777777" w:rsidR="007079A8" w:rsidRPr="008B2DDA" w:rsidRDefault="006921F3" w:rsidP="008B2DDA">
      <w:pPr>
        <w:rPr>
          <w:u w:val="single"/>
        </w:rPr>
      </w:pPr>
      <w:r w:rsidRPr="008B2DDA">
        <w:rPr>
          <w:u w:val="single"/>
        </w:rPr>
        <w:t>VARIANTE B</w:t>
      </w:r>
    </w:p>
    <w:p w14:paraId="3E48D95F" w14:textId="77777777" w:rsidR="007079A8" w:rsidRPr="008B2DDA" w:rsidRDefault="007079A8" w:rsidP="008B2DDA"/>
    <w:p w14:paraId="0BC7F1A6" w14:textId="1572DDE2" w:rsidR="007079A8" w:rsidRPr="008B2DDA" w:rsidRDefault="006921F3" w:rsidP="008B2DDA">
      <w:pPr>
        <w:tabs>
          <w:tab w:val="left" w:pos="1440"/>
        </w:tabs>
        <w:ind w:left="1134" w:hanging="567"/>
      </w:pPr>
      <w:r w:rsidRPr="008B2DDA">
        <w:t>a)</w:t>
      </w:r>
      <w:r w:rsidRPr="008B2DDA">
        <w:tab/>
        <w:t>toute utilisation de l</w:t>
      </w:r>
      <w:r w:rsidR="00A341C2" w:rsidRPr="008B2DDA">
        <w:t>’</w:t>
      </w:r>
      <w:r w:rsidRPr="008B2DDA">
        <w:t>appellation d</w:t>
      </w:r>
      <w:r w:rsidR="00A341C2" w:rsidRPr="008B2DDA">
        <w:t>’</w:t>
      </w:r>
      <w:r w:rsidRPr="008B2DDA">
        <w:t>origine ou de l</w:t>
      </w:r>
      <w:r w:rsidR="00A341C2" w:rsidRPr="008B2DDA">
        <w:t>’</w:t>
      </w:r>
      <w:r w:rsidRPr="008B2DDA">
        <w:t>indication géographique</w:t>
      </w:r>
    </w:p>
    <w:p w14:paraId="6B40E87F" w14:textId="35980A4F" w:rsidR="00A341C2" w:rsidRPr="008B2DDA" w:rsidRDefault="006921F3" w:rsidP="00C62F15">
      <w:pPr>
        <w:ind w:left="1134"/>
        <w:rPr>
          <w:strike/>
        </w:rPr>
      </w:pPr>
      <w:r w:rsidRPr="008B2DDA">
        <w:rPr>
          <w:strike/>
        </w:rPr>
        <w:t>i)</w:t>
      </w:r>
      <w:r w:rsidRPr="008B2DDA">
        <w:rPr>
          <w:strike/>
        </w:rPr>
        <w:tab/>
      </w:r>
      <w:r w:rsidR="00A341C2" w:rsidRPr="008B2DDA">
        <w:rPr>
          <w:strike/>
        </w:rPr>
        <w:t>à l’égard</w:t>
      </w:r>
      <w:r w:rsidRPr="008B2DDA">
        <w:rPr>
          <w:strike/>
        </w:rPr>
        <w:t xml:space="preserve"> de produits du même type que ceux auxquels l</w:t>
      </w:r>
      <w:r w:rsidR="00A341C2" w:rsidRPr="008B2DDA">
        <w:rPr>
          <w:strike/>
        </w:rPr>
        <w:t>’</w:t>
      </w:r>
      <w:r w:rsidRPr="008B2DDA">
        <w:rPr>
          <w:strike/>
        </w:rPr>
        <w:t>appellation d</w:t>
      </w:r>
      <w:r w:rsidR="00A341C2" w:rsidRPr="008B2DDA">
        <w:rPr>
          <w:strike/>
        </w:rPr>
        <w:t>’</w:t>
      </w:r>
      <w:r w:rsidRPr="008B2DDA">
        <w:rPr>
          <w:strike/>
        </w:rPr>
        <w:t>origine ou l</w:t>
      </w:r>
      <w:r w:rsidR="00A341C2" w:rsidRPr="008B2DDA">
        <w:rPr>
          <w:strike/>
        </w:rPr>
        <w:t>’</w:t>
      </w:r>
      <w:r w:rsidRPr="008B2DDA">
        <w:rPr>
          <w:strike/>
        </w:rPr>
        <w:t>indication géographique s</w:t>
      </w:r>
      <w:r w:rsidR="00A341C2" w:rsidRPr="008B2DDA">
        <w:rPr>
          <w:strike/>
        </w:rPr>
        <w:t>’</w:t>
      </w:r>
      <w:r w:rsidRPr="008B2DDA">
        <w:rPr>
          <w:strike/>
        </w:rPr>
        <w:t>applique qui ne sont pas originaires de l</w:t>
      </w:r>
      <w:r w:rsidR="00A341C2" w:rsidRPr="008B2DDA">
        <w:rPr>
          <w:strike/>
        </w:rPr>
        <w:t>’</w:t>
      </w:r>
      <w:r w:rsidRPr="008B2DDA">
        <w:rPr>
          <w:strike/>
        </w:rPr>
        <w:t>aire géographique d</w:t>
      </w:r>
      <w:r w:rsidR="00A341C2" w:rsidRPr="008B2DDA">
        <w:rPr>
          <w:strike/>
        </w:rPr>
        <w:t>’</w:t>
      </w:r>
      <w:r w:rsidRPr="008B2DDA">
        <w:rPr>
          <w:strike/>
        </w:rPr>
        <w:t>origine ou qui ne remplissent pas l</w:t>
      </w:r>
      <w:r w:rsidR="00A341C2" w:rsidRPr="008B2DDA">
        <w:rPr>
          <w:strike/>
        </w:rPr>
        <w:t>’</w:t>
      </w:r>
      <w:r w:rsidRPr="008B2DDA">
        <w:rPr>
          <w:strike/>
        </w:rPr>
        <w:t>une des autres conditions requises pour utiliser l</w:t>
      </w:r>
      <w:r w:rsidR="00A341C2" w:rsidRPr="008B2DDA">
        <w:rPr>
          <w:strike/>
        </w:rPr>
        <w:t>’</w:t>
      </w:r>
      <w:r w:rsidRPr="008B2DDA">
        <w:rPr>
          <w:strike/>
        </w:rPr>
        <w:t>appellation d</w:t>
      </w:r>
      <w:r w:rsidR="00A341C2" w:rsidRPr="008B2DDA">
        <w:rPr>
          <w:strike/>
        </w:rPr>
        <w:t>’</w:t>
      </w:r>
      <w:r w:rsidRPr="008B2DDA">
        <w:rPr>
          <w:strike/>
        </w:rPr>
        <w:t>origine ou l</w:t>
      </w:r>
      <w:r w:rsidR="00A341C2" w:rsidRPr="008B2DDA">
        <w:rPr>
          <w:strike/>
        </w:rPr>
        <w:t>’</w:t>
      </w:r>
      <w:r w:rsidRPr="008B2DDA">
        <w:rPr>
          <w:strike/>
        </w:rPr>
        <w:t>indication géographique;  ou</w:t>
      </w:r>
    </w:p>
    <w:p w14:paraId="37CE875B" w14:textId="6CD96692" w:rsidR="007079A8" w:rsidRPr="008B2DDA" w:rsidRDefault="007079A8" w:rsidP="008B2DDA">
      <w:pPr>
        <w:rPr>
          <w:strike/>
        </w:rPr>
      </w:pPr>
    </w:p>
    <w:p w14:paraId="092B7565" w14:textId="77777777" w:rsidR="007079A8" w:rsidRPr="008B2DDA" w:rsidRDefault="00311638" w:rsidP="00C62F15">
      <w:pPr>
        <w:tabs>
          <w:tab w:val="left" w:pos="1440"/>
          <w:tab w:val="left" w:pos="1650"/>
          <w:tab w:val="left" w:pos="1980"/>
        </w:tabs>
        <w:ind w:left="1418"/>
        <w:rPr>
          <w:strike/>
          <w:u w:val="single"/>
        </w:rPr>
      </w:pPr>
      <w:r w:rsidRPr="008B2DDA">
        <w:rPr>
          <w:strike/>
        </w:rPr>
        <w:tab/>
      </w:r>
      <w:r w:rsidR="006921F3" w:rsidRPr="008B2DDA">
        <w:rPr>
          <w:strike/>
          <w:u w:val="single"/>
        </w:rPr>
        <w:t>VARIANTE A</w:t>
      </w:r>
    </w:p>
    <w:p w14:paraId="6343542B" w14:textId="77777777" w:rsidR="007079A8" w:rsidRPr="008B2DDA" w:rsidRDefault="007079A8" w:rsidP="008B2DDA">
      <w:pPr>
        <w:tabs>
          <w:tab w:val="left" w:pos="1170"/>
          <w:tab w:val="left" w:pos="1650"/>
          <w:tab w:val="left" w:pos="1980"/>
        </w:tabs>
        <w:rPr>
          <w:strike/>
        </w:rPr>
      </w:pPr>
    </w:p>
    <w:p w14:paraId="2900E378" w14:textId="24D04248" w:rsidR="007079A8" w:rsidRPr="008B2DDA" w:rsidRDefault="006921F3" w:rsidP="00C62F15">
      <w:pPr>
        <w:ind w:left="1134"/>
        <w:rPr>
          <w:strike/>
        </w:rPr>
      </w:pPr>
      <w:r w:rsidRPr="008B2DDA">
        <w:rPr>
          <w:strike/>
        </w:rPr>
        <w:t>ii)</w:t>
      </w:r>
      <w:r w:rsidRPr="008B2DDA">
        <w:rPr>
          <w:strike/>
        </w:rPr>
        <w:tab/>
        <w:t>qui constituerait une usurpation, une imitation ou une évocation de celle</w:t>
      </w:r>
      <w:r w:rsidR="00D67EA4" w:rsidRPr="008B2DDA">
        <w:rPr>
          <w:strike/>
        </w:rPr>
        <w:noBreakHyphen/>
      </w:r>
      <w:r w:rsidRPr="008B2DDA">
        <w:rPr>
          <w:strike/>
        </w:rPr>
        <w:t>ci;  ou</w:t>
      </w:r>
    </w:p>
    <w:p w14:paraId="094EA7C3" w14:textId="648B85DE" w:rsidR="00A341C2" w:rsidRPr="008B2DDA" w:rsidRDefault="006921F3" w:rsidP="00C62F15">
      <w:pPr>
        <w:ind w:left="1134"/>
        <w:rPr>
          <w:strike/>
        </w:rPr>
      </w:pPr>
      <w:r w:rsidRPr="008B2DDA">
        <w:rPr>
          <w:strike/>
        </w:rPr>
        <w:t>iii)</w:t>
      </w:r>
      <w:r w:rsidRPr="008B2DDA">
        <w:rPr>
          <w:strike/>
        </w:rPr>
        <w:tab/>
        <w:t>qui porterait préjudice à sa notoriété ou tirerait indûment avantage de sa notoriété,</w:t>
      </w:r>
    </w:p>
    <w:p w14:paraId="3B1BFF54" w14:textId="5B954A42" w:rsidR="007079A8" w:rsidRPr="008B2DDA" w:rsidRDefault="007079A8" w:rsidP="008B2DDA">
      <w:pPr>
        <w:tabs>
          <w:tab w:val="left" w:pos="1170"/>
          <w:tab w:val="left" w:pos="1440"/>
        </w:tabs>
      </w:pPr>
    </w:p>
    <w:p w14:paraId="3C1F1F0B" w14:textId="77777777" w:rsidR="007079A8" w:rsidRPr="008B2DDA" w:rsidRDefault="00311638" w:rsidP="008B2DDA">
      <w:pPr>
        <w:tabs>
          <w:tab w:val="left" w:pos="1170"/>
          <w:tab w:val="left" w:pos="1440"/>
        </w:tabs>
        <w:rPr>
          <w:u w:val="single"/>
        </w:rPr>
      </w:pPr>
      <w:r w:rsidRPr="008B2DDA">
        <w:lastRenderedPageBreak/>
        <w:tab/>
      </w:r>
      <w:r w:rsidRPr="008B2DDA">
        <w:tab/>
      </w:r>
      <w:r w:rsidR="006921F3" w:rsidRPr="008B2DDA">
        <w:rPr>
          <w:u w:val="single"/>
        </w:rPr>
        <w:t>VARIANTE B</w:t>
      </w:r>
    </w:p>
    <w:p w14:paraId="10F6C78F" w14:textId="77777777" w:rsidR="007079A8" w:rsidRPr="008B2DDA" w:rsidRDefault="007079A8" w:rsidP="008B2DDA"/>
    <w:p w14:paraId="66527544" w14:textId="37C81BCF" w:rsidR="007079A8" w:rsidRPr="008B2DDA" w:rsidRDefault="00311638" w:rsidP="008B2DDA">
      <w:pPr>
        <w:ind w:left="1134"/>
      </w:pPr>
      <w:r w:rsidRPr="008B2DDA">
        <w:rPr>
          <w:strike/>
        </w:rPr>
        <w:t>ii)</w:t>
      </w:r>
      <w:r w:rsidRPr="008B2DDA">
        <w:rPr>
          <w:strike/>
        </w:rPr>
        <w:tab/>
      </w:r>
      <w:r w:rsidR="00A341C2" w:rsidRPr="008B2DDA">
        <w:t>à l’égard</w:t>
      </w:r>
      <w:r w:rsidR="006244C7" w:rsidRPr="008B2DDA">
        <w:t xml:space="preserve"> de produits qui </w:t>
      </w:r>
      <w:r w:rsidR="006244C7" w:rsidRPr="008B2DDA">
        <w:rPr>
          <w:u w:val="single"/>
        </w:rPr>
        <w:t>sont du même type et qui</w:t>
      </w:r>
      <w:r w:rsidR="006244C7" w:rsidRPr="008B2DDA">
        <w:t xml:space="preserve"> ne sont pas du même type que ceux auxquels l</w:t>
      </w:r>
      <w:r w:rsidR="00A341C2" w:rsidRPr="008B2DDA">
        <w:t>’</w:t>
      </w:r>
      <w:r w:rsidR="006244C7" w:rsidRPr="008B2DDA">
        <w:t>appellation d</w:t>
      </w:r>
      <w:r w:rsidR="00A341C2" w:rsidRPr="008B2DDA">
        <w:t>’</w:t>
      </w:r>
      <w:r w:rsidR="006244C7" w:rsidRPr="008B2DDA">
        <w:t>origine ou l</w:t>
      </w:r>
      <w:r w:rsidR="00A341C2" w:rsidRPr="008B2DDA">
        <w:t>’</w:t>
      </w:r>
      <w:r w:rsidR="006244C7" w:rsidRPr="008B2DDA">
        <w:t>indication géographique s</w:t>
      </w:r>
      <w:r w:rsidR="00A341C2" w:rsidRPr="008B2DDA">
        <w:t>’</w:t>
      </w:r>
      <w:r w:rsidR="006244C7" w:rsidRPr="008B2DDA">
        <w:t>applique si cette utilisation est de nature à indiquer ou suggérer un lien entre ces produits et les bénéficiaires et risque de nuire aux intérêts des bénéficiaires</w:t>
      </w:r>
      <w:r w:rsidRPr="008B2DDA">
        <w:t>,</w:t>
      </w:r>
    </w:p>
    <w:p w14:paraId="615FF68D" w14:textId="77777777" w:rsidR="007079A8" w:rsidRPr="008B2DDA" w:rsidRDefault="007079A8" w:rsidP="008B2DDA">
      <w:pPr>
        <w:rPr>
          <w:b/>
        </w:rPr>
      </w:pPr>
      <w:bookmarkStart w:id="11" w:name="Article_11_fn2"/>
    </w:p>
    <w:p w14:paraId="12DFAECA" w14:textId="77777777" w:rsidR="00A54CD5" w:rsidRPr="008B2DDA" w:rsidRDefault="00A54CD5" w:rsidP="00807A13">
      <w:pPr>
        <w:pBdr>
          <w:top w:val="single" w:sz="4" w:space="1" w:color="auto"/>
        </w:pBdr>
        <w:rPr>
          <w:b/>
        </w:rPr>
      </w:pPr>
    </w:p>
    <w:p w14:paraId="398279A8" w14:textId="4E305BF4" w:rsidR="007079A8" w:rsidRPr="008B2DDA" w:rsidRDefault="0060193F" w:rsidP="008B2DDA">
      <w:r w:rsidRPr="008B2DDA">
        <w:rPr>
          <w:b/>
        </w:rPr>
        <w:t>Note de bas de page 2 de l</w:t>
      </w:r>
      <w:r w:rsidR="00A341C2" w:rsidRPr="008B2DDA">
        <w:rPr>
          <w:b/>
        </w:rPr>
        <w:t>’</w:t>
      </w:r>
      <w:r w:rsidRPr="008B2DDA">
        <w:rPr>
          <w:b/>
        </w:rPr>
        <w:t>article </w:t>
      </w:r>
      <w:r w:rsidR="00311638" w:rsidRPr="008B2DDA">
        <w:rPr>
          <w:b/>
        </w:rPr>
        <w:t>11</w:t>
      </w:r>
      <w:bookmarkEnd w:id="11"/>
      <w:r w:rsidRPr="008B2DDA">
        <w:rPr>
          <w:b/>
        </w:rPr>
        <w:t> </w:t>
      </w:r>
      <w:r w:rsidR="00311638" w:rsidRPr="008B2DDA">
        <w:rPr>
          <w:b/>
        </w:rPr>
        <w:t>:</w:t>
      </w:r>
      <w:r w:rsidRPr="008B2DDA">
        <w:t xml:space="preserve"> </w:t>
      </w:r>
      <w:r w:rsidR="004A65DA"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4A65DA" w:rsidRPr="008B2DDA">
        <w:rPr>
          <w:rStyle w:val="hps"/>
        </w:rPr>
        <w:t>approuvent le maintien de</w:t>
      </w:r>
      <w:r w:rsidR="004A65DA" w:rsidRPr="008B2DDA">
        <w:t xml:space="preserve"> </w:t>
      </w:r>
      <w:r w:rsidRPr="008B2DDA">
        <w:t xml:space="preserve">la note de bas de page 2 de </w:t>
      </w:r>
      <w:r w:rsidR="004A65DA" w:rsidRPr="008B2DDA">
        <w:rPr>
          <w:rStyle w:val="hps"/>
        </w:rPr>
        <w:t>l</w:t>
      </w:r>
      <w:r w:rsidR="00A341C2" w:rsidRPr="008B2DDA">
        <w:rPr>
          <w:rStyle w:val="hps"/>
        </w:rPr>
        <w:t>’</w:t>
      </w:r>
      <w:r w:rsidR="004A65DA" w:rsidRPr="008B2DDA">
        <w:rPr>
          <w:rStyle w:val="hps"/>
        </w:rPr>
        <w:t>article</w:t>
      </w:r>
      <w:r w:rsidRPr="008B2DDA">
        <w:t> </w:t>
      </w:r>
      <w:r w:rsidR="004A65DA" w:rsidRPr="008B2DDA">
        <w:rPr>
          <w:rStyle w:val="hps"/>
        </w:rPr>
        <w:t>11</w:t>
      </w:r>
      <w:r w:rsidR="004A65DA" w:rsidRPr="008B2DDA">
        <w:t xml:space="preserve">, </w:t>
      </w:r>
      <w:r w:rsidRPr="008B2DDA">
        <w:t>notamment</w:t>
      </w:r>
      <w:r w:rsidR="004A65DA" w:rsidRPr="008B2DDA">
        <w:t xml:space="preserve"> </w:t>
      </w:r>
      <w:r w:rsidR="006244C7" w:rsidRPr="008B2DDA">
        <w:t xml:space="preserve">de </w:t>
      </w:r>
      <w:r w:rsidR="004A65DA" w:rsidRPr="008B2DDA">
        <w:rPr>
          <w:rStyle w:val="hps"/>
        </w:rPr>
        <w:t>la deuxième phrase</w:t>
      </w:r>
      <w:r w:rsidR="004A65DA" w:rsidRPr="008B2DDA">
        <w:t xml:space="preserve">, </w:t>
      </w:r>
      <w:r w:rsidR="006244C7" w:rsidRPr="008B2DDA">
        <w:t xml:space="preserve">afin </w:t>
      </w:r>
      <w:r w:rsidR="006244C7" w:rsidRPr="008B2DDA">
        <w:rPr>
          <w:rStyle w:val="hps"/>
        </w:rPr>
        <w:t>d</w:t>
      </w:r>
      <w:r w:rsidR="00A341C2" w:rsidRPr="008B2DDA">
        <w:rPr>
          <w:rStyle w:val="hps"/>
        </w:rPr>
        <w:t>’</w:t>
      </w:r>
      <w:r w:rsidR="006244C7" w:rsidRPr="008B2DDA">
        <w:rPr>
          <w:rStyle w:val="hps"/>
        </w:rPr>
        <w:t>apporter</w:t>
      </w:r>
      <w:r w:rsidR="004A65DA" w:rsidRPr="008B2DDA">
        <w:t xml:space="preserve"> </w:t>
      </w:r>
      <w:r w:rsidR="004A65DA" w:rsidRPr="008B2DDA">
        <w:rPr>
          <w:rStyle w:val="hps"/>
        </w:rPr>
        <w:t>des éclaircissements sur</w:t>
      </w:r>
      <w:r w:rsidR="004A65DA" w:rsidRPr="008B2DDA">
        <w:t xml:space="preserve"> </w:t>
      </w:r>
      <w:r w:rsidR="004A65DA" w:rsidRPr="008B2DDA">
        <w:rPr>
          <w:rStyle w:val="hps"/>
        </w:rPr>
        <w:t>l</w:t>
      </w:r>
      <w:r w:rsidR="00A341C2" w:rsidRPr="008B2DDA">
        <w:rPr>
          <w:rStyle w:val="hps"/>
        </w:rPr>
        <w:t>’</w:t>
      </w:r>
      <w:r w:rsidR="004A65DA" w:rsidRPr="008B2DDA">
        <w:rPr>
          <w:rStyle w:val="hps"/>
        </w:rPr>
        <w:t>interprétation</w:t>
      </w:r>
      <w:r w:rsidR="004A65DA" w:rsidRPr="008B2DDA">
        <w:t xml:space="preserve"> </w:t>
      </w:r>
      <w:r w:rsidR="004A65DA" w:rsidRPr="008B2DDA">
        <w:rPr>
          <w:rStyle w:val="hps"/>
        </w:rPr>
        <w:t>qui doit être donnée</w:t>
      </w:r>
      <w:r w:rsidR="004A65DA" w:rsidRPr="008B2DDA">
        <w:t xml:space="preserve"> </w:t>
      </w:r>
      <w:r w:rsidR="004A65DA" w:rsidRPr="008B2DDA">
        <w:rPr>
          <w:rStyle w:val="hps"/>
        </w:rPr>
        <w:t>lorsque les juridictions nationales</w:t>
      </w:r>
      <w:r w:rsidR="004A65DA" w:rsidRPr="008B2DDA">
        <w:t xml:space="preserve"> </w:t>
      </w:r>
      <w:r w:rsidR="006244C7" w:rsidRPr="008B2DDA">
        <w:rPr>
          <w:rStyle w:val="hps"/>
        </w:rPr>
        <w:t>s</w:t>
      </w:r>
      <w:r w:rsidR="00A341C2" w:rsidRPr="008B2DDA">
        <w:rPr>
          <w:rStyle w:val="hps"/>
        </w:rPr>
        <w:t>’</w:t>
      </w:r>
      <w:r w:rsidR="004A65DA" w:rsidRPr="008B2DDA">
        <w:rPr>
          <w:rStyle w:val="hps"/>
        </w:rPr>
        <w:t>efforcent</w:t>
      </w:r>
      <w:r w:rsidR="004A65DA" w:rsidRPr="008B2DDA">
        <w:t xml:space="preserve"> </w:t>
      </w:r>
      <w:r w:rsidR="004A65DA" w:rsidRPr="008B2DDA">
        <w:rPr>
          <w:rStyle w:val="hps"/>
        </w:rPr>
        <w:t>d</w:t>
      </w:r>
      <w:r w:rsidR="00A341C2" w:rsidRPr="008B2DDA">
        <w:rPr>
          <w:rStyle w:val="hps"/>
        </w:rPr>
        <w:t>’</w:t>
      </w:r>
      <w:r w:rsidR="004A65DA" w:rsidRPr="008B2DDA">
        <w:rPr>
          <w:rStyle w:val="hps"/>
        </w:rPr>
        <w:t>appliquer</w:t>
      </w:r>
      <w:r w:rsidR="004A65DA" w:rsidRPr="008B2DDA">
        <w:t xml:space="preserve"> </w:t>
      </w:r>
      <w:r w:rsidR="001B7C76" w:rsidRPr="008B2DDA">
        <w:t>la notion très large d</w:t>
      </w:r>
      <w:r w:rsidR="00A341C2" w:rsidRPr="008B2DDA">
        <w:t>’</w:t>
      </w:r>
      <w:r w:rsidR="001B7C76" w:rsidRPr="008B2DDA">
        <w:rPr>
          <w:rStyle w:val="hps"/>
        </w:rPr>
        <w:t>atteinte</w:t>
      </w:r>
      <w:r w:rsidR="004A65DA" w:rsidRPr="008B2DDA">
        <w:t xml:space="preserve"> </w:t>
      </w:r>
      <w:r w:rsidR="001B7C76" w:rsidRPr="008B2DDA">
        <w:t xml:space="preserve">de </w:t>
      </w:r>
      <w:r w:rsidR="004A65DA" w:rsidRPr="008B2DDA">
        <w:rPr>
          <w:rStyle w:val="hps"/>
        </w:rPr>
        <w:t>l</w:t>
      </w:r>
      <w:r w:rsidR="00A341C2" w:rsidRPr="008B2DDA">
        <w:rPr>
          <w:rStyle w:val="hps"/>
        </w:rPr>
        <w:t>’</w:t>
      </w:r>
      <w:r w:rsidR="004A65DA" w:rsidRPr="008B2DDA">
        <w:rPr>
          <w:rStyle w:val="hps"/>
        </w:rPr>
        <w:t>article</w:t>
      </w:r>
      <w:r w:rsidRPr="008B2DDA">
        <w:rPr>
          <w:rStyle w:val="hps"/>
        </w:rPr>
        <w:t> </w:t>
      </w:r>
      <w:r w:rsidR="004A65DA" w:rsidRPr="008B2DDA">
        <w:rPr>
          <w:rStyle w:val="hps"/>
        </w:rPr>
        <w:t>11</w:t>
      </w:r>
      <w:r w:rsidR="004A65DA" w:rsidRPr="008B2DDA">
        <w:t xml:space="preserve"> </w:t>
      </w:r>
      <w:r w:rsidR="004A65DA" w:rsidRPr="008B2DDA">
        <w:rPr>
          <w:rStyle w:val="hps"/>
        </w:rPr>
        <w:t xml:space="preserve">à une </w:t>
      </w:r>
      <w:r w:rsidR="00AB2EF0" w:rsidRPr="008B2DDA">
        <w:rPr>
          <w:rStyle w:val="hps"/>
        </w:rPr>
        <w:t>indication géographique</w:t>
      </w:r>
      <w:r w:rsidR="004A65DA" w:rsidRPr="008B2DDA">
        <w:t xml:space="preserve"> </w:t>
      </w:r>
      <w:r w:rsidR="004A65DA" w:rsidRPr="008B2DDA">
        <w:rPr>
          <w:rStyle w:val="hps"/>
        </w:rPr>
        <w:t>composé</w:t>
      </w:r>
      <w:r w:rsidR="006244C7" w:rsidRPr="008B2DDA">
        <w:rPr>
          <w:rStyle w:val="hps"/>
        </w:rPr>
        <w:t>e</w:t>
      </w:r>
      <w:r w:rsidR="004A65DA" w:rsidRPr="008B2DDA">
        <w:rPr>
          <w:rStyle w:val="hps"/>
        </w:rPr>
        <w:t xml:space="preserve"> qui</w:t>
      </w:r>
      <w:r w:rsidR="004A65DA" w:rsidRPr="008B2DDA">
        <w:t xml:space="preserve"> </w:t>
      </w:r>
      <w:r w:rsidR="004A65DA" w:rsidRPr="008B2DDA">
        <w:rPr>
          <w:rStyle w:val="hps"/>
        </w:rPr>
        <w:t>contient</w:t>
      </w:r>
      <w:r w:rsidR="004A65DA" w:rsidRPr="008B2DDA">
        <w:t xml:space="preserve"> </w:t>
      </w:r>
      <w:r w:rsidR="004A65DA" w:rsidRPr="008B2DDA">
        <w:rPr>
          <w:rStyle w:val="hps"/>
        </w:rPr>
        <w:t>un terme générique.</w:t>
      </w:r>
    </w:p>
    <w:p w14:paraId="5D81F43A" w14:textId="77777777" w:rsidR="00172895" w:rsidRPr="008B2DDA" w:rsidRDefault="00172895" w:rsidP="008B2DDA"/>
    <w:p w14:paraId="2BA42D62" w14:textId="4CB90395" w:rsidR="00A341C2" w:rsidRPr="008B2DDA" w:rsidRDefault="006C0D1A" w:rsidP="008B2DDA">
      <w:pPr>
        <w:rPr>
          <w:szCs w:val="22"/>
        </w:rPr>
      </w:pPr>
      <w:r w:rsidRPr="008B2DDA">
        <w:rPr>
          <w:szCs w:val="22"/>
        </w:rPr>
        <w:t>[</w:t>
      </w:r>
      <w:r w:rsidRPr="008B2DDA">
        <w:rPr>
          <w:szCs w:val="22"/>
          <w:vertAlign w:val="superscript"/>
        </w:rPr>
        <w:footnoteRef/>
      </w:r>
      <w:r w:rsidRPr="008B2DDA">
        <w:rPr>
          <w:szCs w:val="22"/>
        </w:rPr>
        <w:tab/>
        <w:t>Lorsque certains éléments de la dénomination ou de l</w:t>
      </w:r>
      <w:r w:rsidR="00A341C2" w:rsidRPr="008B2DDA">
        <w:rPr>
          <w:szCs w:val="22"/>
        </w:rPr>
        <w:t>’</w:t>
      </w:r>
      <w:r w:rsidRPr="008B2DDA">
        <w:rPr>
          <w:szCs w:val="22"/>
        </w:rPr>
        <w:t>indication constituant l</w:t>
      </w:r>
      <w:r w:rsidR="00A341C2" w:rsidRPr="008B2DDA">
        <w:rPr>
          <w:szCs w:val="22"/>
        </w:rPr>
        <w:t>’</w:t>
      </w:r>
      <w:r w:rsidRPr="008B2DDA">
        <w:rPr>
          <w:szCs w:val="22"/>
        </w:rPr>
        <w:t>appellation d</w:t>
      </w:r>
      <w:r w:rsidR="00A341C2" w:rsidRPr="008B2DDA">
        <w:rPr>
          <w:szCs w:val="22"/>
        </w:rPr>
        <w:t>’</w:t>
      </w:r>
      <w:r w:rsidRPr="008B2DDA">
        <w:rPr>
          <w:szCs w:val="22"/>
        </w:rPr>
        <w:t>origine ou l</w:t>
      </w:r>
      <w:r w:rsidR="00A341C2" w:rsidRPr="008B2DDA">
        <w:rPr>
          <w:szCs w:val="22"/>
        </w:rPr>
        <w:t>’</w:t>
      </w:r>
      <w:r w:rsidRPr="008B2DDA">
        <w:rPr>
          <w:szCs w:val="22"/>
        </w:rPr>
        <w:t>indication géographique ont un caractère générique dans la partie contractante d</w:t>
      </w:r>
      <w:r w:rsidR="00A341C2" w:rsidRPr="008B2DDA">
        <w:rPr>
          <w:szCs w:val="22"/>
        </w:rPr>
        <w:t>’</w:t>
      </w:r>
      <w:r w:rsidRPr="008B2DDA">
        <w:rPr>
          <w:szCs w:val="22"/>
        </w:rPr>
        <w:t>origine, leur protection en vertu de ce sous</w:t>
      </w:r>
      <w:r w:rsidR="00D67EA4" w:rsidRPr="008B2DDA">
        <w:rPr>
          <w:szCs w:val="22"/>
        </w:rPr>
        <w:noBreakHyphen/>
      </w:r>
      <w:r w:rsidRPr="008B2DDA">
        <w:rPr>
          <w:szCs w:val="22"/>
        </w:rPr>
        <w:t>alinéa n</w:t>
      </w:r>
      <w:r w:rsidR="00A341C2" w:rsidRPr="008B2DDA">
        <w:rPr>
          <w:szCs w:val="22"/>
        </w:rPr>
        <w:t>’</w:t>
      </w:r>
      <w:r w:rsidRPr="008B2DDA">
        <w:rPr>
          <w:szCs w:val="22"/>
        </w:rPr>
        <w:t>est pas exigée dans les autres parties contractantes.</w:t>
      </w:r>
      <w:r w:rsidR="00311638" w:rsidRPr="008B2DDA">
        <w:rPr>
          <w:szCs w:val="22"/>
        </w:rPr>
        <w:t xml:space="preserve">  </w:t>
      </w:r>
      <w:r w:rsidRPr="008B2DDA">
        <w:rPr>
          <w:szCs w:val="22"/>
        </w:rPr>
        <w:t>Dans une perspective de sécurité juridique, le refus ou l</w:t>
      </w:r>
      <w:r w:rsidR="00A341C2" w:rsidRPr="008B2DDA">
        <w:rPr>
          <w:szCs w:val="22"/>
        </w:rPr>
        <w:t>’</w:t>
      </w:r>
      <w:r w:rsidRPr="008B2DDA">
        <w:rPr>
          <w:szCs w:val="22"/>
        </w:rPr>
        <w:t>invalidation d</w:t>
      </w:r>
      <w:r w:rsidR="00A341C2" w:rsidRPr="008B2DDA">
        <w:rPr>
          <w:szCs w:val="22"/>
        </w:rPr>
        <w:t>’</w:t>
      </w:r>
      <w:r w:rsidRPr="008B2DDA">
        <w:rPr>
          <w:szCs w:val="22"/>
        </w:rPr>
        <w:t>une marque, ou la constatation d</w:t>
      </w:r>
      <w:r w:rsidR="00A341C2" w:rsidRPr="008B2DDA">
        <w:rPr>
          <w:szCs w:val="22"/>
        </w:rPr>
        <w:t>’</w:t>
      </w:r>
      <w:r w:rsidRPr="008B2DDA">
        <w:rPr>
          <w:szCs w:val="22"/>
        </w:rPr>
        <w:t>une atteinte, dans les parties contractantes en vertu des dispositions de l</w:t>
      </w:r>
      <w:r w:rsidR="00A341C2" w:rsidRPr="008B2DDA">
        <w:rPr>
          <w:szCs w:val="22"/>
        </w:rPr>
        <w:t>’</w:t>
      </w:r>
      <w:r w:rsidRPr="008B2DDA">
        <w:rPr>
          <w:szCs w:val="22"/>
        </w:rPr>
        <w:t>article</w:t>
      </w:r>
      <w:r w:rsidR="00E26A2C" w:rsidRPr="008B2DDA">
        <w:rPr>
          <w:szCs w:val="22"/>
        </w:rPr>
        <w:t> </w:t>
      </w:r>
      <w:r w:rsidRPr="008B2DDA">
        <w:rPr>
          <w:szCs w:val="22"/>
        </w:rPr>
        <w:t>11 ne peut se fonder sur l</w:t>
      </w:r>
      <w:r w:rsidR="00A341C2" w:rsidRPr="008B2DDA">
        <w:rPr>
          <w:szCs w:val="22"/>
        </w:rPr>
        <w:t>’</w:t>
      </w:r>
      <w:r w:rsidRPr="008B2DDA">
        <w:rPr>
          <w:szCs w:val="22"/>
        </w:rPr>
        <w:t>élément ayant un caractère générique.]</w:t>
      </w:r>
    </w:p>
    <w:p w14:paraId="0E29C11F" w14:textId="298698E4" w:rsidR="007079A8" w:rsidRPr="008B2DDA" w:rsidRDefault="007079A8" w:rsidP="008B2DDA">
      <w:bookmarkStart w:id="12" w:name="Article_12"/>
    </w:p>
    <w:p w14:paraId="72E26A45" w14:textId="77777777" w:rsidR="007079A8" w:rsidRPr="008B2DDA" w:rsidRDefault="007079A8" w:rsidP="00807A13">
      <w:pPr>
        <w:pBdr>
          <w:top w:val="single" w:sz="4" w:space="1" w:color="auto"/>
        </w:pBdr>
      </w:pPr>
    </w:p>
    <w:p w14:paraId="7313D91E" w14:textId="06A5BFEA" w:rsidR="007079A8" w:rsidRPr="008B2DDA" w:rsidRDefault="001B7C76" w:rsidP="008B2DDA">
      <w:pPr>
        <w:keepNext/>
        <w:keepLines/>
      </w:pPr>
      <w:r w:rsidRPr="008B2DDA">
        <w:rPr>
          <w:b/>
        </w:rPr>
        <w:t>Article </w:t>
      </w:r>
      <w:r w:rsidR="00311638" w:rsidRPr="008B2DDA">
        <w:rPr>
          <w:b/>
        </w:rPr>
        <w:t xml:space="preserve">12 </w:t>
      </w:r>
      <w:bookmarkEnd w:id="12"/>
      <w:r w:rsidRPr="008B2DDA">
        <w:rPr>
          <w:b/>
        </w:rPr>
        <w:t>Générique </w:t>
      </w:r>
      <w:r w:rsidR="00311638" w:rsidRPr="008B2DDA">
        <w:rPr>
          <w:b/>
        </w:rPr>
        <w:t>:</w:t>
      </w:r>
      <w:r w:rsidR="00311638" w:rsidRPr="008B2DDA">
        <w:t xml:space="preserve"> </w:t>
      </w:r>
      <w:r w:rsidR="008C23E8" w:rsidRPr="008B2DDA">
        <w:rPr>
          <w:rStyle w:val="hps"/>
        </w:rPr>
        <w:t xml:space="preserve">Les </w:t>
      </w:r>
      <w:r w:rsidRPr="008B2DDA">
        <w:rPr>
          <w:rStyle w:val="hps"/>
        </w:rPr>
        <w:t>États</w:t>
      </w:r>
      <w:r w:rsidR="00D67EA4" w:rsidRPr="008B2DDA">
        <w:rPr>
          <w:rStyle w:val="hps"/>
        </w:rPr>
        <w:noBreakHyphen/>
      </w:r>
      <w:r w:rsidRPr="008B2DDA">
        <w:rPr>
          <w:rStyle w:val="hps"/>
        </w:rPr>
        <w:t xml:space="preserve">Unis </w:t>
      </w:r>
      <w:r w:rsidR="00E26A2C" w:rsidRPr="008B2DDA">
        <w:rPr>
          <w:rStyle w:val="hps"/>
        </w:rPr>
        <w:t>d’Amérique</w:t>
      </w:r>
      <w:r w:rsidRPr="008B2DDA">
        <w:rPr>
          <w:rStyle w:val="hps"/>
        </w:rPr>
        <w:t xml:space="preserve"> </w:t>
      </w:r>
      <w:r w:rsidRPr="008B2DDA">
        <w:t>approuvent</w:t>
      </w:r>
      <w:r w:rsidR="008C23E8" w:rsidRPr="008B2DDA">
        <w:t xml:space="preserve"> </w:t>
      </w:r>
      <w:r w:rsidR="008C23E8" w:rsidRPr="008B2DDA">
        <w:rPr>
          <w:rStyle w:val="hps"/>
        </w:rPr>
        <w:t>la suppression</w:t>
      </w:r>
      <w:r w:rsidR="008C23E8" w:rsidRPr="008B2DDA">
        <w:t xml:space="preserve"> </w:t>
      </w:r>
      <w:r w:rsidRPr="008B2DDA">
        <w:t xml:space="preserve">complète </w:t>
      </w:r>
      <w:r w:rsidR="008C23E8" w:rsidRPr="008B2DDA">
        <w:rPr>
          <w:rStyle w:val="hps"/>
        </w:rPr>
        <w:t>de l</w:t>
      </w:r>
      <w:r w:rsidR="00A341C2" w:rsidRPr="008B2DDA">
        <w:rPr>
          <w:rStyle w:val="hps"/>
        </w:rPr>
        <w:t>’</w:t>
      </w:r>
      <w:r w:rsidR="008C23E8" w:rsidRPr="008B2DDA">
        <w:rPr>
          <w:rStyle w:val="hps"/>
        </w:rPr>
        <w:t>article</w:t>
      </w:r>
      <w:r w:rsidRPr="008B2DDA">
        <w:t> </w:t>
      </w:r>
      <w:r w:rsidR="008C23E8" w:rsidRPr="008B2DDA">
        <w:rPr>
          <w:rStyle w:val="hps"/>
        </w:rPr>
        <w:t>12</w:t>
      </w:r>
      <w:r w:rsidR="008C23E8" w:rsidRPr="008B2DDA">
        <w:t xml:space="preserve">. </w:t>
      </w:r>
      <w:r w:rsidR="00C83199" w:rsidRPr="008B2DDA">
        <w:t xml:space="preserve"> En cas de refus</w:t>
      </w:r>
      <w:r w:rsidR="008C23E8" w:rsidRPr="008B2DDA">
        <w:rPr>
          <w:rStyle w:val="atn"/>
        </w:rPr>
        <w:t xml:space="preserve">, les </w:t>
      </w:r>
      <w:r w:rsidR="005C22F0" w:rsidRPr="008B2DDA">
        <w:rPr>
          <w:rStyle w:val="atn"/>
        </w:rPr>
        <w:t>États</w:t>
      </w:r>
      <w:r w:rsidR="00D67EA4" w:rsidRPr="008B2DDA">
        <w:rPr>
          <w:rStyle w:val="atn"/>
        </w:rPr>
        <w:noBreakHyphen/>
      </w:r>
      <w:r w:rsidR="005C22F0" w:rsidRPr="008B2DDA">
        <w:rPr>
          <w:rStyle w:val="atn"/>
        </w:rPr>
        <w:t>Unis</w:t>
      </w:r>
      <w:r w:rsidR="00E26A2C" w:rsidRPr="008B2DDA">
        <w:rPr>
          <w:rStyle w:val="atn"/>
        </w:rPr>
        <w:t xml:space="preserve"> d’Amérique</w:t>
      </w:r>
      <w:r w:rsidR="005C22F0" w:rsidRPr="008B2DDA">
        <w:rPr>
          <w:rStyle w:val="atn"/>
        </w:rPr>
        <w:t xml:space="preserve"> </w:t>
      </w:r>
      <w:r w:rsidR="00C83199" w:rsidRPr="008B2DDA">
        <w:t>approuvent le maintien du</w:t>
      </w:r>
      <w:r w:rsidR="008C23E8" w:rsidRPr="008B2DDA">
        <w:rPr>
          <w:rStyle w:val="hps"/>
        </w:rPr>
        <w:t xml:space="preserve"> texte</w:t>
      </w:r>
      <w:r w:rsidR="008C23E8" w:rsidRPr="008B2DDA">
        <w:t xml:space="preserve"> </w:t>
      </w:r>
      <w:r w:rsidR="008C23E8" w:rsidRPr="008B2DDA">
        <w:rPr>
          <w:rStyle w:val="hps"/>
        </w:rPr>
        <w:t>entre crochets</w:t>
      </w:r>
      <w:r w:rsidR="008C23E8" w:rsidRPr="008B2DDA">
        <w:t xml:space="preserve">, </w:t>
      </w:r>
      <w:r w:rsidR="00C83199" w:rsidRPr="008B2DDA">
        <w:rPr>
          <w:rStyle w:val="hps"/>
        </w:rPr>
        <w:t>en proposant néanmoins</w:t>
      </w:r>
      <w:r w:rsidR="008C23E8" w:rsidRPr="008B2DDA">
        <w:t xml:space="preserve"> </w:t>
      </w:r>
      <w:r w:rsidR="00C83199" w:rsidRPr="008B2DDA">
        <w:rPr>
          <w:rStyle w:val="hps"/>
        </w:rPr>
        <w:t xml:space="preserve">de faire </w:t>
      </w:r>
      <w:r w:rsidR="00BE2682" w:rsidRPr="008B2DDA">
        <w:rPr>
          <w:rStyle w:val="hps"/>
        </w:rPr>
        <w:t>apparaître</w:t>
      </w:r>
      <w:r w:rsidR="00C83199" w:rsidRPr="008B2DDA">
        <w:rPr>
          <w:rStyle w:val="hps"/>
        </w:rPr>
        <w:t xml:space="preserve"> les passages</w:t>
      </w:r>
      <w:r w:rsidR="008C23E8" w:rsidRPr="008B2DDA">
        <w:rPr>
          <w:rStyle w:val="hps"/>
        </w:rPr>
        <w:t xml:space="preserve"> entre crochets</w:t>
      </w:r>
      <w:r w:rsidR="008C23E8" w:rsidRPr="008B2DDA">
        <w:t xml:space="preserve"> </w:t>
      </w:r>
      <w:r w:rsidR="00E26A2C" w:rsidRPr="008B2DDA">
        <w:rPr>
          <w:rStyle w:val="hps"/>
        </w:rPr>
        <w:t>“</w:t>
      </w:r>
      <w:r w:rsidRPr="008B2DDA">
        <w:t>la dénomination constituant</w:t>
      </w:r>
      <w:r w:rsidR="00E26A2C" w:rsidRPr="008B2DDA">
        <w:t>”</w:t>
      </w:r>
      <w:r w:rsidRPr="008B2DDA">
        <w:rPr>
          <w:rStyle w:val="hps"/>
        </w:rPr>
        <w:t xml:space="preserve"> et </w:t>
      </w:r>
      <w:r w:rsidR="00E26A2C" w:rsidRPr="008B2DDA">
        <w:rPr>
          <w:rStyle w:val="hps"/>
        </w:rPr>
        <w:t>“</w:t>
      </w:r>
      <w:r w:rsidRPr="008B2DDA">
        <w:t>l</w:t>
      </w:r>
      <w:r w:rsidR="00A341C2" w:rsidRPr="008B2DDA">
        <w:t>’</w:t>
      </w:r>
      <w:r w:rsidRPr="008B2DDA">
        <w:t>indication constituant</w:t>
      </w:r>
      <w:r w:rsidR="00E26A2C" w:rsidRPr="008B2DDA">
        <w:rPr>
          <w:rStyle w:val="hps"/>
        </w:rPr>
        <w:t>”</w:t>
      </w:r>
      <w:r w:rsidR="008C23E8" w:rsidRPr="008B2DDA">
        <w:t xml:space="preserve"> </w:t>
      </w:r>
      <w:r w:rsidR="00C83199" w:rsidRPr="008B2DDA">
        <w:rPr>
          <w:rStyle w:val="hps"/>
        </w:rPr>
        <w:t>plus en amont</w:t>
      </w:r>
      <w:r w:rsidR="008C23E8" w:rsidRPr="008B2DDA">
        <w:t xml:space="preserve"> </w:t>
      </w:r>
      <w:r w:rsidR="008C23E8" w:rsidRPr="008B2DDA">
        <w:rPr>
          <w:rStyle w:val="hps"/>
        </w:rPr>
        <w:t>dans le texte</w:t>
      </w:r>
      <w:r w:rsidR="008C23E8" w:rsidRPr="008B2DDA">
        <w:t xml:space="preserve"> </w:t>
      </w:r>
      <w:r w:rsidR="008C23E8" w:rsidRPr="008B2DDA">
        <w:rPr>
          <w:rStyle w:val="hps"/>
        </w:rPr>
        <w:t xml:space="preserve">pour rendre </w:t>
      </w:r>
      <w:r w:rsidR="00C83199" w:rsidRPr="008B2DDA">
        <w:rPr>
          <w:rStyle w:val="hps"/>
        </w:rPr>
        <w:t>le</w:t>
      </w:r>
      <w:r w:rsidR="008C23E8" w:rsidRPr="008B2DDA">
        <w:rPr>
          <w:rStyle w:val="hps"/>
        </w:rPr>
        <w:t xml:space="preserve"> </w:t>
      </w:r>
      <w:r w:rsidRPr="008B2DDA">
        <w:rPr>
          <w:rStyle w:val="hps"/>
        </w:rPr>
        <w:t xml:space="preserve">texte </w:t>
      </w:r>
      <w:r w:rsidR="008C23E8" w:rsidRPr="008B2DDA">
        <w:rPr>
          <w:rStyle w:val="hps"/>
        </w:rPr>
        <w:t>plus logique.</w:t>
      </w:r>
    </w:p>
    <w:p w14:paraId="5B7D3E12" w14:textId="77777777" w:rsidR="007079A8" w:rsidRPr="008B2DDA" w:rsidRDefault="007079A8" w:rsidP="008B2DDA">
      <w:pPr>
        <w:keepNext/>
        <w:keepLines/>
      </w:pPr>
    </w:p>
    <w:p w14:paraId="6EC32136" w14:textId="2D1EB975" w:rsidR="007079A8" w:rsidRPr="008B2DDA" w:rsidRDefault="004C04A7" w:rsidP="008B2DDA">
      <w:pPr>
        <w:keepNext/>
        <w:keepLines/>
      </w:pPr>
      <w:r w:rsidRPr="008B2DDA">
        <w:t>Article</w:t>
      </w:r>
      <w:r w:rsidR="00E26A2C" w:rsidRPr="008B2DDA">
        <w:t> </w:t>
      </w:r>
      <w:r w:rsidRPr="008B2DDA">
        <w:t>12</w:t>
      </w:r>
    </w:p>
    <w:p w14:paraId="4EDE0B4E" w14:textId="77777777" w:rsidR="007079A8" w:rsidRPr="008B2DDA" w:rsidRDefault="007079A8" w:rsidP="008B2DDA"/>
    <w:p w14:paraId="37647E63" w14:textId="0EBD7F72" w:rsidR="007079A8" w:rsidRPr="008B2DDA" w:rsidRDefault="00C83199" w:rsidP="008B2DDA">
      <w:pPr>
        <w:ind w:firstLine="567"/>
      </w:pPr>
      <w:r w:rsidRPr="008B2DDA">
        <w:t xml:space="preserve">Sous réserve des dispositions du présent Acte, </w:t>
      </w:r>
      <w:r w:rsidRPr="008B2DDA">
        <w:rPr>
          <w:u w:val="single"/>
        </w:rPr>
        <w:t xml:space="preserve">la dénomination constituant une </w:t>
      </w:r>
      <w:r w:rsidRPr="008B2DDA">
        <w:rPr>
          <w:strike/>
        </w:rPr>
        <w:t xml:space="preserve">les </w:t>
      </w:r>
      <w:r w:rsidRPr="008B2DDA">
        <w:t>appellation</w:t>
      </w:r>
      <w:r w:rsidRPr="008B2DDA">
        <w:rPr>
          <w:strike/>
        </w:rPr>
        <w:t>s</w:t>
      </w:r>
      <w:r w:rsidRPr="008B2DDA">
        <w:t xml:space="preserve"> d</w:t>
      </w:r>
      <w:r w:rsidR="00A341C2" w:rsidRPr="008B2DDA">
        <w:t>’</w:t>
      </w:r>
      <w:r w:rsidRPr="008B2DDA">
        <w:t>origine enregistrée</w:t>
      </w:r>
      <w:r w:rsidRPr="008B2DDA">
        <w:rPr>
          <w:strike/>
        </w:rPr>
        <w:t>s et,</w:t>
      </w:r>
      <w:r w:rsidRPr="008B2DDA">
        <w:rPr>
          <w:u w:val="single"/>
        </w:rPr>
        <w:t xml:space="preserve"> ou l</w:t>
      </w:r>
      <w:r w:rsidR="00A341C2" w:rsidRPr="008B2DDA">
        <w:rPr>
          <w:u w:val="single"/>
        </w:rPr>
        <w:t>’</w:t>
      </w:r>
      <w:r w:rsidRPr="008B2DDA">
        <w:rPr>
          <w:u w:val="single"/>
        </w:rPr>
        <w:t>indication constituant</w:t>
      </w:r>
      <w:r w:rsidRPr="008B2DDA">
        <w:rPr>
          <w:rStyle w:val="hps"/>
          <w:u w:val="single"/>
        </w:rPr>
        <w:t xml:space="preserve"> </w:t>
      </w:r>
      <w:r w:rsidRPr="008B2DDA">
        <w:rPr>
          <w:strike/>
        </w:rPr>
        <w:t xml:space="preserve">les </w:t>
      </w:r>
      <w:r w:rsidRPr="008B2DDA">
        <w:rPr>
          <w:u w:val="single"/>
        </w:rPr>
        <w:t xml:space="preserve">une </w:t>
      </w:r>
      <w:r w:rsidRPr="008B2DDA">
        <w:t>indication</w:t>
      </w:r>
      <w:r w:rsidRPr="008B2DDA">
        <w:rPr>
          <w:strike/>
        </w:rPr>
        <w:t>s</w:t>
      </w:r>
      <w:r w:rsidRPr="008B2DDA">
        <w:t xml:space="preserve"> géographique</w:t>
      </w:r>
      <w:r w:rsidRPr="008B2DDA">
        <w:rPr>
          <w:strike/>
        </w:rPr>
        <w:t>s</w:t>
      </w:r>
      <w:r w:rsidRPr="008B2DDA">
        <w:t xml:space="preserve"> enregistrée</w:t>
      </w:r>
      <w:r w:rsidRPr="008B2DDA">
        <w:rPr>
          <w:strike/>
        </w:rPr>
        <w:t>s</w:t>
      </w:r>
      <w:r w:rsidRPr="008B2DDA">
        <w:rPr>
          <w:u w:val="single"/>
        </w:rPr>
        <w:t>,</w:t>
      </w:r>
      <w:r w:rsidRPr="008B2DDA">
        <w:t xml:space="preserve"> ne peuvent pas [être considérées comme étant devenues] devenir génériques tant que </w:t>
      </w:r>
      <w:r w:rsidRPr="008B2DDA">
        <w:rPr>
          <w:strike/>
        </w:rPr>
        <w:t xml:space="preserve">[la dénomination constituant] </w:t>
      </w:r>
      <w:r w:rsidRPr="008B2DDA">
        <w:t>l</w:t>
      </w:r>
      <w:r w:rsidR="00A341C2" w:rsidRPr="008B2DDA">
        <w:t>’</w:t>
      </w:r>
      <w:r w:rsidRPr="008B2DDA">
        <w:t>appellation d</w:t>
      </w:r>
      <w:r w:rsidR="00A341C2" w:rsidRPr="008B2DDA">
        <w:t>’</w:t>
      </w:r>
      <w:r w:rsidRPr="008B2DDA">
        <w:t xml:space="preserve">origine, ou </w:t>
      </w:r>
      <w:r w:rsidRPr="008B2DDA">
        <w:rPr>
          <w:strike/>
        </w:rPr>
        <w:t>[l</w:t>
      </w:r>
      <w:r w:rsidR="00A341C2" w:rsidRPr="008B2DDA">
        <w:rPr>
          <w:strike/>
        </w:rPr>
        <w:t>’</w:t>
      </w:r>
      <w:r w:rsidRPr="008B2DDA">
        <w:rPr>
          <w:strike/>
        </w:rPr>
        <w:t xml:space="preserve">indication constituant] </w:t>
      </w:r>
      <w:r w:rsidRPr="008B2DDA">
        <w:t>l</w:t>
      </w:r>
      <w:r w:rsidR="00A341C2" w:rsidRPr="008B2DDA">
        <w:t>’</w:t>
      </w:r>
      <w:r w:rsidRPr="008B2DDA">
        <w:t>indication géographique, est protégée dans la partie contractante d</w:t>
      </w:r>
      <w:r w:rsidR="00A341C2" w:rsidRPr="008B2DDA">
        <w:t>’</w:t>
      </w:r>
      <w:r w:rsidRPr="008B2DDA">
        <w:t>origine [et que les exigences de la législation nationale ou régionale dans la partie contractante concernée en matière d</w:t>
      </w:r>
      <w:r w:rsidR="00A341C2" w:rsidRPr="008B2DDA">
        <w:t>’</w:t>
      </w:r>
      <w:r w:rsidRPr="008B2DDA">
        <w:t>utilisation, de maintien en vigueur et de renouvellement sont observées].</w:t>
      </w:r>
    </w:p>
    <w:p w14:paraId="255167A5" w14:textId="77777777" w:rsidR="007079A8" w:rsidRPr="008B2DDA" w:rsidRDefault="007079A8" w:rsidP="008B2DDA">
      <w:bookmarkStart w:id="13" w:name="Article_13"/>
      <w:bookmarkStart w:id="14" w:name="Article_17"/>
    </w:p>
    <w:p w14:paraId="3F01E9F3" w14:textId="77777777" w:rsidR="007079A8" w:rsidRPr="008B2DDA" w:rsidRDefault="007079A8" w:rsidP="00807A13">
      <w:pPr>
        <w:pBdr>
          <w:top w:val="single" w:sz="4" w:space="1" w:color="auto"/>
        </w:pBdr>
      </w:pPr>
    </w:p>
    <w:p w14:paraId="4778F448" w14:textId="7FBC93D2" w:rsidR="007079A8" w:rsidRPr="008B2DDA" w:rsidRDefault="00C83199" w:rsidP="008B2DDA">
      <w:r w:rsidRPr="008B2DDA">
        <w:rPr>
          <w:b/>
        </w:rPr>
        <w:t>Article </w:t>
      </w:r>
      <w:r w:rsidR="00311638" w:rsidRPr="008B2DDA">
        <w:rPr>
          <w:b/>
        </w:rPr>
        <w:t>13</w:t>
      </w:r>
      <w:r w:rsidR="004C04A7" w:rsidRPr="008B2DDA">
        <w:rPr>
          <w:b/>
        </w:rPr>
        <w:t>.</w:t>
      </w:r>
      <w:r w:rsidR="00311638" w:rsidRPr="008B2DDA">
        <w:rPr>
          <w:b/>
        </w:rPr>
        <w:t xml:space="preserve">1) </w:t>
      </w:r>
      <w:bookmarkEnd w:id="13"/>
      <w:r w:rsidR="001C728B" w:rsidRPr="008B2DDA">
        <w:rPr>
          <w:b/>
        </w:rPr>
        <w:t>Droits antérieurs sur des marques </w:t>
      </w:r>
      <w:r w:rsidR="00311638" w:rsidRPr="008B2DDA">
        <w:rPr>
          <w:b/>
        </w:rPr>
        <w:t>:</w:t>
      </w:r>
      <w:r w:rsidRPr="008B2DDA">
        <w:t xml:space="preserve"> </w:t>
      </w:r>
      <w:r w:rsidR="008C23E8"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8C23E8" w:rsidRPr="008B2DDA">
        <w:rPr>
          <w:rStyle w:val="hps"/>
        </w:rPr>
        <w:t>d</w:t>
      </w:r>
      <w:r w:rsidR="00A341C2" w:rsidRPr="008B2DDA">
        <w:rPr>
          <w:rStyle w:val="hps"/>
        </w:rPr>
        <w:t>’</w:t>
      </w:r>
      <w:r w:rsidR="008C23E8" w:rsidRPr="008B2DDA">
        <w:rPr>
          <w:rStyle w:val="hps"/>
        </w:rPr>
        <w:t>Amérique</w:t>
      </w:r>
      <w:r w:rsidR="008C23E8" w:rsidRPr="008B2DDA">
        <w:t xml:space="preserve"> approuvent </w:t>
      </w:r>
      <w:r w:rsidR="00A54CD5" w:rsidRPr="008B2DDA">
        <w:rPr>
          <w:rStyle w:val="hps"/>
        </w:rPr>
        <w:t>la variante </w:t>
      </w:r>
      <w:r w:rsidR="00311638" w:rsidRPr="008B2DDA">
        <w:t xml:space="preserve">B </w:t>
      </w:r>
      <w:r w:rsidR="008C23E8" w:rsidRPr="008B2DDA">
        <w:t>de l</w:t>
      </w:r>
      <w:r w:rsidR="00A341C2" w:rsidRPr="008B2DDA">
        <w:t>’</w:t>
      </w:r>
      <w:r w:rsidR="008C23E8" w:rsidRPr="008B2DDA">
        <w:t>article </w:t>
      </w:r>
      <w:r w:rsidR="00311638" w:rsidRPr="008B2DDA">
        <w:t>13</w:t>
      </w:r>
      <w:r w:rsidRPr="008B2DDA">
        <w:t>.</w:t>
      </w:r>
      <w:r w:rsidR="00311638" w:rsidRPr="008B2DDA">
        <w:t>1).</w:t>
      </w:r>
    </w:p>
    <w:p w14:paraId="0640424E" w14:textId="77777777" w:rsidR="007079A8" w:rsidRPr="008B2DDA" w:rsidRDefault="007079A8" w:rsidP="008B2DDA">
      <w:pPr>
        <w:rPr>
          <w:u w:val="single"/>
        </w:rPr>
      </w:pPr>
    </w:p>
    <w:p w14:paraId="6A3C5D23" w14:textId="16CEE5E6" w:rsidR="007079A8" w:rsidRPr="008B2DDA" w:rsidRDefault="00311638" w:rsidP="008B2DDA">
      <w:r w:rsidRPr="008B2DDA">
        <w:t>Article</w:t>
      </w:r>
      <w:r w:rsidR="00E26A2C" w:rsidRPr="008B2DDA">
        <w:t> </w:t>
      </w:r>
      <w:r w:rsidRPr="008B2DDA">
        <w:t>13</w:t>
      </w:r>
      <w:r w:rsidR="004C04A7" w:rsidRPr="008B2DDA">
        <w:t>.</w:t>
      </w:r>
      <w:r w:rsidRPr="008B2DDA">
        <w:t>1)</w:t>
      </w:r>
    </w:p>
    <w:p w14:paraId="28CDE766" w14:textId="77777777" w:rsidR="007079A8" w:rsidRPr="008B2DDA" w:rsidRDefault="007079A8" w:rsidP="008B2DDA">
      <w:pPr>
        <w:rPr>
          <w:u w:val="single"/>
        </w:rPr>
      </w:pPr>
    </w:p>
    <w:p w14:paraId="7E330C2B" w14:textId="77777777" w:rsidR="007079A8" w:rsidRPr="008B2DDA" w:rsidRDefault="004C04A7" w:rsidP="008B2DDA">
      <w:pPr>
        <w:rPr>
          <w:u w:val="single"/>
        </w:rPr>
      </w:pPr>
      <w:r w:rsidRPr="008B2DDA">
        <w:rPr>
          <w:u w:val="single"/>
        </w:rPr>
        <w:t>VARIANTE B</w:t>
      </w:r>
    </w:p>
    <w:p w14:paraId="0766BED7" w14:textId="77777777" w:rsidR="007079A8" w:rsidRPr="008B2DDA" w:rsidRDefault="007079A8" w:rsidP="008B2DDA"/>
    <w:p w14:paraId="150B0C71" w14:textId="4647335B" w:rsidR="00A341C2" w:rsidRPr="008B2DDA" w:rsidRDefault="004C04A7" w:rsidP="008B2DDA">
      <w:proofErr w:type="gramStart"/>
      <w:r w:rsidRPr="008B2DDA">
        <w:t>la</w:t>
      </w:r>
      <w:proofErr w:type="gramEnd"/>
      <w:r w:rsidRPr="008B2DDA">
        <w:t xml:space="preserve"> protection de cette appellation d</w:t>
      </w:r>
      <w:r w:rsidR="00A341C2" w:rsidRPr="008B2DDA">
        <w:t>’</w:t>
      </w:r>
      <w:r w:rsidRPr="008B2DDA">
        <w:t>origine ou de cette indication géographique dans cette partie contractante est subordonnée aux droits conférés par la marque antérieure en vertu de la législation nationale ou régionale ainsi qu</w:t>
      </w:r>
      <w:r w:rsidR="00A341C2" w:rsidRPr="008B2DDA">
        <w:t>’</w:t>
      </w:r>
      <w:r w:rsidRPr="008B2DDA">
        <w:t>à toute exception applicable à ces droits.</w:t>
      </w:r>
    </w:p>
    <w:p w14:paraId="13EE1448" w14:textId="546DD82D" w:rsidR="00172895" w:rsidRPr="008B2DDA" w:rsidRDefault="00172895" w:rsidP="008B2DDA">
      <w:bookmarkStart w:id="15" w:name="Article_16"/>
    </w:p>
    <w:p w14:paraId="2F8CDA0F" w14:textId="77777777" w:rsidR="00172895" w:rsidRPr="008B2DDA" w:rsidRDefault="00172895" w:rsidP="00807A13">
      <w:pPr>
        <w:pBdr>
          <w:top w:val="single" w:sz="4" w:space="1" w:color="auto"/>
        </w:pBdr>
      </w:pPr>
    </w:p>
    <w:p w14:paraId="49964B5D" w14:textId="47925741" w:rsidR="007079A8" w:rsidRPr="008B2DDA" w:rsidRDefault="00311638" w:rsidP="008B2DDA">
      <w:r w:rsidRPr="008B2DDA">
        <w:rPr>
          <w:b/>
        </w:rPr>
        <w:t>Article</w:t>
      </w:r>
      <w:r w:rsidR="00E26A2C" w:rsidRPr="008B2DDA">
        <w:rPr>
          <w:b/>
        </w:rPr>
        <w:t> </w:t>
      </w:r>
      <w:r w:rsidRPr="008B2DDA">
        <w:rPr>
          <w:b/>
        </w:rPr>
        <w:t xml:space="preserve">16 </w:t>
      </w:r>
      <w:bookmarkEnd w:id="15"/>
      <w:r w:rsidR="004C04A7" w:rsidRPr="008B2DDA">
        <w:rPr>
          <w:b/>
        </w:rPr>
        <w:t>Négociations</w:t>
      </w:r>
      <w:r w:rsidR="00E26A2C" w:rsidRPr="008B2DDA">
        <w:rPr>
          <w:b/>
        </w:rPr>
        <w:t> </w:t>
      </w:r>
      <w:r w:rsidRPr="008B2DDA">
        <w:rPr>
          <w:b/>
        </w:rPr>
        <w:t>:</w:t>
      </w:r>
      <w:r w:rsidRPr="008B2DDA">
        <w:t xml:space="preserve"> </w:t>
      </w:r>
      <w:r w:rsidR="008C23E8" w:rsidRPr="008B2DDA">
        <w:rPr>
          <w:rStyle w:val="hps"/>
        </w:rPr>
        <w:t xml:space="preserve">Les </w:t>
      </w:r>
      <w:r w:rsidR="00C83199" w:rsidRPr="008B2DDA">
        <w:rPr>
          <w:rStyle w:val="hps"/>
        </w:rPr>
        <w:t>États</w:t>
      </w:r>
      <w:r w:rsidR="00D67EA4" w:rsidRPr="008B2DDA">
        <w:rPr>
          <w:rStyle w:val="hps"/>
        </w:rPr>
        <w:noBreakHyphen/>
      </w:r>
      <w:r w:rsidR="00C83199" w:rsidRPr="008B2DDA">
        <w:rPr>
          <w:rStyle w:val="hps"/>
        </w:rPr>
        <w:t>Unis</w:t>
      </w:r>
      <w:r w:rsidR="00E26A2C" w:rsidRPr="008B2DDA">
        <w:rPr>
          <w:rStyle w:val="hps"/>
        </w:rPr>
        <w:t xml:space="preserve"> d’Amérique</w:t>
      </w:r>
      <w:r w:rsidR="00C83199" w:rsidRPr="008B2DDA">
        <w:rPr>
          <w:rStyle w:val="hps"/>
        </w:rPr>
        <w:t xml:space="preserve"> </w:t>
      </w:r>
      <w:r w:rsidR="008C23E8" w:rsidRPr="008B2DDA">
        <w:rPr>
          <w:rStyle w:val="hps"/>
        </w:rPr>
        <w:t>propose</w:t>
      </w:r>
      <w:r w:rsidR="00C83199" w:rsidRPr="008B2DDA">
        <w:rPr>
          <w:rStyle w:val="hps"/>
        </w:rPr>
        <w:t>nt</w:t>
      </w:r>
      <w:r w:rsidR="008C23E8" w:rsidRPr="008B2DDA">
        <w:rPr>
          <w:rStyle w:val="hps"/>
        </w:rPr>
        <w:t xml:space="preserve"> la suppression</w:t>
      </w:r>
      <w:r w:rsidR="008C23E8" w:rsidRPr="008B2DDA">
        <w:t xml:space="preserve"> </w:t>
      </w:r>
      <w:r w:rsidR="008C23E8" w:rsidRPr="008B2DDA">
        <w:rPr>
          <w:rStyle w:val="hps"/>
        </w:rPr>
        <w:t>de l</w:t>
      </w:r>
      <w:r w:rsidR="00A341C2" w:rsidRPr="008B2DDA">
        <w:rPr>
          <w:rStyle w:val="hps"/>
        </w:rPr>
        <w:t>’</w:t>
      </w:r>
      <w:r w:rsidR="008C23E8" w:rsidRPr="008B2DDA">
        <w:rPr>
          <w:rStyle w:val="hps"/>
        </w:rPr>
        <w:t>article</w:t>
      </w:r>
      <w:r w:rsidR="00C83199" w:rsidRPr="008B2DDA">
        <w:t> </w:t>
      </w:r>
      <w:r w:rsidR="008C23E8" w:rsidRPr="008B2DDA">
        <w:rPr>
          <w:rStyle w:val="hps"/>
        </w:rPr>
        <w:t>16</w:t>
      </w:r>
      <w:r w:rsidR="00C83199" w:rsidRPr="008B2DDA">
        <w:t>.</w:t>
      </w:r>
      <w:r w:rsidR="008C23E8" w:rsidRPr="008B2DDA">
        <w:t xml:space="preserve">2), car il </w:t>
      </w:r>
      <w:r w:rsidR="00F11EBE" w:rsidRPr="008B2DDA">
        <w:rPr>
          <w:rStyle w:val="hps"/>
        </w:rPr>
        <w:t>ne permet pas de savoir</w:t>
      </w:r>
      <w:r w:rsidR="008C23E8" w:rsidRPr="008B2DDA">
        <w:rPr>
          <w:rStyle w:val="hps"/>
        </w:rPr>
        <w:t xml:space="preserve"> qui</w:t>
      </w:r>
      <w:r w:rsidR="008C23E8" w:rsidRPr="008B2DDA">
        <w:t xml:space="preserve"> </w:t>
      </w:r>
      <w:r w:rsidR="00F11EBE" w:rsidRPr="008B2DDA">
        <w:rPr>
          <w:rStyle w:val="hps"/>
        </w:rPr>
        <w:t>doit</w:t>
      </w:r>
      <w:r w:rsidR="008C23E8" w:rsidRPr="008B2DDA">
        <w:rPr>
          <w:rStyle w:val="hps"/>
        </w:rPr>
        <w:t xml:space="preserve"> être </w:t>
      </w:r>
      <w:r w:rsidR="00F11EBE" w:rsidRPr="008B2DDA">
        <w:rPr>
          <w:rStyle w:val="hps"/>
        </w:rPr>
        <w:t>habilité</w:t>
      </w:r>
      <w:r w:rsidR="008C23E8" w:rsidRPr="008B2DDA">
        <w:rPr>
          <w:rStyle w:val="hps"/>
        </w:rPr>
        <w:t xml:space="preserve"> à revendiquer </w:t>
      </w:r>
      <w:r w:rsidR="00F11EBE" w:rsidRPr="008B2DDA">
        <w:rPr>
          <w:rStyle w:val="hps"/>
        </w:rPr>
        <w:t>des</w:t>
      </w:r>
      <w:r w:rsidR="008C23E8" w:rsidRPr="008B2DDA">
        <w:t xml:space="preserve"> </w:t>
      </w:r>
      <w:r w:rsidR="008C23E8" w:rsidRPr="008B2DDA">
        <w:rPr>
          <w:rStyle w:val="hps"/>
        </w:rPr>
        <w:t>droit</w:t>
      </w:r>
      <w:r w:rsidR="00F11EBE" w:rsidRPr="008B2DDA">
        <w:rPr>
          <w:rStyle w:val="hps"/>
        </w:rPr>
        <w:t>s</w:t>
      </w:r>
      <w:r w:rsidR="008C23E8" w:rsidRPr="008B2DDA">
        <w:rPr>
          <w:rStyle w:val="hps"/>
        </w:rPr>
        <w:t xml:space="preserve"> de propriété sur</w:t>
      </w:r>
      <w:r w:rsidR="008C23E8" w:rsidRPr="008B2DDA">
        <w:t xml:space="preserve"> </w:t>
      </w:r>
      <w:r w:rsidR="008C23E8" w:rsidRPr="008B2DDA">
        <w:rPr>
          <w:rStyle w:val="hps"/>
        </w:rPr>
        <w:t xml:space="preserve">une </w:t>
      </w:r>
      <w:r w:rsidR="00AB2EF0" w:rsidRPr="008B2DDA">
        <w:rPr>
          <w:rStyle w:val="hps"/>
        </w:rPr>
        <w:t>indication géographique</w:t>
      </w:r>
      <w:r w:rsidR="008C23E8" w:rsidRPr="008B2DDA">
        <w:rPr>
          <w:rStyle w:val="hps"/>
        </w:rPr>
        <w:t>.</w:t>
      </w:r>
    </w:p>
    <w:p w14:paraId="25D6076D" w14:textId="77777777" w:rsidR="007079A8" w:rsidRPr="008B2DDA" w:rsidRDefault="007079A8" w:rsidP="008B2DDA"/>
    <w:p w14:paraId="1EE7B5DE" w14:textId="0594E6D6" w:rsidR="007079A8" w:rsidRPr="008B2DDA" w:rsidRDefault="004C04A7" w:rsidP="008B2DDA">
      <w:r w:rsidRPr="008B2DDA">
        <w:lastRenderedPageBreak/>
        <w:t>Article</w:t>
      </w:r>
      <w:r w:rsidR="00E26A2C" w:rsidRPr="008B2DDA">
        <w:t> </w:t>
      </w:r>
      <w:r w:rsidRPr="008B2DDA">
        <w:t>16</w:t>
      </w:r>
    </w:p>
    <w:p w14:paraId="3A38D440" w14:textId="77777777" w:rsidR="007079A8" w:rsidRPr="008B2DDA" w:rsidRDefault="007079A8" w:rsidP="008B2DDA"/>
    <w:p w14:paraId="00870408" w14:textId="3C685252" w:rsidR="00A341C2" w:rsidRPr="008B2DDA" w:rsidRDefault="004C04A7" w:rsidP="008B2DDA">
      <w:pPr>
        <w:rPr>
          <w:strike/>
        </w:rPr>
      </w:pPr>
      <w:r w:rsidRPr="008B2DDA">
        <w:rPr>
          <w:strike/>
        </w:rPr>
        <w:t>[2)</w:t>
      </w:r>
      <w:r w:rsidRPr="008B2DDA">
        <w:rPr>
          <w:strike/>
        </w:rPr>
        <w:tab/>
      </w:r>
      <w:r w:rsidRPr="008B2DDA">
        <w:rPr>
          <w:i/>
          <w:strike/>
        </w:rPr>
        <w:t xml:space="preserve">[Négociations] </w:t>
      </w:r>
      <w:r w:rsidRPr="008B2DDA">
        <w:rPr>
          <w:strike/>
        </w:rPr>
        <w:t>Le cas échéant et sans préjudice de l</w:t>
      </w:r>
      <w:r w:rsidR="00A341C2" w:rsidRPr="008B2DDA">
        <w:rPr>
          <w:strike/>
        </w:rPr>
        <w:t>’</w:t>
      </w:r>
      <w:r w:rsidRPr="008B2DDA">
        <w:rPr>
          <w:strike/>
        </w:rPr>
        <w:t>article</w:t>
      </w:r>
      <w:r w:rsidR="00E26A2C" w:rsidRPr="008B2DDA">
        <w:rPr>
          <w:strike/>
        </w:rPr>
        <w:t> </w:t>
      </w:r>
      <w:r w:rsidRPr="008B2DDA">
        <w:rPr>
          <w:strike/>
        </w:rPr>
        <w:t>15.5), la partie contractante d</w:t>
      </w:r>
      <w:r w:rsidR="00A341C2" w:rsidRPr="008B2DDA">
        <w:rPr>
          <w:strike/>
        </w:rPr>
        <w:t>’</w:t>
      </w:r>
      <w:r w:rsidRPr="008B2DDA">
        <w:rPr>
          <w:strike/>
        </w:rPr>
        <w:t xml:space="preserve">origine peut proposer des négociations avec une partie contractante </w:t>
      </w:r>
      <w:r w:rsidR="00A341C2" w:rsidRPr="008B2DDA">
        <w:rPr>
          <w:strike/>
        </w:rPr>
        <w:t>à l’égard</w:t>
      </w:r>
      <w:r w:rsidRPr="008B2DDA">
        <w:rPr>
          <w:strike/>
        </w:rPr>
        <w:t xml:space="preserve"> de laquelle un refus a été inscrit, afin que ce refus soit retiré.]</w:t>
      </w:r>
    </w:p>
    <w:p w14:paraId="1B7C436C" w14:textId="63E91993" w:rsidR="007079A8" w:rsidRPr="008B2DDA" w:rsidRDefault="007079A8" w:rsidP="008B2DDA">
      <w:pPr>
        <w:rPr>
          <w:b/>
        </w:rPr>
      </w:pPr>
    </w:p>
    <w:p w14:paraId="093342A1" w14:textId="77777777" w:rsidR="007079A8" w:rsidRPr="008B2DDA" w:rsidRDefault="007079A8" w:rsidP="00807A13">
      <w:pPr>
        <w:pBdr>
          <w:top w:val="single" w:sz="4" w:space="1" w:color="auto"/>
        </w:pBdr>
        <w:rPr>
          <w:b/>
        </w:rPr>
      </w:pPr>
    </w:p>
    <w:p w14:paraId="0E8FDD67" w14:textId="6F3DBC12" w:rsidR="007079A8" w:rsidRPr="008B2DDA" w:rsidRDefault="00311638" w:rsidP="008B2DDA">
      <w:r w:rsidRPr="008B2DDA">
        <w:rPr>
          <w:b/>
        </w:rPr>
        <w:t>Article</w:t>
      </w:r>
      <w:r w:rsidR="00E26A2C" w:rsidRPr="008B2DDA">
        <w:rPr>
          <w:b/>
        </w:rPr>
        <w:t> </w:t>
      </w:r>
      <w:r w:rsidRPr="008B2DDA">
        <w:rPr>
          <w:b/>
        </w:rPr>
        <w:t xml:space="preserve">17 </w:t>
      </w:r>
      <w:bookmarkEnd w:id="14"/>
      <w:r w:rsidR="004C04A7" w:rsidRPr="008B2DDA">
        <w:rPr>
          <w:b/>
        </w:rPr>
        <w:t>Utilisation antérieure</w:t>
      </w:r>
      <w:r w:rsidR="00E26A2C" w:rsidRPr="008B2DDA">
        <w:rPr>
          <w:b/>
        </w:rPr>
        <w:t> </w:t>
      </w:r>
      <w:r w:rsidRPr="008B2DDA">
        <w:rPr>
          <w:b/>
        </w:rPr>
        <w:t>:</w:t>
      </w:r>
      <w:r w:rsidR="004C04A7" w:rsidRPr="008B2DDA">
        <w:t xml:space="preserve"> </w:t>
      </w:r>
      <w:r w:rsidR="008C23E8"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8C23E8" w:rsidRPr="008B2DDA">
        <w:t xml:space="preserve">proposent </w:t>
      </w:r>
      <w:r w:rsidR="00F11EBE" w:rsidRPr="008B2DDA">
        <w:rPr>
          <w:rStyle w:val="hps"/>
        </w:rPr>
        <w:t>la suppression complète de</w:t>
      </w:r>
      <w:r w:rsidR="008C23E8" w:rsidRPr="008B2DDA">
        <w:rPr>
          <w:rStyle w:val="hps"/>
        </w:rPr>
        <w:t xml:space="preserve"> l</w:t>
      </w:r>
      <w:r w:rsidR="00A341C2" w:rsidRPr="008B2DDA">
        <w:rPr>
          <w:rStyle w:val="hps"/>
        </w:rPr>
        <w:t>’</w:t>
      </w:r>
      <w:r w:rsidR="008C23E8" w:rsidRPr="008B2DDA">
        <w:rPr>
          <w:rStyle w:val="hps"/>
        </w:rPr>
        <w:t>article</w:t>
      </w:r>
      <w:r w:rsidR="00F11EBE" w:rsidRPr="008B2DDA">
        <w:t> </w:t>
      </w:r>
      <w:r w:rsidR="008C23E8" w:rsidRPr="008B2DDA">
        <w:rPr>
          <w:rStyle w:val="hps"/>
        </w:rPr>
        <w:t>17</w:t>
      </w:r>
      <w:r w:rsidR="00F11EBE" w:rsidRPr="008B2DDA">
        <w:t>.</w:t>
      </w:r>
      <w:r w:rsidR="008C23E8" w:rsidRPr="008B2DDA">
        <w:t>1)</w:t>
      </w:r>
      <w:r w:rsidR="008C23E8" w:rsidRPr="008B2DDA">
        <w:rPr>
          <w:rStyle w:val="hps"/>
        </w:rPr>
        <w:t>.</w:t>
      </w:r>
    </w:p>
    <w:p w14:paraId="402D73C3" w14:textId="77777777" w:rsidR="007079A8" w:rsidRPr="008B2DDA" w:rsidRDefault="007079A8" w:rsidP="008B2DDA"/>
    <w:p w14:paraId="2ABED449" w14:textId="14CED943" w:rsidR="007079A8" w:rsidRPr="008B2DDA" w:rsidRDefault="004C04A7" w:rsidP="008B2DDA">
      <w:r w:rsidRPr="008B2DDA">
        <w:t>Article</w:t>
      </w:r>
      <w:r w:rsidR="00E26A2C" w:rsidRPr="008B2DDA">
        <w:t> </w:t>
      </w:r>
      <w:r w:rsidRPr="008B2DDA">
        <w:t>17</w:t>
      </w:r>
    </w:p>
    <w:p w14:paraId="75E2C331" w14:textId="77777777" w:rsidR="007079A8" w:rsidRPr="008B2DDA" w:rsidRDefault="007079A8" w:rsidP="008B2DDA"/>
    <w:p w14:paraId="1475C571" w14:textId="5E71AEFD" w:rsidR="00A341C2" w:rsidRPr="008B2DDA" w:rsidRDefault="004C04A7" w:rsidP="008B2DDA">
      <w:pPr>
        <w:rPr>
          <w:strike/>
        </w:rPr>
      </w:pPr>
      <w:r w:rsidRPr="008B2DDA">
        <w:rPr>
          <w:strike/>
        </w:rPr>
        <w:t>[1)</w:t>
      </w:r>
      <w:r w:rsidRPr="008B2DDA">
        <w:rPr>
          <w:strike/>
        </w:rPr>
        <w:tab/>
      </w:r>
      <w:r w:rsidRPr="008B2DDA">
        <w:rPr>
          <w:i/>
          <w:strike/>
        </w:rPr>
        <w:t>[Élimination progressive d</w:t>
      </w:r>
      <w:r w:rsidR="00A341C2" w:rsidRPr="008B2DDA">
        <w:rPr>
          <w:i/>
          <w:strike/>
        </w:rPr>
        <w:t>’</w:t>
      </w:r>
      <w:r w:rsidRPr="008B2DDA">
        <w:rPr>
          <w:i/>
          <w:strike/>
        </w:rPr>
        <w:t xml:space="preserve">une utilisation antérieure] </w:t>
      </w:r>
      <w:r w:rsidRPr="008B2DDA">
        <w:rPr>
          <w:strike/>
        </w:rPr>
        <w:t>a) Lorsqu</w:t>
      </w:r>
      <w:r w:rsidR="00A341C2" w:rsidRPr="008B2DDA">
        <w:rPr>
          <w:strike/>
        </w:rPr>
        <w:t>’</w:t>
      </w:r>
      <w:r w:rsidRPr="008B2DDA">
        <w:rPr>
          <w:strike/>
        </w:rPr>
        <w:t>une dénomination constituant une appellation d</w:t>
      </w:r>
      <w:r w:rsidR="00A341C2" w:rsidRPr="008B2DDA">
        <w:rPr>
          <w:strike/>
        </w:rPr>
        <w:t>’</w:t>
      </w:r>
      <w:r w:rsidRPr="008B2DDA">
        <w:rPr>
          <w:strike/>
        </w:rPr>
        <w:t>origine enregistrée ou une indication constituant une indication géographique enregistrée était utilisée, avant la date de l</w:t>
      </w:r>
      <w:r w:rsidR="00A341C2" w:rsidRPr="008B2DDA">
        <w:rPr>
          <w:strike/>
        </w:rPr>
        <w:t>’</w:t>
      </w:r>
      <w:r w:rsidRPr="008B2DDA">
        <w:rPr>
          <w:strike/>
        </w:rPr>
        <w:t>enregistrement international, dans une partie contractante par un tiers et n</w:t>
      </w:r>
      <w:r w:rsidR="00A341C2" w:rsidRPr="008B2DDA">
        <w:rPr>
          <w:strike/>
        </w:rPr>
        <w:t>’</w:t>
      </w:r>
      <w:r w:rsidRPr="008B2DDA">
        <w:rPr>
          <w:strike/>
        </w:rPr>
        <w:t>est pas garantie en vertu de l</w:t>
      </w:r>
      <w:r w:rsidR="00A341C2" w:rsidRPr="008B2DDA">
        <w:rPr>
          <w:strike/>
        </w:rPr>
        <w:t>’</w:t>
      </w:r>
      <w:r w:rsidRPr="008B2DDA">
        <w:rPr>
          <w:strike/>
        </w:rPr>
        <w:t>article</w:t>
      </w:r>
      <w:r w:rsidR="00E26A2C" w:rsidRPr="008B2DDA">
        <w:rPr>
          <w:strike/>
        </w:rPr>
        <w:t> </w:t>
      </w:r>
      <w:r w:rsidRPr="008B2DDA">
        <w:rPr>
          <w:strike/>
        </w:rPr>
        <w:t>13, ladite partie contractante peut, si elle ne refuse pas la protection de l</w:t>
      </w:r>
      <w:r w:rsidR="00A341C2" w:rsidRPr="008B2DDA">
        <w:rPr>
          <w:strike/>
        </w:rPr>
        <w:t>’</w:t>
      </w:r>
      <w:r w:rsidRPr="008B2DDA">
        <w:rPr>
          <w:strike/>
        </w:rPr>
        <w:t>appellation d</w:t>
      </w:r>
      <w:r w:rsidR="00A341C2" w:rsidRPr="008B2DDA">
        <w:rPr>
          <w:strike/>
        </w:rPr>
        <w:t>’</w:t>
      </w:r>
      <w:r w:rsidRPr="008B2DDA">
        <w:rPr>
          <w:strike/>
        </w:rPr>
        <w:t>origine ou de l</w:t>
      </w:r>
      <w:r w:rsidR="00A341C2" w:rsidRPr="008B2DDA">
        <w:rPr>
          <w:strike/>
        </w:rPr>
        <w:t>’</w:t>
      </w:r>
      <w:r w:rsidRPr="008B2DDA">
        <w:rPr>
          <w:strike/>
        </w:rPr>
        <w:t>indication géographique pour ce motif, accorder à ce tiers un délai défini, prescrit dans le règlement d</w:t>
      </w:r>
      <w:r w:rsidR="00A341C2" w:rsidRPr="008B2DDA">
        <w:rPr>
          <w:strike/>
        </w:rPr>
        <w:t>’</w:t>
      </w:r>
      <w:r w:rsidRPr="008B2DDA">
        <w:rPr>
          <w:strike/>
        </w:rPr>
        <w:t>exécution, pour mettre fin à cette utilisation.</w:t>
      </w:r>
    </w:p>
    <w:p w14:paraId="6AEADD79" w14:textId="7445887E" w:rsidR="007079A8" w:rsidRPr="008B2DDA" w:rsidRDefault="004C04A7" w:rsidP="008B2DDA">
      <w:pPr>
        <w:ind w:firstLine="567"/>
        <w:rPr>
          <w:strike/>
        </w:rPr>
      </w:pPr>
      <w:r w:rsidRPr="008B2DDA">
        <w:rPr>
          <w:strike/>
        </w:rPr>
        <w:t>b)</w:t>
      </w:r>
      <w:r w:rsidRPr="008B2DDA">
        <w:rPr>
          <w:strike/>
        </w:rPr>
        <w:tab/>
        <w:t>Lorsqu</w:t>
      </w:r>
      <w:r w:rsidR="00A341C2" w:rsidRPr="008B2DDA">
        <w:rPr>
          <w:strike/>
        </w:rPr>
        <w:t>’</w:t>
      </w:r>
      <w:r w:rsidRPr="008B2DDA">
        <w:rPr>
          <w:strike/>
        </w:rPr>
        <w:t>une partie contractante a refusé les effets d</w:t>
      </w:r>
      <w:r w:rsidR="00A341C2" w:rsidRPr="008B2DDA">
        <w:rPr>
          <w:strike/>
        </w:rPr>
        <w:t>’</w:t>
      </w:r>
      <w:r w:rsidRPr="008B2DDA">
        <w:rPr>
          <w:strike/>
        </w:rPr>
        <w:t>un enregistrement international en vertu de l</w:t>
      </w:r>
      <w:r w:rsidR="00A341C2" w:rsidRPr="008B2DDA">
        <w:rPr>
          <w:strike/>
        </w:rPr>
        <w:t>’</w:t>
      </w:r>
      <w:r w:rsidRPr="008B2DDA">
        <w:rPr>
          <w:strike/>
        </w:rPr>
        <w:t>article</w:t>
      </w:r>
      <w:r w:rsidR="00E26A2C" w:rsidRPr="008B2DDA">
        <w:rPr>
          <w:strike/>
        </w:rPr>
        <w:t> </w:t>
      </w:r>
      <w:r w:rsidRPr="008B2DDA">
        <w:rPr>
          <w:strike/>
        </w:rPr>
        <w:t>15 au motif d</w:t>
      </w:r>
      <w:r w:rsidR="00A341C2" w:rsidRPr="008B2DDA">
        <w:rPr>
          <w:strike/>
        </w:rPr>
        <w:t>’</w:t>
      </w:r>
      <w:r w:rsidRPr="008B2DDA">
        <w:rPr>
          <w:strike/>
        </w:rPr>
        <w:t>une utilisation antérieure visée au sous</w:t>
      </w:r>
      <w:r w:rsidR="00D67EA4" w:rsidRPr="008B2DDA">
        <w:rPr>
          <w:strike/>
        </w:rPr>
        <w:noBreakHyphen/>
      </w:r>
      <w:r w:rsidRPr="008B2DDA">
        <w:rPr>
          <w:strike/>
        </w:rPr>
        <w:t>alinéa</w:t>
      </w:r>
      <w:r w:rsidR="00E26A2C" w:rsidRPr="008B2DDA">
        <w:rPr>
          <w:strike/>
        </w:rPr>
        <w:t> </w:t>
      </w:r>
      <w:r w:rsidRPr="008B2DDA">
        <w:rPr>
          <w:strike/>
        </w:rPr>
        <w:t>a), elle peut également accorder à ce tiers un délai défini pour mettre fin à cette utilisation si elle décide de retirer le refus en vertu de l</w:t>
      </w:r>
      <w:r w:rsidR="00A341C2" w:rsidRPr="008B2DDA">
        <w:rPr>
          <w:strike/>
        </w:rPr>
        <w:t>’</w:t>
      </w:r>
      <w:r w:rsidRPr="008B2DDA">
        <w:rPr>
          <w:strike/>
        </w:rPr>
        <w:t>article</w:t>
      </w:r>
      <w:r w:rsidR="00E26A2C" w:rsidRPr="008B2DDA">
        <w:rPr>
          <w:strike/>
        </w:rPr>
        <w:t> </w:t>
      </w:r>
      <w:r w:rsidRPr="008B2DDA">
        <w:rPr>
          <w:strike/>
        </w:rPr>
        <w:t>16 ou de notifier un octroi de protection en vertu de l</w:t>
      </w:r>
      <w:r w:rsidR="00A341C2" w:rsidRPr="008B2DDA">
        <w:rPr>
          <w:strike/>
        </w:rPr>
        <w:t>’</w:t>
      </w:r>
      <w:r w:rsidRPr="008B2DDA">
        <w:rPr>
          <w:strike/>
        </w:rPr>
        <w:t>article</w:t>
      </w:r>
      <w:r w:rsidR="00E26A2C" w:rsidRPr="008B2DDA">
        <w:rPr>
          <w:strike/>
        </w:rPr>
        <w:t> </w:t>
      </w:r>
      <w:r w:rsidRPr="008B2DDA">
        <w:rPr>
          <w:strike/>
        </w:rPr>
        <w:t>18.</w:t>
      </w:r>
    </w:p>
    <w:p w14:paraId="57A8E16C" w14:textId="3B7750B9" w:rsidR="00A341C2" w:rsidRPr="008B2DDA" w:rsidRDefault="004C04A7" w:rsidP="008B2DDA">
      <w:pPr>
        <w:ind w:firstLine="567"/>
        <w:rPr>
          <w:strike/>
        </w:rPr>
      </w:pPr>
      <w:r w:rsidRPr="008B2DDA">
        <w:rPr>
          <w:strike/>
        </w:rPr>
        <w:t>c)</w:t>
      </w:r>
      <w:r w:rsidRPr="008B2DDA">
        <w:rPr>
          <w:strike/>
        </w:rPr>
        <w:tab/>
        <w:t>La partie contractante notifie ce délai au Bureau international, conformément aux procédures prescrites dans le règlement d</w:t>
      </w:r>
      <w:r w:rsidR="00A341C2" w:rsidRPr="008B2DDA">
        <w:rPr>
          <w:strike/>
        </w:rPr>
        <w:t>’</w:t>
      </w:r>
      <w:r w:rsidRPr="008B2DDA">
        <w:rPr>
          <w:strike/>
        </w:rPr>
        <w:t>exécution.]</w:t>
      </w:r>
    </w:p>
    <w:p w14:paraId="4BAEDBB8" w14:textId="05242B97" w:rsidR="007079A8" w:rsidRPr="008B2DDA" w:rsidRDefault="007079A8" w:rsidP="008B2DDA">
      <w:bookmarkStart w:id="16" w:name="Article_19"/>
    </w:p>
    <w:p w14:paraId="0E2FEF53" w14:textId="77777777" w:rsidR="007079A8" w:rsidRPr="008B2DDA" w:rsidRDefault="007079A8" w:rsidP="00807A13">
      <w:pPr>
        <w:pBdr>
          <w:top w:val="single" w:sz="4" w:space="1" w:color="auto"/>
        </w:pBdr>
      </w:pPr>
    </w:p>
    <w:p w14:paraId="26CF7FBF" w14:textId="451F1C54" w:rsidR="00A341C2" w:rsidRPr="008B2DDA" w:rsidRDefault="00311638" w:rsidP="008B2DDA">
      <w:r w:rsidRPr="008B2DDA">
        <w:rPr>
          <w:b/>
        </w:rPr>
        <w:t>Article</w:t>
      </w:r>
      <w:r w:rsidR="00E26A2C" w:rsidRPr="008B2DDA">
        <w:rPr>
          <w:b/>
        </w:rPr>
        <w:t> </w:t>
      </w:r>
      <w:r w:rsidRPr="008B2DDA">
        <w:rPr>
          <w:b/>
        </w:rPr>
        <w:t>19 Invalidation</w:t>
      </w:r>
      <w:bookmarkEnd w:id="16"/>
      <w:r w:rsidR="009A0279" w:rsidRPr="008B2DDA">
        <w:rPr>
          <w:b/>
        </w:rPr>
        <w:t> </w:t>
      </w:r>
      <w:r w:rsidRPr="008B2DDA">
        <w:rPr>
          <w:b/>
        </w:rPr>
        <w:t>:</w:t>
      </w:r>
      <w:r w:rsidRPr="008B2DDA">
        <w:t xml:space="preserve"> </w:t>
      </w:r>
      <w:r w:rsidR="005800E0" w:rsidRPr="008B2DDA">
        <w:t xml:space="preserve">Les </w:t>
      </w:r>
      <w:r w:rsidR="005C22F0" w:rsidRPr="008B2DDA">
        <w:t>États</w:t>
      </w:r>
      <w:r w:rsidR="00D67EA4" w:rsidRPr="008B2DDA">
        <w:noBreakHyphen/>
      </w:r>
      <w:r w:rsidR="005C22F0" w:rsidRPr="008B2DDA">
        <w:t>Unis</w:t>
      </w:r>
      <w:r w:rsidR="00E26A2C" w:rsidRPr="008B2DDA">
        <w:t xml:space="preserve"> d’Amérique</w:t>
      </w:r>
      <w:r w:rsidR="005C22F0" w:rsidRPr="008B2DDA">
        <w:t xml:space="preserve"> </w:t>
      </w:r>
      <w:r w:rsidR="00907723" w:rsidRPr="008B2DDA">
        <w:t>approuvent la variante</w:t>
      </w:r>
      <w:r w:rsidRPr="008B2DDA">
        <w:t xml:space="preserve"> A</w:t>
      </w:r>
      <w:r w:rsidR="00907723" w:rsidRPr="008B2DDA">
        <w:t xml:space="preserve">, </w:t>
      </w:r>
      <w:r w:rsidR="005800E0" w:rsidRPr="008B2DDA">
        <w:rPr>
          <w:rStyle w:val="hps"/>
        </w:rPr>
        <w:t xml:space="preserve">qui </w:t>
      </w:r>
      <w:r w:rsidR="00907723" w:rsidRPr="008B2DDA">
        <w:rPr>
          <w:rStyle w:val="hps"/>
        </w:rPr>
        <w:t>s</w:t>
      </w:r>
      <w:r w:rsidR="00A341C2" w:rsidRPr="008B2DDA">
        <w:rPr>
          <w:rStyle w:val="hps"/>
        </w:rPr>
        <w:t>’</w:t>
      </w:r>
      <w:r w:rsidR="00907723" w:rsidRPr="008B2DDA">
        <w:rPr>
          <w:rStyle w:val="hps"/>
        </w:rPr>
        <w:t>en remet à la législation nationale en ce qui concerne les</w:t>
      </w:r>
      <w:r w:rsidR="005800E0" w:rsidRPr="008B2DDA">
        <w:t xml:space="preserve"> </w:t>
      </w:r>
      <w:r w:rsidR="00907723" w:rsidRPr="008B2DDA">
        <w:rPr>
          <w:rStyle w:val="hps"/>
        </w:rPr>
        <w:t>motifs d</w:t>
      </w:r>
      <w:r w:rsidR="00A341C2" w:rsidRPr="008B2DDA">
        <w:rPr>
          <w:rStyle w:val="hps"/>
        </w:rPr>
        <w:t>’</w:t>
      </w:r>
      <w:r w:rsidR="005800E0" w:rsidRPr="008B2DDA">
        <w:rPr>
          <w:rStyle w:val="hps"/>
        </w:rPr>
        <w:t>invalidation</w:t>
      </w:r>
      <w:r w:rsidR="005800E0" w:rsidRPr="008B2DDA">
        <w:t xml:space="preserve"> </w:t>
      </w:r>
      <w:r w:rsidR="00907723" w:rsidRPr="008B2DDA">
        <w:rPr>
          <w:rStyle w:val="hps"/>
        </w:rPr>
        <w:t>possibles</w:t>
      </w:r>
      <w:r w:rsidRPr="008B2DDA">
        <w:t>.</w:t>
      </w:r>
    </w:p>
    <w:p w14:paraId="05801C52" w14:textId="04DCD477" w:rsidR="007079A8" w:rsidRPr="008B2DDA" w:rsidRDefault="007079A8" w:rsidP="008B2DDA"/>
    <w:p w14:paraId="1ECB2C90" w14:textId="454368BB" w:rsidR="007079A8" w:rsidRPr="008B2DDA" w:rsidRDefault="009A0279" w:rsidP="008B2DDA">
      <w:r w:rsidRPr="008B2DDA">
        <w:t>Article</w:t>
      </w:r>
      <w:r w:rsidR="00E26A2C" w:rsidRPr="008B2DDA">
        <w:t> </w:t>
      </w:r>
      <w:r w:rsidRPr="008B2DDA">
        <w:t>19</w:t>
      </w:r>
    </w:p>
    <w:p w14:paraId="737961AF" w14:textId="77777777" w:rsidR="007079A8" w:rsidRPr="008B2DDA" w:rsidRDefault="007079A8" w:rsidP="008B2DDA"/>
    <w:p w14:paraId="082118E8" w14:textId="4615B2A3" w:rsidR="00A341C2" w:rsidRPr="008B2DDA" w:rsidRDefault="00372AE7" w:rsidP="008B2DDA">
      <w:r w:rsidRPr="008B2DDA">
        <w:t>1)</w:t>
      </w:r>
      <w:r w:rsidRPr="008B2DDA">
        <w:tab/>
      </w:r>
      <w:r w:rsidRPr="008B2DDA">
        <w:rPr>
          <w:i/>
        </w:rPr>
        <w:t>[Motifs d</w:t>
      </w:r>
      <w:r w:rsidR="00A341C2" w:rsidRPr="008B2DDA">
        <w:rPr>
          <w:i/>
        </w:rPr>
        <w:t>’</w:t>
      </w:r>
      <w:r w:rsidRPr="008B2DDA">
        <w:rPr>
          <w:i/>
        </w:rPr>
        <w:t xml:space="preserve">invalidation] </w:t>
      </w:r>
      <w:r w:rsidRPr="008B2DDA">
        <w:t>Les motifs sur la base desquels une partie contractante peut prononcer l</w:t>
      </w:r>
      <w:r w:rsidR="00A341C2" w:rsidRPr="008B2DDA">
        <w:t>’</w:t>
      </w:r>
      <w:r w:rsidRPr="008B2DDA">
        <w:t>invalidation, totale ou partielle, des effets d</w:t>
      </w:r>
      <w:r w:rsidR="00A341C2" w:rsidRPr="008B2DDA">
        <w:t>’</w:t>
      </w:r>
      <w:r w:rsidRPr="008B2DDA">
        <w:t>un enregistrement international sur son territoire comprennent</w:t>
      </w:r>
      <w:r w:rsidR="00E26A2C" w:rsidRPr="008B2DDA">
        <w:t> </w:t>
      </w:r>
      <w:r w:rsidRPr="008B2DDA">
        <w:t>:</w:t>
      </w:r>
    </w:p>
    <w:p w14:paraId="6C8BF2EC" w14:textId="016483CE" w:rsidR="007079A8" w:rsidRPr="008B2DDA" w:rsidRDefault="007079A8" w:rsidP="008B2DDA"/>
    <w:p w14:paraId="4FF33F52" w14:textId="77777777" w:rsidR="007079A8" w:rsidRPr="008B2DDA" w:rsidRDefault="00372AE7" w:rsidP="008B2DDA">
      <w:pPr>
        <w:rPr>
          <w:u w:val="single"/>
        </w:rPr>
      </w:pPr>
      <w:r w:rsidRPr="008B2DDA">
        <w:rPr>
          <w:u w:val="single"/>
        </w:rPr>
        <w:t>VARIANTE A</w:t>
      </w:r>
    </w:p>
    <w:p w14:paraId="41D102BB" w14:textId="77777777" w:rsidR="007079A8" w:rsidRPr="008B2DDA" w:rsidRDefault="007079A8" w:rsidP="008B2DDA">
      <w:pPr>
        <w:rPr>
          <w:u w:val="single"/>
        </w:rPr>
      </w:pPr>
    </w:p>
    <w:p w14:paraId="0A62A6E3" w14:textId="0C361510" w:rsidR="007079A8" w:rsidRPr="008B2DDA" w:rsidRDefault="00372AE7" w:rsidP="008B2DDA">
      <w:proofErr w:type="gramStart"/>
      <w:r w:rsidRPr="008B2DDA">
        <w:t>notamment</w:t>
      </w:r>
      <w:proofErr w:type="gramEnd"/>
      <w:r w:rsidRPr="008B2DDA">
        <w:t xml:space="preserve"> les motifs fondés sur un droit antérieur visé à l</w:t>
      </w:r>
      <w:r w:rsidR="00A341C2" w:rsidRPr="008B2DDA">
        <w:t>’</w:t>
      </w:r>
      <w:r w:rsidRPr="008B2DDA">
        <w:t>article 13.</w:t>
      </w:r>
    </w:p>
    <w:p w14:paraId="05A91BF9" w14:textId="77777777" w:rsidR="007079A8" w:rsidRPr="008B2DDA" w:rsidRDefault="007079A8" w:rsidP="008B2DDA">
      <w:bookmarkStart w:id="17" w:name="Article_24"/>
    </w:p>
    <w:p w14:paraId="43A2DA33" w14:textId="77777777" w:rsidR="007079A8" w:rsidRPr="008B2DDA" w:rsidRDefault="007079A8" w:rsidP="00807A13">
      <w:pPr>
        <w:pBdr>
          <w:top w:val="single" w:sz="4" w:space="1" w:color="auto"/>
        </w:pBdr>
      </w:pPr>
    </w:p>
    <w:p w14:paraId="5999BFF3" w14:textId="6C175EF6" w:rsidR="007079A8" w:rsidRPr="008B2DDA" w:rsidRDefault="00311638" w:rsidP="008B2DDA">
      <w:r w:rsidRPr="008B2DDA">
        <w:rPr>
          <w:b/>
        </w:rPr>
        <w:t>Article</w:t>
      </w:r>
      <w:r w:rsidR="00E26A2C" w:rsidRPr="008B2DDA">
        <w:rPr>
          <w:b/>
        </w:rPr>
        <w:t> </w:t>
      </w:r>
      <w:r w:rsidRPr="008B2DDA">
        <w:rPr>
          <w:b/>
        </w:rPr>
        <w:t>24 Budget</w:t>
      </w:r>
      <w:bookmarkEnd w:id="17"/>
      <w:r w:rsidR="00372AE7" w:rsidRPr="008B2DDA">
        <w:rPr>
          <w:b/>
        </w:rPr>
        <w:t> </w:t>
      </w:r>
      <w:r w:rsidRPr="008B2DDA">
        <w:rPr>
          <w:b/>
        </w:rPr>
        <w:t>:</w:t>
      </w:r>
      <w:r w:rsidR="00372AE7" w:rsidRPr="008B2DDA">
        <w:t xml:space="preserve"> </w:t>
      </w:r>
      <w:r w:rsidR="005800E0"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72134F" w:rsidRPr="008B2DDA">
        <w:t>approuvent</w:t>
      </w:r>
      <w:r w:rsidR="005800E0" w:rsidRPr="008B2DDA">
        <w:t xml:space="preserve"> </w:t>
      </w:r>
      <w:r w:rsidR="005800E0" w:rsidRPr="008B2DDA">
        <w:rPr>
          <w:rStyle w:val="hps"/>
        </w:rPr>
        <w:t>une taxe de maintien</w:t>
      </w:r>
      <w:r w:rsidR="005800E0" w:rsidRPr="008B2DDA">
        <w:t xml:space="preserve"> </w:t>
      </w:r>
      <w:r w:rsidR="0072134F" w:rsidRPr="008B2DDA">
        <w:t xml:space="preserve">en vigueur </w:t>
      </w:r>
      <w:r w:rsidR="005800E0" w:rsidRPr="008B2DDA">
        <w:rPr>
          <w:rStyle w:val="hps"/>
        </w:rPr>
        <w:t xml:space="preserve">obligatoire </w:t>
      </w:r>
      <w:r w:rsidR="00370A3A" w:rsidRPr="008B2DDA">
        <w:rPr>
          <w:rStyle w:val="hps"/>
        </w:rPr>
        <w:t>afin d</w:t>
      </w:r>
      <w:r w:rsidR="00A341C2" w:rsidRPr="008B2DDA">
        <w:rPr>
          <w:rStyle w:val="hps"/>
        </w:rPr>
        <w:t>’</w:t>
      </w:r>
      <w:r w:rsidR="005800E0" w:rsidRPr="008B2DDA">
        <w:rPr>
          <w:rStyle w:val="hps"/>
        </w:rPr>
        <w:t xml:space="preserve">aider </w:t>
      </w:r>
      <w:r w:rsidR="00370A3A" w:rsidRPr="008B2DDA">
        <w:rPr>
          <w:rStyle w:val="hps"/>
        </w:rPr>
        <w:t xml:space="preserve">les recettes </w:t>
      </w:r>
      <w:r w:rsidR="005800E0" w:rsidRPr="008B2DDA">
        <w:rPr>
          <w:rStyle w:val="hps"/>
        </w:rPr>
        <w:t>à couvrir</w:t>
      </w:r>
      <w:r w:rsidR="005800E0" w:rsidRPr="008B2DDA">
        <w:t xml:space="preserve"> </w:t>
      </w:r>
      <w:r w:rsidR="005800E0" w:rsidRPr="008B2DDA">
        <w:rPr>
          <w:rStyle w:val="hps"/>
        </w:rPr>
        <w:t>les</w:t>
      </w:r>
      <w:r w:rsidR="005800E0" w:rsidRPr="008B2DDA">
        <w:t xml:space="preserve"> </w:t>
      </w:r>
      <w:r w:rsidR="00370A3A" w:rsidRPr="008B2DDA">
        <w:t xml:space="preserve">dépenses </w:t>
      </w:r>
      <w:r w:rsidR="005800E0" w:rsidRPr="008B2DDA">
        <w:rPr>
          <w:rStyle w:val="hps"/>
        </w:rPr>
        <w:t>de l</w:t>
      </w:r>
      <w:r w:rsidR="00A341C2" w:rsidRPr="008B2DDA">
        <w:rPr>
          <w:rStyle w:val="hps"/>
        </w:rPr>
        <w:t>’</w:t>
      </w:r>
      <w:r w:rsidR="005800E0" w:rsidRPr="008B2DDA">
        <w:rPr>
          <w:rStyle w:val="hps"/>
        </w:rPr>
        <w:t>Union</w:t>
      </w:r>
      <w:r w:rsidR="005800E0" w:rsidRPr="008B2DDA">
        <w:t xml:space="preserve">, </w:t>
      </w:r>
      <w:r w:rsidR="005800E0" w:rsidRPr="008B2DDA">
        <w:rPr>
          <w:rStyle w:val="hps"/>
        </w:rPr>
        <w:t xml:space="preserve">tel </w:t>
      </w:r>
      <w:r w:rsidR="00C12E91" w:rsidRPr="008B2DDA">
        <w:rPr>
          <w:rStyle w:val="hps"/>
        </w:rPr>
        <w:t>que stipulé</w:t>
      </w:r>
      <w:r w:rsidR="005800E0" w:rsidRPr="008B2DDA">
        <w:rPr>
          <w:rStyle w:val="hps"/>
        </w:rPr>
        <w:t xml:space="preserve"> dans</w:t>
      </w:r>
      <w:r w:rsidR="005800E0" w:rsidRPr="008B2DDA">
        <w:t xml:space="preserve"> </w:t>
      </w:r>
      <w:r w:rsidR="005800E0" w:rsidRPr="008B2DDA">
        <w:rPr>
          <w:rStyle w:val="hps"/>
        </w:rPr>
        <w:t>l</w:t>
      </w:r>
      <w:r w:rsidR="00A341C2" w:rsidRPr="008B2DDA">
        <w:rPr>
          <w:rStyle w:val="hps"/>
        </w:rPr>
        <w:t>’</w:t>
      </w:r>
      <w:r w:rsidR="005800E0" w:rsidRPr="008B2DDA">
        <w:rPr>
          <w:rStyle w:val="hps"/>
        </w:rPr>
        <w:t>article</w:t>
      </w:r>
      <w:r w:rsidR="00907723" w:rsidRPr="008B2DDA">
        <w:t> </w:t>
      </w:r>
      <w:r w:rsidR="005800E0" w:rsidRPr="008B2DDA">
        <w:rPr>
          <w:rStyle w:val="hps"/>
        </w:rPr>
        <w:t>24</w:t>
      </w:r>
      <w:r w:rsidR="00907723" w:rsidRPr="008B2DDA">
        <w:t>.3</w:t>
      </w:r>
      <w:proofErr w:type="gramStart"/>
      <w:r w:rsidR="00907723" w:rsidRPr="008B2DDA">
        <w:t>)</w:t>
      </w:r>
      <w:r w:rsidR="005800E0" w:rsidRPr="008B2DDA">
        <w:t>ii</w:t>
      </w:r>
      <w:proofErr w:type="gramEnd"/>
      <w:r w:rsidR="005800E0" w:rsidRPr="008B2DDA">
        <w:t>).</w:t>
      </w:r>
      <w:r w:rsidR="00907723" w:rsidRPr="008B2DDA">
        <w:t xml:space="preserve"> </w:t>
      </w:r>
      <w:r w:rsidR="005800E0" w:rsidRPr="008B2DDA">
        <w:t xml:space="preserve"> </w:t>
      </w:r>
      <w:r w:rsidR="005800E0"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370A3A" w:rsidRPr="008B2DDA">
        <w:t>n</w:t>
      </w:r>
      <w:r w:rsidR="00A341C2" w:rsidRPr="008B2DDA">
        <w:t>’</w:t>
      </w:r>
      <w:r w:rsidR="00370A3A" w:rsidRPr="008B2DDA">
        <w:t>approuvent</w:t>
      </w:r>
      <w:r w:rsidR="005800E0" w:rsidRPr="008B2DDA">
        <w:t xml:space="preserve"> pas </w:t>
      </w:r>
      <w:r w:rsidR="00370A3A" w:rsidRPr="008B2DDA">
        <w:t>le fait de faire appel aux</w:t>
      </w:r>
      <w:r w:rsidR="005800E0" w:rsidRPr="008B2DDA">
        <w:rPr>
          <w:rStyle w:val="hps"/>
        </w:rPr>
        <w:t xml:space="preserve"> contributions des</w:t>
      </w:r>
      <w:r w:rsidR="005800E0" w:rsidRPr="008B2DDA">
        <w:t xml:space="preserve"> </w:t>
      </w:r>
      <w:r w:rsidR="005800E0" w:rsidRPr="008B2DDA">
        <w:rPr>
          <w:rStyle w:val="hps"/>
        </w:rPr>
        <w:t xml:space="preserve">parties contractantes </w:t>
      </w:r>
      <w:r w:rsidR="00370A3A" w:rsidRPr="008B2DDA">
        <w:rPr>
          <w:rStyle w:val="hps"/>
        </w:rPr>
        <w:t>pour</w:t>
      </w:r>
      <w:r w:rsidR="005800E0" w:rsidRPr="008B2DDA">
        <w:t xml:space="preserve"> </w:t>
      </w:r>
      <w:r w:rsidR="005800E0" w:rsidRPr="008B2DDA">
        <w:rPr>
          <w:rStyle w:val="hps"/>
        </w:rPr>
        <w:t>combler un déficit</w:t>
      </w:r>
      <w:r w:rsidR="005800E0" w:rsidRPr="008B2DDA">
        <w:t xml:space="preserve">, </w:t>
      </w:r>
      <w:r w:rsidR="00370A3A" w:rsidRPr="008B2DDA">
        <w:rPr>
          <w:rStyle w:val="hps"/>
        </w:rPr>
        <w:t>et</w:t>
      </w:r>
      <w:r w:rsidR="005800E0" w:rsidRPr="008B2DDA">
        <w:t xml:space="preserve"> </w:t>
      </w:r>
      <w:r w:rsidR="002C0DC4" w:rsidRPr="008B2DDA">
        <w:rPr>
          <w:rStyle w:val="hps"/>
        </w:rPr>
        <w:t>préféreraient</w:t>
      </w:r>
      <w:r w:rsidR="005800E0" w:rsidRPr="008B2DDA">
        <w:t xml:space="preserve"> </w:t>
      </w:r>
      <w:r w:rsidR="005800E0" w:rsidRPr="008B2DDA">
        <w:rPr>
          <w:rStyle w:val="hps"/>
        </w:rPr>
        <w:t>une taxe de maintien</w:t>
      </w:r>
      <w:r w:rsidR="005800E0" w:rsidRPr="008B2DDA">
        <w:t xml:space="preserve"> </w:t>
      </w:r>
      <w:r w:rsidR="0072134F" w:rsidRPr="008B2DDA">
        <w:t xml:space="preserve">en vigueur </w:t>
      </w:r>
      <w:r w:rsidR="005800E0" w:rsidRPr="008B2DDA">
        <w:rPr>
          <w:rStyle w:val="hps"/>
        </w:rPr>
        <w:t>pour les enregistrements internationaux</w:t>
      </w:r>
      <w:r w:rsidR="005800E0" w:rsidRPr="008B2DDA">
        <w:t xml:space="preserve">. </w:t>
      </w:r>
      <w:r w:rsidR="00907723" w:rsidRPr="008B2DDA">
        <w:t xml:space="preserve"> </w:t>
      </w:r>
      <w:r w:rsidR="005800E0" w:rsidRPr="008B2DDA">
        <w:rPr>
          <w:rStyle w:val="hps"/>
        </w:rPr>
        <w:t>Nous observons que</w:t>
      </w:r>
      <w:r w:rsidR="005800E0" w:rsidRPr="008B2DDA">
        <w:t xml:space="preserve"> </w:t>
      </w:r>
      <w:r w:rsidR="00907723" w:rsidRPr="008B2DDA">
        <w:rPr>
          <w:rStyle w:val="hps"/>
        </w:rPr>
        <w:t>l</w:t>
      </w:r>
      <w:r w:rsidR="00A341C2" w:rsidRPr="008B2DDA">
        <w:rPr>
          <w:rStyle w:val="hps"/>
        </w:rPr>
        <w:t>’</w:t>
      </w:r>
      <w:r w:rsidR="005800E0" w:rsidRPr="008B2DDA">
        <w:t xml:space="preserve">Arrangement de Lisbonne </w:t>
      </w:r>
      <w:r w:rsidR="00907723" w:rsidRPr="008B2DDA">
        <w:t xml:space="preserve">en vigueur </w:t>
      </w:r>
      <w:r w:rsidR="005800E0" w:rsidRPr="008B2DDA">
        <w:rPr>
          <w:rStyle w:val="hps"/>
        </w:rPr>
        <w:t>contient une</w:t>
      </w:r>
      <w:r w:rsidR="005800E0" w:rsidRPr="008B2DDA">
        <w:t xml:space="preserve"> </w:t>
      </w:r>
      <w:r w:rsidR="005800E0" w:rsidRPr="008B2DDA">
        <w:rPr>
          <w:rStyle w:val="hps"/>
        </w:rPr>
        <w:t>exigence de contribution</w:t>
      </w:r>
      <w:r w:rsidR="005800E0" w:rsidRPr="008B2DDA">
        <w:t xml:space="preserve"> </w:t>
      </w:r>
      <w:r w:rsidR="005800E0" w:rsidRPr="008B2DDA">
        <w:rPr>
          <w:rStyle w:val="hps"/>
        </w:rPr>
        <w:t xml:space="preserve">mais </w:t>
      </w:r>
      <w:r w:rsidR="00370A3A" w:rsidRPr="008B2DDA">
        <w:rPr>
          <w:rStyle w:val="hps"/>
        </w:rPr>
        <w:t>que cela</w:t>
      </w:r>
      <w:r w:rsidR="005800E0" w:rsidRPr="008B2DDA">
        <w:t xml:space="preserve"> </w:t>
      </w:r>
      <w:r w:rsidR="005800E0" w:rsidRPr="008B2DDA">
        <w:rPr>
          <w:rStyle w:val="hps"/>
        </w:rPr>
        <w:t>n</w:t>
      </w:r>
      <w:r w:rsidR="00A341C2" w:rsidRPr="008B2DDA">
        <w:rPr>
          <w:rStyle w:val="hps"/>
        </w:rPr>
        <w:t>’</w:t>
      </w:r>
      <w:r w:rsidR="00907723" w:rsidRPr="008B2DDA">
        <w:rPr>
          <w:rStyle w:val="hps"/>
        </w:rPr>
        <w:t>a pas été appliqué</w:t>
      </w:r>
      <w:r w:rsidR="005800E0" w:rsidRPr="008B2DDA">
        <w:t xml:space="preserve">, </w:t>
      </w:r>
      <w:r w:rsidR="005800E0" w:rsidRPr="008B2DDA">
        <w:rPr>
          <w:rStyle w:val="hps"/>
        </w:rPr>
        <w:t>alors même que le</w:t>
      </w:r>
      <w:r w:rsidR="005800E0" w:rsidRPr="008B2DDA">
        <w:t xml:space="preserve"> </w:t>
      </w:r>
      <w:r w:rsidR="005800E0" w:rsidRPr="008B2DDA">
        <w:rPr>
          <w:rStyle w:val="hps"/>
        </w:rPr>
        <w:t>déficit budgétaire</w:t>
      </w:r>
      <w:r w:rsidR="005800E0" w:rsidRPr="008B2DDA">
        <w:t xml:space="preserve"> </w:t>
      </w:r>
      <w:r w:rsidR="005800E0" w:rsidRPr="008B2DDA">
        <w:rPr>
          <w:rStyle w:val="hps"/>
        </w:rPr>
        <w:t>a augmenté</w:t>
      </w:r>
      <w:r w:rsidR="005800E0" w:rsidRPr="008B2DDA">
        <w:t xml:space="preserve">. </w:t>
      </w:r>
      <w:r w:rsidR="00907723" w:rsidRPr="008B2DDA">
        <w:t xml:space="preserve"> </w:t>
      </w:r>
      <w:r w:rsidR="005800E0" w:rsidRPr="008B2DDA">
        <w:rPr>
          <w:rStyle w:val="hps"/>
        </w:rPr>
        <w:t>Si les contributions</w:t>
      </w:r>
      <w:r w:rsidR="005800E0" w:rsidRPr="008B2DDA">
        <w:t xml:space="preserve"> </w:t>
      </w:r>
      <w:r w:rsidR="005800E0" w:rsidRPr="008B2DDA">
        <w:rPr>
          <w:rStyle w:val="hps"/>
        </w:rPr>
        <w:t>sont adoptées</w:t>
      </w:r>
      <w:r w:rsidR="005800E0" w:rsidRPr="008B2DDA">
        <w:t xml:space="preserve">, </w:t>
      </w:r>
      <w:r w:rsidR="005800E0" w:rsidRPr="008B2DDA">
        <w:rPr>
          <w:rStyle w:val="hps"/>
        </w:rPr>
        <w:t>nous proposons</w:t>
      </w:r>
      <w:r w:rsidR="005800E0" w:rsidRPr="008B2DDA">
        <w:t xml:space="preserve"> </w:t>
      </w:r>
      <w:r w:rsidR="00907723" w:rsidRPr="008B2DDA">
        <w:rPr>
          <w:rStyle w:val="hps"/>
        </w:rPr>
        <w:t>une modification de</w:t>
      </w:r>
      <w:r w:rsidR="005800E0" w:rsidRPr="008B2DDA">
        <w:rPr>
          <w:rStyle w:val="hps"/>
        </w:rPr>
        <w:t xml:space="preserve"> l</w:t>
      </w:r>
      <w:r w:rsidR="00A341C2" w:rsidRPr="008B2DDA">
        <w:rPr>
          <w:rStyle w:val="hps"/>
        </w:rPr>
        <w:t>’</w:t>
      </w:r>
      <w:r w:rsidR="00907723" w:rsidRPr="008B2DDA">
        <w:rPr>
          <w:rStyle w:val="hps"/>
        </w:rPr>
        <w:t>article </w:t>
      </w:r>
      <w:r w:rsidR="005800E0" w:rsidRPr="008B2DDA">
        <w:rPr>
          <w:rStyle w:val="hps"/>
        </w:rPr>
        <w:t>24</w:t>
      </w:r>
      <w:r w:rsidR="00907723" w:rsidRPr="008B2DDA">
        <w:t>.3</w:t>
      </w:r>
      <w:proofErr w:type="gramStart"/>
      <w:r w:rsidR="00907723" w:rsidRPr="008B2DDA">
        <w:t>)</w:t>
      </w:r>
      <w:r w:rsidR="005800E0" w:rsidRPr="008B2DDA">
        <w:t>vi</w:t>
      </w:r>
      <w:proofErr w:type="gramEnd"/>
      <w:r w:rsidR="005800E0" w:rsidRPr="008B2DDA">
        <w:t xml:space="preserve">) </w:t>
      </w:r>
      <w:r w:rsidR="00370A3A" w:rsidRPr="008B2DDA">
        <w:rPr>
          <w:rStyle w:val="hps"/>
        </w:rPr>
        <w:t>prévoyant</w:t>
      </w:r>
      <w:r w:rsidR="005800E0" w:rsidRPr="008B2DDA">
        <w:t xml:space="preserve"> </w:t>
      </w:r>
      <w:r w:rsidR="00370A3A" w:rsidRPr="008B2DDA">
        <w:rPr>
          <w:rStyle w:val="hps"/>
        </w:rPr>
        <w:t>un délai</w:t>
      </w:r>
      <w:r w:rsidR="005800E0" w:rsidRPr="008B2DDA">
        <w:t xml:space="preserve"> </w:t>
      </w:r>
      <w:r w:rsidR="005800E0" w:rsidRPr="008B2DDA">
        <w:rPr>
          <w:rStyle w:val="hps"/>
        </w:rPr>
        <w:t>et des conseils sur</w:t>
      </w:r>
      <w:r w:rsidR="005800E0" w:rsidRPr="008B2DDA">
        <w:t xml:space="preserve"> </w:t>
      </w:r>
      <w:r w:rsidR="005800E0" w:rsidRPr="008B2DDA">
        <w:rPr>
          <w:rStyle w:val="hps"/>
        </w:rPr>
        <w:t>la façon dont les</w:t>
      </w:r>
      <w:r w:rsidR="005800E0" w:rsidRPr="008B2DDA">
        <w:t xml:space="preserve"> </w:t>
      </w:r>
      <w:r w:rsidR="005800E0" w:rsidRPr="008B2DDA">
        <w:rPr>
          <w:rStyle w:val="hps"/>
        </w:rPr>
        <w:t>contributions</w:t>
      </w:r>
      <w:r w:rsidR="005800E0" w:rsidRPr="008B2DDA">
        <w:t xml:space="preserve"> </w:t>
      </w:r>
      <w:r w:rsidR="005800E0" w:rsidRPr="008B2DDA">
        <w:rPr>
          <w:rStyle w:val="hps"/>
        </w:rPr>
        <w:t>seraient évalué</w:t>
      </w:r>
      <w:r w:rsidR="00370A3A" w:rsidRPr="008B2DDA">
        <w:rPr>
          <w:rStyle w:val="hps"/>
        </w:rPr>
        <w:t>e</w:t>
      </w:r>
      <w:r w:rsidR="005800E0" w:rsidRPr="008B2DDA">
        <w:rPr>
          <w:rStyle w:val="hps"/>
        </w:rPr>
        <w:t>s</w:t>
      </w:r>
      <w:r w:rsidR="005800E0" w:rsidRPr="008B2DDA">
        <w:t xml:space="preserve"> </w:t>
      </w:r>
      <w:r w:rsidR="005800E0" w:rsidRPr="008B2DDA">
        <w:rPr>
          <w:rStyle w:val="hps"/>
        </w:rPr>
        <w:t>afin</w:t>
      </w:r>
      <w:r w:rsidR="005800E0" w:rsidRPr="008B2DDA">
        <w:t xml:space="preserve"> </w:t>
      </w:r>
      <w:r w:rsidR="005800E0" w:rsidRPr="008B2DDA">
        <w:rPr>
          <w:rStyle w:val="hps"/>
        </w:rPr>
        <w:t xml:space="preserve">que cette </w:t>
      </w:r>
      <w:r w:rsidR="00370A3A" w:rsidRPr="008B2DDA">
        <w:rPr>
          <w:rStyle w:val="hps"/>
        </w:rPr>
        <w:t>initiative</w:t>
      </w:r>
      <w:r w:rsidR="005800E0" w:rsidRPr="008B2DDA">
        <w:t xml:space="preserve"> </w:t>
      </w:r>
      <w:r w:rsidR="00907723" w:rsidRPr="008B2DDA">
        <w:rPr>
          <w:rStyle w:val="hps"/>
        </w:rPr>
        <w:t>soit</w:t>
      </w:r>
      <w:r w:rsidR="005800E0" w:rsidRPr="008B2DDA">
        <w:rPr>
          <w:rStyle w:val="hps"/>
        </w:rPr>
        <w:t xml:space="preserve"> plus simple</w:t>
      </w:r>
      <w:r w:rsidR="005800E0" w:rsidRPr="008B2DDA">
        <w:t xml:space="preserve"> </w:t>
      </w:r>
      <w:r w:rsidR="005800E0" w:rsidRPr="008B2DDA">
        <w:rPr>
          <w:rStyle w:val="hps"/>
        </w:rPr>
        <w:t>à mettre en œuvre.</w:t>
      </w:r>
    </w:p>
    <w:p w14:paraId="7A65BCEB" w14:textId="0C8ADD0C" w:rsidR="007079A8" w:rsidRPr="008B2DDA" w:rsidRDefault="00907723" w:rsidP="008B2DDA">
      <w:r w:rsidRPr="008B2DDA">
        <w:t>Article 24.</w:t>
      </w:r>
      <w:r w:rsidR="00311638" w:rsidRPr="008B2DDA">
        <w:t>3)</w:t>
      </w:r>
    </w:p>
    <w:p w14:paraId="2C0D75F0" w14:textId="77777777" w:rsidR="007079A8" w:rsidRPr="008B2DDA" w:rsidRDefault="007079A8" w:rsidP="008B2DDA"/>
    <w:p w14:paraId="3FD18222" w14:textId="5A4E6F7B" w:rsidR="00A341C2" w:rsidRPr="008B2DDA" w:rsidRDefault="00372AE7" w:rsidP="008B2DDA">
      <w:r w:rsidRPr="008B2DDA">
        <w:lastRenderedPageBreak/>
        <w:t>3)</w:t>
      </w:r>
      <w:r w:rsidRPr="008B2DDA">
        <w:tab/>
      </w:r>
      <w:r w:rsidRPr="008B2DDA">
        <w:rPr>
          <w:i/>
        </w:rPr>
        <w:t xml:space="preserve">[Sources de financement du budget] </w:t>
      </w:r>
      <w:r w:rsidRPr="008B2DDA">
        <w:t>Le budget de l</w:t>
      </w:r>
      <w:r w:rsidR="00A341C2" w:rsidRPr="008B2DDA">
        <w:t>’</w:t>
      </w:r>
      <w:r w:rsidRPr="008B2DDA">
        <w:t>Union particulière est financé par les ressources suivantes</w:t>
      </w:r>
      <w:r w:rsidR="00E26A2C" w:rsidRPr="008B2DDA">
        <w:t> </w:t>
      </w:r>
      <w:r w:rsidRPr="008B2DDA">
        <w:t>:</w:t>
      </w:r>
    </w:p>
    <w:p w14:paraId="60A7E95A" w14:textId="0E179FDF" w:rsidR="00A341C2" w:rsidRPr="008B2DDA" w:rsidRDefault="00372AE7" w:rsidP="008B2DDA">
      <w:pPr>
        <w:ind w:firstLine="1134"/>
      </w:pPr>
      <w:r w:rsidRPr="008B2DDA">
        <w:t>i)</w:t>
      </w:r>
      <w:r w:rsidRPr="008B2DDA">
        <w:tab/>
        <w:t>les taxes perçues en vertu de l</w:t>
      </w:r>
      <w:r w:rsidR="00A341C2" w:rsidRPr="008B2DDA">
        <w:t>’</w:t>
      </w:r>
      <w:r w:rsidRPr="008B2DDA">
        <w:t>article</w:t>
      </w:r>
      <w:r w:rsidR="00E26A2C" w:rsidRPr="008B2DDA">
        <w:t> </w:t>
      </w:r>
      <w:r w:rsidRPr="008B2DDA">
        <w:t>7.1) et 2);</w:t>
      </w:r>
    </w:p>
    <w:p w14:paraId="0F87FA7A" w14:textId="3B5CEDDA" w:rsidR="00A341C2" w:rsidRPr="008B2DDA" w:rsidRDefault="00372AE7" w:rsidP="008B2DDA">
      <w:pPr>
        <w:ind w:left="567" w:firstLine="567"/>
      </w:pPr>
      <w:r w:rsidRPr="008B2DDA">
        <w:t>[ii)</w:t>
      </w:r>
      <w:r w:rsidRPr="008B2DDA">
        <w:tab/>
        <w:t>les taxes de maintien en vigueur visées à l</w:t>
      </w:r>
      <w:r w:rsidR="00A341C2" w:rsidRPr="008B2DDA">
        <w:t>’</w:t>
      </w:r>
      <w:r w:rsidRPr="008B2DDA">
        <w:t>article</w:t>
      </w:r>
      <w:r w:rsidR="00E26A2C" w:rsidRPr="008B2DDA">
        <w:t> </w:t>
      </w:r>
      <w:r w:rsidRPr="008B2DDA">
        <w:t>7.3);]</w:t>
      </w:r>
    </w:p>
    <w:p w14:paraId="2C3D032D" w14:textId="75C3EC11" w:rsidR="00A341C2" w:rsidRPr="008B2DDA" w:rsidRDefault="00372AE7" w:rsidP="008B2DDA">
      <w:pPr>
        <w:ind w:firstLine="1134"/>
      </w:pPr>
      <w:r w:rsidRPr="008B2DDA">
        <w:t>iii)</w:t>
      </w:r>
      <w:r w:rsidRPr="008B2DDA">
        <w:tab/>
        <w:t>le produit de la vente des publications du Bureau international concernant l</w:t>
      </w:r>
      <w:r w:rsidR="00A341C2" w:rsidRPr="008B2DDA">
        <w:t>’</w:t>
      </w:r>
      <w:r w:rsidRPr="008B2DDA">
        <w:t>Union particulière et les droits afférents à ces publications;</w:t>
      </w:r>
    </w:p>
    <w:p w14:paraId="6155FE7D" w14:textId="6EA0DCA1" w:rsidR="007079A8" w:rsidRPr="008B2DDA" w:rsidRDefault="00372AE7" w:rsidP="008B2DDA">
      <w:pPr>
        <w:ind w:left="567" w:firstLine="567"/>
      </w:pPr>
      <w:r w:rsidRPr="008B2DDA">
        <w:t>iv)</w:t>
      </w:r>
      <w:r w:rsidRPr="008B2DDA">
        <w:tab/>
        <w:t>les dons, legs et subventions;</w:t>
      </w:r>
    </w:p>
    <w:p w14:paraId="5C42A8BB" w14:textId="77777777" w:rsidR="00A341C2" w:rsidRPr="008B2DDA" w:rsidRDefault="00372AE7" w:rsidP="008B2DDA">
      <w:pPr>
        <w:ind w:left="567" w:firstLine="567"/>
      </w:pPr>
      <w:r w:rsidRPr="008B2DDA">
        <w:t>v)</w:t>
      </w:r>
      <w:r w:rsidRPr="008B2DDA">
        <w:tab/>
        <w:t>les loyers, intérêts et autres revenus divers.</w:t>
      </w:r>
    </w:p>
    <w:p w14:paraId="0B1C0A58" w14:textId="30377590" w:rsidR="00A341C2" w:rsidRPr="008B2DDA" w:rsidRDefault="00311638" w:rsidP="008B2DDA">
      <w:pPr>
        <w:ind w:firstLine="1134"/>
        <w:rPr>
          <w:u w:val="single"/>
        </w:rPr>
      </w:pPr>
      <w:r w:rsidRPr="008B2DDA">
        <w:t>[vi)</w:t>
      </w:r>
      <w:r w:rsidRPr="008B2DDA">
        <w:tab/>
      </w:r>
      <w:r w:rsidR="00372AE7" w:rsidRPr="008B2DDA">
        <w:t>les contributions des parties contractantes, dans la mesure où les recettes provenant des sources mentionnées aux points i) à v) ne suffisent pas à couvrir les dépenses de l</w:t>
      </w:r>
      <w:r w:rsidR="00A341C2" w:rsidRPr="008B2DDA">
        <w:t>’</w:t>
      </w:r>
      <w:r w:rsidR="00372AE7" w:rsidRPr="008B2DDA">
        <w:t>Union particulière</w:t>
      </w:r>
      <w:r w:rsidRPr="008B2DDA">
        <w:t xml:space="preserve"> </w:t>
      </w:r>
      <w:r w:rsidR="00370A3A" w:rsidRPr="008B2DDA">
        <w:rPr>
          <w:rStyle w:val="hps"/>
          <w:u w:val="single"/>
        </w:rPr>
        <w:t>au cours d</w:t>
      </w:r>
      <w:r w:rsidR="00A341C2" w:rsidRPr="008B2DDA">
        <w:rPr>
          <w:rStyle w:val="hps"/>
          <w:u w:val="single"/>
        </w:rPr>
        <w:t>’</w:t>
      </w:r>
      <w:r w:rsidR="005800E0" w:rsidRPr="008B2DDA">
        <w:rPr>
          <w:rStyle w:val="hps"/>
          <w:u w:val="single"/>
        </w:rPr>
        <w:t>un</w:t>
      </w:r>
      <w:r w:rsidR="005800E0" w:rsidRPr="008B2DDA">
        <w:rPr>
          <w:u w:val="single"/>
        </w:rPr>
        <w:t xml:space="preserve"> </w:t>
      </w:r>
      <w:r w:rsidR="005800E0" w:rsidRPr="008B2DDA">
        <w:rPr>
          <w:rStyle w:val="hps"/>
          <w:u w:val="single"/>
        </w:rPr>
        <w:t>exercice biennal</w:t>
      </w:r>
      <w:r w:rsidR="005800E0" w:rsidRPr="008B2DDA">
        <w:rPr>
          <w:u w:val="single"/>
        </w:rPr>
        <w:t xml:space="preserve">, </w:t>
      </w:r>
      <w:r w:rsidR="00370A3A" w:rsidRPr="008B2DDA">
        <w:rPr>
          <w:rStyle w:val="hps"/>
          <w:u w:val="single"/>
        </w:rPr>
        <w:t>la part des</w:t>
      </w:r>
      <w:r w:rsidR="005800E0" w:rsidRPr="008B2DDA">
        <w:rPr>
          <w:u w:val="single"/>
        </w:rPr>
        <w:t xml:space="preserve"> </w:t>
      </w:r>
      <w:r w:rsidR="005800E0" w:rsidRPr="008B2DDA">
        <w:rPr>
          <w:rStyle w:val="hps"/>
          <w:u w:val="single"/>
        </w:rPr>
        <w:t>contributions</w:t>
      </w:r>
      <w:r w:rsidR="005800E0" w:rsidRPr="008B2DDA">
        <w:rPr>
          <w:u w:val="single"/>
        </w:rPr>
        <w:t xml:space="preserve"> </w:t>
      </w:r>
      <w:r w:rsidR="00370A3A" w:rsidRPr="008B2DDA">
        <w:rPr>
          <w:rStyle w:val="hps"/>
          <w:u w:val="single"/>
        </w:rPr>
        <w:t>de chaque p</w:t>
      </w:r>
      <w:r w:rsidR="005800E0" w:rsidRPr="008B2DDA">
        <w:rPr>
          <w:rStyle w:val="hps"/>
          <w:u w:val="single"/>
        </w:rPr>
        <w:t>artie contractante</w:t>
      </w:r>
      <w:r w:rsidR="005800E0" w:rsidRPr="008B2DDA">
        <w:rPr>
          <w:u w:val="single"/>
        </w:rPr>
        <w:t xml:space="preserve"> </w:t>
      </w:r>
      <w:r w:rsidR="005800E0" w:rsidRPr="008B2DDA">
        <w:rPr>
          <w:rStyle w:val="hps"/>
          <w:u w:val="single"/>
        </w:rPr>
        <w:t>étant proportionnelle</w:t>
      </w:r>
      <w:r w:rsidR="005800E0" w:rsidRPr="008B2DDA">
        <w:rPr>
          <w:u w:val="single"/>
        </w:rPr>
        <w:t xml:space="preserve"> </w:t>
      </w:r>
      <w:r w:rsidR="005800E0" w:rsidRPr="008B2DDA">
        <w:rPr>
          <w:rStyle w:val="hps"/>
          <w:u w:val="single"/>
        </w:rPr>
        <w:t>à leur</w:t>
      </w:r>
      <w:r w:rsidR="005800E0" w:rsidRPr="008B2DDA">
        <w:rPr>
          <w:u w:val="single"/>
        </w:rPr>
        <w:t xml:space="preserve"> </w:t>
      </w:r>
      <w:r w:rsidR="005800E0" w:rsidRPr="008B2DDA">
        <w:rPr>
          <w:rStyle w:val="hps"/>
          <w:u w:val="single"/>
        </w:rPr>
        <w:t>nombre relatif</w:t>
      </w:r>
      <w:r w:rsidR="005800E0" w:rsidRPr="008B2DDA">
        <w:rPr>
          <w:u w:val="single"/>
        </w:rPr>
        <w:t xml:space="preserve"> </w:t>
      </w:r>
      <w:r w:rsidR="00370A3A" w:rsidRPr="008B2DDA">
        <w:rPr>
          <w:rStyle w:val="hps"/>
          <w:u w:val="single"/>
        </w:rPr>
        <w:t>d</w:t>
      </w:r>
      <w:r w:rsidR="00A341C2" w:rsidRPr="008B2DDA">
        <w:rPr>
          <w:rStyle w:val="hps"/>
          <w:u w:val="single"/>
        </w:rPr>
        <w:t>’</w:t>
      </w:r>
      <w:r w:rsidR="00370A3A" w:rsidRPr="008B2DDA">
        <w:rPr>
          <w:rStyle w:val="hps"/>
          <w:u w:val="single"/>
        </w:rPr>
        <w:t>enregistrements</w:t>
      </w:r>
      <w:r w:rsidR="005800E0" w:rsidRPr="008B2DDA">
        <w:rPr>
          <w:u w:val="single"/>
        </w:rPr>
        <w:t xml:space="preserve"> </w:t>
      </w:r>
      <w:r w:rsidR="005800E0" w:rsidRPr="008B2DDA">
        <w:rPr>
          <w:rStyle w:val="hps"/>
          <w:u w:val="single"/>
        </w:rPr>
        <w:t>dans le</w:t>
      </w:r>
      <w:r w:rsidR="005800E0" w:rsidRPr="008B2DDA">
        <w:rPr>
          <w:u w:val="single"/>
        </w:rPr>
        <w:t xml:space="preserve"> </w:t>
      </w:r>
      <w:r w:rsidR="005800E0" w:rsidRPr="008B2DDA">
        <w:rPr>
          <w:rStyle w:val="hps"/>
          <w:u w:val="single"/>
        </w:rPr>
        <w:t>système de Lisbonne</w:t>
      </w:r>
      <w:r w:rsidR="005800E0" w:rsidRPr="008B2DDA">
        <w:rPr>
          <w:u w:val="single"/>
        </w:rPr>
        <w:t>.]</w:t>
      </w:r>
      <w:r w:rsidRPr="008B2DDA">
        <w:rPr>
          <w:u w:val="single"/>
        </w:rPr>
        <w:t>.</w:t>
      </w:r>
    </w:p>
    <w:p w14:paraId="0DADD998" w14:textId="044FF94F" w:rsidR="007079A8" w:rsidRPr="008B2DDA" w:rsidRDefault="007079A8" w:rsidP="008B2DDA">
      <w:pPr>
        <w:rPr>
          <w:u w:val="single"/>
        </w:rPr>
      </w:pPr>
      <w:bookmarkStart w:id="18" w:name="Article_24_4"/>
    </w:p>
    <w:p w14:paraId="618162B9" w14:textId="77777777" w:rsidR="007079A8" w:rsidRPr="008B2DDA" w:rsidRDefault="007079A8" w:rsidP="00807A13">
      <w:pPr>
        <w:pBdr>
          <w:top w:val="single" w:sz="4" w:space="1" w:color="auto"/>
        </w:pBdr>
      </w:pPr>
    </w:p>
    <w:p w14:paraId="3BB5507D" w14:textId="20D30C22" w:rsidR="007079A8" w:rsidRPr="008B2DDA" w:rsidRDefault="00372AE7" w:rsidP="008B2DDA">
      <w:r w:rsidRPr="008B2DDA">
        <w:rPr>
          <w:b/>
        </w:rPr>
        <w:t>Article</w:t>
      </w:r>
      <w:r w:rsidR="00E26A2C" w:rsidRPr="008B2DDA">
        <w:rPr>
          <w:b/>
        </w:rPr>
        <w:t> </w:t>
      </w:r>
      <w:r w:rsidRPr="008B2DDA">
        <w:rPr>
          <w:b/>
        </w:rPr>
        <w:t>24.</w:t>
      </w:r>
      <w:r w:rsidR="00311638" w:rsidRPr="008B2DDA">
        <w:rPr>
          <w:b/>
        </w:rPr>
        <w:t xml:space="preserve">4) </w:t>
      </w:r>
      <w:bookmarkEnd w:id="18"/>
      <w:r w:rsidRPr="008B2DDA">
        <w:rPr>
          <w:b/>
        </w:rPr>
        <w:t>Fixation des taxes</w:t>
      </w:r>
      <w:r w:rsidR="00E26A2C" w:rsidRPr="008B2DDA">
        <w:rPr>
          <w:b/>
        </w:rPr>
        <w:t> </w:t>
      </w:r>
      <w:r w:rsidR="00311638" w:rsidRPr="008B2DDA">
        <w:rPr>
          <w:b/>
        </w:rPr>
        <w:t>:</w:t>
      </w:r>
      <w:r w:rsidR="00311638" w:rsidRPr="008B2DDA">
        <w:t xml:space="preserve"> </w:t>
      </w:r>
      <w:r w:rsidR="005800E0"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370A3A" w:rsidRPr="008B2DDA">
        <w:rPr>
          <w:rStyle w:val="hps"/>
        </w:rPr>
        <w:t>approuvent</w:t>
      </w:r>
      <w:r w:rsidR="005800E0" w:rsidRPr="008B2DDA">
        <w:t xml:space="preserve"> </w:t>
      </w:r>
      <w:r w:rsidR="005800E0" w:rsidRPr="008B2DDA">
        <w:rPr>
          <w:rStyle w:val="hps"/>
        </w:rPr>
        <w:t>l</w:t>
      </w:r>
      <w:r w:rsidR="00A341C2" w:rsidRPr="008B2DDA">
        <w:rPr>
          <w:rStyle w:val="hps"/>
        </w:rPr>
        <w:t>’</w:t>
      </w:r>
      <w:r w:rsidR="005800E0" w:rsidRPr="008B2DDA">
        <w:rPr>
          <w:rStyle w:val="hps"/>
        </w:rPr>
        <w:t>article</w:t>
      </w:r>
      <w:r w:rsidR="00370A3A" w:rsidRPr="008B2DDA">
        <w:t> </w:t>
      </w:r>
      <w:r w:rsidR="005800E0" w:rsidRPr="008B2DDA">
        <w:rPr>
          <w:rStyle w:val="hps"/>
        </w:rPr>
        <w:t>24</w:t>
      </w:r>
      <w:r w:rsidR="00370A3A" w:rsidRPr="008B2DDA">
        <w:t>.</w:t>
      </w:r>
      <w:r w:rsidR="005800E0" w:rsidRPr="008B2DDA">
        <w:t xml:space="preserve">4) </w:t>
      </w:r>
      <w:r w:rsidR="00370A3A" w:rsidRPr="008B2DDA">
        <w:t xml:space="preserve">relatif à la fixation des taxes visant à </w:t>
      </w:r>
      <w:r w:rsidR="005800E0" w:rsidRPr="008B2DDA">
        <w:rPr>
          <w:rStyle w:val="hps"/>
        </w:rPr>
        <w:t>couvrir les dépenses</w:t>
      </w:r>
      <w:r w:rsidR="005800E0" w:rsidRPr="008B2DDA">
        <w:t>.</w:t>
      </w:r>
    </w:p>
    <w:p w14:paraId="35DD99DC" w14:textId="77777777" w:rsidR="007079A8" w:rsidRPr="008B2DDA" w:rsidRDefault="007079A8" w:rsidP="008B2DDA"/>
    <w:p w14:paraId="11646D95" w14:textId="655DFC7F" w:rsidR="007079A8" w:rsidRPr="008B2DDA" w:rsidRDefault="00372AE7" w:rsidP="008B2DDA">
      <w:r w:rsidRPr="008B2DDA">
        <w:t>Article</w:t>
      </w:r>
      <w:r w:rsidR="00E26A2C" w:rsidRPr="008B2DDA">
        <w:t> </w:t>
      </w:r>
      <w:r w:rsidRPr="008B2DDA">
        <w:t>24.</w:t>
      </w:r>
      <w:r w:rsidR="00311638" w:rsidRPr="008B2DDA">
        <w:t>4)</w:t>
      </w:r>
    </w:p>
    <w:p w14:paraId="54CCACBE" w14:textId="77777777" w:rsidR="007079A8" w:rsidRPr="008B2DDA" w:rsidRDefault="007079A8" w:rsidP="008B2DDA"/>
    <w:p w14:paraId="4B0BD707" w14:textId="31CFA14B" w:rsidR="007079A8" w:rsidRPr="008B2DDA" w:rsidRDefault="0069419D" w:rsidP="008B2DDA">
      <w:r w:rsidRPr="008B2DDA">
        <w:t>4)</w:t>
      </w:r>
      <w:r w:rsidRPr="008B2DDA">
        <w:tab/>
      </w:r>
      <w:r w:rsidRPr="008B2DDA">
        <w:rPr>
          <w:i/>
        </w:rPr>
        <w:t xml:space="preserve">[Fixation des taxes;  montant du budget] </w:t>
      </w:r>
      <w:r w:rsidRPr="008B2DDA">
        <w:t>a) Le montant des taxes mentionnées à l</w:t>
      </w:r>
      <w:r w:rsidR="00A341C2" w:rsidRPr="008B2DDA">
        <w:t>’</w:t>
      </w:r>
      <w:r w:rsidRPr="008B2DDA">
        <w:t>alinéa</w:t>
      </w:r>
      <w:r w:rsidR="00E26A2C" w:rsidRPr="008B2DDA">
        <w:t> </w:t>
      </w:r>
      <w:r w:rsidRPr="008B2DDA">
        <w:t>3) est fixé par l</w:t>
      </w:r>
      <w:r w:rsidR="00A341C2" w:rsidRPr="008B2DDA">
        <w:t>’</w:t>
      </w:r>
      <w:r w:rsidRPr="008B2DDA">
        <w:t>Assemblée, sur proposition du Directeur général [et est fixé de manière à ce que les recettes de l</w:t>
      </w:r>
      <w:r w:rsidR="00A341C2" w:rsidRPr="008B2DDA">
        <w:t>’</w:t>
      </w:r>
      <w:r w:rsidRPr="008B2DDA">
        <w:t>Union particulière soient, normalement, suffisantes pour couvrir les dépenses occasionnées au Bureau international par le fonctionnement du service de l</w:t>
      </w:r>
      <w:r w:rsidR="00A341C2" w:rsidRPr="008B2DDA">
        <w:t>’</w:t>
      </w:r>
      <w:r w:rsidRPr="008B2DDA">
        <w:t>enregistrement international sans qu</w:t>
      </w:r>
      <w:r w:rsidR="00A341C2" w:rsidRPr="008B2DDA">
        <w:t>’</w:t>
      </w:r>
      <w:r w:rsidRPr="008B2DDA">
        <w:t>il soit recouru au versement des contributions mentionnées à l</w:t>
      </w:r>
      <w:r w:rsidR="00A341C2" w:rsidRPr="008B2DDA">
        <w:t>’</w:t>
      </w:r>
      <w:r w:rsidRPr="008B2DDA">
        <w:t>alinéa</w:t>
      </w:r>
      <w:r w:rsidR="00E26A2C" w:rsidRPr="008B2DDA">
        <w:t> </w:t>
      </w:r>
      <w:r w:rsidRPr="008B2DDA">
        <w:t>3)vi)].</w:t>
      </w:r>
    </w:p>
    <w:p w14:paraId="204517DD" w14:textId="77777777" w:rsidR="007079A8" w:rsidRPr="008B2DDA" w:rsidRDefault="007079A8" w:rsidP="008B2DDA">
      <w:pPr>
        <w:rPr>
          <w:b/>
        </w:rPr>
      </w:pPr>
      <w:bookmarkStart w:id="19" w:name="Article_29"/>
    </w:p>
    <w:p w14:paraId="15B1377B" w14:textId="77777777" w:rsidR="007079A8" w:rsidRPr="008B2DDA" w:rsidRDefault="007079A8" w:rsidP="00807A13">
      <w:pPr>
        <w:pBdr>
          <w:top w:val="single" w:sz="4" w:space="1" w:color="auto"/>
        </w:pBdr>
        <w:rPr>
          <w:b/>
        </w:rPr>
      </w:pPr>
    </w:p>
    <w:p w14:paraId="4AAA1405" w14:textId="230A2B81" w:rsidR="007079A8" w:rsidRPr="008B2DDA" w:rsidRDefault="00311638" w:rsidP="008B2DDA">
      <w:r w:rsidRPr="008B2DDA">
        <w:rPr>
          <w:b/>
        </w:rPr>
        <w:t>Article</w:t>
      </w:r>
      <w:r w:rsidR="00E26A2C" w:rsidRPr="008B2DDA">
        <w:rPr>
          <w:b/>
        </w:rPr>
        <w:t> </w:t>
      </w:r>
      <w:r w:rsidRPr="008B2DDA">
        <w:rPr>
          <w:b/>
        </w:rPr>
        <w:t xml:space="preserve">29 </w:t>
      </w:r>
      <w:bookmarkEnd w:id="19"/>
      <w:r w:rsidR="0069419D" w:rsidRPr="008B2DDA">
        <w:rPr>
          <w:b/>
        </w:rPr>
        <w:t>Enregistrements internationaux effectués avant l</w:t>
      </w:r>
      <w:r w:rsidR="00A341C2" w:rsidRPr="008B2DDA">
        <w:rPr>
          <w:b/>
        </w:rPr>
        <w:t>’</w:t>
      </w:r>
      <w:r w:rsidR="0069419D" w:rsidRPr="008B2DDA">
        <w:rPr>
          <w:b/>
        </w:rPr>
        <w:t>adhésion </w:t>
      </w:r>
      <w:r w:rsidRPr="008B2DDA">
        <w:rPr>
          <w:b/>
        </w:rPr>
        <w:t>:</w:t>
      </w:r>
      <w:r w:rsidRPr="008B2DDA">
        <w:t xml:space="preserve"> </w:t>
      </w:r>
      <w:r w:rsidR="007E72B3" w:rsidRPr="008B2DDA">
        <w:rPr>
          <w:rStyle w:val="hps"/>
        </w:rPr>
        <w:t xml:space="preserve">Les </w:t>
      </w:r>
      <w:r w:rsidR="001D1CB2" w:rsidRPr="008B2DDA">
        <w:rPr>
          <w:rStyle w:val="hps"/>
        </w:rPr>
        <w:t>États</w:t>
      </w:r>
      <w:r w:rsidR="00D67EA4" w:rsidRPr="008B2DDA">
        <w:rPr>
          <w:rStyle w:val="hps"/>
        </w:rPr>
        <w:noBreakHyphen/>
      </w:r>
      <w:r w:rsidR="001D1CB2" w:rsidRPr="008B2DDA">
        <w:rPr>
          <w:rStyle w:val="hps"/>
        </w:rPr>
        <w:t>Unis</w:t>
      </w:r>
      <w:r w:rsidR="00E26A2C" w:rsidRPr="008B2DDA">
        <w:rPr>
          <w:rStyle w:val="hps"/>
        </w:rPr>
        <w:t xml:space="preserve"> d’Amérique</w:t>
      </w:r>
      <w:r w:rsidR="001D1CB2" w:rsidRPr="008B2DDA">
        <w:rPr>
          <w:rStyle w:val="hps"/>
        </w:rPr>
        <w:t xml:space="preserve"> </w:t>
      </w:r>
      <w:r w:rsidR="007E72B3" w:rsidRPr="008B2DDA">
        <w:rPr>
          <w:rStyle w:val="hps"/>
        </w:rPr>
        <w:t>propose</w:t>
      </w:r>
      <w:r w:rsidR="001D1CB2" w:rsidRPr="008B2DDA">
        <w:rPr>
          <w:rStyle w:val="hps"/>
        </w:rPr>
        <w:t>nt</w:t>
      </w:r>
      <w:r w:rsidR="007E72B3" w:rsidRPr="008B2DDA">
        <w:rPr>
          <w:rStyle w:val="hps"/>
        </w:rPr>
        <w:t xml:space="preserve"> que l</w:t>
      </w:r>
      <w:r w:rsidR="00A341C2" w:rsidRPr="008B2DDA">
        <w:rPr>
          <w:rStyle w:val="hps"/>
        </w:rPr>
        <w:t>’</w:t>
      </w:r>
      <w:r w:rsidR="007E72B3" w:rsidRPr="008B2DDA">
        <w:rPr>
          <w:rStyle w:val="hps"/>
        </w:rPr>
        <w:t>article</w:t>
      </w:r>
      <w:r w:rsidR="001D1CB2" w:rsidRPr="008B2DDA">
        <w:t> </w:t>
      </w:r>
      <w:r w:rsidR="007E72B3" w:rsidRPr="008B2DDA">
        <w:rPr>
          <w:rStyle w:val="hps"/>
        </w:rPr>
        <w:t>29</w:t>
      </w:r>
      <w:r w:rsidR="001D1CB2" w:rsidRPr="008B2DDA">
        <w:t>.</w:t>
      </w:r>
      <w:r w:rsidR="007E72B3" w:rsidRPr="008B2DDA">
        <w:t xml:space="preserve">4) </w:t>
      </w:r>
      <w:r w:rsidR="007E72B3" w:rsidRPr="008B2DDA">
        <w:rPr>
          <w:rStyle w:val="hps"/>
        </w:rPr>
        <w:t xml:space="preserve">soit modifié afin </w:t>
      </w:r>
      <w:r w:rsidR="001D1CB2" w:rsidRPr="008B2DDA">
        <w:rPr>
          <w:rStyle w:val="hps"/>
        </w:rPr>
        <w:t>que</w:t>
      </w:r>
      <w:r w:rsidR="007E72B3" w:rsidRPr="008B2DDA">
        <w:rPr>
          <w:rStyle w:val="hps"/>
        </w:rPr>
        <w:t xml:space="preserve"> les États</w:t>
      </w:r>
      <w:r w:rsidR="007E72B3" w:rsidRPr="008B2DDA">
        <w:t xml:space="preserve"> </w:t>
      </w:r>
      <w:r w:rsidR="007E72B3" w:rsidRPr="008B2DDA">
        <w:rPr>
          <w:rStyle w:val="hps"/>
        </w:rPr>
        <w:t>et les organisations intergouvernementales</w:t>
      </w:r>
      <w:r w:rsidR="007E72B3" w:rsidRPr="008B2DDA">
        <w:t xml:space="preserve"> </w:t>
      </w:r>
      <w:r w:rsidR="001D1CB2" w:rsidRPr="008B2DDA">
        <w:rPr>
          <w:rStyle w:val="hps"/>
        </w:rPr>
        <w:t>adhérents puissent indiquer</w:t>
      </w:r>
      <w:r w:rsidR="007E72B3" w:rsidRPr="008B2DDA">
        <w:t xml:space="preserve">, </w:t>
      </w:r>
      <w:r w:rsidR="007E72B3" w:rsidRPr="008B2DDA">
        <w:rPr>
          <w:rStyle w:val="hps"/>
        </w:rPr>
        <w:t>dans une déclaration</w:t>
      </w:r>
      <w:r w:rsidR="007E72B3" w:rsidRPr="008B2DDA">
        <w:t xml:space="preserve">, </w:t>
      </w:r>
      <w:r w:rsidR="007E72B3" w:rsidRPr="008B2DDA">
        <w:rPr>
          <w:rStyle w:val="hps"/>
        </w:rPr>
        <w:t>que leurs</w:t>
      </w:r>
      <w:r w:rsidR="007E72B3" w:rsidRPr="008B2DDA">
        <w:t xml:space="preserve"> </w:t>
      </w:r>
      <w:r w:rsidR="007E72B3" w:rsidRPr="008B2DDA">
        <w:rPr>
          <w:rStyle w:val="hps"/>
        </w:rPr>
        <w:t>législations nationales exigent</w:t>
      </w:r>
      <w:r w:rsidR="007E72B3" w:rsidRPr="008B2DDA">
        <w:t xml:space="preserve"> </w:t>
      </w:r>
      <w:r w:rsidR="007E72B3" w:rsidRPr="008B2DDA">
        <w:rPr>
          <w:rStyle w:val="hps"/>
        </w:rPr>
        <w:t>le paiement</w:t>
      </w:r>
      <w:r w:rsidR="007E72B3" w:rsidRPr="008B2DDA">
        <w:t xml:space="preserve"> </w:t>
      </w:r>
      <w:r w:rsidR="007E72B3" w:rsidRPr="008B2DDA">
        <w:rPr>
          <w:rStyle w:val="hps"/>
        </w:rPr>
        <w:t>d</w:t>
      </w:r>
      <w:r w:rsidR="00A341C2" w:rsidRPr="008B2DDA">
        <w:rPr>
          <w:rStyle w:val="hps"/>
        </w:rPr>
        <w:t>’</w:t>
      </w:r>
      <w:r w:rsidR="007E72B3" w:rsidRPr="008B2DDA">
        <w:rPr>
          <w:rStyle w:val="hps"/>
        </w:rPr>
        <w:t>une taxe individuelle</w:t>
      </w:r>
      <w:r w:rsidR="007E72B3" w:rsidRPr="008B2DDA">
        <w:t xml:space="preserve">, </w:t>
      </w:r>
      <w:r w:rsidR="007E72B3" w:rsidRPr="008B2DDA">
        <w:rPr>
          <w:rStyle w:val="hps"/>
        </w:rPr>
        <w:t xml:space="preserve">et </w:t>
      </w:r>
      <w:r w:rsidR="00351572" w:rsidRPr="008B2DDA">
        <w:rPr>
          <w:rStyle w:val="hps"/>
        </w:rPr>
        <w:t>que la protection d</w:t>
      </w:r>
      <w:r w:rsidR="00A341C2" w:rsidRPr="008B2DDA">
        <w:rPr>
          <w:rStyle w:val="hps"/>
        </w:rPr>
        <w:t>’</w:t>
      </w:r>
      <w:r w:rsidR="00351572" w:rsidRPr="008B2DDA">
        <w:rPr>
          <w:rStyle w:val="hps"/>
        </w:rPr>
        <w:t>un</w:t>
      </w:r>
      <w:r w:rsidR="007E72B3" w:rsidRPr="008B2DDA">
        <w:t xml:space="preserve"> </w:t>
      </w:r>
      <w:r w:rsidR="007E72B3" w:rsidRPr="008B2DDA">
        <w:rPr>
          <w:rStyle w:val="hps"/>
        </w:rPr>
        <w:t>enregistrement international</w:t>
      </w:r>
      <w:r w:rsidR="007E72B3" w:rsidRPr="008B2DDA">
        <w:t xml:space="preserve"> </w:t>
      </w:r>
      <w:r w:rsidR="00351572" w:rsidRPr="008B2DDA">
        <w:rPr>
          <w:rStyle w:val="hps"/>
        </w:rPr>
        <w:t>déjà</w:t>
      </w:r>
      <w:r w:rsidR="007E72B3" w:rsidRPr="008B2DDA">
        <w:rPr>
          <w:rStyle w:val="hps"/>
        </w:rPr>
        <w:t xml:space="preserve"> enregistré</w:t>
      </w:r>
      <w:r w:rsidR="007E72B3" w:rsidRPr="008B2DDA">
        <w:t xml:space="preserve"> </w:t>
      </w:r>
      <w:r w:rsidR="007E72B3" w:rsidRPr="008B2DDA">
        <w:rPr>
          <w:rStyle w:val="hps"/>
        </w:rPr>
        <w:t>en vertu du présent</w:t>
      </w:r>
      <w:r w:rsidR="007E72B3" w:rsidRPr="008B2DDA">
        <w:t xml:space="preserve"> </w:t>
      </w:r>
      <w:r w:rsidR="001D1CB2" w:rsidRPr="008B2DDA">
        <w:rPr>
          <w:rStyle w:val="hps"/>
        </w:rPr>
        <w:t>Acte</w:t>
      </w:r>
      <w:r w:rsidR="007E72B3" w:rsidRPr="008B2DDA">
        <w:t xml:space="preserve"> </w:t>
      </w:r>
      <w:r w:rsidR="00351572" w:rsidRPr="008B2DDA">
        <w:rPr>
          <w:rStyle w:val="hps"/>
        </w:rPr>
        <w:t>ne sera pas envisagée</w:t>
      </w:r>
      <w:r w:rsidR="007E72B3" w:rsidRPr="008B2DDA">
        <w:t xml:space="preserve"> </w:t>
      </w:r>
      <w:r w:rsidR="00351572" w:rsidRPr="008B2DDA">
        <w:rPr>
          <w:rStyle w:val="hps"/>
        </w:rPr>
        <w:t>dans cette p</w:t>
      </w:r>
      <w:r w:rsidR="007E72B3" w:rsidRPr="008B2DDA">
        <w:rPr>
          <w:rStyle w:val="hps"/>
        </w:rPr>
        <w:t>artie</w:t>
      </w:r>
      <w:r w:rsidR="007E72B3" w:rsidRPr="008B2DDA">
        <w:t xml:space="preserve"> </w:t>
      </w:r>
      <w:r w:rsidR="007E72B3" w:rsidRPr="008B2DDA">
        <w:rPr>
          <w:rStyle w:val="hps"/>
        </w:rPr>
        <w:t>contractante tant que</w:t>
      </w:r>
      <w:r w:rsidR="007E72B3" w:rsidRPr="008B2DDA">
        <w:t xml:space="preserve"> </w:t>
      </w:r>
      <w:r w:rsidR="007E72B3" w:rsidRPr="008B2DDA">
        <w:rPr>
          <w:rStyle w:val="hps"/>
        </w:rPr>
        <w:t>cette taxe</w:t>
      </w:r>
      <w:r w:rsidR="007E72B3" w:rsidRPr="008B2DDA">
        <w:t xml:space="preserve"> </w:t>
      </w:r>
      <w:r w:rsidR="001D1CB2" w:rsidRPr="008B2DDA">
        <w:rPr>
          <w:rStyle w:val="hps"/>
        </w:rPr>
        <w:t>n</w:t>
      </w:r>
      <w:r w:rsidR="00A341C2" w:rsidRPr="008B2DDA">
        <w:rPr>
          <w:rStyle w:val="hps"/>
        </w:rPr>
        <w:t>’</w:t>
      </w:r>
      <w:r w:rsidR="001D1CB2" w:rsidRPr="008B2DDA">
        <w:rPr>
          <w:rStyle w:val="hps"/>
        </w:rPr>
        <w:t>a</w:t>
      </w:r>
      <w:r w:rsidR="00351572" w:rsidRPr="008B2DDA">
        <w:rPr>
          <w:rStyle w:val="hps"/>
        </w:rPr>
        <w:t>ura</w:t>
      </w:r>
      <w:r w:rsidR="001D1CB2" w:rsidRPr="008B2DDA">
        <w:rPr>
          <w:rStyle w:val="hps"/>
        </w:rPr>
        <w:t xml:space="preserve"> pas été acquittée</w:t>
      </w:r>
      <w:r w:rsidR="007E72B3" w:rsidRPr="008B2DDA">
        <w:rPr>
          <w:rStyle w:val="hps"/>
        </w:rPr>
        <w:t>.</w:t>
      </w:r>
    </w:p>
    <w:p w14:paraId="79CECF57" w14:textId="77777777" w:rsidR="007079A8" w:rsidRPr="008B2DDA" w:rsidRDefault="007079A8" w:rsidP="008B2DDA"/>
    <w:p w14:paraId="0DF54068" w14:textId="5D0B28AE" w:rsidR="007079A8" w:rsidRPr="008B2DDA" w:rsidRDefault="0069419D" w:rsidP="008B2DDA">
      <w:r w:rsidRPr="008B2DDA">
        <w:t>Article</w:t>
      </w:r>
      <w:r w:rsidR="00E26A2C" w:rsidRPr="008B2DDA">
        <w:t> </w:t>
      </w:r>
      <w:r w:rsidRPr="008B2DDA">
        <w:t>29</w:t>
      </w:r>
    </w:p>
    <w:p w14:paraId="14B49CBE" w14:textId="77777777" w:rsidR="007079A8" w:rsidRPr="008B2DDA" w:rsidRDefault="007079A8" w:rsidP="008B2DDA"/>
    <w:p w14:paraId="6FEDD905" w14:textId="6115CC1E" w:rsidR="007079A8" w:rsidRPr="008B2DDA" w:rsidRDefault="0069419D" w:rsidP="008B2DDA">
      <w:pPr>
        <w:rPr>
          <w:u w:val="single"/>
        </w:rPr>
      </w:pPr>
      <w:r w:rsidRPr="008B2DDA">
        <w:t>4)</w:t>
      </w:r>
      <w:r w:rsidRPr="008B2DDA">
        <w:tab/>
      </w:r>
      <w:r w:rsidRPr="008B2DDA">
        <w:rPr>
          <w:i/>
        </w:rPr>
        <w:t>[Enregistrements internationaux effectués avant l</w:t>
      </w:r>
      <w:r w:rsidR="00A341C2" w:rsidRPr="008B2DDA">
        <w:rPr>
          <w:i/>
        </w:rPr>
        <w:t>’</w:t>
      </w:r>
      <w:r w:rsidRPr="008B2DDA">
        <w:rPr>
          <w:i/>
        </w:rPr>
        <w:t xml:space="preserve">adhésion] </w:t>
      </w:r>
      <w:r w:rsidRPr="008B2DDA">
        <w:t>Sur le territoire de l</w:t>
      </w:r>
      <w:r w:rsidR="00A341C2" w:rsidRPr="008B2DDA">
        <w:t>’</w:t>
      </w:r>
      <w:r w:rsidRPr="008B2DDA">
        <w:t>État ou de l</w:t>
      </w:r>
      <w:r w:rsidR="00A341C2" w:rsidRPr="008B2DDA">
        <w:t>’</w:t>
      </w:r>
      <w:r w:rsidRPr="008B2DDA">
        <w:t>organisation intergouvernementale adhérant, les avantages du présent Acte s</w:t>
      </w:r>
      <w:r w:rsidR="00A341C2" w:rsidRPr="008B2DDA">
        <w:t>’</w:t>
      </w:r>
      <w:r w:rsidRPr="008B2DDA">
        <w:t xml:space="preserve">appliquent </w:t>
      </w:r>
      <w:r w:rsidR="00A341C2" w:rsidRPr="008B2DDA">
        <w:t>à l’égard</w:t>
      </w:r>
      <w:r w:rsidRPr="008B2DDA">
        <w:t xml:space="preserve"> des appellations d</w:t>
      </w:r>
      <w:r w:rsidR="00A341C2" w:rsidRPr="008B2DDA">
        <w:t>’</w:t>
      </w:r>
      <w:r w:rsidRPr="008B2DDA">
        <w:t>origine déjà enregistrées en vertu du présent Acte au moment où l</w:t>
      </w:r>
      <w:r w:rsidR="00A341C2" w:rsidRPr="008B2DDA">
        <w:t>’</w:t>
      </w:r>
      <w:r w:rsidRPr="008B2DDA">
        <w:t>adhésion prend effet, sous réserve [de l</w:t>
      </w:r>
      <w:r w:rsidR="00A341C2" w:rsidRPr="008B2DDA">
        <w:t>’</w:t>
      </w:r>
      <w:r w:rsidRPr="008B2DDA">
        <w:t>article</w:t>
      </w:r>
      <w:r w:rsidR="00E26A2C" w:rsidRPr="008B2DDA">
        <w:t> </w:t>
      </w:r>
      <w:r w:rsidRPr="008B2DDA">
        <w:t>7.5) et] des dispositions du chapitre</w:t>
      </w:r>
      <w:r w:rsidR="00E26A2C" w:rsidRPr="008B2DDA">
        <w:t> </w:t>
      </w:r>
      <w:r w:rsidRPr="008B2DDA">
        <w:t>IV, qui s</w:t>
      </w:r>
      <w:r w:rsidR="00A341C2" w:rsidRPr="008B2DDA">
        <w:t>’</w:t>
      </w:r>
      <w:r w:rsidRPr="008B2DDA">
        <w:t>appliquent mutatis mutandis.</w:t>
      </w:r>
      <w:r w:rsidR="00311638" w:rsidRPr="008B2DDA">
        <w:t xml:space="preserve">  </w:t>
      </w:r>
      <w:r w:rsidR="0002041B" w:rsidRPr="008B2DDA">
        <w:rPr>
          <w:rStyle w:val="hps"/>
          <w:u w:val="single"/>
        </w:rPr>
        <w:t>Les États</w:t>
      </w:r>
      <w:r w:rsidR="0002041B" w:rsidRPr="008B2DDA">
        <w:rPr>
          <w:u w:val="single"/>
        </w:rPr>
        <w:t xml:space="preserve"> </w:t>
      </w:r>
      <w:r w:rsidR="0002041B" w:rsidRPr="008B2DDA">
        <w:rPr>
          <w:rStyle w:val="hps"/>
          <w:u w:val="single"/>
        </w:rPr>
        <w:t>et les organisations intergouvernementales</w:t>
      </w:r>
      <w:r w:rsidR="0002041B" w:rsidRPr="008B2DDA">
        <w:rPr>
          <w:u w:val="single"/>
        </w:rPr>
        <w:t xml:space="preserve"> </w:t>
      </w:r>
      <w:r w:rsidR="0002041B" w:rsidRPr="008B2DDA">
        <w:rPr>
          <w:rStyle w:val="hps"/>
          <w:u w:val="single"/>
        </w:rPr>
        <w:t>adhérents peuvent indiquer</w:t>
      </w:r>
      <w:r w:rsidR="0002041B" w:rsidRPr="008B2DDA">
        <w:rPr>
          <w:u w:val="single"/>
        </w:rPr>
        <w:t xml:space="preserve">, </w:t>
      </w:r>
      <w:r w:rsidR="0002041B" w:rsidRPr="008B2DDA">
        <w:rPr>
          <w:rStyle w:val="hps"/>
          <w:u w:val="single"/>
        </w:rPr>
        <w:t>dans une déclaration</w:t>
      </w:r>
      <w:r w:rsidR="0002041B" w:rsidRPr="008B2DDA">
        <w:rPr>
          <w:u w:val="single"/>
        </w:rPr>
        <w:t xml:space="preserve">, </w:t>
      </w:r>
      <w:r w:rsidR="0002041B" w:rsidRPr="008B2DDA">
        <w:rPr>
          <w:rStyle w:val="hps"/>
          <w:u w:val="single"/>
        </w:rPr>
        <w:t>que leurs</w:t>
      </w:r>
      <w:r w:rsidR="0002041B" w:rsidRPr="008B2DDA">
        <w:rPr>
          <w:u w:val="single"/>
        </w:rPr>
        <w:t xml:space="preserve"> </w:t>
      </w:r>
      <w:r w:rsidR="0002041B" w:rsidRPr="008B2DDA">
        <w:rPr>
          <w:rStyle w:val="hps"/>
          <w:u w:val="single"/>
        </w:rPr>
        <w:t>législations nationales exigent</w:t>
      </w:r>
      <w:r w:rsidR="0002041B" w:rsidRPr="008B2DDA">
        <w:rPr>
          <w:u w:val="single"/>
        </w:rPr>
        <w:t xml:space="preserve"> </w:t>
      </w:r>
      <w:r w:rsidR="0002041B" w:rsidRPr="008B2DDA">
        <w:rPr>
          <w:rStyle w:val="hps"/>
          <w:u w:val="single"/>
        </w:rPr>
        <w:t>le paiement</w:t>
      </w:r>
      <w:r w:rsidR="0002041B" w:rsidRPr="008B2DDA">
        <w:rPr>
          <w:u w:val="single"/>
        </w:rPr>
        <w:t xml:space="preserve"> </w:t>
      </w:r>
      <w:r w:rsidR="0002041B" w:rsidRPr="008B2DDA">
        <w:rPr>
          <w:rStyle w:val="hps"/>
          <w:u w:val="single"/>
        </w:rPr>
        <w:t>d</w:t>
      </w:r>
      <w:r w:rsidR="00A341C2" w:rsidRPr="008B2DDA">
        <w:rPr>
          <w:rStyle w:val="hps"/>
          <w:u w:val="single"/>
        </w:rPr>
        <w:t>’</w:t>
      </w:r>
      <w:r w:rsidR="0002041B" w:rsidRPr="008B2DDA">
        <w:rPr>
          <w:rStyle w:val="hps"/>
          <w:u w:val="single"/>
        </w:rPr>
        <w:t>une taxe individuelle</w:t>
      </w:r>
      <w:r w:rsidR="0002041B" w:rsidRPr="008B2DDA">
        <w:rPr>
          <w:u w:val="single"/>
        </w:rPr>
        <w:t xml:space="preserve">, </w:t>
      </w:r>
      <w:r w:rsidR="0002041B" w:rsidRPr="008B2DDA">
        <w:rPr>
          <w:rStyle w:val="hps"/>
          <w:u w:val="single"/>
        </w:rPr>
        <w:t>et que la protection d</w:t>
      </w:r>
      <w:r w:rsidR="00A341C2" w:rsidRPr="008B2DDA">
        <w:rPr>
          <w:rStyle w:val="hps"/>
          <w:u w:val="single"/>
        </w:rPr>
        <w:t>’</w:t>
      </w:r>
      <w:r w:rsidR="0002041B" w:rsidRPr="008B2DDA">
        <w:rPr>
          <w:rStyle w:val="hps"/>
          <w:u w:val="single"/>
        </w:rPr>
        <w:t>un</w:t>
      </w:r>
      <w:r w:rsidR="0002041B" w:rsidRPr="008B2DDA">
        <w:rPr>
          <w:u w:val="single"/>
        </w:rPr>
        <w:t xml:space="preserve"> </w:t>
      </w:r>
      <w:r w:rsidR="0002041B" w:rsidRPr="008B2DDA">
        <w:rPr>
          <w:rStyle w:val="hps"/>
          <w:u w:val="single"/>
        </w:rPr>
        <w:t>enregistrement international</w:t>
      </w:r>
      <w:r w:rsidR="0002041B" w:rsidRPr="008B2DDA">
        <w:rPr>
          <w:u w:val="single"/>
        </w:rPr>
        <w:t xml:space="preserve"> </w:t>
      </w:r>
      <w:r w:rsidR="0002041B" w:rsidRPr="008B2DDA">
        <w:rPr>
          <w:rStyle w:val="hps"/>
          <w:u w:val="single"/>
        </w:rPr>
        <w:t>déjà enregistré</w:t>
      </w:r>
      <w:r w:rsidR="0002041B" w:rsidRPr="008B2DDA">
        <w:rPr>
          <w:u w:val="single"/>
        </w:rPr>
        <w:t xml:space="preserve"> </w:t>
      </w:r>
      <w:r w:rsidR="0002041B" w:rsidRPr="008B2DDA">
        <w:rPr>
          <w:rStyle w:val="hps"/>
          <w:u w:val="single"/>
        </w:rPr>
        <w:t>en vertu du présent</w:t>
      </w:r>
      <w:r w:rsidR="0002041B" w:rsidRPr="008B2DDA">
        <w:rPr>
          <w:u w:val="single"/>
        </w:rPr>
        <w:t xml:space="preserve"> </w:t>
      </w:r>
      <w:r w:rsidR="0002041B" w:rsidRPr="008B2DDA">
        <w:rPr>
          <w:rStyle w:val="hps"/>
          <w:u w:val="single"/>
        </w:rPr>
        <w:t>Acte</w:t>
      </w:r>
      <w:r w:rsidR="0002041B" w:rsidRPr="008B2DDA">
        <w:rPr>
          <w:u w:val="single"/>
        </w:rPr>
        <w:t xml:space="preserve"> </w:t>
      </w:r>
      <w:r w:rsidR="0002041B" w:rsidRPr="008B2DDA">
        <w:rPr>
          <w:rStyle w:val="hps"/>
          <w:u w:val="single"/>
        </w:rPr>
        <w:t>ne sera pas envisagée</w:t>
      </w:r>
      <w:r w:rsidR="0002041B" w:rsidRPr="008B2DDA">
        <w:rPr>
          <w:u w:val="single"/>
        </w:rPr>
        <w:t xml:space="preserve"> </w:t>
      </w:r>
      <w:r w:rsidR="0002041B" w:rsidRPr="008B2DDA">
        <w:rPr>
          <w:rStyle w:val="hps"/>
          <w:u w:val="single"/>
        </w:rPr>
        <w:t>dans cette partie</w:t>
      </w:r>
      <w:r w:rsidR="0002041B" w:rsidRPr="008B2DDA">
        <w:rPr>
          <w:u w:val="single"/>
        </w:rPr>
        <w:t xml:space="preserve"> </w:t>
      </w:r>
      <w:r w:rsidR="0002041B" w:rsidRPr="008B2DDA">
        <w:rPr>
          <w:rStyle w:val="hps"/>
          <w:u w:val="single"/>
        </w:rPr>
        <w:t>contractante tant que</w:t>
      </w:r>
      <w:r w:rsidR="0002041B" w:rsidRPr="008B2DDA">
        <w:rPr>
          <w:u w:val="single"/>
        </w:rPr>
        <w:t xml:space="preserve"> </w:t>
      </w:r>
      <w:r w:rsidR="0002041B" w:rsidRPr="008B2DDA">
        <w:rPr>
          <w:rStyle w:val="hps"/>
          <w:u w:val="single"/>
        </w:rPr>
        <w:t>cette taxe</w:t>
      </w:r>
      <w:r w:rsidR="0002041B" w:rsidRPr="008B2DDA">
        <w:rPr>
          <w:u w:val="single"/>
        </w:rPr>
        <w:t xml:space="preserve"> </w:t>
      </w:r>
      <w:r w:rsidR="0002041B" w:rsidRPr="008B2DDA">
        <w:rPr>
          <w:rStyle w:val="hps"/>
          <w:u w:val="single"/>
        </w:rPr>
        <w:t>n</w:t>
      </w:r>
      <w:r w:rsidR="00A341C2" w:rsidRPr="008B2DDA">
        <w:rPr>
          <w:rStyle w:val="hps"/>
          <w:u w:val="single"/>
        </w:rPr>
        <w:t>’</w:t>
      </w:r>
      <w:r w:rsidR="0002041B" w:rsidRPr="008B2DDA">
        <w:rPr>
          <w:rStyle w:val="hps"/>
          <w:u w:val="single"/>
        </w:rPr>
        <w:t>aura pas été acquittée</w:t>
      </w:r>
      <w:r w:rsidR="007E72B3" w:rsidRPr="008B2DDA">
        <w:rPr>
          <w:u w:val="single"/>
        </w:rPr>
        <w:t>.</w:t>
      </w:r>
    </w:p>
    <w:p w14:paraId="12AB9745" w14:textId="1C198F24" w:rsidR="007079A8" w:rsidRPr="008B2DDA" w:rsidRDefault="0002041B" w:rsidP="008B2DDA">
      <w:r w:rsidRPr="008B2DDA">
        <w:rPr>
          <w:strike/>
          <w:szCs w:val="22"/>
        </w:rPr>
        <w:t xml:space="preserve">Cependant, </w:t>
      </w:r>
      <w:proofErr w:type="spellStart"/>
      <w:r w:rsidR="00A54CD5" w:rsidRPr="008B2DDA">
        <w:rPr>
          <w:strike/>
          <w:szCs w:val="22"/>
        </w:rPr>
        <w:t>l</w:t>
      </w:r>
      <w:r w:rsidR="00A54CD5" w:rsidRPr="008B2DDA">
        <w:rPr>
          <w:szCs w:val="22"/>
        </w:rPr>
        <w:t>L</w:t>
      </w:r>
      <w:r w:rsidR="00A341C2" w:rsidRPr="008B2DDA">
        <w:rPr>
          <w:szCs w:val="22"/>
        </w:rPr>
        <w:t>’</w:t>
      </w:r>
      <w:r w:rsidRPr="008B2DDA">
        <w:rPr>
          <w:szCs w:val="22"/>
        </w:rPr>
        <w:t>État</w:t>
      </w:r>
      <w:proofErr w:type="spellEnd"/>
      <w:r w:rsidRPr="008B2DDA">
        <w:rPr>
          <w:szCs w:val="22"/>
        </w:rPr>
        <w:t xml:space="preserve"> ou l</w:t>
      </w:r>
      <w:r w:rsidR="00A341C2" w:rsidRPr="008B2DDA">
        <w:rPr>
          <w:szCs w:val="22"/>
        </w:rPr>
        <w:t>’</w:t>
      </w:r>
      <w:r w:rsidRPr="008B2DDA">
        <w:rPr>
          <w:szCs w:val="22"/>
        </w:rPr>
        <w:t>organisation intergouvernementale adhérent peut</w:t>
      </w:r>
      <w:r w:rsidR="00E31DD2" w:rsidRPr="008B2DDA">
        <w:rPr>
          <w:szCs w:val="22"/>
        </w:rPr>
        <w:t xml:space="preserve"> </w:t>
      </w:r>
      <w:r w:rsidR="00E31DD2" w:rsidRPr="008B2DDA">
        <w:rPr>
          <w:szCs w:val="22"/>
          <w:u w:val="single"/>
        </w:rPr>
        <w:t>également</w:t>
      </w:r>
      <w:r w:rsidRPr="008B2DDA">
        <w:rPr>
          <w:szCs w:val="22"/>
        </w:rPr>
        <w:t>, dans une déclaration jointe à son instrument de ratification ou d</w:t>
      </w:r>
      <w:r w:rsidR="00A341C2" w:rsidRPr="008B2DDA">
        <w:rPr>
          <w:szCs w:val="22"/>
        </w:rPr>
        <w:t>’</w:t>
      </w:r>
      <w:r w:rsidRPr="008B2DDA">
        <w:rPr>
          <w:szCs w:val="22"/>
        </w:rPr>
        <w:t>adhésion, indiquer que le délai visé à l</w:t>
      </w:r>
      <w:r w:rsidR="00A341C2" w:rsidRPr="008B2DDA">
        <w:rPr>
          <w:szCs w:val="22"/>
        </w:rPr>
        <w:t>’</w:t>
      </w:r>
      <w:r w:rsidRPr="008B2DDA">
        <w:rPr>
          <w:szCs w:val="22"/>
        </w:rPr>
        <w:t>article 15.1) et les délais visés à l</w:t>
      </w:r>
      <w:r w:rsidR="00A341C2" w:rsidRPr="008B2DDA">
        <w:rPr>
          <w:szCs w:val="22"/>
        </w:rPr>
        <w:t>’</w:t>
      </w:r>
      <w:r w:rsidRPr="008B2DDA">
        <w:rPr>
          <w:szCs w:val="22"/>
        </w:rPr>
        <w:t>article 17 sont prolongés, conformément aux procédures prescrites dans le règlement d</w:t>
      </w:r>
      <w:r w:rsidR="00A341C2" w:rsidRPr="008B2DDA">
        <w:rPr>
          <w:szCs w:val="22"/>
        </w:rPr>
        <w:t>’</w:t>
      </w:r>
      <w:r w:rsidRPr="008B2DDA">
        <w:rPr>
          <w:szCs w:val="22"/>
        </w:rPr>
        <w:t>exécution à cet égard</w:t>
      </w:r>
      <w:r w:rsidR="007E72B3" w:rsidRPr="008B2DDA">
        <w:t>.</w:t>
      </w:r>
    </w:p>
    <w:p w14:paraId="5BD6EEAF" w14:textId="77777777" w:rsidR="007079A8" w:rsidRPr="008B2DDA" w:rsidRDefault="007079A8" w:rsidP="008B2DDA">
      <w:pPr>
        <w:tabs>
          <w:tab w:val="left" w:pos="550"/>
          <w:tab w:val="left" w:pos="1760"/>
        </w:tabs>
        <w:autoSpaceDE w:val="0"/>
        <w:autoSpaceDN w:val="0"/>
        <w:adjustRightInd w:val="0"/>
      </w:pPr>
      <w:bookmarkStart w:id="20" w:name="Rule_5_3"/>
    </w:p>
    <w:p w14:paraId="5F8F8763" w14:textId="77777777" w:rsidR="007079A8" w:rsidRPr="008B2DDA" w:rsidRDefault="007079A8" w:rsidP="00807A13">
      <w:pPr>
        <w:pBdr>
          <w:top w:val="single" w:sz="4" w:space="1" w:color="auto"/>
        </w:pBdr>
        <w:tabs>
          <w:tab w:val="left" w:pos="550"/>
          <w:tab w:val="left" w:pos="1760"/>
        </w:tabs>
        <w:autoSpaceDE w:val="0"/>
        <w:autoSpaceDN w:val="0"/>
        <w:adjustRightInd w:val="0"/>
      </w:pPr>
    </w:p>
    <w:p w14:paraId="2049DCAC" w14:textId="46590612" w:rsidR="007079A8" w:rsidRPr="008B2DDA" w:rsidRDefault="001D1CB2" w:rsidP="008B2DDA">
      <w:pPr>
        <w:tabs>
          <w:tab w:val="left" w:pos="550"/>
          <w:tab w:val="left" w:pos="1760"/>
        </w:tabs>
        <w:autoSpaceDE w:val="0"/>
        <w:autoSpaceDN w:val="0"/>
        <w:adjustRightInd w:val="0"/>
        <w:rPr>
          <w:rFonts w:eastAsia="Batang"/>
          <w:u w:val="single"/>
          <w:lang w:eastAsia="ko-KR"/>
        </w:rPr>
      </w:pPr>
      <w:r w:rsidRPr="008B2DDA">
        <w:rPr>
          <w:b/>
        </w:rPr>
        <w:t>Règle 5.</w:t>
      </w:r>
      <w:r w:rsidR="00311638" w:rsidRPr="008B2DDA">
        <w:rPr>
          <w:b/>
        </w:rPr>
        <w:t xml:space="preserve">3) </w:t>
      </w:r>
      <w:bookmarkEnd w:id="20"/>
      <w:r w:rsidR="00E31DD2" w:rsidRPr="008B2DDA">
        <w:rPr>
          <w:b/>
        </w:rPr>
        <w:t>Demande</w:t>
      </w:r>
      <w:r w:rsidR="00311638" w:rsidRPr="008B2DDA">
        <w:rPr>
          <w:b/>
        </w:rPr>
        <w:t xml:space="preserve"> – </w:t>
      </w:r>
      <w:r w:rsidR="00E31DD2" w:rsidRPr="008B2DDA">
        <w:rPr>
          <w:b/>
        </w:rPr>
        <w:t>Indications concernant la qualité</w:t>
      </w:r>
      <w:r w:rsidR="00311638" w:rsidRPr="008B2DDA">
        <w:rPr>
          <w:b/>
        </w:rPr>
        <w:t xml:space="preserve">, </w:t>
      </w:r>
      <w:r w:rsidR="00E31DD2" w:rsidRPr="008B2DDA">
        <w:rPr>
          <w:b/>
        </w:rPr>
        <w:t>la notoriété ou d</w:t>
      </w:r>
      <w:r w:rsidR="00A341C2" w:rsidRPr="008B2DDA">
        <w:rPr>
          <w:b/>
        </w:rPr>
        <w:t>’</w:t>
      </w:r>
      <w:r w:rsidR="00E31DD2" w:rsidRPr="008B2DDA">
        <w:rPr>
          <w:b/>
        </w:rPr>
        <w:t>autres caractères :</w:t>
      </w:r>
      <w:r w:rsidR="00311638" w:rsidRPr="008B2DDA">
        <w:rPr>
          <w:b/>
        </w:rPr>
        <w:t xml:space="preserve"> </w:t>
      </w:r>
      <w:r w:rsidR="005800E0" w:rsidRPr="008B2DDA">
        <w:t xml:space="preserve">Les </w:t>
      </w:r>
      <w:r w:rsidR="005C22F0" w:rsidRPr="008B2DDA">
        <w:t>États</w:t>
      </w:r>
      <w:r w:rsidR="00D67EA4" w:rsidRPr="008B2DDA">
        <w:noBreakHyphen/>
      </w:r>
      <w:r w:rsidR="005C22F0" w:rsidRPr="008B2DDA">
        <w:t xml:space="preserve">Unis </w:t>
      </w:r>
      <w:r w:rsidR="00E26A2C" w:rsidRPr="008B2DDA">
        <w:t>d’Amérique</w:t>
      </w:r>
      <w:r w:rsidR="005C22F0" w:rsidRPr="008B2DDA">
        <w:t xml:space="preserve"> </w:t>
      </w:r>
      <w:r w:rsidR="005800E0" w:rsidRPr="008B2DDA">
        <w:t xml:space="preserve">approuvent la variante </w:t>
      </w:r>
      <w:r w:rsidR="00311638" w:rsidRPr="008B2DDA">
        <w:t xml:space="preserve">C </w:t>
      </w:r>
      <w:r w:rsidR="007E72B3" w:rsidRPr="008B2DDA">
        <w:t xml:space="preserve">de </w:t>
      </w:r>
      <w:r w:rsidR="007E72B3" w:rsidRPr="008B2DDA">
        <w:rPr>
          <w:rStyle w:val="hps"/>
        </w:rPr>
        <w:t>la règle</w:t>
      </w:r>
      <w:r w:rsidR="00E31DD2" w:rsidRPr="008B2DDA">
        <w:rPr>
          <w:rStyle w:val="hps"/>
        </w:rPr>
        <w:t> </w:t>
      </w:r>
      <w:r w:rsidR="007E72B3" w:rsidRPr="008B2DDA">
        <w:rPr>
          <w:rStyle w:val="hps"/>
        </w:rPr>
        <w:t>5</w:t>
      </w:r>
      <w:r w:rsidR="00E31DD2" w:rsidRPr="008B2DDA">
        <w:t>.</w:t>
      </w:r>
      <w:r w:rsidR="007E72B3" w:rsidRPr="008B2DDA">
        <w:t xml:space="preserve">3), mais </w:t>
      </w:r>
      <w:r w:rsidR="00BC2AF4" w:rsidRPr="008B2DDA">
        <w:rPr>
          <w:rStyle w:val="hps"/>
        </w:rPr>
        <w:t>sous réserve de</w:t>
      </w:r>
      <w:r w:rsidR="007E72B3" w:rsidRPr="008B2DDA">
        <w:rPr>
          <w:rStyle w:val="hps"/>
        </w:rPr>
        <w:t xml:space="preserve"> la suppression de</w:t>
      </w:r>
      <w:r w:rsidR="007E72B3" w:rsidRPr="008B2DDA">
        <w:t xml:space="preserve"> </w:t>
      </w:r>
      <w:r w:rsidR="007E72B3" w:rsidRPr="008B2DDA">
        <w:rPr>
          <w:rStyle w:val="hps"/>
        </w:rPr>
        <w:t>la référence</w:t>
      </w:r>
      <w:r w:rsidR="007E72B3" w:rsidRPr="008B2DDA">
        <w:t xml:space="preserve"> </w:t>
      </w:r>
      <w:r w:rsidR="007E72B3" w:rsidRPr="008B2DDA">
        <w:rPr>
          <w:rStyle w:val="hps"/>
        </w:rPr>
        <w:t xml:space="preserve">à </w:t>
      </w:r>
      <w:r w:rsidR="00BC2AF4" w:rsidRPr="008B2DDA">
        <w:rPr>
          <w:rStyle w:val="hps"/>
        </w:rPr>
        <w:t>la règle</w:t>
      </w:r>
      <w:r w:rsidR="00E31DD2" w:rsidRPr="008B2DDA">
        <w:t> </w:t>
      </w:r>
      <w:r w:rsidR="007E72B3" w:rsidRPr="008B2DDA">
        <w:rPr>
          <w:rStyle w:val="hps"/>
        </w:rPr>
        <w:t>16</w:t>
      </w:r>
      <w:r w:rsidR="00E31DD2" w:rsidRPr="008B2DDA">
        <w:t>.</w:t>
      </w:r>
      <w:r w:rsidR="007E72B3" w:rsidRPr="008B2DDA">
        <w:t>2)</w:t>
      </w:r>
      <w:r w:rsidR="00BC2AF4" w:rsidRPr="008B2DDA">
        <w:t xml:space="preserve"> dans le sous</w:t>
      </w:r>
      <w:r w:rsidR="00D67EA4" w:rsidRPr="008B2DDA">
        <w:noBreakHyphen/>
      </w:r>
      <w:r w:rsidR="00BC2AF4" w:rsidRPr="008B2DDA">
        <w:t>alinéa</w:t>
      </w:r>
      <w:r w:rsidR="00E26A2C" w:rsidRPr="008B2DDA">
        <w:t> </w:t>
      </w:r>
      <w:r w:rsidR="00E31DD2" w:rsidRPr="008B2DDA">
        <w:t>d)</w:t>
      </w:r>
      <w:r w:rsidR="007E72B3" w:rsidRPr="008B2DDA">
        <w:t>.</w:t>
      </w:r>
    </w:p>
    <w:p w14:paraId="4CA3880D" w14:textId="77777777" w:rsidR="007079A8" w:rsidRPr="008B2DDA" w:rsidRDefault="007079A8" w:rsidP="008B2DDA">
      <w:pPr>
        <w:tabs>
          <w:tab w:val="left" w:pos="550"/>
          <w:tab w:val="left" w:pos="1760"/>
        </w:tabs>
        <w:autoSpaceDE w:val="0"/>
        <w:autoSpaceDN w:val="0"/>
        <w:adjustRightInd w:val="0"/>
        <w:rPr>
          <w:rFonts w:eastAsia="Batang"/>
          <w:u w:val="single"/>
          <w:lang w:eastAsia="ko-KR"/>
        </w:rPr>
      </w:pPr>
    </w:p>
    <w:p w14:paraId="38A74532" w14:textId="77777777" w:rsidR="007079A8" w:rsidRPr="008B2DDA" w:rsidRDefault="0069419D" w:rsidP="008B2DDA">
      <w:pPr>
        <w:tabs>
          <w:tab w:val="left" w:pos="550"/>
          <w:tab w:val="left" w:pos="1760"/>
        </w:tabs>
        <w:autoSpaceDE w:val="0"/>
        <w:autoSpaceDN w:val="0"/>
        <w:adjustRightInd w:val="0"/>
        <w:rPr>
          <w:rFonts w:eastAsia="Batang"/>
          <w:u w:val="single"/>
          <w:lang w:eastAsia="ko-KR"/>
        </w:rPr>
      </w:pPr>
      <w:r w:rsidRPr="008B2DDA">
        <w:rPr>
          <w:rFonts w:eastAsia="Batang"/>
          <w:u w:val="single"/>
          <w:lang w:eastAsia="ko-KR"/>
        </w:rPr>
        <w:t>VARIANTE C</w:t>
      </w:r>
    </w:p>
    <w:p w14:paraId="04166D47" w14:textId="77777777" w:rsidR="007079A8" w:rsidRPr="008B2DDA" w:rsidRDefault="007079A8" w:rsidP="008B2DDA">
      <w:pPr>
        <w:tabs>
          <w:tab w:val="left" w:pos="550"/>
          <w:tab w:val="left" w:pos="1760"/>
        </w:tabs>
        <w:autoSpaceDE w:val="0"/>
        <w:autoSpaceDN w:val="0"/>
        <w:adjustRightInd w:val="0"/>
        <w:rPr>
          <w:rFonts w:eastAsia="Batang"/>
          <w:lang w:eastAsia="ko-KR"/>
        </w:rPr>
      </w:pPr>
    </w:p>
    <w:p w14:paraId="2CC2C1EB" w14:textId="5F15586F" w:rsidR="00A341C2" w:rsidRPr="008B2DDA" w:rsidRDefault="0069419D" w:rsidP="008B2DDA">
      <w:pPr>
        <w:tabs>
          <w:tab w:val="left" w:pos="550"/>
          <w:tab w:val="left" w:pos="1760"/>
        </w:tabs>
        <w:autoSpaceDE w:val="0"/>
        <w:autoSpaceDN w:val="0"/>
        <w:adjustRightInd w:val="0"/>
        <w:rPr>
          <w:rFonts w:eastAsia="Batang"/>
          <w:lang w:eastAsia="ko-KR"/>
        </w:rPr>
      </w:pPr>
      <w:r w:rsidRPr="008B2DDA">
        <w:rPr>
          <w:rFonts w:eastAsia="Batang"/>
          <w:lang w:eastAsia="ko-KR"/>
        </w:rPr>
        <w:t>a)</w:t>
      </w:r>
      <w:r w:rsidRPr="008B2DDA">
        <w:rPr>
          <w:rFonts w:eastAsia="Batang"/>
          <w:lang w:eastAsia="ko-KR"/>
        </w:rPr>
        <w:tab/>
        <w:t>Dans la mesure où une partie contractante exige, pour qu</w:t>
      </w:r>
      <w:r w:rsidR="00A341C2" w:rsidRPr="008B2DDA">
        <w:rPr>
          <w:rFonts w:eastAsia="Batang"/>
          <w:lang w:eastAsia="ko-KR"/>
        </w:rPr>
        <w:t>’</w:t>
      </w:r>
      <w:r w:rsidRPr="008B2DDA">
        <w:rPr>
          <w:rFonts w:eastAsia="Batang"/>
          <w:lang w:eastAsia="ko-KR"/>
        </w:rPr>
        <w:t>une appellation d</w:t>
      </w:r>
      <w:r w:rsidR="00A341C2" w:rsidRPr="008B2DDA">
        <w:rPr>
          <w:rFonts w:eastAsia="Batang"/>
          <w:lang w:eastAsia="ko-KR"/>
        </w:rPr>
        <w:t>’</w:t>
      </w:r>
      <w:r w:rsidRPr="008B2DDA">
        <w:rPr>
          <w:rFonts w:eastAsia="Batang"/>
          <w:lang w:eastAsia="ko-KR"/>
        </w:rPr>
        <w:t>origine ou indication géographique enregistrée soit protégée sur son territoire, que la demande indique aussi des données concernant, dans le cas d</w:t>
      </w:r>
      <w:r w:rsidR="00A341C2" w:rsidRPr="008B2DDA">
        <w:rPr>
          <w:rFonts w:eastAsia="Batang"/>
          <w:lang w:eastAsia="ko-KR"/>
        </w:rPr>
        <w:t>’</w:t>
      </w:r>
      <w:r w:rsidRPr="008B2DDA">
        <w:rPr>
          <w:rFonts w:eastAsia="Batang"/>
          <w:lang w:eastAsia="ko-KR"/>
        </w:rPr>
        <w:t>une appellation d</w:t>
      </w:r>
      <w:r w:rsidR="00A341C2" w:rsidRPr="008B2DDA">
        <w:rPr>
          <w:rFonts w:eastAsia="Batang"/>
          <w:lang w:eastAsia="ko-KR"/>
        </w:rPr>
        <w:t>’</w:t>
      </w:r>
      <w:r w:rsidRPr="008B2DDA">
        <w:rPr>
          <w:rFonts w:eastAsia="Batang"/>
          <w:lang w:eastAsia="ko-KR"/>
        </w:rPr>
        <w:t>origine, la qualité ou les caractères du produit et le lien existant avec le milieu géographique de l</w:t>
      </w:r>
      <w:r w:rsidR="00A341C2" w:rsidRPr="008B2DDA">
        <w:rPr>
          <w:rFonts w:eastAsia="Batang"/>
          <w:lang w:eastAsia="ko-KR"/>
        </w:rPr>
        <w:t>’</w:t>
      </w:r>
      <w:r w:rsidRPr="008B2DDA">
        <w:rPr>
          <w:rFonts w:eastAsia="Batang"/>
          <w:lang w:eastAsia="ko-KR"/>
        </w:rPr>
        <w:t>aire géographique de production et, dans le cas d</w:t>
      </w:r>
      <w:r w:rsidR="00A341C2" w:rsidRPr="008B2DDA">
        <w:rPr>
          <w:rFonts w:eastAsia="Batang"/>
          <w:lang w:eastAsia="ko-KR"/>
        </w:rPr>
        <w:t>’</w:t>
      </w:r>
      <w:r w:rsidRPr="008B2DDA">
        <w:rPr>
          <w:rFonts w:eastAsia="Batang"/>
          <w:lang w:eastAsia="ko-KR"/>
        </w:rPr>
        <w:t>une indication géographique, la qualité, la notoriété ou d</w:t>
      </w:r>
      <w:r w:rsidR="00A341C2" w:rsidRPr="008B2DDA">
        <w:rPr>
          <w:rFonts w:eastAsia="Batang"/>
          <w:lang w:eastAsia="ko-KR"/>
        </w:rPr>
        <w:t>’</w:t>
      </w:r>
      <w:r w:rsidRPr="008B2DDA">
        <w:rPr>
          <w:rFonts w:eastAsia="Batang"/>
          <w:lang w:eastAsia="ko-KR"/>
        </w:rPr>
        <w:t>autres caractères du produit et le lien existant avec l</w:t>
      </w:r>
      <w:r w:rsidR="00A341C2" w:rsidRPr="008B2DDA">
        <w:rPr>
          <w:rFonts w:eastAsia="Batang"/>
          <w:lang w:eastAsia="ko-KR"/>
        </w:rPr>
        <w:t>’</w:t>
      </w:r>
      <w:r w:rsidRPr="008B2DDA">
        <w:rPr>
          <w:rFonts w:eastAsia="Batang"/>
          <w:lang w:eastAsia="ko-KR"/>
        </w:rPr>
        <w:t>aire géographique d</w:t>
      </w:r>
      <w:r w:rsidR="00A341C2" w:rsidRPr="008B2DDA">
        <w:rPr>
          <w:rFonts w:eastAsia="Batang"/>
          <w:lang w:eastAsia="ko-KR"/>
        </w:rPr>
        <w:t>’</w:t>
      </w:r>
      <w:r w:rsidRPr="008B2DDA">
        <w:rPr>
          <w:rFonts w:eastAsia="Batang"/>
          <w:lang w:eastAsia="ko-KR"/>
        </w:rPr>
        <w:t>origine, elle doit notifier cette exigence au Directeur général.</w:t>
      </w:r>
    </w:p>
    <w:p w14:paraId="015F4F6E" w14:textId="4DC57FC0" w:rsidR="007079A8" w:rsidRPr="008B2DDA" w:rsidRDefault="007079A8" w:rsidP="008B2DDA">
      <w:pPr>
        <w:tabs>
          <w:tab w:val="left" w:pos="550"/>
          <w:tab w:val="left" w:pos="1760"/>
        </w:tabs>
        <w:autoSpaceDE w:val="0"/>
        <w:autoSpaceDN w:val="0"/>
        <w:adjustRightInd w:val="0"/>
        <w:rPr>
          <w:rFonts w:eastAsia="Batang"/>
          <w:lang w:eastAsia="ko-KR"/>
        </w:rPr>
      </w:pPr>
    </w:p>
    <w:p w14:paraId="0598176C" w14:textId="2BCEE494" w:rsidR="00A341C2" w:rsidRPr="008B2DDA" w:rsidRDefault="0069419D" w:rsidP="008B2DDA">
      <w:pPr>
        <w:tabs>
          <w:tab w:val="left" w:pos="550"/>
          <w:tab w:val="left" w:pos="1760"/>
        </w:tabs>
        <w:autoSpaceDE w:val="0"/>
        <w:autoSpaceDN w:val="0"/>
        <w:adjustRightInd w:val="0"/>
        <w:rPr>
          <w:rFonts w:eastAsia="Batang"/>
          <w:lang w:eastAsia="ko-KR"/>
        </w:rPr>
      </w:pPr>
      <w:r w:rsidRPr="008B2DDA">
        <w:rPr>
          <w:rFonts w:eastAsia="Batang"/>
          <w:lang w:eastAsia="ko-KR"/>
        </w:rPr>
        <w:t>b)</w:t>
      </w:r>
      <w:r w:rsidRPr="008B2DDA">
        <w:rPr>
          <w:rFonts w:eastAsia="Batang"/>
          <w:lang w:eastAsia="ko-KR"/>
        </w:rPr>
        <w:tab/>
        <w:t>Pour que cette condition soit remplie, les données visées au sous</w:t>
      </w:r>
      <w:r w:rsidR="00D67EA4" w:rsidRPr="008B2DDA">
        <w:rPr>
          <w:rFonts w:eastAsia="Batang"/>
          <w:lang w:eastAsia="ko-KR"/>
        </w:rPr>
        <w:noBreakHyphen/>
      </w:r>
      <w:r w:rsidRPr="008B2DDA">
        <w:rPr>
          <w:rFonts w:eastAsia="Batang"/>
          <w:lang w:eastAsia="ko-KR"/>
        </w:rPr>
        <w:t>alinéa</w:t>
      </w:r>
      <w:r w:rsidR="00E26A2C" w:rsidRPr="008B2DDA">
        <w:rPr>
          <w:rFonts w:eastAsia="Batang"/>
          <w:lang w:eastAsia="ko-KR"/>
        </w:rPr>
        <w:t> </w:t>
      </w:r>
      <w:r w:rsidRPr="008B2DDA">
        <w:rPr>
          <w:rFonts w:eastAsia="Batang"/>
          <w:lang w:eastAsia="ko-KR"/>
        </w:rPr>
        <w:t>a) doivent être fournies dans une langue de travail, mais elles ne sont pas traduites par le Bureau international.</w:t>
      </w:r>
    </w:p>
    <w:p w14:paraId="2D55234A" w14:textId="46960DB1" w:rsidR="007079A8" w:rsidRPr="008B2DDA" w:rsidRDefault="007079A8" w:rsidP="008B2DDA">
      <w:pPr>
        <w:tabs>
          <w:tab w:val="left" w:pos="550"/>
          <w:tab w:val="left" w:pos="1760"/>
        </w:tabs>
        <w:autoSpaceDE w:val="0"/>
        <w:autoSpaceDN w:val="0"/>
        <w:adjustRightInd w:val="0"/>
        <w:rPr>
          <w:rFonts w:eastAsia="Batang"/>
          <w:lang w:eastAsia="ko-KR"/>
        </w:rPr>
      </w:pPr>
    </w:p>
    <w:p w14:paraId="12585AA8" w14:textId="713DE8ED" w:rsidR="00A341C2" w:rsidRPr="008B2DDA" w:rsidRDefault="0069419D" w:rsidP="008B2DDA">
      <w:pPr>
        <w:tabs>
          <w:tab w:val="left" w:pos="550"/>
          <w:tab w:val="left" w:pos="1760"/>
        </w:tabs>
        <w:autoSpaceDE w:val="0"/>
        <w:autoSpaceDN w:val="0"/>
        <w:adjustRightInd w:val="0"/>
        <w:rPr>
          <w:rFonts w:eastAsia="Batang"/>
          <w:lang w:eastAsia="ko-KR"/>
        </w:rPr>
      </w:pPr>
      <w:proofErr w:type="gramStart"/>
      <w:r w:rsidRPr="008B2DDA">
        <w:rPr>
          <w:rFonts w:eastAsia="Batang"/>
          <w:lang w:eastAsia="ko-KR"/>
        </w:rPr>
        <w:t>c</w:t>
      </w:r>
      <w:proofErr w:type="gramEnd"/>
      <w:r w:rsidRPr="008B2DDA">
        <w:rPr>
          <w:rFonts w:eastAsia="Batang"/>
          <w:lang w:eastAsia="ko-KR"/>
        </w:rPr>
        <w:t>)</w:t>
      </w:r>
      <w:r w:rsidRPr="008B2DDA">
        <w:rPr>
          <w:rFonts w:eastAsia="Batang"/>
          <w:lang w:eastAsia="ko-KR"/>
        </w:rPr>
        <w:tab/>
        <w:t>L</w:t>
      </w:r>
      <w:r w:rsidR="00A341C2" w:rsidRPr="008B2DDA">
        <w:rPr>
          <w:rFonts w:eastAsia="Batang"/>
          <w:lang w:eastAsia="ko-KR"/>
        </w:rPr>
        <w:t>’</w:t>
      </w:r>
      <w:r w:rsidRPr="008B2DDA">
        <w:rPr>
          <w:rFonts w:eastAsia="Batang"/>
          <w:lang w:eastAsia="ko-KR"/>
        </w:rPr>
        <w:t>inobservation des conditions fixées aux sous</w:t>
      </w:r>
      <w:r w:rsidR="00D67EA4" w:rsidRPr="008B2DDA">
        <w:rPr>
          <w:rFonts w:eastAsia="Batang"/>
          <w:lang w:eastAsia="ko-KR"/>
        </w:rPr>
        <w:noBreakHyphen/>
      </w:r>
      <w:r w:rsidRPr="008B2DDA">
        <w:rPr>
          <w:rFonts w:eastAsia="Batang"/>
          <w:lang w:eastAsia="ko-KR"/>
        </w:rPr>
        <w:t>alinéas</w:t>
      </w:r>
      <w:r w:rsidR="00E26A2C" w:rsidRPr="008B2DDA">
        <w:rPr>
          <w:rFonts w:eastAsia="Batang"/>
          <w:lang w:eastAsia="ko-KR"/>
        </w:rPr>
        <w:t> </w:t>
      </w:r>
      <w:r w:rsidRPr="008B2DDA">
        <w:rPr>
          <w:rFonts w:eastAsia="Batang"/>
          <w:lang w:eastAsia="ko-KR"/>
        </w:rPr>
        <w:t>a) et b)</w:t>
      </w:r>
      <w:r w:rsidR="00E26A2C" w:rsidRPr="008B2DDA">
        <w:rPr>
          <w:rFonts w:eastAsia="Batang"/>
          <w:lang w:eastAsia="ko-KR"/>
        </w:rPr>
        <w:t> </w:t>
      </w:r>
      <w:r w:rsidRPr="008B2DDA">
        <w:rPr>
          <w:rFonts w:eastAsia="Batang"/>
          <w:lang w:eastAsia="ko-KR"/>
        </w:rPr>
        <w:t>a pour effet qu</w:t>
      </w:r>
      <w:r w:rsidR="00A341C2" w:rsidRPr="008B2DDA">
        <w:rPr>
          <w:rFonts w:eastAsia="Batang"/>
          <w:lang w:eastAsia="ko-KR"/>
        </w:rPr>
        <w:t>’</w:t>
      </w:r>
      <w:r w:rsidRPr="008B2DDA">
        <w:rPr>
          <w:rFonts w:eastAsia="Batang"/>
          <w:lang w:eastAsia="ko-KR"/>
        </w:rPr>
        <w:t xml:space="preserve">il est renoncé à la protection </w:t>
      </w:r>
      <w:r w:rsidR="00A341C2" w:rsidRPr="008B2DDA">
        <w:rPr>
          <w:rFonts w:eastAsia="Batang"/>
          <w:lang w:eastAsia="ko-KR"/>
        </w:rPr>
        <w:t>à l’égard</w:t>
      </w:r>
      <w:r w:rsidRPr="008B2DDA">
        <w:rPr>
          <w:rFonts w:eastAsia="Batang"/>
          <w:lang w:eastAsia="ko-KR"/>
        </w:rPr>
        <w:t xml:space="preserve"> de toute partie contractante qui a fait la notification visée au sous</w:t>
      </w:r>
      <w:r w:rsidR="00D67EA4" w:rsidRPr="008B2DDA">
        <w:rPr>
          <w:rFonts w:eastAsia="Batang"/>
          <w:lang w:eastAsia="ko-KR"/>
        </w:rPr>
        <w:noBreakHyphen/>
      </w:r>
      <w:r w:rsidRPr="008B2DDA">
        <w:rPr>
          <w:rFonts w:eastAsia="Batang"/>
          <w:lang w:eastAsia="ko-KR"/>
        </w:rPr>
        <w:t>alinéa</w:t>
      </w:r>
      <w:r w:rsidR="00E26A2C" w:rsidRPr="008B2DDA">
        <w:rPr>
          <w:rFonts w:eastAsia="Batang"/>
          <w:lang w:eastAsia="ko-KR"/>
        </w:rPr>
        <w:t> </w:t>
      </w:r>
      <w:r w:rsidRPr="008B2DDA">
        <w:rPr>
          <w:rFonts w:eastAsia="Batang"/>
          <w:lang w:eastAsia="ko-KR"/>
        </w:rPr>
        <w:t>a).</w:t>
      </w:r>
    </w:p>
    <w:p w14:paraId="10C84EC5" w14:textId="36C72EBA" w:rsidR="007079A8" w:rsidRPr="008B2DDA" w:rsidRDefault="007079A8" w:rsidP="008B2DDA">
      <w:pPr>
        <w:tabs>
          <w:tab w:val="left" w:pos="550"/>
          <w:tab w:val="left" w:pos="1760"/>
        </w:tabs>
        <w:autoSpaceDE w:val="0"/>
        <w:autoSpaceDN w:val="0"/>
        <w:adjustRightInd w:val="0"/>
        <w:rPr>
          <w:rFonts w:eastAsia="Batang"/>
          <w:lang w:eastAsia="ko-KR"/>
        </w:rPr>
      </w:pPr>
    </w:p>
    <w:p w14:paraId="61AAF79A" w14:textId="0A4CB90B" w:rsidR="00A341C2" w:rsidRPr="008B2DDA" w:rsidRDefault="0069419D" w:rsidP="008B2DDA">
      <w:pPr>
        <w:tabs>
          <w:tab w:val="left" w:pos="550"/>
          <w:tab w:val="left" w:pos="1760"/>
        </w:tabs>
        <w:autoSpaceDE w:val="0"/>
        <w:autoSpaceDN w:val="0"/>
        <w:adjustRightInd w:val="0"/>
      </w:pPr>
      <w:r w:rsidRPr="008B2DDA">
        <w:t>d)</w:t>
      </w:r>
      <w:r w:rsidRPr="008B2DDA">
        <w:tab/>
        <w:t>L</w:t>
      </w:r>
      <w:r w:rsidR="00A341C2" w:rsidRPr="008B2DDA">
        <w:t>’</w:t>
      </w:r>
      <w:r w:rsidRPr="008B2DDA">
        <w:t>administration compétente de la partie contractante d</w:t>
      </w:r>
      <w:r w:rsidR="00A341C2" w:rsidRPr="008B2DDA">
        <w:t>’</w:t>
      </w:r>
      <w:r w:rsidRPr="008B2DDA">
        <w:t>origine, ou, dans le cas visé à l</w:t>
      </w:r>
      <w:r w:rsidR="00A341C2" w:rsidRPr="008B2DDA">
        <w:t>’</w:t>
      </w:r>
      <w:r w:rsidRPr="008B2DDA">
        <w:t>article</w:t>
      </w:r>
      <w:r w:rsidR="00E26A2C" w:rsidRPr="008B2DDA">
        <w:t> </w:t>
      </w:r>
      <w:r w:rsidRPr="008B2DDA">
        <w:t>5.3), les bénéficiaires ou la personne morale visée à l</w:t>
      </w:r>
      <w:r w:rsidR="00A341C2" w:rsidRPr="008B2DDA">
        <w:t>’</w:t>
      </w:r>
      <w:r w:rsidRPr="008B2DDA">
        <w:t>article</w:t>
      </w:r>
      <w:r w:rsidR="00E26A2C" w:rsidRPr="008B2DDA">
        <w:t> </w:t>
      </w:r>
      <w:r w:rsidRPr="008B2DDA">
        <w:t>5.2</w:t>
      </w:r>
      <w:proofErr w:type="gramStart"/>
      <w:r w:rsidRPr="008B2DDA">
        <w:t>)ii</w:t>
      </w:r>
      <w:proofErr w:type="gramEnd"/>
      <w:r w:rsidR="002C0DC4" w:rsidRPr="008B2DDA">
        <w:t>)</w:t>
      </w:r>
      <w:r w:rsidRPr="008B2DDA">
        <w:t xml:space="preserve"> ou l</w:t>
      </w:r>
      <w:r w:rsidR="00A341C2" w:rsidRPr="008B2DDA">
        <w:t>’</w:t>
      </w:r>
      <w:r w:rsidRPr="008B2DDA">
        <w:t>administration compétente, peuvent en tout temps retirer cette renonciation en présentant les données exigées</w:t>
      </w:r>
      <w:r w:rsidRPr="008B2DDA">
        <w:rPr>
          <w:strike/>
        </w:rPr>
        <w:t>, sous réserve de la règle</w:t>
      </w:r>
      <w:r w:rsidR="00E26A2C" w:rsidRPr="008B2DDA">
        <w:rPr>
          <w:strike/>
        </w:rPr>
        <w:t> </w:t>
      </w:r>
      <w:r w:rsidRPr="008B2DDA">
        <w:rPr>
          <w:strike/>
        </w:rPr>
        <w:t>16.2)</w:t>
      </w:r>
      <w:r w:rsidRPr="008B2DDA">
        <w:t>.</w:t>
      </w:r>
    </w:p>
    <w:p w14:paraId="7F2C455D" w14:textId="629AA4A3" w:rsidR="007079A8" w:rsidRPr="008B2DDA" w:rsidRDefault="007079A8" w:rsidP="008B2DDA">
      <w:bookmarkStart w:id="21" w:name="Rule_5"/>
    </w:p>
    <w:p w14:paraId="606DF11A" w14:textId="77777777" w:rsidR="007079A8" w:rsidRPr="008B2DDA" w:rsidRDefault="007079A8" w:rsidP="00807A13">
      <w:pPr>
        <w:pBdr>
          <w:top w:val="single" w:sz="4" w:space="1" w:color="auto"/>
        </w:pBdr>
      </w:pPr>
    </w:p>
    <w:p w14:paraId="74C75712" w14:textId="2FA076B1" w:rsidR="007079A8" w:rsidRPr="008B2DDA" w:rsidRDefault="00141D04" w:rsidP="008B2DDA">
      <w:r w:rsidRPr="008B2DDA">
        <w:rPr>
          <w:b/>
        </w:rPr>
        <w:t>Règle</w:t>
      </w:r>
      <w:r w:rsidR="00E26A2C" w:rsidRPr="008B2DDA">
        <w:rPr>
          <w:b/>
        </w:rPr>
        <w:t> </w:t>
      </w:r>
      <w:r w:rsidR="00311638" w:rsidRPr="008B2DDA">
        <w:rPr>
          <w:b/>
        </w:rPr>
        <w:t>5</w:t>
      </w:r>
      <w:r w:rsidR="003F12D0" w:rsidRPr="008B2DDA">
        <w:rPr>
          <w:b/>
        </w:rPr>
        <w:t>.</w:t>
      </w:r>
      <w:r w:rsidR="00311638" w:rsidRPr="008B2DDA">
        <w:rPr>
          <w:b/>
        </w:rPr>
        <w:t xml:space="preserve">4) </w:t>
      </w:r>
      <w:bookmarkEnd w:id="21"/>
      <w:r w:rsidR="003F12D0" w:rsidRPr="008B2DDA">
        <w:rPr>
          <w:b/>
        </w:rPr>
        <w:t>Demande – Signature ou intention d</w:t>
      </w:r>
      <w:r w:rsidR="00A341C2" w:rsidRPr="008B2DDA">
        <w:rPr>
          <w:b/>
        </w:rPr>
        <w:t>’</w:t>
      </w:r>
      <w:r w:rsidR="003F12D0" w:rsidRPr="008B2DDA">
        <w:rPr>
          <w:b/>
        </w:rPr>
        <w:t>utilisation </w:t>
      </w:r>
      <w:r w:rsidR="00311638" w:rsidRPr="008B2DDA">
        <w:rPr>
          <w:b/>
        </w:rPr>
        <w:t xml:space="preserve">: </w:t>
      </w:r>
      <w:r w:rsidR="007E72B3"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7E72B3" w:rsidRPr="008B2DDA">
        <w:t xml:space="preserve">approuvent le </w:t>
      </w:r>
      <w:r w:rsidR="007E72B3" w:rsidRPr="008B2DDA">
        <w:rPr>
          <w:rStyle w:val="hps"/>
        </w:rPr>
        <w:t xml:space="preserve">concept </w:t>
      </w:r>
      <w:r w:rsidR="00BC2AF4" w:rsidRPr="008B2DDA">
        <w:rPr>
          <w:rStyle w:val="hps"/>
        </w:rPr>
        <w:t>énoncé dans</w:t>
      </w:r>
      <w:r w:rsidR="007E72B3" w:rsidRPr="008B2DDA">
        <w:rPr>
          <w:rStyle w:val="hps"/>
        </w:rPr>
        <w:t xml:space="preserve"> </w:t>
      </w:r>
      <w:r w:rsidR="00BC2AF4" w:rsidRPr="008B2DDA">
        <w:rPr>
          <w:rStyle w:val="hps"/>
        </w:rPr>
        <w:t>la règle </w:t>
      </w:r>
      <w:r w:rsidR="007E72B3" w:rsidRPr="008B2DDA">
        <w:rPr>
          <w:rStyle w:val="hps"/>
        </w:rPr>
        <w:t>5</w:t>
      </w:r>
      <w:r w:rsidR="00BC2AF4" w:rsidRPr="008B2DDA">
        <w:t>.</w:t>
      </w:r>
      <w:r w:rsidR="007E72B3" w:rsidRPr="008B2DDA">
        <w:t xml:space="preserve">4), mais </w:t>
      </w:r>
      <w:r w:rsidR="007E72B3" w:rsidRPr="008B2DDA">
        <w:rPr>
          <w:rStyle w:val="hps"/>
        </w:rPr>
        <w:t>suggère</w:t>
      </w:r>
      <w:r w:rsidR="00134381" w:rsidRPr="008B2DDA">
        <w:rPr>
          <w:rStyle w:val="hps"/>
        </w:rPr>
        <w:t>nt de modifier la</w:t>
      </w:r>
      <w:r w:rsidR="007E72B3" w:rsidRPr="008B2DDA">
        <w:rPr>
          <w:rStyle w:val="hps"/>
        </w:rPr>
        <w:t xml:space="preserve"> formulation</w:t>
      </w:r>
      <w:r w:rsidR="007E72B3" w:rsidRPr="008B2DDA">
        <w:t xml:space="preserve"> </w:t>
      </w:r>
      <w:r w:rsidR="007E72B3" w:rsidRPr="008B2DDA">
        <w:rPr>
          <w:rStyle w:val="hps"/>
        </w:rPr>
        <w:t xml:space="preserve">afin de mieux </w:t>
      </w:r>
      <w:r w:rsidR="00134381" w:rsidRPr="008B2DDA">
        <w:rPr>
          <w:rStyle w:val="hps"/>
        </w:rPr>
        <w:t>expliciter</w:t>
      </w:r>
      <w:r w:rsidR="007E72B3" w:rsidRPr="008B2DDA">
        <w:t xml:space="preserve"> </w:t>
      </w:r>
      <w:r w:rsidR="007E72B3" w:rsidRPr="008B2DDA">
        <w:rPr>
          <w:rStyle w:val="hps"/>
        </w:rPr>
        <w:t>les</w:t>
      </w:r>
      <w:r w:rsidR="007E72B3" w:rsidRPr="008B2DDA">
        <w:t xml:space="preserve"> </w:t>
      </w:r>
      <w:r w:rsidR="007E72B3" w:rsidRPr="008B2DDA">
        <w:rPr>
          <w:rStyle w:val="hps"/>
        </w:rPr>
        <w:t>besoins des</w:t>
      </w:r>
      <w:r w:rsidR="007E72B3" w:rsidRPr="008B2DDA">
        <w:t xml:space="preserve"> </w:t>
      </w:r>
      <w:r w:rsidR="007E72B3" w:rsidRPr="008B2DDA">
        <w:rPr>
          <w:rStyle w:val="hps"/>
        </w:rPr>
        <w:t>systèmes de marques</w:t>
      </w:r>
      <w:r w:rsidR="007E72B3" w:rsidRPr="008B2DDA">
        <w:t xml:space="preserve"> </w:t>
      </w:r>
      <w:r w:rsidR="007E72B3" w:rsidRPr="008B2DDA">
        <w:rPr>
          <w:rStyle w:val="hps"/>
        </w:rPr>
        <w:t>et des systèmes d</w:t>
      </w:r>
      <w:r w:rsidR="00A341C2" w:rsidRPr="008B2DDA">
        <w:rPr>
          <w:rStyle w:val="hps"/>
        </w:rPr>
        <w:t>’</w:t>
      </w:r>
      <w:r w:rsidR="00AB2EF0" w:rsidRPr="008B2DDA">
        <w:t>indications géographiques</w:t>
      </w:r>
      <w:r w:rsidR="007E72B3" w:rsidRPr="008B2DDA">
        <w:t xml:space="preserve"> </w:t>
      </w:r>
      <w:r w:rsidR="007E72B3" w:rsidRPr="008B2DDA">
        <w:rPr>
          <w:rStyle w:val="hps"/>
          <w:i/>
        </w:rPr>
        <w:t>sui</w:t>
      </w:r>
      <w:r w:rsidR="00E26A2C" w:rsidRPr="008B2DDA">
        <w:rPr>
          <w:rStyle w:val="hps"/>
          <w:i/>
        </w:rPr>
        <w:t> </w:t>
      </w:r>
      <w:r w:rsidR="007E72B3" w:rsidRPr="008B2DDA">
        <w:rPr>
          <w:rStyle w:val="hps"/>
          <w:i/>
        </w:rPr>
        <w:t>generis</w:t>
      </w:r>
      <w:r w:rsidR="007E72B3" w:rsidRPr="008B2DDA">
        <w:t xml:space="preserve"> </w:t>
      </w:r>
      <w:r w:rsidR="007E72B3" w:rsidRPr="008B2DDA">
        <w:rPr>
          <w:rStyle w:val="hps"/>
        </w:rPr>
        <w:t>qui nécessitent</w:t>
      </w:r>
      <w:r w:rsidR="007E72B3" w:rsidRPr="008B2DDA">
        <w:t xml:space="preserve"> </w:t>
      </w:r>
      <w:r w:rsidR="007E72B3" w:rsidRPr="008B2DDA">
        <w:rPr>
          <w:rStyle w:val="hps"/>
        </w:rPr>
        <w:t>une intention</w:t>
      </w:r>
      <w:r w:rsidR="007E72B3" w:rsidRPr="008B2DDA">
        <w:t xml:space="preserve"> </w:t>
      </w:r>
      <w:r w:rsidR="00134381" w:rsidRPr="008B2DDA">
        <w:rPr>
          <w:rStyle w:val="hps"/>
        </w:rPr>
        <w:t>d</w:t>
      </w:r>
      <w:r w:rsidR="00A341C2" w:rsidRPr="008B2DDA">
        <w:rPr>
          <w:rStyle w:val="hps"/>
        </w:rPr>
        <w:t>’</w:t>
      </w:r>
      <w:r w:rsidR="00134381" w:rsidRPr="008B2DDA">
        <w:rPr>
          <w:rStyle w:val="hps"/>
        </w:rPr>
        <w:t>utilisation de</w:t>
      </w:r>
      <w:r w:rsidR="007E72B3" w:rsidRPr="008B2DDA">
        <w:rPr>
          <w:rStyle w:val="hps"/>
        </w:rPr>
        <w:t xml:space="preserve"> l</w:t>
      </w:r>
      <w:r w:rsidR="00A341C2" w:rsidRPr="008B2DDA">
        <w:rPr>
          <w:rStyle w:val="hps"/>
        </w:rPr>
        <w:t>’</w:t>
      </w:r>
      <w:r w:rsidR="00AB2EF0" w:rsidRPr="008B2DDA">
        <w:rPr>
          <w:rStyle w:val="hps"/>
        </w:rPr>
        <w:t>indication géographique</w:t>
      </w:r>
      <w:r w:rsidR="007E72B3" w:rsidRPr="008B2DDA">
        <w:t xml:space="preserve"> </w:t>
      </w:r>
      <w:r w:rsidR="007E72B3" w:rsidRPr="008B2DDA">
        <w:rPr>
          <w:rStyle w:val="hps"/>
        </w:rPr>
        <w:t>sur le territoire</w:t>
      </w:r>
      <w:r w:rsidR="007E72B3" w:rsidRPr="008B2DDA">
        <w:t xml:space="preserve">. </w:t>
      </w:r>
      <w:r w:rsidR="00BC2AF4" w:rsidRPr="008B2DDA">
        <w:t xml:space="preserve"> </w:t>
      </w:r>
      <w:r w:rsidR="007E72B3" w:rsidRPr="008B2DDA">
        <w:rPr>
          <w:rStyle w:val="hps"/>
        </w:rPr>
        <w:t>En outre,</w:t>
      </w:r>
      <w:r w:rsidR="007E72B3" w:rsidRPr="008B2DDA">
        <w:t xml:space="preserve"> </w:t>
      </w:r>
      <w:r w:rsidR="007E72B3"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BC2AF4" w:rsidRPr="008B2DDA">
        <w:rPr>
          <w:rStyle w:val="hps"/>
        </w:rPr>
        <w:t>proposent</w:t>
      </w:r>
      <w:r w:rsidR="007E72B3" w:rsidRPr="008B2DDA">
        <w:t xml:space="preserve"> </w:t>
      </w:r>
      <w:r w:rsidR="00134381" w:rsidRPr="008B2DDA">
        <w:rPr>
          <w:rStyle w:val="hps"/>
        </w:rPr>
        <w:t>une modification visant à créer deux</w:t>
      </w:r>
      <w:r w:rsidR="00E26A2C" w:rsidRPr="008B2DDA">
        <w:rPr>
          <w:rStyle w:val="hps"/>
        </w:rPr>
        <w:t> </w:t>
      </w:r>
      <w:r w:rsidR="00134381" w:rsidRPr="008B2DDA">
        <w:rPr>
          <w:rStyle w:val="hps"/>
        </w:rPr>
        <w:t xml:space="preserve">variantes de </w:t>
      </w:r>
      <w:r w:rsidR="007E72B3" w:rsidRPr="008B2DDA">
        <w:rPr>
          <w:rStyle w:val="hps"/>
        </w:rPr>
        <w:t>déclaration</w:t>
      </w:r>
      <w:r w:rsidR="007E72B3" w:rsidRPr="008B2DDA">
        <w:t xml:space="preserve">, </w:t>
      </w:r>
      <w:r w:rsidR="007E72B3" w:rsidRPr="008B2DDA">
        <w:rPr>
          <w:rStyle w:val="hps"/>
        </w:rPr>
        <w:t>un</w:t>
      </w:r>
      <w:r w:rsidR="00134381" w:rsidRPr="008B2DDA">
        <w:rPr>
          <w:rStyle w:val="hps"/>
        </w:rPr>
        <w:t>e</w:t>
      </w:r>
      <w:r w:rsidR="007E72B3" w:rsidRPr="008B2DDA">
        <w:rPr>
          <w:rStyle w:val="hps"/>
        </w:rPr>
        <w:t xml:space="preserve"> pour chaque élément</w:t>
      </w:r>
      <w:r w:rsidR="007E72B3" w:rsidRPr="008B2DDA">
        <w:t xml:space="preserve"> </w:t>
      </w:r>
      <w:r w:rsidR="00134381" w:rsidRPr="008B2DDA">
        <w:t xml:space="preserve">sachant </w:t>
      </w:r>
      <w:r w:rsidR="007E72B3" w:rsidRPr="008B2DDA">
        <w:rPr>
          <w:rStyle w:val="hps"/>
        </w:rPr>
        <w:t>que les deux</w:t>
      </w:r>
      <w:r w:rsidR="00E26A2C" w:rsidRPr="008B2DDA">
        <w:rPr>
          <w:rStyle w:val="hps"/>
        </w:rPr>
        <w:t> </w:t>
      </w:r>
      <w:r w:rsidR="007E72B3" w:rsidRPr="008B2DDA">
        <w:rPr>
          <w:rStyle w:val="hps"/>
        </w:rPr>
        <w:t>ne sont pas nécessairement</w:t>
      </w:r>
      <w:r w:rsidR="007E72B3" w:rsidRPr="008B2DDA">
        <w:t xml:space="preserve"> </w:t>
      </w:r>
      <w:r w:rsidR="00134381" w:rsidRPr="008B2DDA">
        <w:rPr>
          <w:rStyle w:val="hps"/>
        </w:rPr>
        <w:t>requises conjointement dans le</w:t>
      </w:r>
      <w:r w:rsidR="007E72B3" w:rsidRPr="008B2DDA">
        <w:rPr>
          <w:rStyle w:val="hps"/>
        </w:rPr>
        <w:t xml:space="preserve"> système</w:t>
      </w:r>
      <w:r w:rsidR="007E72B3" w:rsidRPr="008B2DDA">
        <w:t xml:space="preserve"> </w:t>
      </w:r>
      <w:r w:rsidR="00134381" w:rsidRPr="008B2DDA">
        <w:t>d</w:t>
      </w:r>
      <w:r w:rsidR="00A341C2" w:rsidRPr="008B2DDA">
        <w:t>’</w:t>
      </w:r>
      <w:r w:rsidR="00AB2EF0" w:rsidRPr="008B2DDA">
        <w:t>indications géographiques</w:t>
      </w:r>
      <w:r w:rsidR="00134381" w:rsidRPr="008B2DDA">
        <w:t xml:space="preserve"> de futures </w:t>
      </w:r>
      <w:r w:rsidR="007E72B3" w:rsidRPr="008B2DDA">
        <w:rPr>
          <w:rStyle w:val="hps"/>
        </w:rPr>
        <w:t>parties contractantes.</w:t>
      </w:r>
    </w:p>
    <w:p w14:paraId="1E644B92" w14:textId="77777777" w:rsidR="007079A8" w:rsidRPr="008B2DDA" w:rsidRDefault="007079A8" w:rsidP="008B2DDA">
      <w:pPr>
        <w:autoSpaceDE w:val="0"/>
        <w:autoSpaceDN w:val="0"/>
        <w:adjustRightInd w:val="0"/>
        <w:rPr>
          <w:rFonts w:eastAsia="Batang"/>
          <w:lang w:eastAsia="ko-KR"/>
        </w:rPr>
      </w:pPr>
    </w:p>
    <w:p w14:paraId="08B3E799" w14:textId="30CD85F4" w:rsidR="007079A8" w:rsidRPr="008B2DDA" w:rsidRDefault="0069419D" w:rsidP="008B2DDA">
      <w:pPr>
        <w:autoSpaceDE w:val="0"/>
        <w:autoSpaceDN w:val="0"/>
        <w:adjustRightInd w:val="0"/>
        <w:rPr>
          <w:rFonts w:eastAsia="Batang"/>
          <w:lang w:eastAsia="ko-KR"/>
        </w:rPr>
      </w:pPr>
      <w:r w:rsidRPr="008B2DDA">
        <w:rPr>
          <w:rFonts w:eastAsia="Batang"/>
          <w:lang w:eastAsia="ko-KR"/>
        </w:rPr>
        <w:t>Règle</w:t>
      </w:r>
      <w:r w:rsidR="00E26A2C" w:rsidRPr="008B2DDA">
        <w:rPr>
          <w:rFonts w:eastAsia="Batang"/>
          <w:lang w:eastAsia="ko-KR"/>
        </w:rPr>
        <w:t> </w:t>
      </w:r>
      <w:r w:rsidRPr="008B2DDA">
        <w:rPr>
          <w:rFonts w:eastAsia="Batang"/>
          <w:lang w:eastAsia="ko-KR"/>
        </w:rPr>
        <w:t>5</w:t>
      </w:r>
    </w:p>
    <w:p w14:paraId="78C89DF6" w14:textId="77777777" w:rsidR="007079A8" w:rsidRPr="008B2DDA" w:rsidRDefault="007079A8" w:rsidP="008B2DDA">
      <w:pPr>
        <w:autoSpaceDE w:val="0"/>
        <w:autoSpaceDN w:val="0"/>
        <w:adjustRightInd w:val="0"/>
        <w:rPr>
          <w:rFonts w:eastAsia="Batang"/>
          <w:lang w:eastAsia="ko-KR"/>
        </w:rPr>
      </w:pPr>
    </w:p>
    <w:p w14:paraId="4360EE36" w14:textId="3B107213" w:rsidR="007079A8" w:rsidRPr="008B2DDA" w:rsidRDefault="003F12D0" w:rsidP="008B2DDA">
      <w:pPr>
        <w:autoSpaceDE w:val="0"/>
        <w:autoSpaceDN w:val="0"/>
        <w:adjustRightInd w:val="0"/>
        <w:rPr>
          <w:rFonts w:eastAsia="Batang"/>
          <w:lang w:eastAsia="ko-KR"/>
        </w:rPr>
      </w:pPr>
      <w:r w:rsidRPr="008B2DDA">
        <w:rPr>
          <w:rFonts w:eastAsia="Batang"/>
          <w:lang w:eastAsia="ko-KR"/>
        </w:rPr>
        <w:t>[(4)</w:t>
      </w:r>
      <w:r w:rsidRPr="008B2DDA">
        <w:rPr>
          <w:rFonts w:eastAsia="Batang"/>
          <w:lang w:eastAsia="ko-KR"/>
        </w:rPr>
        <w:tab/>
      </w:r>
      <w:r w:rsidRPr="008B2DDA">
        <w:rPr>
          <w:rFonts w:eastAsia="Batang"/>
          <w:i/>
          <w:lang w:eastAsia="ko-KR"/>
        </w:rPr>
        <w:t>[Demande – Signature ou intention d</w:t>
      </w:r>
      <w:r w:rsidR="00A341C2" w:rsidRPr="008B2DDA">
        <w:rPr>
          <w:rFonts w:eastAsia="Batang"/>
          <w:i/>
          <w:lang w:eastAsia="ko-KR"/>
        </w:rPr>
        <w:t>’</w:t>
      </w:r>
      <w:r w:rsidRPr="008B2DDA">
        <w:rPr>
          <w:rFonts w:eastAsia="Batang"/>
          <w:i/>
          <w:lang w:eastAsia="ko-KR"/>
        </w:rPr>
        <w:t>utilisation]</w:t>
      </w:r>
      <w:r w:rsidRPr="008B2DDA">
        <w:rPr>
          <w:rFonts w:eastAsia="Batang"/>
          <w:lang w:eastAsia="ko-KR"/>
        </w:rPr>
        <w:t xml:space="preserve"> a) Dans la mesure où une partie contractante exige, pour qu</w:t>
      </w:r>
      <w:r w:rsidR="00A341C2" w:rsidRPr="008B2DDA">
        <w:rPr>
          <w:rFonts w:eastAsia="Batang"/>
          <w:lang w:eastAsia="ko-KR"/>
        </w:rPr>
        <w:t>’</w:t>
      </w:r>
      <w:r w:rsidRPr="008B2DDA">
        <w:rPr>
          <w:rFonts w:eastAsia="Batang"/>
          <w:lang w:eastAsia="ko-KR"/>
        </w:rPr>
        <w:t>une appellation d</w:t>
      </w:r>
      <w:r w:rsidR="00A341C2" w:rsidRPr="008B2DDA">
        <w:rPr>
          <w:rFonts w:eastAsia="Batang"/>
          <w:lang w:eastAsia="ko-KR"/>
        </w:rPr>
        <w:t>’</w:t>
      </w:r>
      <w:r w:rsidRPr="008B2DDA">
        <w:rPr>
          <w:rFonts w:eastAsia="Batang"/>
          <w:lang w:eastAsia="ko-KR"/>
        </w:rPr>
        <w:t>origine ou indication géographique enregistrée soit protégée</w:t>
      </w:r>
      <w:r w:rsidRPr="008B2DDA">
        <w:rPr>
          <w:rFonts w:eastAsia="Batang"/>
          <w:strike/>
          <w:lang w:eastAsia="ko-KR"/>
        </w:rPr>
        <w:t xml:space="preserve"> en vertu de sa législation sur les marques</w:t>
      </w:r>
      <w:r w:rsidRPr="008B2DDA">
        <w:rPr>
          <w:rFonts w:eastAsia="Batang"/>
          <w:lang w:eastAsia="ko-KR"/>
        </w:rPr>
        <w:t>, que la demande soit signée par le propriétaire</w:t>
      </w:r>
      <w:r w:rsidRPr="008B2DDA">
        <w:rPr>
          <w:rFonts w:eastAsia="Batang"/>
          <w:strike/>
          <w:lang w:eastAsia="ko-KR"/>
        </w:rPr>
        <w:t xml:space="preserve"> ou par la personne habilitée à utiliser l</w:t>
      </w:r>
      <w:r w:rsidR="00A341C2" w:rsidRPr="008B2DDA">
        <w:rPr>
          <w:rFonts w:eastAsia="Batang"/>
          <w:strike/>
          <w:lang w:eastAsia="ko-KR"/>
        </w:rPr>
        <w:t>’</w:t>
      </w:r>
      <w:r w:rsidRPr="008B2DDA">
        <w:rPr>
          <w:rFonts w:eastAsia="Batang"/>
          <w:strike/>
          <w:lang w:eastAsia="ko-KR"/>
        </w:rPr>
        <w:t>appellation d</w:t>
      </w:r>
      <w:r w:rsidR="00A341C2" w:rsidRPr="008B2DDA">
        <w:rPr>
          <w:rFonts w:eastAsia="Batang"/>
          <w:strike/>
          <w:lang w:eastAsia="ko-KR"/>
        </w:rPr>
        <w:t>’</w:t>
      </w:r>
      <w:r w:rsidRPr="008B2DDA">
        <w:rPr>
          <w:rFonts w:eastAsia="Batang"/>
          <w:strike/>
          <w:lang w:eastAsia="ko-KR"/>
        </w:rPr>
        <w:t>origine ou l</w:t>
      </w:r>
      <w:r w:rsidR="00A341C2" w:rsidRPr="008B2DDA">
        <w:rPr>
          <w:rFonts w:eastAsia="Batang"/>
          <w:strike/>
          <w:lang w:eastAsia="ko-KR"/>
        </w:rPr>
        <w:t>’</w:t>
      </w:r>
      <w:r w:rsidRPr="008B2DDA">
        <w:rPr>
          <w:rFonts w:eastAsia="Batang"/>
          <w:strike/>
          <w:lang w:eastAsia="ko-KR"/>
        </w:rPr>
        <w:t>indication géographique ou soit accompagnée d</w:t>
      </w:r>
      <w:r w:rsidR="00A341C2" w:rsidRPr="008B2DDA">
        <w:rPr>
          <w:rFonts w:eastAsia="Batang"/>
          <w:strike/>
          <w:lang w:eastAsia="ko-KR"/>
        </w:rPr>
        <w:t>’</w:t>
      </w:r>
      <w:r w:rsidRPr="008B2DDA">
        <w:rPr>
          <w:rFonts w:eastAsia="Batang"/>
          <w:strike/>
          <w:lang w:eastAsia="ko-KR"/>
        </w:rPr>
        <w:t>une déclaration d</w:t>
      </w:r>
      <w:r w:rsidR="00A341C2" w:rsidRPr="008B2DDA">
        <w:rPr>
          <w:rFonts w:eastAsia="Batang"/>
          <w:strike/>
          <w:lang w:eastAsia="ko-KR"/>
        </w:rPr>
        <w:t>’</w:t>
      </w:r>
      <w:r w:rsidRPr="008B2DDA">
        <w:rPr>
          <w:rFonts w:eastAsia="Batang"/>
          <w:strike/>
          <w:lang w:eastAsia="ko-KR"/>
        </w:rPr>
        <w:t>intention d</w:t>
      </w:r>
      <w:r w:rsidR="00A341C2" w:rsidRPr="008B2DDA">
        <w:rPr>
          <w:rFonts w:eastAsia="Batang"/>
          <w:strike/>
          <w:lang w:eastAsia="ko-KR"/>
        </w:rPr>
        <w:t>’</w:t>
      </w:r>
      <w:r w:rsidRPr="008B2DDA">
        <w:rPr>
          <w:rFonts w:eastAsia="Batang"/>
          <w:strike/>
          <w:lang w:eastAsia="ko-KR"/>
        </w:rPr>
        <w:t>utiliser l</w:t>
      </w:r>
      <w:r w:rsidR="00A341C2" w:rsidRPr="008B2DDA">
        <w:rPr>
          <w:rFonts w:eastAsia="Batang"/>
          <w:strike/>
          <w:lang w:eastAsia="ko-KR"/>
        </w:rPr>
        <w:t>’</w:t>
      </w:r>
      <w:r w:rsidRPr="008B2DDA">
        <w:rPr>
          <w:rFonts w:eastAsia="Batang"/>
          <w:strike/>
          <w:lang w:eastAsia="ko-KR"/>
        </w:rPr>
        <w:t>appellation d</w:t>
      </w:r>
      <w:r w:rsidR="00A341C2" w:rsidRPr="008B2DDA">
        <w:rPr>
          <w:rFonts w:eastAsia="Batang"/>
          <w:strike/>
          <w:lang w:eastAsia="ko-KR"/>
        </w:rPr>
        <w:t>’</w:t>
      </w:r>
      <w:r w:rsidRPr="008B2DDA">
        <w:rPr>
          <w:rFonts w:eastAsia="Batang"/>
          <w:strike/>
          <w:lang w:eastAsia="ko-KR"/>
        </w:rPr>
        <w:t>origine ou l</w:t>
      </w:r>
      <w:r w:rsidR="00A341C2" w:rsidRPr="008B2DDA">
        <w:rPr>
          <w:rFonts w:eastAsia="Batang"/>
          <w:strike/>
          <w:lang w:eastAsia="ko-KR"/>
        </w:rPr>
        <w:t>’</w:t>
      </w:r>
      <w:r w:rsidRPr="008B2DDA">
        <w:rPr>
          <w:rFonts w:eastAsia="Batang"/>
          <w:strike/>
          <w:lang w:eastAsia="ko-KR"/>
        </w:rPr>
        <w:t>indication géographique sur son territoire</w:t>
      </w:r>
      <w:r w:rsidRPr="008B2DDA">
        <w:rPr>
          <w:rFonts w:eastAsia="Batang"/>
          <w:lang w:eastAsia="ko-KR"/>
        </w:rPr>
        <w:t>, elle doit notifier cette exigence au Directeur général.</w:t>
      </w:r>
    </w:p>
    <w:p w14:paraId="789F7397" w14:textId="1B951273" w:rsidR="007079A8" w:rsidRPr="008B2DDA" w:rsidRDefault="00311638" w:rsidP="008B2DDA">
      <w:pPr>
        <w:autoSpaceDE w:val="0"/>
        <w:autoSpaceDN w:val="0"/>
        <w:adjustRightInd w:val="0"/>
        <w:rPr>
          <w:rStyle w:val="hps"/>
        </w:rPr>
      </w:pPr>
      <w:r w:rsidRPr="008B2DDA">
        <w:rPr>
          <w:rFonts w:eastAsia="Batang"/>
          <w:lang w:eastAsia="ko-KR"/>
        </w:rPr>
        <w:tab/>
      </w:r>
      <w:r w:rsidRPr="008B2DDA">
        <w:rPr>
          <w:rStyle w:val="hps"/>
        </w:rPr>
        <w:t>b)</w:t>
      </w:r>
      <w:r w:rsidRPr="008B2DDA">
        <w:rPr>
          <w:rStyle w:val="hps"/>
        </w:rPr>
        <w:tab/>
      </w:r>
      <w:r w:rsidR="00134381" w:rsidRPr="008B2DDA">
        <w:rPr>
          <w:rStyle w:val="hps"/>
          <w:u w:val="single"/>
        </w:rPr>
        <w:t>Dans la mesure où une partie contractante exige, pour qu</w:t>
      </w:r>
      <w:r w:rsidR="00A341C2" w:rsidRPr="008B2DDA">
        <w:rPr>
          <w:rStyle w:val="hps"/>
          <w:u w:val="single"/>
        </w:rPr>
        <w:t>’</w:t>
      </w:r>
      <w:r w:rsidR="00134381" w:rsidRPr="008B2DDA">
        <w:rPr>
          <w:rStyle w:val="hps"/>
          <w:u w:val="single"/>
        </w:rPr>
        <w:t>une appellation d</w:t>
      </w:r>
      <w:r w:rsidR="00A341C2" w:rsidRPr="008B2DDA">
        <w:rPr>
          <w:rStyle w:val="hps"/>
          <w:u w:val="single"/>
        </w:rPr>
        <w:t>’</w:t>
      </w:r>
      <w:r w:rsidR="00134381" w:rsidRPr="008B2DDA">
        <w:rPr>
          <w:rStyle w:val="hps"/>
          <w:u w:val="single"/>
        </w:rPr>
        <w:t>origine ou indication géograp</w:t>
      </w:r>
      <w:r w:rsidR="005D5E8B" w:rsidRPr="008B2DDA">
        <w:rPr>
          <w:rStyle w:val="hps"/>
          <w:u w:val="single"/>
        </w:rPr>
        <w:t>hique enregistrée soit protégée</w:t>
      </w:r>
      <w:r w:rsidR="00134381" w:rsidRPr="008B2DDA">
        <w:rPr>
          <w:rStyle w:val="hps"/>
          <w:u w:val="single"/>
        </w:rPr>
        <w:t>, que la demande soit accompagnée d</w:t>
      </w:r>
      <w:r w:rsidR="00A341C2" w:rsidRPr="008B2DDA">
        <w:rPr>
          <w:rStyle w:val="hps"/>
          <w:u w:val="single"/>
        </w:rPr>
        <w:t>’</w:t>
      </w:r>
      <w:r w:rsidR="00134381" w:rsidRPr="008B2DDA">
        <w:rPr>
          <w:rStyle w:val="hps"/>
          <w:u w:val="single"/>
        </w:rPr>
        <w:t>une déclaration d</w:t>
      </w:r>
      <w:r w:rsidR="00A341C2" w:rsidRPr="008B2DDA">
        <w:rPr>
          <w:rStyle w:val="hps"/>
          <w:u w:val="single"/>
        </w:rPr>
        <w:t>’</w:t>
      </w:r>
      <w:r w:rsidR="00134381" w:rsidRPr="008B2DDA">
        <w:rPr>
          <w:rStyle w:val="hps"/>
          <w:u w:val="single"/>
        </w:rPr>
        <w:t>intention d</w:t>
      </w:r>
      <w:r w:rsidR="00A341C2" w:rsidRPr="008B2DDA">
        <w:rPr>
          <w:rStyle w:val="hps"/>
          <w:u w:val="single"/>
        </w:rPr>
        <w:t>’</w:t>
      </w:r>
      <w:r w:rsidR="00134381" w:rsidRPr="008B2DDA">
        <w:rPr>
          <w:rStyle w:val="hps"/>
          <w:u w:val="single"/>
        </w:rPr>
        <w:t>utilis</w:t>
      </w:r>
      <w:r w:rsidR="005D5E8B" w:rsidRPr="008B2DDA">
        <w:rPr>
          <w:rStyle w:val="hps"/>
          <w:u w:val="single"/>
        </w:rPr>
        <w:t>er l</w:t>
      </w:r>
      <w:r w:rsidR="00A341C2" w:rsidRPr="008B2DDA">
        <w:rPr>
          <w:rStyle w:val="hps"/>
          <w:u w:val="single"/>
        </w:rPr>
        <w:t>’</w:t>
      </w:r>
      <w:r w:rsidR="005D5E8B" w:rsidRPr="008B2DDA">
        <w:rPr>
          <w:rStyle w:val="hps"/>
          <w:u w:val="single"/>
        </w:rPr>
        <w:t>appellation d</w:t>
      </w:r>
      <w:r w:rsidR="00A341C2" w:rsidRPr="008B2DDA">
        <w:rPr>
          <w:rStyle w:val="hps"/>
          <w:u w:val="single"/>
        </w:rPr>
        <w:t>’</w:t>
      </w:r>
      <w:r w:rsidR="005D5E8B" w:rsidRPr="008B2DDA">
        <w:rPr>
          <w:rStyle w:val="hps"/>
          <w:u w:val="single"/>
        </w:rPr>
        <w:t xml:space="preserve">origine ou </w:t>
      </w:r>
      <w:r w:rsidR="00134381" w:rsidRPr="008B2DDA">
        <w:rPr>
          <w:rStyle w:val="hps"/>
          <w:u w:val="single"/>
        </w:rPr>
        <w:t xml:space="preserve">indication géographique </w:t>
      </w:r>
      <w:r w:rsidR="005D5E8B" w:rsidRPr="008B2DDA">
        <w:rPr>
          <w:rStyle w:val="hps"/>
          <w:u w:val="single"/>
        </w:rPr>
        <w:t xml:space="preserve">enregistrée </w:t>
      </w:r>
      <w:r w:rsidR="00134381" w:rsidRPr="008B2DDA">
        <w:rPr>
          <w:rStyle w:val="hps"/>
          <w:u w:val="single"/>
        </w:rPr>
        <w:t>sur son territoire</w:t>
      </w:r>
      <w:r w:rsidR="005D5E8B" w:rsidRPr="008B2DDA">
        <w:rPr>
          <w:rStyle w:val="hps"/>
          <w:u w:val="single"/>
        </w:rPr>
        <w:t xml:space="preserve"> ou d</w:t>
      </w:r>
      <w:r w:rsidR="00A341C2" w:rsidRPr="008B2DDA">
        <w:rPr>
          <w:rStyle w:val="hps"/>
          <w:u w:val="single"/>
        </w:rPr>
        <w:t>’</w:t>
      </w:r>
      <w:r w:rsidR="005D5E8B" w:rsidRPr="008B2DDA">
        <w:rPr>
          <w:rStyle w:val="hps"/>
          <w:u w:val="single"/>
        </w:rPr>
        <w:t>une déclaration d</w:t>
      </w:r>
      <w:r w:rsidR="00A341C2" w:rsidRPr="008B2DDA">
        <w:rPr>
          <w:rStyle w:val="hps"/>
          <w:u w:val="single"/>
        </w:rPr>
        <w:t>’</w:t>
      </w:r>
      <w:r w:rsidR="005D5E8B" w:rsidRPr="008B2DDA">
        <w:rPr>
          <w:rStyle w:val="hps"/>
          <w:u w:val="single"/>
        </w:rPr>
        <w:t>intention d</w:t>
      </w:r>
      <w:r w:rsidR="00A341C2" w:rsidRPr="008B2DDA">
        <w:rPr>
          <w:rStyle w:val="hps"/>
          <w:u w:val="single"/>
        </w:rPr>
        <w:t>’</w:t>
      </w:r>
      <w:r w:rsidR="00BE2682" w:rsidRPr="008B2DDA">
        <w:rPr>
          <w:rStyle w:val="hps"/>
          <w:u w:val="single"/>
        </w:rPr>
        <w:t>exercer</w:t>
      </w:r>
      <w:r w:rsidR="005D5E8B" w:rsidRPr="008B2DDA">
        <w:rPr>
          <w:rStyle w:val="hps"/>
          <w:u w:val="single"/>
        </w:rPr>
        <w:t xml:space="preserve"> un contrôle sur l</w:t>
      </w:r>
      <w:r w:rsidR="00A341C2" w:rsidRPr="008B2DDA">
        <w:rPr>
          <w:rStyle w:val="hps"/>
          <w:u w:val="single"/>
        </w:rPr>
        <w:t>’</w:t>
      </w:r>
      <w:r w:rsidR="005D5E8B" w:rsidRPr="008B2DDA">
        <w:rPr>
          <w:rStyle w:val="hps"/>
          <w:u w:val="single"/>
        </w:rPr>
        <w:t>utilisation par d</w:t>
      </w:r>
      <w:r w:rsidR="00A341C2" w:rsidRPr="008B2DDA">
        <w:rPr>
          <w:rStyle w:val="hps"/>
          <w:u w:val="single"/>
        </w:rPr>
        <w:t>’</w:t>
      </w:r>
      <w:r w:rsidR="005D5E8B" w:rsidRPr="008B2DDA">
        <w:rPr>
          <w:rStyle w:val="hps"/>
          <w:u w:val="single"/>
        </w:rPr>
        <w:t>autres</w:t>
      </w:r>
      <w:r w:rsidR="00EC4020" w:rsidRPr="008B2DDA">
        <w:rPr>
          <w:rStyle w:val="hps"/>
          <w:u w:val="single"/>
        </w:rPr>
        <w:t xml:space="preserve"> de l</w:t>
      </w:r>
      <w:r w:rsidR="00A341C2" w:rsidRPr="008B2DDA">
        <w:rPr>
          <w:rStyle w:val="hps"/>
          <w:u w:val="single"/>
        </w:rPr>
        <w:t>’</w:t>
      </w:r>
      <w:r w:rsidR="00EC4020" w:rsidRPr="008B2DDA">
        <w:rPr>
          <w:rStyle w:val="hps"/>
          <w:u w:val="single"/>
        </w:rPr>
        <w:t>appellation d</w:t>
      </w:r>
      <w:r w:rsidR="00A341C2" w:rsidRPr="008B2DDA">
        <w:rPr>
          <w:rStyle w:val="hps"/>
          <w:u w:val="single"/>
        </w:rPr>
        <w:t>’</w:t>
      </w:r>
      <w:r w:rsidR="00EC4020" w:rsidRPr="008B2DDA">
        <w:rPr>
          <w:rStyle w:val="hps"/>
          <w:u w:val="single"/>
        </w:rPr>
        <w:t>origine ou indication géographique enregistrée sur son territoire</w:t>
      </w:r>
      <w:r w:rsidR="00134381" w:rsidRPr="008B2DDA">
        <w:rPr>
          <w:rStyle w:val="hps"/>
          <w:u w:val="single"/>
        </w:rPr>
        <w:t>, elle doit notifier cette exigence au Directeur général</w:t>
      </w:r>
      <w:r w:rsidR="007E72B3" w:rsidRPr="008B2DDA">
        <w:rPr>
          <w:rStyle w:val="hps"/>
          <w:u w:val="single"/>
        </w:rPr>
        <w:t>.</w:t>
      </w:r>
    </w:p>
    <w:p w14:paraId="1822703A" w14:textId="07364594" w:rsidR="007079A8" w:rsidRPr="008B2DDA" w:rsidRDefault="00A54CD5" w:rsidP="008B2DDA">
      <w:pPr>
        <w:autoSpaceDE w:val="0"/>
        <w:autoSpaceDN w:val="0"/>
        <w:adjustRightInd w:val="0"/>
        <w:ind w:firstLine="567"/>
        <w:rPr>
          <w:rStyle w:val="hps"/>
        </w:rPr>
      </w:pPr>
      <w:proofErr w:type="gramStart"/>
      <w:r w:rsidRPr="008B2DDA">
        <w:rPr>
          <w:rStyle w:val="hps"/>
        </w:rPr>
        <w:t>c)</w:t>
      </w:r>
      <w:proofErr w:type="gramEnd"/>
      <w:r w:rsidRPr="008B2DDA">
        <w:rPr>
          <w:rStyle w:val="hps"/>
        </w:rPr>
        <w:tab/>
      </w:r>
      <w:r w:rsidR="00F75F1F" w:rsidRPr="008B2DDA">
        <w:rPr>
          <w:rStyle w:val="hps"/>
        </w:rPr>
        <w:t>Toute demande qui n</w:t>
      </w:r>
      <w:r w:rsidR="00A341C2" w:rsidRPr="008B2DDA">
        <w:rPr>
          <w:rStyle w:val="hps"/>
        </w:rPr>
        <w:t>’</w:t>
      </w:r>
      <w:r w:rsidR="00F75F1F" w:rsidRPr="008B2DDA">
        <w:rPr>
          <w:rStyle w:val="hps"/>
        </w:rPr>
        <w:t xml:space="preserve">est pas signée par le propriétaire </w:t>
      </w:r>
      <w:r w:rsidR="00F75F1F" w:rsidRPr="008B2DDA">
        <w:rPr>
          <w:rStyle w:val="hps"/>
          <w:strike/>
        </w:rPr>
        <w:t>ou la personne habilitée à utiliser l</w:t>
      </w:r>
      <w:r w:rsidR="00A341C2" w:rsidRPr="008B2DDA">
        <w:rPr>
          <w:rStyle w:val="hps"/>
          <w:strike/>
        </w:rPr>
        <w:t>’</w:t>
      </w:r>
      <w:r w:rsidR="00F75F1F" w:rsidRPr="008B2DDA">
        <w:rPr>
          <w:rStyle w:val="hps"/>
          <w:strike/>
        </w:rPr>
        <w:t>appellation d</w:t>
      </w:r>
      <w:r w:rsidR="00A341C2" w:rsidRPr="008B2DDA">
        <w:rPr>
          <w:rStyle w:val="hps"/>
          <w:strike/>
        </w:rPr>
        <w:t>’</w:t>
      </w:r>
      <w:r w:rsidR="00F75F1F" w:rsidRPr="008B2DDA">
        <w:rPr>
          <w:rStyle w:val="hps"/>
          <w:strike/>
        </w:rPr>
        <w:t>origine ou l</w:t>
      </w:r>
      <w:r w:rsidR="00A341C2" w:rsidRPr="008B2DDA">
        <w:rPr>
          <w:rStyle w:val="hps"/>
          <w:strike/>
        </w:rPr>
        <w:t>’</w:t>
      </w:r>
      <w:r w:rsidR="00F75F1F" w:rsidRPr="008B2DDA">
        <w:rPr>
          <w:rStyle w:val="hps"/>
          <w:strike/>
        </w:rPr>
        <w:t xml:space="preserve">indication géographique </w:t>
      </w:r>
      <w:r w:rsidR="00F75F1F" w:rsidRPr="008B2DDA">
        <w:rPr>
          <w:rStyle w:val="hps"/>
        </w:rPr>
        <w:t>ou qui n</w:t>
      </w:r>
      <w:r w:rsidR="00A341C2" w:rsidRPr="008B2DDA">
        <w:rPr>
          <w:rStyle w:val="hps"/>
        </w:rPr>
        <w:t>’</w:t>
      </w:r>
      <w:r w:rsidR="00F75F1F" w:rsidRPr="008B2DDA">
        <w:rPr>
          <w:rStyle w:val="hps"/>
        </w:rPr>
        <w:t>est pas accompagnée d</w:t>
      </w:r>
      <w:r w:rsidR="00A341C2" w:rsidRPr="008B2DDA">
        <w:rPr>
          <w:rStyle w:val="hps"/>
        </w:rPr>
        <w:t>’</w:t>
      </w:r>
      <w:r w:rsidR="00F75F1F" w:rsidRPr="008B2DDA">
        <w:rPr>
          <w:rStyle w:val="hps"/>
        </w:rPr>
        <w:t xml:space="preserve">une déclaration </w:t>
      </w:r>
      <w:r w:rsidR="00F75F1F" w:rsidRPr="008B2DDA">
        <w:rPr>
          <w:rStyle w:val="hps"/>
          <w:strike/>
        </w:rPr>
        <w:t>d</w:t>
      </w:r>
      <w:r w:rsidR="00A341C2" w:rsidRPr="008B2DDA">
        <w:rPr>
          <w:rStyle w:val="hps"/>
          <w:strike/>
        </w:rPr>
        <w:t>’</w:t>
      </w:r>
      <w:r w:rsidR="00F75F1F" w:rsidRPr="008B2DDA">
        <w:rPr>
          <w:rStyle w:val="hps"/>
          <w:strike/>
        </w:rPr>
        <w:t>intention d</w:t>
      </w:r>
      <w:r w:rsidR="00A341C2" w:rsidRPr="008B2DDA">
        <w:rPr>
          <w:rStyle w:val="hps"/>
          <w:strike/>
        </w:rPr>
        <w:t>’</w:t>
      </w:r>
      <w:r w:rsidR="00F75F1F" w:rsidRPr="008B2DDA">
        <w:rPr>
          <w:rStyle w:val="hps"/>
          <w:strike/>
        </w:rPr>
        <w:t>utilisation</w:t>
      </w:r>
      <w:r w:rsidR="00F75F1F" w:rsidRPr="008B2DDA">
        <w:rPr>
          <w:rStyle w:val="hps"/>
        </w:rPr>
        <w:t xml:space="preserve"> </w:t>
      </w:r>
      <w:r w:rsidR="00EC4020" w:rsidRPr="008B2DDA">
        <w:rPr>
          <w:rStyle w:val="hps"/>
          <w:u w:val="single"/>
        </w:rPr>
        <w:t>telle que stipulée à la règle 5.4)b)</w:t>
      </w:r>
      <w:r w:rsidR="00EC4020" w:rsidRPr="008B2DDA">
        <w:rPr>
          <w:rStyle w:val="hps"/>
        </w:rPr>
        <w:t xml:space="preserve"> </w:t>
      </w:r>
      <w:r w:rsidR="00F75F1F" w:rsidRPr="008B2DDA">
        <w:rPr>
          <w:rStyle w:val="hps"/>
        </w:rPr>
        <w:t>a pour effet qu</w:t>
      </w:r>
      <w:r w:rsidR="00A341C2" w:rsidRPr="008B2DDA">
        <w:rPr>
          <w:rStyle w:val="hps"/>
        </w:rPr>
        <w:t>’</w:t>
      </w:r>
      <w:r w:rsidR="00F75F1F" w:rsidRPr="008B2DDA">
        <w:rPr>
          <w:rStyle w:val="hps"/>
        </w:rPr>
        <w:t xml:space="preserve">il est renoncé à la protection </w:t>
      </w:r>
      <w:r w:rsidR="00A341C2" w:rsidRPr="008B2DDA">
        <w:rPr>
          <w:rStyle w:val="hps"/>
        </w:rPr>
        <w:t>à l’égard</w:t>
      </w:r>
      <w:r w:rsidR="00F75F1F" w:rsidRPr="008B2DDA">
        <w:rPr>
          <w:rStyle w:val="hps"/>
        </w:rPr>
        <w:t xml:space="preserve"> de la partie contractante exigeant cette signature ou cette déclaration, et qui l</w:t>
      </w:r>
      <w:r w:rsidR="00A341C2" w:rsidRPr="008B2DDA">
        <w:rPr>
          <w:rStyle w:val="hps"/>
        </w:rPr>
        <w:t>’</w:t>
      </w:r>
      <w:r w:rsidR="00F75F1F" w:rsidRPr="008B2DDA">
        <w:rPr>
          <w:rStyle w:val="hps"/>
        </w:rPr>
        <w:t>a notifié conformément au</w:t>
      </w:r>
      <w:r w:rsidR="00EC4020" w:rsidRPr="008B2DDA">
        <w:rPr>
          <w:rStyle w:val="hps"/>
          <w:u w:val="single"/>
        </w:rPr>
        <w:t>x</w:t>
      </w:r>
      <w:r w:rsidR="00F75F1F" w:rsidRPr="008B2DDA">
        <w:rPr>
          <w:rStyle w:val="hps"/>
        </w:rPr>
        <w:t xml:space="preserve"> sous</w:t>
      </w:r>
      <w:r w:rsidR="00D67EA4" w:rsidRPr="008B2DDA">
        <w:rPr>
          <w:rStyle w:val="hps"/>
        </w:rPr>
        <w:noBreakHyphen/>
      </w:r>
      <w:r w:rsidR="00F75F1F" w:rsidRPr="008B2DDA">
        <w:rPr>
          <w:rStyle w:val="hps"/>
        </w:rPr>
        <w:t>alinéa</w:t>
      </w:r>
      <w:r w:rsidR="002C0DC4" w:rsidRPr="008B2DDA">
        <w:rPr>
          <w:rStyle w:val="hps"/>
          <w:u w:val="single"/>
        </w:rPr>
        <w:t>s</w:t>
      </w:r>
      <w:r w:rsidR="00F75F1F" w:rsidRPr="008B2DDA">
        <w:rPr>
          <w:rStyle w:val="hps"/>
        </w:rPr>
        <w:t> a)</w:t>
      </w:r>
      <w:r w:rsidR="00EC4020" w:rsidRPr="008B2DDA">
        <w:rPr>
          <w:rStyle w:val="hps"/>
        </w:rPr>
        <w:t xml:space="preserve"> </w:t>
      </w:r>
      <w:r w:rsidR="00EC4020" w:rsidRPr="008B2DDA">
        <w:rPr>
          <w:rStyle w:val="hps"/>
          <w:u w:val="single"/>
        </w:rPr>
        <w:t>et b)</w:t>
      </w:r>
      <w:r w:rsidR="00F75F1F" w:rsidRPr="008B2DDA">
        <w:rPr>
          <w:rStyle w:val="hps"/>
        </w:rPr>
        <w:t>.]</w:t>
      </w:r>
    </w:p>
    <w:p w14:paraId="7C382B05" w14:textId="77777777" w:rsidR="007079A8" w:rsidRPr="008B2DDA" w:rsidRDefault="007079A8" w:rsidP="008B2DDA">
      <w:pPr>
        <w:autoSpaceDE w:val="0"/>
        <w:autoSpaceDN w:val="0"/>
        <w:adjustRightInd w:val="0"/>
        <w:rPr>
          <w:rFonts w:eastAsia="Batang"/>
          <w:lang w:eastAsia="ko-KR"/>
        </w:rPr>
      </w:pPr>
      <w:bookmarkStart w:id="22" w:name="Rule_5_5"/>
    </w:p>
    <w:p w14:paraId="11D769BD" w14:textId="77777777" w:rsidR="007079A8" w:rsidRPr="008B2DDA" w:rsidRDefault="007079A8" w:rsidP="00807A13">
      <w:pPr>
        <w:pBdr>
          <w:top w:val="single" w:sz="4" w:space="1" w:color="auto"/>
        </w:pBdr>
        <w:autoSpaceDE w:val="0"/>
        <w:autoSpaceDN w:val="0"/>
        <w:adjustRightInd w:val="0"/>
        <w:rPr>
          <w:rFonts w:eastAsia="Batang"/>
          <w:lang w:eastAsia="ko-KR"/>
        </w:rPr>
      </w:pPr>
    </w:p>
    <w:p w14:paraId="10002226" w14:textId="00EA668C" w:rsidR="007079A8" w:rsidRPr="008B2DDA" w:rsidRDefault="00141D04" w:rsidP="008B2DDA">
      <w:pPr>
        <w:autoSpaceDE w:val="0"/>
        <w:autoSpaceDN w:val="0"/>
        <w:adjustRightInd w:val="0"/>
        <w:rPr>
          <w:rFonts w:eastAsia="Batang"/>
          <w:lang w:eastAsia="ko-KR"/>
        </w:rPr>
      </w:pPr>
      <w:r w:rsidRPr="008B2DDA">
        <w:rPr>
          <w:b/>
        </w:rPr>
        <w:lastRenderedPageBreak/>
        <w:t>Règle</w:t>
      </w:r>
      <w:r w:rsidR="00E26A2C" w:rsidRPr="008B2DDA">
        <w:rPr>
          <w:b/>
        </w:rPr>
        <w:t> </w:t>
      </w:r>
      <w:r w:rsidR="003F12D0" w:rsidRPr="008B2DDA">
        <w:rPr>
          <w:rFonts w:eastAsia="Batang"/>
          <w:b/>
          <w:lang w:eastAsia="ko-KR"/>
        </w:rPr>
        <w:t>5.</w:t>
      </w:r>
      <w:r w:rsidR="00311638" w:rsidRPr="008B2DDA">
        <w:rPr>
          <w:rFonts w:eastAsia="Batang"/>
          <w:b/>
          <w:lang w:eastAsia="ko-KR"/>
        </w:rPr>
        <w:t xml:space="preserve">5) </w:t>
      </w:r>
      <w:bookmarkEnd w:id="22"/>
      <w:r w:rsidR="003F12D0" w:rsidRPr="008B2DDA">
        <w:rPr>
          <w:rFonts w:eastAsia="Batang"/>
          <w:b/>
          <w:lang w:eastAsia="ko-KR"/>
        </w:rPr>
        <w:t>Demande – Protection non revendiquée sur certains éléments de l</w:t>
      </w:r>
      <w:r w:rsidR="00A341C2" w:rsidRPr="008B2DDA">
        <w:rPr>
          <w:rFonts w:eastAsia="Batang"/>
          <w:b/>
          <w:lang w:eastAsia="ko-KR"/>
        </w:rPr>
        <w:t>’</w:t>
      </w:r>
      <w:r w:rsidR="003F12D0" w:rsidRPr="008B2DDA">
        <w:rPr>
          <w:rFonts w:eastAsia="Batang"/>
          <w:b/>
          <w:lang w:eastAsia="ko-KR"/>
        </w:rPr>
        <w:t>appellation d</w:t>
      </w:r>
      <w:r w:rsidR="00A341C2" w:rsidRPr="008B2DDA">
        <w:rPr>
          <w:rFonts w:eastAsia="Batang"/>
          <w:b/>
          <w:lang w:eastAsia="ko-KR"/>
        </w:rPr>
        <w:t>’</w:t>
      </w:r>
      <w:r w:rsidR="003F12D0" w:rsidRPr="008B2DDA">
        <w:rPr>
          <w:rFonts w:eastAsia="Batang"/>
          <w:b/>
          <w:lang w:eastAsia="ko-KR"/>
        </w:rPr>
        <w:t>origine ou de l</w:t>
      </w:r>
      <w:r w:rsidR="00A341C2" w:rsidRPr="008B2DDA">
        <w:rPr>
          <w:rFonts w:eastAsia="Batang"/>
          <w:b/>
          <w:lang w:eastAsia="ko-KR"/>
        </w:rPr>
        <w:t>’</w:t>
      </w:r>
      <w:r w:rsidR="003F12D0" w:rsidRPr="008B2DDA">
        <w:rPr>
          <w:rFonts w:eastAsia="Batang"/>
          <w:b/>
          <w:lang w:eastAsia="ko-KR"/>
        </w:rPr>
        <w:t>indication géographique </w:t>
      </w:r>
      <w:r w:rsidR="00311638" w:rsidRPr="008B2DDA">
        <w:rPr>
          <w:rFonts w:eastAsia="Batang"/>
          <w:b/>
          <w:lang w:eastAsia="ko-KR"/>
        </w:rPr>
        <w:t>:</w:t>
      </w:r>
      <w:r w:rsidR="00311638" w:rsidRPr="008B2DDA">
        <w:rPr>
          <w:rFonts w:eastAsia="Batang"/>
          <w:lang w:eastAsia="ko-KR"/>
        </w:rPr>
        <w:t xml:space="preserve"> </w:t>
      </w:r>
      <w:r w:rsidR="005800E0" w:rsidRPr="008B2DDA">
        <w:rPr>
          <w:rFonts w:eastAsia="Batang"/>
          <w:lang w:eastAsia="ko-KR"/>
        </w:rPr>
        <w:t xml:space="preserve">Les </w:t>
      </w:r>
      <w:r w:rsidR="005C22F0" w:rsidRPr="008B2DDA">
        <w:rPr>
          <w:rFonts w:eastAsia="Batang"/>
          <w:lang w:eastAsia="ko-KR"/>
        </w:rPr>
        <w:t>États</w:t>
      </w:r>
      <w:r w:rsidR="00D67EA4" w:rsidRPr="008B2DDA">
        <w:rPr>
          <w:rFonts w:eastAsia="Batang"/>
          <w:lang w:eastAsia="ko-KR"/>
        </w:rPr>
        <w:noBreakHyphen/>
      </w:r>
      <w:r w:rsidR="005C22F0" w:rsidRPr="008B2DDA">
        <w:rPr>
          <w:rFonts w:eastAsia="Batang"/>
          <w:lang w:eastAsia="ko-KR"/>
        </w:rPr>
        <w:t xml:space="preserve">Unis </w:t>
      </w:r>
      <w:r w:rsidR="00E26A2C" w:rsidRPr="008B2DDA">
        <w:rPr>
          <w:rFonts w:eastAsia="Batang"/>
          <w:lang w:eastAsia="ko-KR"/>
        </w:rPr>
        <w:t>d’Amérique</w:t>
      </w:r>
      <w:r w:rsidR="005C22F0" w:rsidRPr="008B2DDA">
        <w:rPr>
          <w:rFonts w:eastAsia="Batang"/>
          <w:lang w:eastAsia="ko-KR"/>
        </w:rPr>
        <w:t xml:space="preserve"> </w:t>
      </w:r>
      <w:r w:rsidR="00EC4020" w:rsidRPr="008B2DDA">
        <w:rPr>
          <w:rFonts w:eastAsia="Batang"/>
          <w:lang w:eastAsia="ko-KR"/>
        </w:rPr>
        <w:t>approuvent la variante</w:t>
      </w:r>
      <w:r w:rsidR="00311638" w:rsidRPr="008B2DDA">
        <w:rPr>
          <w:rFonts w:eastAsia="Batang"/>
          <w:lang w:eastAsia="ko-KR"/>
        </w:rPr>
        <w:t xml:space="preserve"> A </w:t>
      </w:r>
      <w:r w:rsidR="00B51A98" w:rsidRPr="008B2DDA">
        <w:rPr>
          <w:rFonts w:eastAsia="Batang"/>
          <w:lang w:eastAsia="ko-KR"/>
        </w:rPr>
        <w:t>de la règle </w:t>
      </w:r>
      <w:r w:rsidR="00EC4020" w:rsidRPr="008B2DDA">
        <w:rPr>
          <w:rFonts w:eastAsia="Batang"/>
          <w:lang w:eastAsia="ko-KR"/>
        </w:rPr>
        <w:t>5.</w:t>
      </w:r>
      <w:r w:rsidR="00311638" w:rsidRPr="008B2DDA">
        <w:rPr>
          <w:rFonts w:eastAsia="Batang"/>
          <w:lang w:eastAsia="ko-KR"/>
        </w:rPr>
        <w:t>5).</w:t>
      </w:r>
    </w:p>
    <w:p w14:paraId="702ABEE7" w14:textId="77777777" w:rsidR="007079A8" w:rsidRPr="008B2DDA" w:rsidRDefault="007079A8" w:rsidP="008B2DDA">
      <w:pPr>
        <w:autoSpaceDE w:val="0"/>
        <w:autoSpaceDN w:val="0"/>
        <w:adjustRightInd w:val="0"/>
        <w:rPr>
          <w:rFonts w:eastAsia="Batang"/>
          <w:lang w:eastAsia="ko-KR"/>
        </w:rPr>
      </w:pPr>
    </w:p>
    <w:p w14:paraId="32EA9F7A" w14:textId="44BB4FDE" w:rsidR="007079A8" w:rsidRPr="008B2DDA" w:rsidRDefault="003F12D0" w:rsidP="008B2DDA">
      <w:pPr>
        <w:autoSpaceDE w:val="0"/>
        <w:autoSpaceDN w:val="0"/>
        <w:adjustRightInd w:val="0"/>
        <w:rPr>
          <w:rFonts w:eastAsia="Batang"/>
          <w:i/>
          <w:lang w:eastAsia="ko-KR"/>
        </w:rPr>
      </w:pPr>
      <w:r w:rsidRPr="008B2DDA">
        <w:rPr>
          <w:rFonts w:eastAsia="Batang"/>
          <w:lang w:eastAsia="ko-KR"/>
        </w:rPr>
        <w:t>5)</w:t>
      </w:r>
      <w:r w:rsidRPr="008B2DDA">
        <w:rPr>
          <w:rFonts w:eastAsia="Batang"/>
          <w:lang w:eastAsia="ko-KR"/>
        </w:rPr>
        <w:tab/>
      </w:r>
      <w:r w:rsidRPr="008B2DDA">
        <w:rPr>
          <w:rFonts w:eastAsia="Batang"/>
          <w:i/>
          <w:lang w:eastAsia="ko-KR"/>
        </w:rPr>
        <w:t>[Demande – Protection non revendiquée sur certains éléments de l</w:t>
      </w:r>
      <w:r w:rsidR="00A341C2" w:rsidRPr="008B2DDA">
        <w:rPr>
          <w:rFonts w:eastAsia="Batang"/>
          <w:i/>
          <w:lang w:eastAsia="ko-KR"/>
        </w:rPr>
        <w:t>’</w:t>
      </w:r>
      <w:r w:rsidRPr="008B2DDA">
        <w:rPr>
          <w:rFonts w:eastAsia="Batang"/>
          <w:i/>
          <w:lang w:eastAsia="ko-KR"/>
        </w:rPr>
        <w:t>appellation d</w:t>
      </w:r>
      <w:r w:rsidR="00A341C2" w:rsidRPr="008B2DDA">
        <w:rPr>
          <w:rFonts w:eastAsia="Batang"/>
          <w:i/>
          <w:lang w:eastAsia="ko-KR"/>
        </w:rPr>
        <w:t>’</w:t>
      </w:r>
      <w:r w:rsidRPr="008B2DDA">
        <w:rPr>
          <w:rFonts w:eastAsia="Batang"/>
          <w:i/>
          <w:lang w:eastAsia="ko-KR"/>
        </w:rPr>
        <w:t>origine ou de l</w:t>
      </w:r>
      <w:r w:rsidR="00A341C2" w:rsidRPr="008B2DDA">
        <w:rPr>
          <w:rFonts w:eastAsia="Batang"/>
          <w:i/>
          <w:lang w:eastAsia="ko-KR"/>
        </w:rPr>
        <w:t>’</w:t>
      </w:r>
      <w:r w:rsidRPr="008B2DDA">
        <w:rPr>
          <w:rFonts w:eastAsia="Batang"/>
          <w:i/>
          <w:lang w:eastAsia="ko-KR"/>
        </w:rPr>
        <w:t>indication géographique]</w:t>
      </w:r>
    </w:p>
    <w:p w14:paraId="6DF4D306" w14:textId="77777777" w:rsidR="007079A8" w:rsidRPr="008B2DDA" w:rsidRDefault="007079A8" w:rsidP="008B2DDA">
      <w:pPr>
        <w:autoSpaceDE w:val="0"/>
        <w:autoSpaceDN w:val="0"/>
        <w:adjustRightInd w:val="0"/>
        <w:rPr>
          <w:rFonts w:eastAsia="Batang"/>
          <w:lang w:eastAsia="ko-KR"/>
        </w:rPr>
      </w:pPr>
    </w:p>
    <w:p w14:paraId="645086DD" w14:textId="77777777" w:rsidR="007079A8" w:rsidRPr="008B2DDA" w:rsidRDefault="003F12D0" w:rsidP="008B2DDA">
      <w:pPr>
        <w:autoSpaceDE w:val="0"/>
        <w:autoSpaceDN w:val="0"/>
        <w:adjustRightInd w:val="0"/>
        <w:rPr>
          <w:rFonts w:eastAsia="Batang"/>
          <w:u w:val="single"/>
          <w:lang w:eastAsia="ko-KR"/>
        </w:rPr>
      </w:pPr>
      <w:r w:rsidRPr="008B2DDA">
        <w:rPr>
          <w:rFonts w:eastAsia="Batang"/>
          <w:u w:val="single"/>
          <w:lang w:eastAsia="ko-KR"/>
        </w:rPr>
        <w:t>VARIANTE A</w:t>
      </w:r>
    </w:p>
    <w:p w14:paraId="0052A587" w14:textId="77777777" w:rsidR="007079A8" w:rsidRPr="008B2DDA" w:rsidRDefault="007079A8" w:rsidP="008B2DDA">
      <w:pPr>
        <w:autoSpaceDE w:val="0"/>
        <w:autoSpaceDN w:val="0"/>
        <w:adjustRightInd w:val="0"/>
        <w:rPr>
          <w:rFonts w:eastAsia="Batang"/>
          <w:lang w:eastAsia="ko-KR"/>
        </w:rPr>
      </w:pPr>
    </w:p>
    <w:p w14:paraId="7CF17935" w14:textId="4075B079" w:rsidR="00A341C2" w:rsidRPr="008B2DDA" w:rsidRDefault="00311638" w:rsidP="008B2DDA">
      <w:pPr>
        <w:autoSpaceDE w:val="0"/>
        <w:autoSpaceDN w:val="0"/>
        <w:adjustRightInd w:val="0"/>
        <w:rPr>
          <w:rFonts w:eastAsia="Batang"/>
          <w:lang w:eastAsia="ko-KR"/>
        </w:rPr>
      </w:pPr>
      <w:r w:rsidRPr="008B2DDA">
        <w:rPr>
          <w:rFonts w:eastAsia="Batang"/>
          <w:lang w:eastAsia="ko-KR"/>
        </w:rPr>
        <w:tab/>
      </w:r>
      <w:r w:rsidR="003F12D0" w:rsidRPr="008B2DDA">
        <w:rPr>
          <w:rFonts w:eastAsia="Batang"/>
          <w:lang w:eastAsia="ko-KR"/>
        </w:rPr>
        <w:t>La demande indique si l</w:t>
      </w:r>
      <w:r w:rsidR="00A341C2" w:rsidRPr="008B2DDA">
        <w:rPr>
          <w:rFonts w:eastAsia="Batang"/>
          <w:lang w:eastAsia="ko-KR"/>
        </w:rPr>
        <w:t>’</w:t>
      </w:r>
      <w:r w:rsidR="003F12D0" w:rsidRPr="008B2DDA">
        <w:rPr>
          <w:rFonts w:eastAsia="Batang"/>
          <w:lang w:eastAsia="ko-KR"/>
        </w:rPr>
        <w:t>enregistrement, l</w:t>
      </w:r>
      <w:r w:rsidR="00A341C2" w:rsidRPr="008B2DDA">
        <w:rPr>
          <w:rFonts w:eastAsia="Batang"/>
          <w:lang w:eastAsia="ko-KR"/>
        </w:rPr>
        <w:t>’</w:t>
      </w:r>
      <w:r w:rsidR="003F12D0" w:rsidRPr="008B2DDA">
        <w:rPr>
          <w:rFonts w:eastAsia="Batang"/>
          <w:lang w:eastAsia="ko-KR"/>
        </w:rPr>
        <w:t>acte législatif ou réglementaire ou la décision judiciaire ou administrative en vertu duquel la protection est accordée à l</w:t>
      </w:r>
      <w:r w:rsidR="00A341C2" w:rsidRPr="008B2DDA">
        <w:rPr>
          <w:rFonts w:eastAsia="Batang"/>
          <w:lang w:eastAsia="ko-KR"/>
        </w:rPr>
        <w:t>’</w:t>
      </w:r>
      <w:r w:rsidR="003F12D0" w:rsidRPr="008B2DDA">
        <w:rPr>
          <w:rFonts w:eastAsia="Batang"/>
          <w:lang w:eastAsia="ko-KR"/>
        </w:rPr>
        <w:t>appellation d</w:t>
      </w:r>
      <w:r w:rsidR="00A341C2" w:rsidRPr="008B2DDA">
        <w:rPr>
          <w:rFonts w:eastAsia="Batang"/>
          <w:lang w:eastAsia="ko-KR"/>
        </w:rPr>
        <w:t>’</w:t>
      </w:r>
      <w:r w:rsidR="003F12D0" w:rsidRPr="008B2DDA">
        <w:rPr>
          <w:rFonts w:eastAsia="Batang"/>
          <w:lang w:eastAsia="ko-KR"/>
        </w:rPr>
        <w:t>origine ou à l</w:t>
      </w:r>
      <w:r w:rsidR="00A341C2" w:rsidRPr="008B2DDA">
        <w:rPr>
          <w:rFonts w:eastAsia="Batang"/>
          <w:lang w:eastAsia="ko-KR"/>
        </w:rPr>
        <w:t>’</w:t>
      </w:r>
      <w:r w:rsidR="003F12D0" w:rsidRPr="008B2DDA">
        <w:rPr>
          <w:rFonts w:eastAsia="Batang"/>
          <w:lang w:eastAsia="ko-KR"/>
        </w:rPr>
        <w:t>indication géographique dans la partie contractante d</w:t>
      </w:r>
      <w:r w:rsidR="00A341C2" w:rsidRPr="008B2DDA">
        <w:rPr>
          <w:rFonts w:eastAsia="Batang"/>
          <w:lang w:eastAsia="ko-KR"/>
        </w:rPr>
        <w:t>’</w:t>
      </w:r>
      <w:r w:rsidR="003F12D0" w:rsidRPr="008B2DDA">
        <w:rPr>
          <w:rFonts w:eastAsia="Batang"/>
          <w:lang w:eastAsia="ko-KR"/>
        </w:rPr>
        <w:t xml:space="preserve">origine précise ou non que la protection </w:t>
      </w:r>
      <w:proofErr w:type="gramStart"/>
      <w:r w:rsidR="003F12D0" w:rsidRPr="008B2DDA">
        <w:rPr>
          <w:rFonts w:eastAsia="Batang"/>
          <w:lang w:eastAsia="ko-KR"/>
        </w:rPr>
        <w:t>n</w:t>
      </w:r>
      <w:r w:rsidR="00A341C2" w:rsidRPr="008B2DDA">
        <w:rPr>
          <w:rFonts w:eastAsia="Batang"/>
          <w:lang w:eastAsia="ko-KR"/>
        </w:rPr>
        <w:t>’</w:t>
      </w:r>
      <w:r w:rsidR="003F12D0" w:rsidRPr="008B2DDA">
        <w:rPr>
          <w:rFonts w:eastAsia="Batang"/>
          <w:lang w:eastAsia="ko-KR"/>
        </w:rPr>
        <w:t>est</w:t>
      </w:r>
      <w:proofErr w:type="gramEnd"/>
      <w:r w:rsidR="003F12D0" w:rsidRPr="008B2DDA">
        <w:rPr>
          <w:rFonts w:eastAsia="Batang"/>
          <w:lang w:eastAsia="ko-KR"/>
        </w:rPr>
        <w:t xml:space="preserve"> pas octroyée sur certains éléments de l</w:t>
      </w:r>
      <w:r w:rsidR="00A341C2" w:rsidRPr="008B2DDA">
        <w:rPr>
          <w:rFonts w:eastAsia="Batang"/>
          <w:lang w:eastAsia="ko-KR"/>
        </w:rPr>
        <w:t>’</w:t>
      </w:r>
      <w:r w:rsidR="003F12D0" w:rsidRPr="008B2DDA">
        <w:rPr>
          <w:rFonts w:eastAsia="Batang"/>
          <w:lang w:eastAsia="ko-KR"/>
        </w:rPr>
        <w:t>appellation d</w:t>
      </w:r>
      <w:r w:rsidR="00A341C2" w:rsidRPr="008B2DDA">
        <w:rPr>
          <w:rFonts w:eastAsia="Batang"/>
          <w:lang w:eastAsia="ko-KR"/>
        </w:rPr>
        <w:t>’</w:t>
      </w:r>
      <w:r w:rsidR="003F12D0" w:rsidRPr="008B2DDA">
        <w:rPr>
          <w:rFonts w:eastAsia="Batang"/>
          <w:lang w:eastAsia="ko-KR"/>
        </w:rPr>
        <w:t>origine ou de l</w:t>
      </w:r>
      <w:r w:rsidR="00A341C2" w:rsidRPr="008B2DDA">
        <w:rPr>
          <w:rFonts w:eastAsia="Batang"/>
          <w:lang w:eastAsia="ko-KR"/>
        </w:rPr>
        <w:t>’</w:t>
      </w:r>
      <w:r w:rsidR="003F12D0" w:rsidRPr="008B2DDA">
        <w:rPr>
          <w:rFonts w:eastAsia="Batang"/>
          <w:lang w:eastAsia="ko-KR"/>
        </w:rPr>
        <w:t>indication géographique.</w:t>
      </w:r>
      <w:r w:rsidRPr="008B2DDA">
        <w:rPr>
          <w:rFonts w:eastAsia="Batang"/>
          <w:lang w:eastAsia="ko-KR"/>
        </w:rPr>
        <w:t xml:space="preserve">  </w:t>
      </w:r>
      <w:r w:rsidR="003F12D0" w:rsidRPr="008B2DDA">
        <w:rPr>
          <w:rFonts w:eastAsia="Batang"/>
          <w:lang w:eastAsia="ko-KR"/>
        </w:rPr>
        <w:t>Ces éléments sont indiqués dans la demande dans une langue de travail.</w:t>
      </w:r>
    </w:p>
    <w:p w14:paraId="3B0B4CE0" w14:textId="76E9A87B" w:rsidR="007079A8" w:rsidRPr="008B2DDA" w:rsidRDefault="007079A8" w:rsidP="008B2DDA">
      <w:bookmarkStart w:id="23" w:name="Rule_8_1"/>
      <w:bookmarkStart w:id="24" w:name="Rule_9"/>
    </w:p>
    <w:p w14:paraId="3B910711" w14:textId="77777777" w:rsidR="007079A8" w:rsidRPr="008B2DDA" w:rsidRDefault="007079A8" w:rsidP="00807A13">
      <w:pPr>
        <w:pBdr>
          <w:top w:val="single" w:sz="4" w:space="1" w:color="auto"/>
        </w:pBdr>
      </w:pPr>
    </w:p>
    <w:p w14:paraId="45C8DAE9" w14:textId="4817FADC" w:rsidR="007079A8" w:rsidRPr="008B2DDA" w:rsidRDefault="00141D04" w:rsidP="008B2DDA">
      <w:r w:rsidRPr="008B2DDA">
        <w:rPr>
          <w:b/>
        </w:rPr>
        <w:t>Règle</w:t>
      </w:r>
      <w:r w:rsidR="00E26A2C" w:rsidRPr="008B2DDA">
        <w:rPr>
          <w:b/>
        </w:rPr>
        <w:t> </w:t>
      </w:r>
      <w:r w:rsidRPr="008B2DDA">
        <w:rPr>
          <w:b/>
        </w:rPr>
        <w:t>8.</w:t>
      </w:r>
      <w:r w:rsidR="00311638" w:rsidRPr="008B2DDA">
        <w:rPr>
          <w:b/>
        </w:rPr>
        <w:t xml:space="preserve">1) </w:t>
      </w:r>
      <w:bookmarkEnd w:id="23"/>
      <w:r w:rsidRPr="008B2DDA">
        <w:rPr>
          <w:b/>
        </w:rPr>
        <w:t>Montant des taxes</w:t>
      </w:r>
      <w:r w:rsidR="00E26A2C" w:rsidRPr="008B2DDA">
        <w:rPr>
          <w:b/>
        </w:rPr>
        <w:t> </w:t>
      </w:r>
      <w:r w:rsidR="00311638" w:rsidRPr="008B2DDA">
        <w:rPr>
          <w:b/>
        </w:rPr>
        <w:t>:</w:t>
      </w:r>
      <w:r w:rsidR="00D96D9D" w:rsidRPr="008B2DDA">
        <w:t xml:space="preserve"> </w:t>
      </w:r>
      <w:r w:rsidR="00B51A98" w:rsidRPr="008B2DDA">
        <w:rPr>
          <w:rStyle w:val="hps"/>
        </w:rPr>
        <w:t xml:space="preserve">Les </w:t>
      </w:r>
      <w:r w:rsidR="00EC4020" w:rsidRPr="008B2DDA">
        <w:rPr>
          <w:rFonts w:eastAsia="Batang"/>
          <w:lang w:eastAsia="ko-KR"/>
        </w:rPr>
        <w:t>États</w:t>
      </w:r>
      <w:r w:rsidR="00D67EA4" w:rsidRPr="008B2DDA">
        <w:rPr>
          <w:rFonts w:eastAsia="Batang"/>
          <w:lang w:eastAsia="ko-KR"/>
        </w:rPr>
        <w:noBreakHyphen/>
      </w:r>
      <w:r w:rsidR="00EC4020" w:rsidRPr="008B2DDA">
        <w:rPr>
          <w:rFonts w:eastAsia="Batang"/>
          <w:lang w:eastAsia="ko-KR"/>
        </w:rPr>
        <w:t>Unis</w:t>
      </w:r>
      <w:r w:rsidR="00E26A2C" w:rsidRPr="008B2DDA">
        <w:rPr>
          <w:rFonts w:eastAsia="Batang"/>
          <w:lang w:eastAsia="ko-KR"/>
        </w:rPr>
        <w:t xml:space="preserve"> d’Amérique</w:t>
      </w:r>
      <w:r w:rsidR="00EC4020" w:rsidRPr="008B2DDA">
        <w:rPr>
          <w:rFonts w:eastAsia="Batang"/>
          <w:lang w:eastAsia="ko-KR"/>
        </w:rPr>
        <w:t xml:space="preserve"> </w:t>
      </w:r>
      <w:r w:rsidR="00B51A98" w:rsidRPr="008B2DDA">
        <w:rPr>
          <w:rStyle w:val="hps"/>
        </w:rPr>
        <w:t>propose</w:t>
      </w:r>
      <w:r w:rsidR="00EC4020" w:rsidRPr="008B2DDA">
        <w:rPr>
          <w:rStyle w:val="hps"/>
        </w:rPr>
        <w:t>nt</w:t>
      </w:r>
      <w:r w:rsidR="00B51A98" w:rsidRPr="008B2DDA">
        <w:rPr>
          <w:rStyle w:val="hps"/>
        </w:rPr>
        <w:t xml:space="preserve"> d</w:t>
      </w:r>
      <w:r w:rsidR="00A341C2" w:rsidRPr="008B2DDA">
        <w:rPr>
          <w:rStyle w:val="hps"/>
        </w:rPr>
        <w:t>’</w:t>
      </w:r>
      <w:r w:rsidR="00B51A98" w:rsidRPr="008B2DDA">
        <w:rPr>
          <w:rStyle w:val="hps"/>
        </w:rPr>
        <w:t>augmenter</w:t>
      </w:r>
      <w:r w:rsidR="00B51A98" w:rsidRPr="008B2DDA">
        <w:t xml:space="preserve"> </w:t>
      </w:r>
      <w:r w:rsidR="00B51A98" w:rsidRPr="008B2DDA">
        <w:rPr>
          <w:rStyle w:val="hps"/>
        </w:rPr>
        <w:t xml:space="preserve">le montant des </w:t>
      </w:r>
      <w:r w:rsidR="00D96D9D" w:rsidRPr="008B2DDA">
        <w:rPr>
          <w:rStyle w:val="hps"/>
        </w:rPr>
        <w:t>taxes</w:t>
      </w:r>
      <w:r w:rsidR="00B51A98" w:rsidRPr="008B2DDA">
        <w:t xml:space="preserve"> </w:t>
      </w:r>
      <w:r w:rsidR="00B51A98" w:rsidRPr="008B2DDA">
        <w:rPr>
          <w:rStyle w:val="hps"/>
        </w:rPr>
        <w:t>d</w:t>
      </w:r>
      <w:r w:rsidR="00A341C2" w:rsidRPr="008B2DDA">
        <w:rPr>
          <w:rStyle w:val="hps"/>
        </w:rPr>
        <w:t>’</w:t>
      </w:r>
      <w:r w:rsidR="00B51A98" w:rsidRPr="008B2DDA">
        <w:rPr>
          <w:rStyle w:val="hps"/>
        </w:rPr>
        <w:t>enregistrement international</w:t>
      </w:r>
      <w:r w:rsidR="00B51A98" w:rsidRPr="008B2DDA">
        <w:t xml:space="preserve"> </w:t>
      </w:r>
      <w:r w:rsidR="00B51A98" w:rsidRPr="008B2DDA">
        <w:rPr>
          <w:rStyle w:val="hps"/>
        </w:rPr>
        <w:t xml:space="preserve">et </w:t>
      </w:r>
      <w:r w:rsidR="00B3755E" w:rsidRPr="008B2DDA">
        <w:rPr>
          <w:rStyle w:val="hps"/>
        </w:rPr>
        <w:t>des autres taxes énoncées dans</w:t>
      </w:r>
      <w:r w:rsidR="00D96D9D" w:rsidRPr="008B2DDA">
        <w:rPr>
          <w:rStyle w:val="hps"/>
        </w:rPr>
        <w:t xml:space="preserve"> la règle </w:t>
      </w:r>
      <w:r w:rsidR="00B51A98" w:rsidRPr="008B2DDA">
        <w:rPr>
          <w:rStyle w:val="hps"/>
        </w:rPr>
        <w:t>8</w:t>
      </w:r>
      <w:r w:rsidR="00D96D9D" w:rsidRPr="008B2DDA">
        <w:t>.</w:t>
      </w:r>
      <w:r w:rsidR="00B51A98" w:rsidRPr="008B2DDA">
        <w:t xml:space="preserve">1) </w:t>
      </w:r>
      <w:r w:rsidR="00A15295" w:rsidRPr="008B2DDA">
        <w:t>de manière à ce que les recettes couvrent</w:t>
      </w:r>
      <w:r w:rsidR="00D96D9D" w:rsidRPr="008B2DDA">
        <w:rPr>
          <w:rStyle w:val="hps"/>
        </w:rPr>
        <w:t xml:space="preserve"> </w:t>
      </w:r>
      <w:r w:rsidR="00B51A98" w:rsidRPr="008B2DDA">
        <w:rPr>
          <w:rStyle w:val="hps"/>
        </w:rPr>
        <w:t>les dépenses</w:t>
      </w:r>
      <w:r w:rsidR="00B51A98" w:rsidRPr="008B2DDA">
        <w:t xml:space="preserve">. </w:t>
      </w:r>
      <w:r w:rsidR="00D96D9D" w:rsidRPr="008B2DDA">
        <w:t xml:space="preserve"> </w:t>
      </w:r>
      <w:r w:rsidR="00B51A98"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Unis</w:t>
      </w:r>
      <w:r w:rsidR="00E26A2C" w:rsidRPr="008B2DDA">
        <w:rPr>
          <w:rStyle w:val="hps"/>
        </w:rPr>
        <w:t xml:space="preserve"> d’Amérique</w:t>
      </w:r>
      <w:r w:rsidR="005C22F0" w:rsidRPr="008B2DDA">
        <w:rPr>
          <w:rStyle w:val="hps"/>
        </w:rPr>
        <w:t xml:space="preserve"> </w:t>
      </w:r>
      <w:r w:rsidR="00B51A98" w:rsidRPr="008B2DDA">
        <w:t xml:space="preserve">demandent </w:t>
      </w:r>
      <w:r w:rsidR="00B51A98" w:rsidRPr="008B2DDA">
        <w:rPr>
          <w:rStyle w:val="hps"/>
        </w:rPr>
        <w:t>une estimation</w:t>
      </w:r>
      <w:r w:rsidR="00B51A98" w:rsidRPr="008B2DDA">
        <w:t xml:space="preserve"> </w:t>
      </w:r>
      <w:r w:rsidR="00B51A98" w:rsidRPr="008B2DDA">
        <w:rPr>
          <w:rStyle w:val="hps"/>
        </w:rPr>
        <w:t>du Secrétariat</w:t>
      </w:r>
      <w:r w:rsidR="00B51A98" w:rsidRPr="008B2DDA">
        <w:t xml:space="preserve"> </w:t>
      </w:r>
      <w:r w:rsidR="00A15295" w:rsidRPr="008B2DDA">
        <w:rPr>
          <w:rStyle w:val="hps"/>
        </w:rPr>
        <w:t>sur les montants à prévoir pour le prochain exercice biennal</w:t>
      </w:r>
      <w:r w:rsidR="00B51A98" w:rsidRPr="008B2DDA">
        <w:rPr>
          <w:rStyle w:val="hps"/>
        </w:rPr>
        <w:t>.</w:t>
      </w:r>
    </w:p>
    <w:p w14:paraId="4582FE47" w14:textId="77777777" w:rsidR="007079A8" w:rsidRPr="008B2DDA" w:rsidRDefault="007079A8" w:rsidP="008B2DDA"/>
    <w:p w14:paraId="4D61B745" w14:textId="7F189399" w:rsidR="007079A8" w:rsidRPr="008B2DDA" w:rsidRDefault="00141D04" w:rsidP="008B2DDA">
      <w:r w:rsidRPr="008B2DDA">
        <w:t>Règle</w:t>
      </w:r>
      <w:r w:rsidR="00E26A2C" w:rsidRPr="008B2DDA">
        <w:t> </w:t>
      </w:r>
      <w:r w:rsidRPr="008B2DDA">
        <w:t>8.</w:t>
      </w:r>
      <w:r w:rsidR="00311638" w:rsidRPr="008B2DDA">
        <w:t>1)</w:t>
      </w:r>
    </w:p>
    <w:p w14:paraId="38C0A4DD" w14:textId="77777777" w:rsidR="007079A8" w:rsidRPr="008B2DDA" w:rsidRDefault="007079A8" w:rsidP="008B2DDA"/>
    <w:p w14:paraId="31144ECB" w14:textId="6CE34F89" w:rsidR="00A341C2" w:rsidRPr="008B2DDA" w:rsidRDefault="003D2E88" w:rsidP="008B2DDA">
      <w:r w:rsidRPr="008B2DDA">
        <w:t>1)</w:t>
      </w:r>
      <w:r w:rsidRPr="008B2DDA">
        <w:tab/>
      </w:r>
      <w:r w:rsidRPr="008B2DDA">
        <w:rPr>
          <w:i/>
        </w:rPr>
        <w:t xml:space="preserve">[Montant des taxes] </w:t>
      </w:r>
      <w:r w:rsidRPr="008B2DDA">
        <w:t>Le Bureau international perçoit les taxes suivantes, payables en francs suisses</w:t>
      </w:r>
      <w:r w:rsidR="00E26A2C" w:rsidRPr="008B2DDA">
        <w:t> </w:t>
      </w:r>
      <w:r w:rsidRPr="008B2DDA">
        <w:t>:</w:t>
      </w:r>
    </w:p>
    <w:p w14:paraId="7042EC4E" w14:textId="40713471" w:rsidR="007079A8" w:rsidRPr="008B2DDA" w:rsidRDefault="003D2E88" w:rsidP="008B2DDA">
      <w:pPr>
        <w:tabs>
          <w:tab w:val="left" w:pos="550"/>
          <w:tab w:val="left" w:pos="1080"/>
          <w:tab w:val="left" w:pos="8364"/>
        </w:tabs>
        <w:rPr>
          <w:rFonts w:eastAsia="Batang"/>
          <w:lang w:eastAsia="ko-KR"/>
        </w:rPr>
      </w:pPr>
      <w:r w:rsidRPr="008B2DDA">
        <w:tab/>
        <w:t>i)</w:t>
      </w:r>
      <w:r w:rsidRPr="008B2DDA">
        <w:tab/>
        <w:t>taxe d</w:t>
      </w:r>
      <w:r w:rsidR="00A341C2" w:rsidRPr="008B2DDA">
        <w:t>’</w:t>
      </w:r>
      <w:r w:rsidRPr="008B2DDA">
        <w:t xml:space="preserve">enregistrement international </w:t>
      </w:r>
      <w:r w:rsidRPr="008B2DDA">
        <w:tab/>
        <w:t>[</w:t>
      </w:r>
      <w:r w:rsidRPr="008B2DDA">
        <w:rPr>
          <w:strike/>
        </w:rPr>
        <w:t>500</w:t>
      </w:r>
      <w:r w:rsidRPr="008B2DDA">
        <w:t>]</w:t>
      </w:r>
    </w:p>
    <w:p w14:paraId="52706412" w14:textId="58444084" w:rsidR="007079A8" w:rsidRPr="008B2DDA" w:rsidRDefault="003D2E88" w:rsidP="008B2DDA">
      <w:pPr>
        <w:tabs>
          <w:tab w:val="left" w:pos="550"/>
          <w:tab w:val="left" w:pos="1080"/>
          <w:tab w:val="left" w:pos="8364"/>
          <w:tab w:val="left" w:pos="8910"/>
        </w:tabs>
      </w:pPr>
      <w:r w:rsidRPr="008B2DDA">
        <w:tab/>
        <w:t>ii)</w:t>
      </w:r>
      <w:r w:rsidRPr="008B2DDA">
        <w:tab/>
        <w:t>taxe pour chaque modification d</w:t>
      </w:r>
      <w:r w:rsidR="00A341C2" w:rsidRPr="008B2DDA">
        <w:t>’</w:t>
      </w:r>
      <w:r w:rsidRPr="008B2DDA">
        <w:t>un enregistrement international</w:t>
      </w:r>
      <w:r w:rsidRPr="008B2DDA">
        <w:tab/>
        <w:t>[</w:t>
      </w:r>
      <w:r w:rsidRPr="008B2DDA">
        <w:rPr>
          <w:strike/>
        </w:rPr>
        <w:t>200</w:t>
      </w:r>
      <w:r w:rsidRPr="008B2DDA">
        <w:t>]</w:t>
      </w:r>
    </w:p>
    <w:p w14:paraId="3CBBEA92" w14:textId="427C4F7B" w:rsidR="007079A8" w:rsidRPr="008B2DDA" w:rsidRDefault="003D2E88" w:rsidP="008B2DDA">
      <w:pPr>
        <w:tabs>
          <w:tab w:val="left" w:pos="550"/>
          <w:tab w:val="left" w:pos="1080"/>
          <w:tab w:val="left" w:pos="8364"/>
          <w:tab w:val="left" w:pos="8910"/>
        </w:tabs>
      </w:pPr>
      <w:r w:rsidRPr="008B2DDA">
        <w:tab/>
        <w:t>iii)</w:t>
      </w:r>
      <w:r w:rsidRPr="008B2DDA">
        <w:tab/>
        <w:t>taxe pour la fourniture d</w:t>
      </w:r>
      <w:r w:rsidR="00A341C2" w:rsidRPr="008B2DDA">
        <w:t>’</w:t>
      </w:r>
      <w:r w:rsidRPr="008B2DDA">
        <w:t xml:space="preserve">un extrait du registre international </w:t>
      </w:r>
      <w:r w:rsidRPr="008B2DDA">
        <w:tab/>
        <w:t>[</w:t>
      </w:r>
      <w:r w:rsidRPr="008B2DDA">
        <w:rPr>
          <w:strike/>
        </w:rPr>
        <w:t>90</w:t>
      </w:r>
      <w:r w:rsidRPr="008B2DDA">
        <w:t>]</w:t>
      </w:r>
    </w:p>
    <w:p w14:paraId="1022A953" w14:textId="06F83FE3" w:rsidR="007079A8" w:rsidRPr="008B2DDA" w:rsidRDefault="003D2E88" w:rsidP="008B2DDA">
      <w:pPr>
        <w:tabs>
          <w:tab w:val="left" w:pos="550"/>
          <w:tab w:val="left" w:pos="1080"/>
          <w:tab w:val="left" w:pos="8910"/>
          <w:tab w:val="left" w:pos="9130"/>
        </w:tabs>
      </w:pPr>
      <w:r w:rsidRPr="008B2DDA">
        <w:tab/>
        <w:t>iv)</w:t>
      </w:r>
      <w:r w:rsidRPr="008B2DDA">
        <w:tab/>
        <w:t>taxe pour la fourniture d</w:t>
      </w:r>
      <w:r w:rsidR="00A341C2" w:rsidRPr="008B2DDA">
        <w:t>’</w:t>
      </w:r>
      <w:r w:rsidRPr="008B2DDA">
        <w:t>une attestation ou de tout autre renseignement</w:t>
      </w:r>
    </w:p>
    <w:p w14:paraId="1CC6972B" w14:textId="77777777" w:rsidR="007079A8" w:rsidRPr="008B2DDA" w:rsidRDefault="003D2E88" w:rsidP="008B2DDA">
      <w:pPr>
        <w:tabs>
          <w:tab w:val="left" w:pos="550"/>
          <w:tab w:val="left" w:pos="1080"/>
          <w:tab w:val="left" w:pos="8364"/>
          <w:tab w:val="left" w:pos="8910"/>
          <w:tab w:val="left" w:pos="9130"/>
        </w:tabs>
      </w:pPr>
      <w:proofErr w:type="gramStart"/>
      <w:r w:rsidRPr="008B2DDA">
        <w:t>par</w:t>
      </w:r>
      <w:proofErr w:type="gramEnd"/>
      <w:r w:rsidRPr="008B2DDA">
        <w:t xml:space="preserve"> écrit sur le contenu du registre international</w:t>
      </w:r>
      <w:r w:rsidRPr="008B2DDA">
        <w:tab/>
        <w:t>[</w:t>
      </w:r>
      <w:r w:rsidRPr="008B2DDA">
        <w:rPr>
          <w:strike/>
        </w:rPr>
        <w:t>80</w:t>
      </w:r>
      <w:r w:rsidRPr="008B2DDA">
        <w:t>]</w:t>
      </w:r>
    </w:p>
    <w:p w14:paraId="09A20113" w14:textId="2BA5D6E1" w:rsidR="007079A8" w:rsidRPr="008B2DDA" w:rsidRDefault="003D2E88" w:rsidP="008B2DDA">
      <w:pPr>
        <w:tabs>
          <w:tab w:val="left" w:pos="550"/>
          <w:tab w:val="left" w:pos="1080"/>
          <w:tab w:val="left" w:pos="8580"/>
          <w:tab w:val="left" w:pos="9130"/>
        </w:tabs>
      </w:pPr>
      <w:r w:rsidRPr="008B2DDA">
        <w:tab/>
        <w:t>[v)</w:t>
      </w:r>
      <w:r w:rsidRPr="008B2DDA">
        <w:tab/>
        <w:t>taxes individuelles visées à l</w:t>
      </w:r>
      <w:r w:rsidR="00A341C2" w:rsidRPr="008B2DDA">
        <w:t>’</w:t>
      </w:r>
      <w:r w:rsidRPr="008B2DDA">
        <w:t>alinéa 2)]</w:t>
      </w:r>
    </w:p>
    <w:p w14:paraId="270FEF13" w14:textId="77777777" w:rsidR="007079A8" w:rsidRPr="008B2DDA" w:rsidRDefault="007079A8" w:rsidP="008B2DDA">
      <w:pPr>
        <w:rPr>
          <w:b/>
        </w:rPr>
      </w:pPr>
    </w:p>
    <w:p w14:paraId="29537615" w14:textId="77777777" w:rsidR="007079A8" w:rsidRPr="008B2DDA" w:rsidRDefault="007079A8" w:rsidP="00807A13">
      <w:pPr>
        <w:pBdr>
          <w:top w:val="single" w:sz="4" w:space="1" w:color="auto"/>
        </w:pBdr>
        <w:rPr>
          <w:b/>
        </w:rPr>
      </w:pPr>
    </w:p>
    <w:p w14:paraId="01E5D6BA" w14:textId="539E87A6" w:rsidR="007079A8" w:rsidRPr="008B2DDA" w:rsidRDefault="00B3755E" w:rsidP="008B2DDA">
      <w:r w:rsidRPr="008B2DDA">
        <w:rPr>
          <w:b/>
        </w:rPr>
        <w:t>Règle 9.</w:t>
      </w:r>
      <w:r w:rsidR="00311638" w:rsidRPr="008B2DDA">
        <w:rPr>
          <w:b/>
        </w:rPr>
        <w:t xml:space="preserve">1) Notification </w:t>
      </w:r>
      <w:r w:rsidR="000B3595" w:rsidRPr="008B2DDA">
        <w:rPr>
          <w:b/>
        </w:rPr>
        <w:t>de refus des enregistrements internationaux existants</w:t>
      </w:r>
      <w:bookmarkEnd w:id="24"/>
      <w:r w:rsidR="000B3595" w:rsidRPr="008B2DDA">
        <w:rPr>
          <w:b/>
        </w:rPr>
        <w:t> </w:t>
      </w:r>
      <w:r w:rsidR="00311638" w:rsidRPr="008B2DDA">
        <w:rPr>
          <w:b/>
        </w:rPr>
        <w:t>:</w:t>
      </w:r>
      <w:r w:rsidR="00311638" w:rsidRPr="008B2DDA">
        <w:t xml:space="preserve"> </w:t>
      </w:r>
      <w:r w:rsidR="00B51A98" w:rsidRPr="008B2DDA">
        <w:rPr>
          <w:rStyle w:val="hps"/>
        </w:rPr>
        <w:t xml:space="preserve">Les </w:t>
      </w:r>
      <w:r w:rsidR="005C22F0" w:rsidRPr="008B2DDA">
        <w:rPr>
          <w:rStyle w:val="hps"/>
        </w:rPr>
        <w:t>États</w:t>
      </w:r>
      <w:r w:rsidR="00D67EA4" w:rsidRPr="008B2DDA">
        <w:rPr>
          <w:rStyle w:val="hps"/>
        </w:rPr>
        <w:noBreakHyphen/>
      </w:r>
      <w:r w:rsidR="005C22F0" w:rsidRPr="008B2DDA">
        <w:rPr>
          <w:rStyle w:val="hps"/>
        </w:rPr>
        <w:t xml:space="preserve">Unis </w:t>
      </w:r>
      <w:r w:rsidR="00E26A2C" w:rsidRPr="008B2DDA">
        <w:rPr>
          <w:rStyle w:val="hps"/>
        </w:rPr>
        <w:t>d’Amérique</w:t>
      </w:r>
      <w:r w:rsidR="005C22F0" w:rsidRPr="008B2DDA">
        <w:rPr>
          <w:rStyle w:val="hps"/>
        </w:rPr>
        <w:t xml:space="preserve"> </w:t>
      </w:r>
      <w:r w:rsidR="000B3595" w:rsidRPr="008B2DDA">
        <w:t>approuvent</w:t>
      </w:r>
      <w:r w:rsidR="00B51A98" w:rsidRPr="008B2DDA">
        <w:t xml:space="preserve"> </w:t>
      </w:r>
      <w:r w:rsidR="00B51A98" w:rsidRPr="008B2DDA">
        <w:rPr>
          <w:rStyle w:val="hps"/>
        </w:rPr>
        <w:t xml:space="preserve">la </w:t>
      </w:r>
      <w:r w:rsidR="000B3595" w:rsidRPr="008B2DDA">
        <w:rPr>
          <w:rStyle w:val="hps"/>
        </w:rPr>
        <w:t>p</w:t>
      </w:r>
      <w:r w:rsidR="003D0EED" w:rsidRPr="008B2DDA">
        <w:rPr>
          <w:rStyle w:val="hps"/>
        </w:rPr>
        <w:t>rol</w:t>
      </w:r>
      <w:r w:rsidR="000B3595" w:rsidRPr="008B2DDA">
        <w:rPr>
          <w:rStyle w:val="hps"/>
        </w:rPr>
        <w:t>ongation</w:t>
      </w:r>
      <w:r w:rsidR="00B51A98" w:rsidRPr="008B2DDA">
        <w:rPr>
          <w:rStyle w:val="hps"/>
        </w:rPr>
        <w:t xml:space="preserve"> </w:t>
      </w:r>
      <w:r w:rsidR="002D5BCE" w:rsidRPr="008B2DDA">
        <w:rPr>
          <w:rStyle w:val="hps"/>
        </w:rPr>
        <w:t xml:space="preserve">de trois ans maximum </w:t>
      </w:r>
      <w:r w:rsidR="00B51A98" w:rsidRPr="008B2DDA">
        <w:rPr>
          <w:rStyle w:val="hps"/>
        </w:rPr>
        <w:t>du délai</w:t>
      </w:r>
      <w:r w:rsidR="00B51A98" w:rsidRPr="008B2DDA">
        <w:t xml:space="preserve"> </w:t>
      </w:r>
      <w:r w:rsidR="003D0EED" w:rsidRPr="008B2DDA">
        <w:rPr>
          <w:rStyle w:val="hps"/>
        </w:rPr>
        <w:t>accordé aux</w:t>
      </w:r>
      <w:r w:rsidR="00B51A98" w:rsidRPr="008B2DDA">
        <w:rPr>
          <w:rStyle w:val="hps"/>
        </w:rPr>
        <w:t xml:space="preserve"> parties contractantes</w:t>
      </w:r>
      <w:r w:rsidR="00B51A98" w:rsidRPr="008B2DDA">
        <w:t xml:space="preserve"> </w:t>
      </w:r>
      <w:r w:rsidR="00400F46" w:rsidRPr="008B2DDA">
        <w:t xml:space="preserve">nouvellement </w:t>
      </w:r>
      <w:r w:rsidR="000B3595" w:rsidRPr="008B2DDA">
        <w:rPr>
          <w:rStyle w:val="hps"/>
        </w:rPr>
        <w:t>adhérentes</w:t>
      </w:r>
      <w:r w:rsidR="000B3595" w:rsidRPr="008B2DDA">
        <w:t xml:space="preserve"> </w:t>
      </w:r>
      <w:r w:rsidR="003D0EED" w:rsidRPr="008B2DDA">
        <w:rPr>
          <w:rStyle w:val="hps"/>
        </w:rPr>
        <w:t xml:space="preserve">pour </w:t>
      </w:r>
      <w:r w:rsidR="00B51A98" w:rsidRPr="008B2DDA">
        <w:rPr>
          <w:rStyle w:val="hps"/>
        </w:rPr>
        <w:t>examiner les</w:t>
      </w:r>
      <w:r w:rsidR="00B51A98" w:rsidRPr="008B2DDA">
        <w:t xml:space="preserve"> </w:t>
      </w:r>
      <w:r w:rsidR="00B51A98" w:rsidRPr="008B2DDA">
        <w:rPr>
          <w:rStyle w:val="hps"/>
        </w:rPr>
        <w:t>enregistrements existants</w:t>
      </w:r>
      <w:r w:rsidR="00B51A98" w:rsidRPr="008B2DDA">
        <w:t xml:space="preserve"> </w:t>
      </w:r>
      <w:r w:rsidR="000B3595" w:rsidRPr="008B2DDA">
        <w:rPr>
          <w:rStyle w:val="hps"/>
        </w:rPr>
        <w:t xml:space="preserve">en vertu de </w:t>
      </w:r>
      <w:r w:rsidR="003D0EED" w:rsidRPr="008B2DDA">
        <w:rPr>
          <w:rStyle w:val="hps"/>
        </w:rPr>
        <w:t>l</w:t>
      </w:r>
      <w:r w:rsidR="00A341C2" w:rsidRPr="008B2DDA">
        <w:rPr>
          <w:rStyle w:val="hps"/>
        </w:rPr>
        <w:t>’</w:t>
      </w:r>
      <w:r w:rsidR="000B3595" w:rsidRPr="008B2DDA">
        <w:rPr>
          <w:rStyle w:val="hps"/>
        </w:rPr>
        <w:t>Acte</w:t>
      </w:r>
      <w:r w:rsidR="00B51A98" w:rsidRPr="008B2DDA">
        <w:t xml:space="preserve"> </w:t>
      </w:r>
      <w:r w:rsidR="003D0EED" w:rsidRPr="008B2DDA">
        <w:t>en vigueur</w:t>
      </w:r>
      <w:r w:rsidR="00B51A98" w:rsidRPr="008B2DDA">
        <w:rPr>
          <w:rStyle w:val="hps"/>
        </w:rPr>
        <w:t>.</w:t>
      </w:r>
    </w:p>
    <w:p w14:paraId="696B61E7" w14:textId="77777777" w:rsidR="00172895" w:rsidRPr="008B2DDA" w:rsidRDefault="00172895" w:rsidP="008B2DDA"/>
    <w:p w14:paraId="5797CDEF" w14:textId="676F3DD1" w:rsidR="007079A8" w:rsidRPr="008B2DDA" w:rsidRDefault="003D2E88" w:rsidP="008B2DDA">
      <w:pPr>
        <w:tabs>
          <w:tab w:val="left" w:pos="7037"/>
        </w:tabs>
      </w:pPr>
      <w:r w:rsidRPr="008B2DDA">
        <w:t>Règle</w:t>
      </w:r>
      <w:r w:rsidR="00E26A2C" w:rsidRPr="008B2DDA">
        <w:t> </w:t>
      </w:r>
      <w:r w:rsidRPr="008B2DDA">
        <w:t>9</w:t>
      </w:r>
    </w:p>
    <w:p w14:paraId="75C433B2" w14:textId="77777777" w:rsidR="00172895" w:rsidRPr="008B2DDA" w:rsidRDefault="00172895" w:rsidP="008B2DDA">
      <w:pPr>
        <w:tabs>
          <w:tab w:val="left" w:pos="7037"/>
        </w:tabs>
      </w:pPr>
    </w:p>
    <w:p w14:paraId="19EC315B" w14:textId="4F58C4C0" w:rsidR="00A341C2" w:rsidRPr="008B2DDA" w:rsidRDefault="003D2E88" w:rsidP="008B2DDA">
      <w:r w:rsidRPr="008B2DDA">
        <w:t>1)</w:t>
      </w:r>
      <w:r w:rsidRPr="008B2DDA">
        <w:tab/>
      </w:r>
      <w:r w:rsidRPr="008B2DDA">
        <w:rPr>
          <w:i/>
        </w:rPr>
        <w:t xml:space="preserve">[Notification au Bureau international] </w:t>
      </w:r>
      <w:r w:rsidR="00A54CD5" w:rsidRPr="008B2DDA">
        <w:t>a) </w:t>
      </w:r>
      <w:r w:rsidRPr="008B2DDA">
        <w:t>Tout refus doit être notifié au Bureau international par l</w:t>
      </w:r>
      <w:r w:rsidR="00A341C2" w:rsidRPr="008B2DDA">
        <w:t>’</w:t>
      </w:r>
      <w:r w:rsidRPr="008B2DDA">
        <w:t>administration compétente de la partie contractante concernée et doit être signé par cette administration compétente.</w:t>
      </w:r>
    </w:p>
    <w:p w14:paraId="37DB93F4" w14:textId="31A36F4A" w:rsidR="007079A8" w:rsidRPr="008B2DDA" w:rsidRDefault="00311638" w:rsidP="008B2DDA">
      <w:r w:rsidRPr="008B2DDA">
        <w:tab/>
      </w:r>
      <w:proofErr w:type="gramStart"/>
      <w:r w:rsidR="003D2E88" w:rsidRPr="008B2DDA">
        <w:t>b</w:t>
      </w:r>
      <w:proofErr w:type="gramEnd"/>
      <w:r w:rsidR="003D2E88" w:rsidRPr="008B2DDA">
        <w:t>)</w:t>
      </w:r>
      <w:r w:rsidR="003D2E88" w:rsidRPr="008B2DDA">
        <w:tab/>
        <w:t>Ce refus doit être notifié dans un délai d</w:t>
      </w:r>
      <w:r w:rsidR="00A341C2" w:rsidRPr="008B2DDA">
        <w:t>’</w:t>
      </w:r>
      <w:r w:rsidR="003D2E88" w:rsidRPr="008B2DDA">
        <w:t>une année à compter de la réception de la notification de l</w:t>
      </w:r>
      <w:r w:rsidR="00A341C2" w:rsidRPr="008B2DDA">
        <w:t>’</w:t>
      </w:r>
      <w:r w:rsidR="003D2E88" w:rsidRPr="008B2DDA">
        <w:t>enregistrement international visée à l</w:t>
      </w:r>
      <w:r w:rsidR="00A341C2" w:rsidRPr="008B2DDA">
        <w:t>’</w:t>
      </w:r>
      <w:r w:rsidR="003D2E88" w:rsidRPr="008B2DDA">
        <w:t>article</w:t>
      </w:r>
      <w:r w:rsidR="00E26A2C" w:rsidRPr="008B2DDA">
        <w:t> </w:t>
      </w:r>
      <w:r w:rsidR="003D2E88" w:rsidRPr="008B2DDA">
        <w:t>6.4).</w:t>
      </w:r>
      <w:r w:rsidRPr="008B2DDA">
        <w:t xml:space="preserve">  </w:t>
      </w:r>
      <w:r w:rsidR="00B51A98" w:rsidRPr="008B2DDA">
        <w:rPr>
          <w:rStyle w:val="hps"/>
        </w:rPr>
        <w:t>Dans le cas</w:t>
      </w:r>
      <w:r w:rsidR="00B51A98" w:rsidRPr="008B2DDA">
        <w:t xml:space="preserve"> </w:t>
      </w:r>
      <w:r w:rsidR="00400F46" w:rsidRPr="008B2DDA">
        <w:rPr>
          <w:rStyle w:val="hps"/>
        </w:rPr>
        <w:t>visé à</w:t>
      </w:r>
      <w:r w:rsidR="00B51A98" w:rsidRPr="008B2DDA">
        <w:rPr>
          <w:rStyle w:val="hps"/>
        </w:rPr>
        <w:t xml:space="preserve"> l</w:t>
      </w:r>
      <w:r w:rsidR="00A341C2" w:rsidRPr="008B2DDA">
        <w:rPr>
          <w:rStyle w:val="hps"/>
        </w:rPr>
        <w:t>’</w:t>
      </w:r>
      <w:r w:rsidR="00B51A98" w:rsidRPr="008B2DDA">
        <w:rPr>
          <w:rStyle w:val="hps"/>
        </w:rPr>
        <w:t>article</w:t>
      </w:r>
      <w:r w:rsidR="00C412D8" w:rsidRPr="008B2DDA">
        <w:t> </w:t>
      </w:r>
      <w:r w:rsidR="00B51A98" w:rsidRPr="008B2DDA">
        <w:rPr>
          <w:rStyle w:val="hps"/>
        </w:rPr>
        <w:t>29</w:t>
      </w:r>
      <w:r w:rsidR="00C412D8" w:rsidRPr="008B2DDA">
        <w:t>.</w:t>
      </w:r>
      <w:r w:rsidR="00B51A98" w:rsidRPr="008B2DDA">
        <w:t xml:space="preserve">4), </w:t>
      </w:r>
      <w:r w:rsidR="00B51A98" w:rsidRPr="008B2DDA">
        <w:rPr>
          <w:rStyle w:val="hps"/>
        </w:rPr>
        <w:t>ce délai peut</w:t>
      </w:r>
      <w:r w:rsidR="00B51A98" w:rsidRPr="008B2DDA">
        <w:t xml:space="preserve"> </w:t>
      </w:r>
      <w:r w:rsidR="00B51A98" w:rsidRPr="008B2DDA">
        <w:rPr>
          <w:rStyle w:val="hps"/>
        </w:rPr>
        <w:t xml:space="preserve">être </w:t>
      </w:r>
      <w:r w:rsidR="00400F46" w:rsidRPr="008B2DDA">
        <w:rPr>
          <w:rStyle w:val="hps"/>
        </w:rPr>
        <w:t>prolongé</w:t>
      </w:r>
      <w:r w:rsidR="00B51A98" w:rsidRPr="008B2DDA">
        <w:rPr>
          <w:rStyle w:val="hps"/>
          <w:strike/>
        </w:rPr>
        <w:t xml:space="preserve"> </w:t>
      </w:r>
      <w:r w:rsidR="00400F46" w:rsidRPr="008B2DDA">
        <w:rPr>
          <w:strike/>
        </w:rPr>
        <w:t>d</w:t>
      </w:r>
      <w:r w:rsidR="00A341C2" w:rsidRPr="008B2DDA">
        <w:rPr>
          <w:strike/>
        </w:rPr>
        <w:t>’</w:t>
      </w:r>
      <w:r w:rsidR="00400F46" w:rsidRPr="008B2DDA">
        <w:rPr>
          <w:strike/>
        </w:rPr>
        <w:t>une année</w:t>
      </w:r>
      <w:r w:rsidR="00400F46" w:rsidRPr="008B2DDA">
        <w:rPr>
          <w:rStyle w:val="hps"/>
          <w:u w:val="single"/>
        </w:rPr>
        <w:t xml:space="preserve"> de trois ans </w:t>
      </w:r>
      <w:r w:rsidR="002D5BCE" w:rsidRPr="008B2DDA">
        <w:rPr>
          <w:rStyle w:val="hps"/>
          <w:u w:val="single"/>
        </w:rPr>
        <w:t>maximum</w:t>
      </w:r>
      <w:r w:rsidRPr="008B2DDA">
        <w:t>.</w:t>
      </w:r>
    </w:p>
    <w:p w14:paraId="7DC7C950" w14:textId="77777777" w:rsidR="007079A8" w:rsidRPr="008B2DDA" w:rsidRDefault="007079A8" w:rsidP="008B2DDA">
      <w:pPr>
        <w:pStyle w:val="Endofdocument-Annex"/>
      </w:pPr>
    </w:p>
    <w:p w14:paraId="7482F274" w14:textId="77777777" w:rsidR="007079A8" w:rsidRPr="008B2DDA" w:rsidRDefault="007079A8" w:rsidP="008B2DDA">
      <w:pPr>
        <w:pStyle w:val="Endofdocument-Annex"/>
      </w:pPr>
    </w:p>
    <w:p w14:paraId="5E9C37A9" w14:textId="77777777" w:rsidR="007079A8" w:rsidRPr="008B2DDA" w:rsidRDefault="007079A8" w:rsidP="008B2DDA">
      <w:pPr>
        <w:pStyle w:val="Endofdocument-Annex"/>
      </w:pPr>
    </w:p>
    <w:p w14:paraId="23F39A5E" w14:textId="7B90882B" w:rsidR="007079A8" w:rsidRPr="008B2DDA" w:rsidRDefault="00355FAD" w:rsidP="008B2DDA">
      <w:pPr>
        <w:pStyle w:val="Endofdocument-Annex"/>
      </w:pPr>
      <w:r w:rsidRPr="008B2DDA">
        <w:t>[</w:t>
      </w:r>
      <w:r w:rsidR="00A54CD5" w:rsidRPr="008B2DDA">
        <w:t>Fin de l</w:t>
      </w:r>
      <w:r w:rsidR="00A341C2" w:rsidRPr="008B2DDA">
        <w:t>’</w:t>
      </w:r>
      <w:r w:rsidRPr="008B2DDA">
        <w:t>annexe</w:t>
      </w:r>
      <w:r w:rsidR="00E26A2C" w:rsidRPr="008B2DDA">
        <w:t> </w:t>
      </w:r>
      <w:r w:rsidR="00A54CD5" w:rsidRPr="008B2DDA">
        <w:t>X e</w:t>
      </w:r>
      <w:r w:rsidRPr="008B2DDA">
        <w:t>t</w:t>
      </w:r>
      <w:r w:rsidR="00A54CD5" w:rsidRPr="008B2DDA">
        <w:t xml:space="preserve"> du document</w:t>
      </w:r>
      <w:r w:rsidRPr="008B2DDA">
        <w:t>]</w:t>
      </w:r>
    </w:p>
    <w:p w14:paraId="72C4E37D" w14:textId="77777777" w:rsidR="00A54CD5" w:rsidRPr="008B2DDA" w:rsidRDefault="00A54CD5" w:rsidP="008B2DDA">
      <w:pPr>
        <w:pStyle w:val="Endofdocument-Annex"/>
      </w:pPr>
    </w:p>
    <w:sectPr w:rsidR="00A54CD5" w:rsidRPr="008B2DDA" w:rsidSect="00A341C2">
      <w:headerReference w:type="default" r:id="rId33"/>
      <w:headerReference w:type="first" r:id="rId34"/>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F458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44AE" w14:textId="77777777" w:rsidR="000F705C" w:rsidRDefault="000F705C">
      <w:r>
        <w:separator/>
      </w:r>
    </w:p>
  </w:endnote>
  <w:endnote w:type="continuationSeparator" w:id="0">
    <w:p w14:paraId="31257858" w14:textId="77777777" w:rsidR="000F705C" w:rsidRDefault="000F705C" w:rsidP="003B38C1">
      <w:r>
        <w:separator/>
      </w:r>
    </w:p>
    <w:p w14:paraId="05868D6E" w14:textId="77777777" w:rsidR="000F705C" w:rsidRPr="001F705D" w:rsidRDefault="000F705C" w:rsidP="003B38C1">
      <w:pPr>
        <w:spacing w:after="60"/>
        <w:rPr>
          <w:sz w:val="17"/>
          <w:lang w:val="en-US"/>
        </w:rPr>
      </w:pPr>
      <w:r w:rsidRPr="001F705D">
        <w:rPr>
          <w:sz w:val="17"/>
          <w:lang w:val="en-US"/>
        </w:rPr>
        <w:t>[Endnote continued from previous page]</w:t>
      </w:r>
    </w:p>
  </w:endnote>
  <w:endnote w:type="continuationNotice" w:id="1">
    <w:p w14:paraId="2B9FE924" w14:textId="77777777" w:rsidR="000F705C" w:rsidRPr="001F705D" w:rsidRDefault="000F705C" w:rsidP="003B38C1">
      <w:pPr>
        <w:spacing w:before="60"/>
        <w:jc w:val="right"/>
        <w:rPr>
          <w:sz w:val="17"/>
          <w:szCs w:val="17"/>
          <w:lang w:val="en-US"/>
        </w:rPr>
      </w:pPr>
      <w:r w:rsidRPr="001F705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함초롬바탕">
    <w:altName w:val="Batang"/>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휴먼명조">
    <w:altName w:val="바탕"/>
    <w:panose1 w:val="00000000000000000000"/>
    <w:charset w:val="81"/>
    <w:family w:val="roman"/>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A2BA5" w14:textId="29A21AA5" w:rsidR="000F705C" w:rsidRPr="00A341C2" w:rsidRDefault="000F705C" w:rsidP="00A341C2">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CA3DD" w14:textId="4E673A4A" w:rsidR="000F705C" w:rsidRPr="000274BC" w:rsidRDefault="000F705C" w:rsidP="00027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1C635" w14:textId="77777777" w:rsidR="000F705C" w:rsidRDefault="000F705C">
      <w:r>
        <w:separator/>
      </w:r>
    </w:p>
  </w:footnote>
  <w:footnote w:type="continuationSeparator" w:id="0">
    <w:p w14:paraId="596607F1" w14:textId="77777777" w:rsidR="000F705C" w:rsidRDefault="000F705C" w:rsidP="008B60B2">
      <w:r>
        <w:separator/>
      </w:r>
    </w:p>
    <w:p w14:paraId="3A4B8C0E" w14:textId="77777777" w:rsidR="000F705C" w:rsidRPr="001F705D" w:rsidRDefault="000F705C" w:rsidP="008B60B2">
      <w:pPr>
        <w:spacing w:after="60"/>
        <w:rPr>
          <w:sz w:val="17"/>
          <w:szCs w:val="17"/>
          <w:lang w:val="en-US"/>
        </w:rPr>
      </w:pPr>
      <w:r w:rsidRPr="001F705D">
        <w:rPr>
          <w:sz w:val="17"/>
          <w:szCs w:val="17"/>
          <w:lang w:val="en-US"/>
        </w:rPr>
        <w:t>[Footnote continued from previous page]</w:t>
      </w:r>
    </w:p>
  </w:footnote>
  <w:footnote w:type="continuationNotice" w:id="1">
    <w:p w14:paraId="28791D49" w14:textId="77777777" w:rsidR="000F705C" w:rsidRPr="001F705D" w:rsidRDefault="000F705C" w:rsidP="008B60B2">
      <w:pPr>
        <w:spacing w:before="60"/>
        <w:jc w:val="right"/>
        <w:rPr>
          <w:sz w:val="17"/>
          <w:szCs w:val="17"/>
          <w:lang w:val="en-US"/>
        </w:rPr>
      </w:pPr>
      <w:r w:rsidRPr="001F705D">
        <w:rPr>
          <w:sz w:val="17"/>
          <w:szCs w:val="17"/>
          <w:lang w:val="en-US"/>
        </w:rPr>
        <w:t>[Footnote continued on next page]</w:t>
      </w:r>
    </w:p>
  </w:footnote>
  <w:footnote w:id="2">
    <w:p w14:paraId="0BAE69A9" w14:textId="56F60AF9" w:rsidR="00DF16E7" w:rsidRPr="00CD4E54" w:rsidRDefault="00DF16E7" w:rsidP="00DF16E7">
      <w:pPr>
        <w:pStyle w:val="FootnoteText"/>
      </w:pPr>
      <w:r>
        <w:rPr>
          <w:rStyle w:val="FootnoteReference"/>
        </w:rPr>
        <w:t>*</w:t>
      </w:r>
      <w:r>
        <w:t xml:space="preserve"> </w:t>
      </w:r>
      <w:r w:rsidRPr="00CD4E54">
        <w:tab/>
      </w:r>
      <w:r w:rsidRPr="00CD4E54">
        <w:rPr>
          <w:rStyle w:val="hps"/>
          <w:color w:val="222222"/>
        </w:rPr>
        <w:t>Ces</w:t>
      </w:r>
      <w:r w:rsidRPr="00CD4E54">
        <w:rPr>
          <w:color w:val="222222"/>
        </w:rPr>
        <w:t xml:space="preserve"> </w:t>
      </w:r>
      <w:r w:rsidRPr="00CD4E54">
        <w:rPr>
          <w:rStyle w:val="hps"/>
          <w:color w:val="222222"/>
        </w:rPr>
        <w:t>questions en suspens</w:t>
      </w:r>
      <w:r w:rsidRPr="00CD4E54">
        <w:rPr>
          <w:color w:val="222222"/>
        </w:rPr>
        <w:t xml:space="preserve"> </w:t>
      </w:r>
      <w:r w:rsidRPr="00CD4E54">
        <w:rPr>
          <w:rStyle w:val="hps"/>
          <w:color w:val="222222"/>
        </w:rPr>
        <w:t>sont énumérées au paragraphe 4</w:t>
      </w:r>
      <w:r w:rsidRPr="00CD4E54">
        <w:rPr>
          <w:color w:val="222222"/>
        </w:rPr>
        <w:t xml:space="preserve"> </w:t>
      </w:r>
      <w:r w:rsidRPr="00CD4E54">
        <w:rPr>
          <w:rStyle w:val="hps"/>
          <w:color w:val="222222"/>
        </w:rPr>
        <w:t>du document</w:t>
      </w:r>
      <w:r>
        <w:rPr>
          <w:rStyle w:val="hps"/>
          <w:color w:val="222222"/>
        </w:rPr>
        <w:t xml:space="preserve"> </w:t>
      </w:r>
      <w:r w:rsidRPr="00CD4E54">
        <w:t>LI/DC/5.</w:t>
      </w:r>
    </w:p>
  </w:footnote>
  <w:footnote w:id="3">
    <w:p w14:paraId="2C42060D" w14:textId="77EC143F" w:rsidR="000F705C" w:rsidRDefault="000F705C" w:rsidP="008B2DDA">
      <w:pPr>
        <w:pStyle w:val="FootnoteText"/>
      </w:pPr>
      <w:r>
        <w:rPr>
          <w:rStyle w:val="FootnoteReference"/>
        </w:rPr>
        <w:footnoteRef/>
      </w:r>
      <w:r>
        <w:rPr>
          <w:rtl/>
        </w:rPr>
        <w:t xml:space="preserve"> </w:t>
      </w:r>
      <w:r>
        <w:tab/>
      </w:r>
      <w:r>
        <w:rPr>
          <w:rStyle w:val="hps"/>
          <w:color w:val="222222"/>
        </w:rPr>
        <w:t>Cette</w:t>
      </w:r>
      <w:r>
        <w:rPr>
          <w:color w:val="222222"/>
        </w:rPr>
        <w:t xml:space="preserve"> </w:t>
      </w:r>
      <w:r>
        <w:rPr>
          <w:rStyle w:val="hps"/>
          <w:color w:val="222222"/>
        </w:rPr>
        <w:t>proposition</w:t>
      </w:r>
      <w:r>
        <w:rPr>
          <w:color w:val="222222"/>
        </w:rPr>
        <w:t xml:space="preserve"> </w:t>
      </w:r>
      <w:r>
        <w:rPr>
          <w:rStyle w:val="hps"/>
          <w:color w:val="222222"/>
        </w:rPr>
        <w:t>est</w:t>
      </w:r>
      <w:r>
        <w:rPr>
          <w:color w:val="222222"/>
        </w:rPr>
        <w:t xml:space="preserve"> </w:t>
      </w:r>
      <w:r>
        <w:rPr>
          <w:rStyle w:val="hps"/>
          <w:color w:val="222222"/>
        </w:rPr>
        <w:t>faite sans</w:t>
      </w:r>
      <w:r>
        <w:rPr>
          <w:color w:val="222222"/>
        </w:rPr>
        <w:t xml:space="preserve"> </w:t>
      </w:r>
      <w:r>
        <w:rPr>
          <w:rStyle w:val="hps"/>
          <w:color w:val="222222"/>
        </w:rPr>
        <w:t>préjudice du droit</w:t>
      </w:r>
      <w:r>
        <w:rPr>
          <w:color w:val="222222"/>
        </w:rPr>
        <w:t xml:space="preserve"> </w:t>
      </w:r>
      <w:r>
        <w:rPr>
          <w:rStyle w:val="hps"/>
          <w:color w:val="222222"/>
        </w:rPr>
        <w:t>de faire des interventions</w:t>
      </w:r>
      <w:r>
        <w:rPr>
          <w:color w:val="222222"/>
        </w:rPr>
        <w:t xml:space="preserve"> </w:t>
      </w:r>
      <w:r>
        <w:rPr>
          <w:rStyle w:val="hps"/>
          <w:color w:val="222222"/>
        </w:rPr>
        <w:t>sur ces points</w:t>
      </w:r>
      <w:r>
        <w:rPr>
          <w:color w:val="222222"/>
        </w:rPr>
        <w:t xml:space="preserve"> </w:t>
      </w:r>
      <w:r>
        <w:rPr>
          <w:rStyle w:val="hps"/>
          <w:color w:val="222222"/>
        </w:rPr>
        <w:t>ou sur d’autres questions</w:t>
      </w:r>
      <w:r>
        <w:rPr>
          <w:color w:val="222222"/>
        </w:rPr>
        <w:t xml:space="preserve"> avant ou </w:t>
      </w:r>
      <w:r>
        <w:rPr>
          <w:rStyle w:val="hps"/>
          <w:color w:val="222222"/>
        </w:rPr>
        <w:t>pendant la conférence</w:t>
      </w:r>
      <w:r>
        <w:rPr>
          <w:color w:val="222222"/>
        </w:rPr>
        <w:t xml:space="preserve"> </w:t>
      </w:r>
      <w:r>
        <w:rPr>
          <w:rStyle w:val="hps"/>
          <w:color w:val="222222"/>
        </w:rPr>
        <w:t>diplomatique</w:t>
      </w:r>
      <w:r>
        <w:t>.</w:t>
      </w:r>
    </w:p>
  </w:footnote>
  <w:footnote w:id="4">
    <w:p w14:paraId="0382E8F2" w14:textId="222372E3" w:rsidR="000F705C" w:rsidRPr="00CD4E54" w:rsidRDefault="000F705C" w:rsidP="008B2DDA">
      <w:pPr>
        <w:pStyle w:val="FootnoteText"/>
      </w:pPr>
      <w:r>
        <w:rPr>
          <w:rStyle w:val="FootnoteReference"/>
        </w:rPr>
        <w:footnoteRef/>
      </w:r>
      <w:r w:rsidRPr="00CD4E54">
        <w:t xml:space="preserve"> </w:t>
      </w:r>
      <w:r w:rsidRPr="00CD4E54">
        <w:tab/>
      </w:r>
      <w:r w:rsidRPr="00CD4E54">
        <w:rPr>
          <w:rStyle w:val="hps"/>
          <w:color w:val="222222"/>
        </w:rPr>
        <w:t>Les références aux</w:t>
      </w:r>
      <w:r w:rsidRPr="00CD4E54">
        <w:rPr>
          <w:color w:val="222222"/>
        </w:rPr>
        <w:t xml:space="preserve"> </w:t>
      </w:r>
      <w:r w:rsidRPr="00CD4E54">
        <w:rPr>
          <w:rStyle w:val="hps"/>
          <w:color w:val="222222"/>
        </w:rPr>
        <w:t>dispositions textuelles</w:t>
      </w:r>
      <w:r w:rsidRPr="00CD4E54">
        <w:rPr>
          <w:color w:val="222222"/>
        </w:rPr>
        <w:t xml:space="preserve"> </w:t>
      </w:r>
      <w:r w:rsidRPr="00CD4E54">
        <w:rPr>
          <w:rStyle w:val="hps"/>
          <w:color w:val="222222"/>
        </w:rPr>
        <w:t>sont</w:t>
      </w:r>
      <w:r w:rsidRPr="00CD4E54">
        <w:rPr>
          <w:color w:val="222222"/>
        </w:rPr>
        <w:t xml:space="preserve"> </w:t>
      </w:r>
      <w:r>
        <w:rPr>
          <w:color w:val="222222"/>
        </w:rPr>
        <w:t>tirées des</w:t>
      </w:r>
      <w:r w:rsidRPr="00CD4E54">
        <w:rPr>
          <w:color w:val="222222"/>
        </w:rPr>
        <w:t xml:space="preserve"> </w:t>
      </w:r>
      <w:r w:rsidRPr="00CD4E54">
        <w:rPr>
          <w:rStyle w:val="hps"/>
          <w:color w:val="222222"/>
        </w:rPr>
        <w:t>documents LI</w:t>
      </w:r>
      <w:r>
        <w:rPr>
          <w:rStyle w:val="hps"/>
          <w:color w:val="222222"/>
        </w:rPr>
        <w:t>/DC</w:t>
      </w:r>
      <w:r w:rsidRPr="00CD4E54">
        <w:rPr>
          <w:rStyle w:val="hps"/>
          <w:color w:val="222222"/>
        </w:rPr>
        <w:t>/3 et</w:t>
      </w:r>
      <w:r w:rsidRPr="00CD4E54">
        <w:rPr>
          <w:color w:val="222222"/>
        </w:rPr>
        <w:t xml:space="preserve"> </w:t>
      </w:r>
      <w:r w:rsidRPr="00CD4E54">
        <w:rPr>
          <w:rStyle w:val="hps"/>
          <w:color w:val="222222"/>
        </w:rPr>
        <w:t>LI</w:t>
      </w:r>
      <w:r>
        <w:rPr>
          <w:rStyle w:val="hps"/>
          <w:color w:val="222222"/>
        </w:rPr>
        <w:t>/DC</w:t>
      </w:r>
      <w:r w:rsidRPr="00CD4E54">
        <w:rPr>
          <w:rStyle w:val="hps"/>
          <w:color w:val="222222"/>
        </w:rPr>
        <w:t>/4</w:t>
      </w:r>
      <w:r>
        <w:rPr>
          <w:rStyle w:val="hps"/>
          <w:color w:val="222222"/>
        </w:rPr>
        <w:t xml:space="preserve"> </w:t>
      </w:r>
      <w:r w:rsidRPr="00CD4E54">
        <w:rPr>
          <w:rStyle w:val="hps"/>
          <w:color w:val="222222"/>
        </w:rPr>
        <w:t>de l</w:t>
      </w:r>
      <w:r>
        <w:rPr>
          <w:rStyle w:val="hps"/>
          <w:color w:val="222222"/>
        </w:rPr>
        <w:t>’</w:t>
      </w:r>
      <w:r w:rsidRPr="00CD4E54">
        <w:rPr>
          <w:rStyle w:val="hps"/>
          <w:color w:val="222222"/>
        </w:rPr>
        <w:t>OMPI</w:t>
      </w:r>
      <w:r w:rsidRPr="00CD4E54">
        <w:rPr>
          <w:color w:val="222222"/>
        </w:rPr>
        <w:t xml:space="preserve"> </w:t>
      </w:r>
      <w:r>
        <w:rPr>
          <w:rStyle w:val="hps"/>
          <w:color w:val="222222"/>
        </w:rPr>
        <w:t>(voir</w:t>
      </w:r>
      <w:r w:rsidRPr="00CD4E54">
        <w:t xml:space="preserve"> </w:t>
      </w:r>
      <w:hyperlink r:id="rId1" w:history="1">
        <w:r w:rsidRPr="0080323D">
          <w:rPr>
            <w:rStyle w:val="Hyperlink"/>
          </w:rPr>
          <w:t>http://www.wipo.int/meetings/fr/details.jsp?meeting_id=35202</w:t>
        </w:r>
      </w:hyperlink>
      <w:r w:rsidRPr="0080323D">
        <w:t>).</w:t>
      </w:r>
    </w:p>
  </w:footnote>
  <w:footnote w:id="5">
    <w:p w14:paraId="5D367935" w14:textId="79637A11" w:rsidR="000F705C" w:rsidRDefault="000F705C" w:rsidP="008B2DDA">
      <w:pPr>
        <w:pStyle w:val="FootnoteText"/>
      </w:pPr>
      <w:r>
        <w:rPr>
          <w:rStyle w:val="FootnoteReference"/>
        </w:rPr>
        <w:footnoteRef/>
      </w:r>
      <w:r>
        <w:t xml:space="preserve"> </w:t>
      </w:r>
      <w:r>
        <w:tab/>
        <w:t>La note 2.05 du document LI/DC/5 de l’OMPI indique que la notion de notoriété intégrée dans la définition d’une appellation d’origine renvoie à la notoriété dans le pays d’origine.</w:t>
      </w:r>
    </w:p>
  </w:footnote>
  <w:footnote w:id="6">
    <w:p w14:paraId="410FA072" w14:textId="23071C0D" w:rsidR="000F705C" w:rsidRDefault="000F705C" w:rsidP="008B2DDA">
      <w:pPr>
        <w:pStyle w:val="FootnoteText"/>
      </w:pPr>
      <w:r>
        <w:rPr>
          <w:rStyle w:val="FootnoteReference"/>
        </w:rPr>
        <w:footnoteRef/>
      </w:r>
      <w:r>
        <w:t xml:space="preserve"> </w:t>
      </w:r>
      <w:r>
        <w:tab/>
      </w:r>
      <w:r>
        <w:rPr>
          <w:rStyle w:val="hps"/>
          <w:color w:val="222222"/>
        </w:rPr>
        <w:t>Apparemment</w:t>
      </w:r>
      <w:r>
        <w:rPr>
          <w:color w:val="222222"/>
        </w:rPr>
        <w:t xml:space="preserve"> cela permettrait </w:t>
      </w:r>
      <w:r>
        <w:rPr>
          <w:rStyle w:val="hps"/>
          <w:color w:val="222222"/>
        </w:rPr>
        <w:t>aussi de résoudre</w:t>
      </w:r>
      <w:r>
        <w:rPr>
          <w:color w:val="222222"/>
        </w:rPr>
        <w:t xml:space="preserve"> </w:t>
      </w:r>
      <w:r>
        <w:rPr>
          <w:rStyle w:val="hps"/>
          <w:color w:val="222222"/>
        </w:rPr>
        <w:t>le problème soulevé par</w:t>
      </w:r>
      <w:r>
        <w:rPr>
          <w:color w:val="222222"/>
        </w:rPr>
        <w:t xml:space="preserve"> </w:t>
      </w:r>
      <w:r>
        <w:rPr>
          <w:rStyle w:val="hps"/>
          <w:color w:val="222222"/>
        </w:rPr>
        <w:t>la délégation</w:t>
      </w:r>
      <w:r>
        <w:rPr>
          <w:color w:val="222222"/>
        </w:rPr>
        <w:t xml:space="preserve"> </w:t>
      </w:r>
      <w:r>
        <w:rPr>
          <w:rStyle w:val="hps"/>
          <w:color w:val="222222"/>
        </w:rPr>
        <w:t>du Pérou, à savoir que la législation</w:t>
      </w:r>
      <w:r>
        <w:rPr>
          <w:color w:val="222222"/>
        </w:rPr>
        <w:t xml:space="preserve"> de la Communauté </w:t>
      </w:r>
      <w:r>
        <w:rPr>
          <w:rStyle w:val="hps"/>
          <w:color w:val="222222"/>
        </w:rPr>
        <w:t>andine</w:t>
      </w:r>
      <w:r>
        <w:rPr>
          <w:color w:val="222222"/>
        </w:rPr>
        <w:t xml:space="preserve"> </w:t>
      </w:r>
      <w:r>
        <w:rPr>
          <w:rStyle w:val="hps"/>
          <w:color w:val="222222"/>
        </w:rPr>
        <w:t>n’envisage pas la possibilité pour une organisation intergouvernementale de déposer des demandes d’enregistrement international</w:t>
      </w:r>
      <w:r>
        <w:rPr>
          <w:color w:val="222222"/>
        </w:rPr>
        <w:t xml:space="preserve"> </w:t>
      </w:r>
      <w:r>
        <w:rPr>
          <w:rStyle w:val="hps"/>
          <w:color w:val="222222"/>
        </w:rPr>
        <w:t>(voir le paragraphe 18 du document</w:t>
      </w:r>
      <w:r>
        <w:rPr>
          <w:color w:val="222222"/>
        </w:rPr>
        <w:t xml:space="preserve"> </w:t>
      </w:r>
      <w:r>
        <w:rPr>
          <w:rStyle w:val="hps"/>
          <w:color w:val="222222"/>
        </w:rPr>
        <w:t>LI/WG/DEV/10/7 </w:t>
      </w:r>
      <w:proofErr w:type="spellStart"/>
      <w:r>
        <w:rPr>
          <w:rStyle w:val="hps"/>
          <w:color w:val="222222"/>
        </w:rPr>
        <w:t>Prov</w:t>
      </w:r>
      <w:proofErr w:type="spellEnd"/>
      <w:r>
        <w:rPr>
          <w:rStyle w:val="hps"/>
          <w:color w:val="222222"/>
        </w:rPr>
        <w:t>.</w:t>
      </w:r>
      <w:r w:rsidRPr="0080323D">
        <w:t xml:space="preserve"> </w:t>
      </w:r>
      <w:r>
        <w:rPr>
          <w:rStyle w:val="hps"/>
          <w:color w:val="222222"/>
        </w:rPr>
        <w:t>ainsi que le paragraphe</w:t>
      </w:r>
      <w:r>
        <w:rPr>
          <w:color w:val="222222"/>
        </w:rPr>
        <w:t> </w:t>
      </w:r>
      <w:r>
        <w:rPr>
          <w:rStyle w:val="hps"/>
          <w:color w:val="222222"/>
        </w:rPr>
        <w:t>41 du document</w:t>
      </w:r>
      <w:r>
        <w:rPr>
          <w:color w:val="222222"/>
        </w:rPr>
        <w:t xml:space="preserve"> </w:t>
      </w:r>
      <w:r>
        <w:rPr>
          <w:rStyle w:val="hps"/>
          <w:color w:val="222222"/>
        </w:rPr>
        <w:t>LI/WG/DEV/9/8 </w:t>
      </w:r>
      <w:proofErr w:type="spellStart"/>
      <w:r>
        <w:rPr>
          <w:rStyle w:val="hps"/>
          <w:color w:val="222222"/>
        </w:rPr>
        <w:t>Prov</w:t>
      </w:r>
      <w:proofErr w:type="spellEnd"/>
      <w:r>
        <w:t>.</w:t>
      </w:r>
    </w:p>
  </w:footnote>
  <w:footnote w:id="7">
    <w:p w14:paraId="0F8B1866" w14:textId="44BB2D1E" w:rsidR="000F705C" w:rsidRPr="000D3DA2" w:rsidRDefault="000F705C" w:rsidP="008B2DDA">
      <w:pPr>
        <w:pStyle w:val="FootnoteText"/>
      </w:pPr>
      <w:r>
        <w:rPr>
          <w:rStyle w:val="FootnoteReference"/>
        </w:rPr>
        <w:footnoteRef/>
      </w:r>
      <w:r>
        <w:t xml:space="preserve"> </w:t>
      </w:r>
      <w:r>
        <w:tab/>
      </w:r>
      <w:r w:rsidRPr="000D3DA2">
        <w:rPr>
          <w:rStyle w:val="hps"/>
        </w:rPr>
        <w:t>Voir</w:t>
      </w:r>
      <w:r w:rsidRPr="000D3DA2">
        <w:t xml:space="preserve"> </w:t>
      </w:r>
      <w:r w:rsidRPr="000D3DA2">
        <w:rPr>
          <w:rStyle w:val="hps"/>
        </w:rPr>
        <w:t>l</w:t>
      </w:r>
      <w:r>
        <w:rPr>
          <w:rStyle w:val="hps"/>
        </w:rPr>
        <w:t>’</w:t>
      </w:r>
      <w:r w:rsidRPr="000D3DA2">
        <w:rPr>
          <w:rStyle w:val="hps"/>
        </w:rPr>
        <w:t>intervention</w:t>
      </w:r>
      <w:r w:rsidRPr="000D3DA2">
        <w:t xml:space="preserve"> </w:t>
      </w:r>
      <w:r w:rsidRPr="000D3DA2">
        <w:rPr>
          <w:rStyle w:val="hps"/>
        </w:rPr>
        <w:t>de la</w:t>
      </w:r>
      <w:r w:rsidRPr="000D3DA2">
        <w:t xml:space="preserve"> </w:t>
      </w:r>
      <w:r w:rsidRPr="000D3DA2">
        <w:rPr>
          <w:rStyle w:val="hps"/>
        </w:rPr>
        <w:t>délégation de la Bulgarie</w:t>
      </w:r>
      <w:r w:rsidRPr="000D3DA2">
        <w:t xml:space="preserve"> </w:t>
      </w:r>
      <w:r w:rsidRPr="000D3DA2">
        <w:rPr>
          <w:rStyle w:val="hps"/>
        </w:rPr>
        <w:t>au paragraphe</w:t>
      </w:r>
      <w:r w:rsidRPr="000D3DA2">
        <w:t> </w:t>
      </w:r>
      <w:r w:rsidRPr="000D3DA2">
        <w:rPr>
          <w:rStyle w:val="hps"/>
        </w:rPr>
        <w:t>181 du document</w:t>
      </w:r>
      <w:r>
        <w:t xml:space="preserve"> LI/WG/DEV/10/7 </w:t>
      </w:r>
      <w:proofErr w:type="spellStart"/>
      <w:r w:rsidRPr="000D3DA2">
        <w:t>Prov</w:t>
      </w:r>
      <w:proofErr w:type="spellEnd"/>
      <w:r w:rsidRPr="000D3DA2">
        <w:t>.</w:t>
      </w:r>
    </w:p>
  </w:footnote>
  <w:footnote w:id="8">
    <w:p w14:paraId="6633B281" w14:textId="48B1A742" w:rsidR="000F705C" w:rsidRDefault="000F705C" w:rsidP="008B2DDA">
      <w:pPr>
        <w:pStyle w:val="FootnoteText"/>
      </w:pPr>
      <w:r w:rsidRPr="000D3DA2">
        <w:rPr>
          <w:rStyle w:val="FootnoteReference"/>
        </w:rPr>
        <w:footnoteRef/>
      </w:r>
      <w:r>
        <w:t xml:space="preserve"> </w:t>
      </w:r>
      <w:r>
        <w:tab/>
        <w:t>Les États-</w:t>
      </w:r>
      <w:r w:rsidRPr="000D3DA2">
        <w:t>Unis</w:t>
      </w:r>
      <w:r>
        <w:t xml:space="preserve"> d’Amérique</w:t>
      </w:r>
      <w:r w:rsidRPr="000D3DA2">
        <w:t xml:space="preserve"> </w:t>
      </w:r>
      <w:r>
        <w:t>exigent</w:t>
      </w:r>
      <w:r w:rsidRPr="000D3DA2">
        <w:t xml:space="preserve">, </w:t>
      </w:r>
      <w:r>
        <w:t>en ce qui concerne</w:t>
      </w:r>
      <w:r w:rsidRPr="000D3DA2">
        <w:t xml:space="preserve"> les demandes déposées par l</w:t>
      </w:r>
      <w:r>
        <w:t>’</w:t>
      </w:r>
      <w:r w:rsidRPr="000D3DA2">
        <w:t>intermédiaire du Protocole de Madrid et de</w:t>
      </w:r>
      <w:r>
        <w:t xml:space="preserve"> la Convention de</w:t>
      </w:r>
      <w:r w:rsidRPr="000D3DA2">
        <w:t xml:space="preserve"> Paris, une déclaration </w:t>
      </w:r>
      <w:r>
        <w:t>indiquant que le déposant</w:t>
      </w:r>
      <w:r w:rsidRPr="000D3DA2">
        <w:t xml:space="preserve"> a l</w:t>
      </w:r>
      <w:r>
        <w:t>’</w:t>
      </w:r>
      <w:r w:rsidRPr="000D3DA2">
        <w:t>intention d</w:t>
      </w:r>
      <w:r>
        <w:t>’</w:t>
      </w:r>
      <w:r w:rsidRPr="000D3DA2">
        <w:t xml:space="preserve">utiliser </w:t>
      </w:r>
      <w:r>
        <w:t xml:space="preserve">de bonne foi </w:t>
      </w:r>
      <w:r w:rsidRPr="000D3DA2">
        <w:t xml:space="preserve">la marque </w:t>
      </w:r>
      <w:r>
        <w:t xml:space="preserve">à des fins commerciales, laquelle puisse être contrôlée par le </w:t>
      </w:r>
      <w:r w:rsidRPr="000D3DA2">
        <w:t>Congrès américain.</w:t>
      </w:r>
      <w:r>
        <w:t xml:space="preserve"> </w:t>
      </w:r>
      <w:r w:rsidRPr="000D3DA2">
        <w:t xml:space="preserve"> La déclaration doit </w:t>
      </w:r>
      <w:r>
        <w:t>préciser que</w:t>
      </w:r>
      <w:r w:rsidRPr="000D3DA2">
        <w:t xml:space="preserve"> </w:t>
      </w:r>
      <w:r>
        <w:t>le déclarant</w:t>
      </w:r>
      <w:r w:rsidRPr="000D3DA2">
        <w:t xml:space="preserve"> estime que le </w:t>
      </w:r>
      <w:r>
        <w:t>déposant</w:t>
      </w:r>
      <w:r w:rsidRPr="000D3DA2">
        <w:t xml:space="preserve"> </w:t>
      </w:r>
      <w:r>
        <w:t>est habilité</w:t>
      </w:r>
      <w:r w:rsidRPr="000D3DA2">
        <w:t xml:space="preserve"> à utiliser la marque </w:t>
      </w:r>
      <w:r>
        <w:t>à des fins commerciales</w:t>
      </w:r>
      <w:r w:rsidRPr="000D3DA2">
        <w:t xml:space="preserve"> (pour les marques) ou a le droit d</w:t>
      </w:r>
      <w:r>
        <w:t>’</w:t>
      </w:r>
      <w:r w:rsidRPr="000D3DA2">
        <w:t>exercer un contrôle légitime sur l</w:t>
      </w:r>
      <w:r>
        <w:t>’</w:t>
      </w:r>
      <w:r w:rsidRPr="000D3DA2">
        <w:t xml:space="preserve">utilisation </w:t>
      </w:r>
      <w:r>
        <w:t>commerciale par ses membres (</w:t>
      </w:r>
      <w:r w:rsidRPr="000D3DA2">
        <w:t xml:space="preserve">marque collective) ou par </w:t>
      </w:r>
      <w:r w:rsidRPr="004A65DA">
        <w:t>d</w:t>
      </w:r>
      <w:r>
        <w:t>’</w:t>
      </w:r>
      <w:r w:rsidRPr="004A65DA">
        <w:t xml:space="preserve">autres (marque de certification); </w:t>
      </w:r>
      <w:r>
        <w:t xml:space="preserve"> </w:t>
      </w:r>
      <w:r w:rsidRPr="004A65DA">
        <w:t xml:space="preserve">et que, pour </w:t>
      </w:r>
      <w:r>
        <w:t>autant qu’il sache,</w:t>
      </w:r>
      <w:r w:rsidRPr="004A65DA">
        <w:t xml:space="preserve"> aucune autre personne, entreprise, société ou association n</w:t>
      </w:r>
      <w:r>
        <w:t>’</w:t>
      </w:r>
      <w:r w:rsidRPr="004A65DA">
        <w:t>a le droit d</w:t>
      </w:r>
      <w:r>
        <w:t>’</w:t>
      </w:r>
      <w:r w:rsidRPr="004A65DA">
        <w:t xml:space="preserve">utiliser la marque </w:t>
      </w:r>
      <w:r>
        <w:t>à des fins commerciales</w:t>
      </w:r>
      <w:r w:rsidRPr="004A65DA">
        <w:t xml:space="preserve">, </w:t>
      </w:r>
      <w:r>
        <w:t xml:space="preserve">que ce </w:t>
      </w:r>
      <w:r w:rsidRPr="004A65DA">
        <w:t xml:space="preserve">soit sous </w:t>
      </w:r>
      <w:r>
        <w:t>une</w:t>
      </w:r>
      <w:r w:rsidRPr="004A65DA">
        <w:t xml:space="preserve"> forme </w:t>
      </w:r>
      <w:r>
        <w:t xml:space="preserve">identique </w:t>
      </w:r>
      <w:r w:rsidRPr="004A65DA">
        <w:t xml:space="preserve">ou </w:t>
      </w:r>
      <w:r>
        <w:t>sous une forme similaire susceptibles de créer des confusions, d’</w:t>
      </w:r>
      <w:r w:rsidRPr="004A65DA">
        <w:t xml:space="preserve">induire en erreur ou </w:t>
      </w:r>
      <w:r>
        <w:t xml:space="preserve">de </w:t>
      </w:r>
      <w:r w:rsidRPr="004A65DA">
        <w:t>tromper</w:t>
      </w:r>
      <w:r>
        <w:t xml:space="preserve"> en cas d’utilisation par rapport à des biens/</w:t>
      </w:r>
      <w:r w:rsidRPr="004A65DA">
        <w:t>s</w:t>
      </w:r>
      <w:r>
        <w:t>ervices de cette autre personne</w:t>
      </w:r>
      <w:r w:rsidRPr="004A65DA">
        <w:t>.</w:t>
      </w:r>
      <w:r>
        <w:t xml:space="preserve">  15 U.S.C. §1141(5).</w:t>
      </w:r>
    </w:p>
    <w:p w14:paraId="6853FA91" w14:textId="77777777" w:rsidR="000F705C" w:rsidRDefault="000F705C" w:rsidP="008B2DDA">
      <w:pPr>
        <w:pStyle w:val="FootnoteText"/>
      </w:pPr>
    </w:p>
    <w:p w14:paraId="78C0889B" w14:textId="15294E8F" w:rsidR="000F705C" w:rsidRDefault="000F705C" w:rsidP="008B2DDA">
      <w:pPr>
        <w:pStyle w:val="FootnoteText"/>
      </w:pPr>
      <w:r w:rsidRPr="009E3C5F">
        <w:t xml:space="preserve">La déclaration doit être signée par : </w:t>
      </w:r>
      <w:r>
        <w:t>1) </w:t>
      </w:r>
      <w:r w:rsidRPr="009E3C5F">
        <w:t xml:space="preserve">une personne ayant autorité légale pour obliger le </w:t>
      </w:r>
      <w:r>
        <w:t>déposant</w:t>
      </w:r>
      <w:r w:rsidRPr="009E3C5F">
        <w:t>;  2)</w:t>
      </w:r>
      <w:r>
        <w:t> </w:t>
      </w:r>
      <w:r w:rsidRPr="009E3C5F">
        <w:t xml:space="preserve">une personne ayant une connaissance directe des faits et autorité réelle </w:t>
      </w:r>
      <w:r>
        <w:t xml:space="preserve">ou </w:t>
      </w:r>
      <w:r w:rsidRPr="009E3C5F">
        <w:t xml:space="preserve">implicite </w:t>
      </w:r>
      <w:r>
        <w:t>pour</w:t>
      </w:r>
      <w:r w:rsidRPr="009E3C5F">
        <w:t xml:space="preserve"> agir au nom du </w:t>
      </w:r>
      <w:r>
        <w:t>déposant</w:t>
      </w:r>
      <w:r w:rsidRPr="009E3C5F">
        <w:t xml:space="preserve">; </w:t>
      </w:r>
      <w:r>
        <w:t xml:space="preserve"> </w:t>
      </w:r>
      <w:r w:rsidRPr="009E3C5F">
        <w:t>ou</w:t>
      </w:r>
      <w:r>
        <w:t> </w:t>
      </w:r>
      <w:r w:rsidRPr="009E3C5F">
        <w:t>3)</w:t>
      </w:r>
      <w:r>
        <w:t> </w:t>
      </w:r>
      <w:r w:rsidRPr="009E3C5F">
        <w:t>un avocat habilité à exercer devant l</w:t>
      </w:r>
      <w:r>
        <w:t>’</w:t>
      </w:r>
      <w:r w:rsidRPr="009E3C5F">
        <w:t xml:space="preserve">USPTO </w:t>
      </w:r>
      <w:r>
        <w:t>en vertu des dispositions du Code des lois et règlements américains 37 CFR </w:t>
      </w:r>
      <w:r w:rsidRPr="009E3C5F">
        <w:t xml:space="preserve">§11.14 </w:t>
      </w:r>
      <w:r>
        <w:t>ayant</w:t>
      </w:r>
      <w:r w:rsidRPr="009E3C5F">
        <w:t xml:space="preserve"> </w:t>
      </w:r>
      <w:r>
        <w:t>pouvoir réel écrit ou verbal ou bien pouvoir</w:t>
      </w:r>
      <w:r w:rsidRPr="009E3C5F">
        <w:t xml:space="preserve"> implicite</w:t>
      </w:r>
      <w:r>
        <w:t xml:space="preserve"> du déposant</w:t>
      </w:r>
      <w:r w:rsidRPr="009E3C5F">
        <w:t>.  37 C.F.R. §§2.33(a) et 2.193(e)(1).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EAF63" w14:textId="77777777" w:rsidR="000F705C" w:rsidRDefault="000F705C" w:rsidP="00355FAD">
    <w:pPr>
      <w:pStyle w:val="Header"/>
      <w:jc w:val="right"/>
    </w:pPr>
    <w:r>
      <w:t>LI/DC/7</w:t>
    </w:r>
  </w:p>
  <w:p w14:paraId="710B311E" w14:textId="77777777" w:rsidR="000F705C" w:rsidRDefault="000F705C" w:rsidP="00355FAD">
    <w:pPr>
      <w:pStyle w:val="Header"/>
      <w:jc w:val="right"/>
    </w:pPr>
    <w:proofErr w:type="gramStart"/>
    <w:r>
      <w:t>page</w:t>
    </w:r>
    <w:proofErr w:type="gramEnd"/>
    <w:r>
      <w:t xml:space="preserve"> </w:t>
    </w:r>
    <w:r>
      <w:fldChar w:fldCharType="begin"/>
    </w:r>
    <w:r>
      <w:instrText>PAGE   \* MERGEFORMAT</w:instrText>
    </w:r>
    <w:r>
      <w:fldChar w:fldCharType="separate"/>
    </w:r>
    <w:r w:rsidR="001F705D">
      <w:rPr>
        <w:noProof/>
      </w:rPr>
      <w:t>2</w:t>
    </w:r>
    <w:r>
      <w:fldChar w:fldCharType="end"/>
    </w:r>
  </w:p>
  <w:p w14:paraId="55684907" w14:textId="77777777" w:rsidR="000F705C" w:rsidRDefault="000F705C" w:rsidP="00355FAD">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5E50E" w14:textId="77777777" w:rsidR="000F705C" w:rsidRPr="00CD4E54" w:rsidRDefault="000F705C" w:rsidP="00355FAD">
    <w:pPr>
      <w:pStyle w:val="Header"/>
      <w:jc w:val="right"/>
    </w:pPr>
    <w:r w:rsidRPr="00CD4E54">
      <w:t>LI/DC/7</w:t>
    </w:r>
  </w:p>
  <w:p w14:paraId="5E01189C" w14:textId="5697C8C3" w:rsidR="000F705C" w:rsidRPr="00CD4E54" w:rsidRDefault="000F705C" w:rsidP="00355FAD">
    <w:pPr>
      <w:pStyle w:val="Header"/>
      <w:jc w:val="right"/>
    </w:pPr>
    <w:r>
      <w:t>Annexe V</w:t>
    </w:r>
    <w:r w:rsidRPr="00CD4E54">
      <w:t xml:space="preserve">, page </w:t>
    </w:r>
    <w:r>
      <w:fldChar w:fldCharType="begin"/>
    </w:r>
    <w:r w:rsidRPr="00CD4E54">
      <w:instrText>PAGE   \* MERGEFORMAT</w:instrText>
    </w:r>
    <w:r>
      <w:fldChar w:fldCharType="separate"/>
    </w:r>
    <w:r w:rsidR="001F705D">
      <w:rPr>
        <w:noProof/>
      </w:rPr>
      <w:t>2</w:t>
    </w:r>
    <w:r>
      <w:fldChar w:fldCharType="end"/>
    </w:r>
  </w:p>
  <w:p w14:paraId="6B1A004C" w14:textId="77777777" w:rsidR="000F705C" w:rsidRPr="00CD4E54" w:rsidRDefault="000F705C" w:rsidP="00355FAD">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CC886" w14:textId="77777777" w:rsidR="000F705C" w:rsidRDefault="000F705C" w:rsidP="00355FAD">
    <w:pPr>
      <w:pStyle w:val="Header"/>
      <w:jc w:val="right"/>
    </w:pPr>
    <w:r>
      <w:t>LI/DC/7</w:t>
    </w:r>
  </w:p>
  <w:p w14:paraId="20C5989E" w14:textId="6706813C" w:rsidR="000F705C" w:rsidRDefault="000F705C" w:rsidP="00355FAD">
    <w:pPr>
      <w:pStyle w:val="Header"/>
      <w:jc w:val="right"/>
    </w:pPr>
    <w:r>
      <w:t>ANNEXE V</w:t>
    </w:r>
  </w:p>
  <w:p w14:paraId="577CBA5E" w14:textId="77777777" w:rsidR="000F705C" w:rsidRDefault="000F705C" w:rsidP="00355FAD">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C2012" w14:textId="77777777" w:rsidR="000F705C" w:rsidRPr="00CD4E54" w:rsidRDefault="000F705C" w:rsidP="00355FAD">
    <w:pPr>
      <w:pStyle w:val="Header"/>
      <w:jc w:val="right"/>
    </w:pPr>
    <w:r w:rsidRPr="00CD4E54">
      <w:t>LI/DC/7</w:t>
    </w:r>
  </w:p>
  <w:p w14:paraId="176726FC" w14:textId="0CEBA8D3" w:rsidR="000F705C" w:rsidRPr="00CD4E54" w:rsidRDefault="000F705C" w:rsidP="00355FAD">
    <w:pPr>
      <w:pStyle w:val="Header"/>
      <w:jc w:val="right"/>
    </w:pPr>
    <w:r>
      <w:t>Annexe V</w:t>
    </w:r>
    <w:r w:rsidRPr="00CD4E54">
      <w:t>II</w:t>
    </w:r>
    <w:r>
      <w:t xml:space="preserve">, page </w:t>
    </w:r>
    <w:r>
      <w:fldChar w:fldCharType="begin"/>
    </w:r>
    <w:r>
      <w:instrText>PAGE   \* MERGEFORMAT</w:instrText>
    </w:r>
    <w:r>
      <w:fldChar w:fldCharType="separate"/>
    </w:r>
    <w:r w:rsidR="00E96223">
      <w:rPr>
        <w:noProof/>
      </w:rPr>
      <w:t>19</w:t>
    </w:r>
    <w:r>
      <w:fldChar w:fldCharType="end"/>
    </w:r>
  </w:p>
  <w:p w14:paraId="6B4F6038" w14:textId="77777777" w:rsidR="000F705C" w:rsidRPr="00CD4E54" w:rsidRDefault="000F705C" w:rsidP="00355FAD">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952F9" w14:textId="77777777" w:rsidR="000F705C" w:rsidRDefault="000F705C" w:rsidP="00355FAD">
    <w:pPr>
      <w:pStyle w:val="Header"/>
      <w:jc w:val="right"/>
    </w:pPr>
    <w:r>
      <w:t>LI/DC/7</w:t>
    </w:r>
  </w:p>
  <w:p w14:paraId="35D0DE31" w14:textId="09061756" w:rsidR="000F705C" w:rsidRDefault="000F705C" w:rsidP="00355FAD">
    <w:pPr>
      <w:pStyle w:val="Header"/>
      <w:jc w:val="right"/>
    </w:pPr>
    <w:r>
      <w:t>ANNEXE VI</w:t>
    </w:r>
  </w:p>
  <w:p w14:paraId="28E8DF6F" w14:textId="77777777" w:rsidR="000F705C" w:rsidRDefault="000F705C" w:rsidP="00355FAD">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86152" w14:textId="77777777" w:rsidR="000F705C" w:rsidRPr="00CD4E54" w:rsidRDefault="000F705C" w:rsidP="00355FAD">
    <w:pPr>
      <w:pStyle w:val="Header"/>
      <w:jc w:val="right"/>
    </w:pPr>
    <w:r w:rsidRPr="00CD4E54">
      <w:t>LI/DC/7</w:t>
    </w:r>
  </w:p>
  <w:p w14:paraId="686A505E" w14:textId="77777777" w:rsidR="000F705C" w:rsidRPr="00CD4E54" w:rsidRDefault="000F705C" w:rsidP="00355FAD">
    <w:pPr>
      <w:pStyle w:val="Header"/>
      <w:jc w:val="right"/>
    </w:pPr>
    <w:r>
      <w:t>Annexe V</w:t>
    </w:r>
    <w:r w:rsidRPr="00CD4E54">
      <w:t>II</w:t>
    </w:r>
    <w:r>
      <w:t xml:space="preserve">, page </w:t>
    </w:r>
    <w:r>
      <w:fldChar w:fldCharType="begin"/>
    </w:r>
    <w:r>
      <w:instrText>PAGE   \* MERGEFORMAT</w:instrText>
    </w:r>
    <w:r>
      <w:fldChar w:fldCharType="separate"/>
    </w:r>
    <w:r w:rsidR="001F705D">
      <w:rPr>
        <w:noProof/>
      </w:rPr>
      <w:t>2</w:t>
    </w:r>
    <w:r>
      <w:fldChar w:fldCharType="end"/>
    </w:r>
  </w:p>
  <w:p w14:paraId="519A0E39" w14:textId="77777777" w:rsidR="000F705C" w:rsidRPr="00CD4E54" w:rsidRDefault="000F705C" w:rsidP="00355FAD">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74D53" w14:textId="77777777" w:rsidR="000F705C" w:rsidRDefault="000F705C" w:rsidP="00355FAD">
    <w:pPr>
      <w:pStyle w:val="Header"/>
      <w:jc w:val="right"/>
    </w:pPr>
    <w:r>
      <w:t>LI/DC/7</w:t>
    </w:r>
  </w:p>
  <w:p w14:paraId="1EFE42EB" w14:textId="66284269" w:rsidR="000F705C" w:rsidRDefault="000F705C" w:rsidP="00355FAD">
    <w:pPr>
      <w:pStyle w:val="Header"/>
      <w:jc w:val="right"/>
    </w:pPr>
    <w:r>
      <w:t>ANNEXE VII</w:t>
    </w:r>
  </w:p>
  <w:p w14:paraId="1B59FC14" w14:textId="77777777" w:rsidR="000F705C" w:rsidRDefault="000F705C" w:rsidP="00355FAD">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94A0F" w14:textId="77777777" w:rsidR="000F705C" w:rsidRDefault="000F705C" w:rsidP="00355FAD">
    <w:pPr>
      <w:pStyle w:val="Header"/>
      <w:jc w:val="right"/>
    </w:pPr>
    <w:r>
      <w:t>LI/DC/7</w:t>
    </w:r>
  </w:p>
  <w:p w14:paraId="33CB2CE4" w14:textId="74082F76" w:rsidR="000F705C" w:rsidRDefault="000F705C" w:rsidP="00355FAD">
    <w:pPr>
      <w:pStyle w:val="Header"/>
      <w:jc w:val="right"/>
    </w:pPr>
    <w:r>
      <w:t>ANNEXE VIII</w:t>
    </w:r>
  </w:p>
  <w:p w14:paraId="14860205" w14:textId="77777777" w:rsidR="000F705C" w:rsidRDefault="000F705C" w:rsidP="00355FAD">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2F5A" w14:textId="77777777" w:rsidR="000F705C" w:rsidRPr="00CD4E54" w:rsidRDefault="000F705C" w:rsidP="00355FAD">
    <w:pPr>
      <w:pStyle w:val="Header"/>
      <w:jc w:val="right"/>
    </w:pPr>
    <w:r w:rsidRPr="00CD4E54">
      <w:t>LI/DC/7</w:t>
    </w:r>
  </w:p>
  <w:p w14:paraId="4E6F5D18" w14:textId="12EC9849" w:rsidR="000F705C" w:rsidRPr="00CD4E54" w:rsidRDefault="000F705C" w:rsidP="00355FAD">
    <w:pPr>
      <w:pStyle w:val="Header"/>
      <w:jc w:val="right"/>
    </w:pPr>
    <w:r>
      <w:t xml:space="preserve">Annexe </w:t>
    </w:r>
    <w:r w:rsidRPr="00CD4E54">
      <w:t>I</w:t>
    </w:r>
    <w:r>
      <w:t>X</w:t>
    </w:r>
    <w:r w:rsidRPr="00CD4E54">
      <w:t xml:space="preserve">, page </w:t>
    </w:r>
    <w:r>
      <w:fldChar w:fldCharType="begin"/>
    </w:r>
    <w:r w:rsidRPr="00CD4E54">
      <w:instrText>PAGE   \* MERGEFORMAT</w:instrText>
    </w:r>
    <w:r>
      <w:fldChar w:fldCharType="separate"/>
    </w:r>
    <w:r w:rsidR="001F705D">
      <w:rPr>
        <w:noProof/>
      </w:rPr>
      <w:t>4</w:t>
    </w:r>
    <w:r>
      <w:fldChar w:fldCharType="end"/>
    </w:r>
  </w:p>
  <w:p w14:paraId="215353E9" w14:textId="77777777" w:rsidR="000F705C" w:rsidRPr="00CD4E54" w:rsidRDefault="000F705C" w:rsidP="00355FAD">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45D2" w14:textId="77777777" w:rsidR="000F705C" w:rsidRDefault="000F705C" w:rsidP="00355FAD">
    <w:pPr>
      <w:pStyle w:val="Header"/>
      <w:jc w:val="right"/>
    </w:pPr>
    <w:r>
      <w:t>LI/DC/7</w:t>
    </w:r>
  </w:p>
  <w:p w14:paraId="6CAA509E" w14:textId="4AC1F7B0" w:rsidR="000F705C" w:rsidRDefault="000F705C" w:rsidP="00355FAD">
    <w:pPr>
      <w:pStyle w:val="Header"/>
      <w:jc w:val="right"/>
    </w:pPr>
    <w:r>
      <w:t>ANNEXE IX</w:t>
    </w:r>
  </w:p>
  <w:p w14:paraId="5CE3BA9A" w14:textId="77777777" w:rsidR="000F705C" w:rsidRDefault="000F705C" w:rsidP="00355FAD">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0F545" w14:textId="77777777" w:rsidR="000F705C" w:rsidRPr="00CD4E54" w:rsidRDefault="000F705C" w:rsidP="00355FAD">
    <w:pPr>
      <w:pStyle w:val="Header"/>
      <w:jc w:val="right"/>
    </w:pPr>
    <w:r w:rsidRPr="00CD4E54">
      <w:t>LI/DC/7</w:t>
    </w:r>
  </w:p>
  <w:p w14:paraId="4E5E26E4" w14:textId="7F5FECCA" w:rsidR="000F705C" w:rsidRPr="00CD4E54" w:rsidRDefault="000F705C" w:rsidP="00355FAD">
    <w:pPr>
      <w:pStyle w:val="Header"/>
      <w:jc w:val="right"/>
    </w:pPr>
    <w:r w:rsidRPr="00CD4E54">
      <w:t xml:space="preserve">Annexe </w:t>
    </w:r>
    <w:r>
      <w:t>X</w:t>
    </w:r>
    <w:r w:rsidRPr="00CD4E54">
      <w:t xml:space="preserve">, page </w:t>
    </w:r>
    <w:r>
      <w:fldChar w:fldCharType="begin"/>
    </w:r>
    <w:r w:rsidRPr="00CD4E54">
      <w:instrText>PAGE   \* MERGEFORMAT</w:instrText>
    </w:r>
    <w:r>
      <w:fldChar w:fldCharType="separate"/>
    </w:r>
    <w:r w:rsidR="001F705D">
      <w:rPr>
        <w:noProof/>
      </w:rPr>
      <w:t>19</w:t>
    </w:r>
    <w:r>
      <w:fldChar w:fldCharType="end"/>
    </w:r>
  </w:p>
  <w:p w14:paraId="0D06D5F8" w14:textId="77777777" w:rsidR="000F705C" w:rsidRPr="00CD4E54" w:rsidRDefault="000F705C" w:rsidP="00355FA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C4984" w14:textId="77777777" w:rsidR="000F705C" w:rsidRDefault="000F705C" w:rsidP="00355FAD">
    <w:pPr>
      <w:pStyle w:val="Header"/>
      <w:jc w:val="right"/>
    </w:pPr>
    <w:r>
      <w:t>LI/DC/7</w:t>
    </w:r>
  </w:p>
  <w:p w14:paraId="436D0393" w14:textId="77777777" w:rsidR="000F705C" w:rsidRDefault="000F705C" w:rsidP="00355FAD">
    <w:pPr>
      <w:pStyle w:val="Header"/>
      <w:jc w:val="right"/>
    </w:pPr>
    <w:r>
      <w:t xml:space="preserve">Annexe I, page </w:t>
    </w:r>
    <w:r>
      <w:fldChar w:fldCharType="begin"/>
    </w:r>
    <w:r>
      <w:instrText>PAGE   \* MERGEFORMAT</w:instrText>
    </w:r>
    <w:r>
      <w:fldChar w:fldCharType="separate"/>
    </w:r>
    <w:r w:rsidR="001F705D">
      <w:rPr>
        <w:noProof/>
      </w:rPr>
      <w:t>10</w:t>
    </w:r>
    <w:r>
      <w:fldChar w:fldCharType="end"/>
    </w:r>
  </w:p>
  <w:p w14:paraId="482F0833" w14:textId="77777777" w:rsidR="000F705C" w:rsidRDefault="000F705C" w:rsidP="00355FAD">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6754" w14:textId="77777777" w:rsidR="000F705C" w:rsidRDefault="000F705C" w:rsidP="00355FAD">
    <w:pPr>
      <w:pStyle w:val="Header"/>
      <w:jc w:val="right"/>
    </w:pPr>
    <w:r>
      <w:t>LI/DC/7</w:t>
    </w:r>
  </w:p>
  <w:p w14:paraId="23F3B9DD" w14:textId="11F48B42" w:rsidR="000F705C" w:rsidRDefault="000F705C" w:rsidP="00355FAD">
    <w:pPr>
      <w:pStyle w:val="Header"/>
      <w:jc w:val="right"/>
    </w:pPr>
    <w:r>
      <w:t>ANNEXE X</w:t>
    </w:r>
  </w:p>
  <w:p w14:paraId="582E1D8A" w14:textId="77777777" w:rsidR="000F705C" w:rsidRDefault="000F705C" w:rsidP="00355FA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35643" w14:textId="77777777" w:rsidR="000F705C" w:rsidRDefault="000F705C" w:rsidP="00355FAD">
    <w:pPr>
      <w:pStyle w:val="Header"/>
      <w:jc w:val="right"/>
    </w:pPr>
    <w:r>
      <w:t>LI/DC/7</w:t>
    </w:r>
  </w:p>
  <w:p w14:paraId="32A14000" w14:textId="77777777" w:rsidR="000F705C" w:rsidRDefault="000F705C" w:rsidP="00355FAD">
    <w:pPr>
      <w:pStyle w:val="Header"/>
      <w:jc w:val="right"/>
    </w:pPr>
    <w:r>
      <w:t>ANNEXE I</w:t>
    </w:r>
  </w:p>
  <w:p w14:paraId="6F211CE9" w14:textId="77777777" w:rsidR="000F705C" w:rsidRDefault="000F705C" w:rsidP="00355FA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26A05" w14:textId="77777777" w:rsidR="000F705C" w:rsidRDefault="000F705C" w:rsidP="00355FAD">
    <w:pPr>
      <w:pStyle w:val="Header"/>
      <w:jc w:val="right"/>
    </w:pPr>
    <w:r>
      <w:t>LI/DC/7</w:t>
    </w:r>
  </w:p>
  <w:p w14:paraId="217A0EFF" w14:textId="62FB6442" w:rsidR="000F705C" w:rsidRDefault="000F705C" w:rsidP="00355FAD">
    <w:pPr>
      <w:pStyle w:val="Header"/>
      <w:jc w:val="right"/>
    </w:pPr>
    <w:r>
      <w:t xml:space="preserve">Annexe II, page </w:t>
    </w:r>
    <w:r>
      <w:fldChar w:fldCharType="begin"/>
    </w:r>
    <w:r>
      <w:instrText>PAGE   \* MERGEFORMAT</w:instrText>
    </w:r>
    <w:r>
      <w:fldChar w:fldCharType="separate"/>
    </w:r>
    <w:r w:rsidR="001F705D">
      <w:rPr>
        <w:noProof/>
      </w:rPr>
      <w:t>4</w:t>
    </w:r>
    <w:r>
      <w:fldChar w:fldCharType="end"/>
    </w:r>
  </w:p>
  <w:p w14:paraId="629E038F" w14:textId="77777777" w:rsidR="000F705C" w:rsidRDefault="000F705C" w:rsidP="00355FA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A9151" w14:textId="77777777" w:rsidR="000F705C" w:rsidRDefault="000F705C" w:rsidP="00355FAD">
    <w:pPr>
      <w:pStyle w:val="Header"/>
      <w:jc w:val="right"/>
    </w:pPr>
    <w:r>
      <w:t>LI/DC/7</w:t>
    </w:r>
  </w:p>
  <w:p w14:paraId="1B15AA58" w14:textId="6599029E" w:rsidR="000F705C" w:rsidRDefault="000F705C" w:rsidP="00355FAD">
    <w:pPr>
      <w:pStyle w:val="Header"/>
      <w:jc w:val="right"/>
    </w:pPr>
    <w:r>
      <w:t>ANNEXE II</w:t>
    </w:r>
  </w:p>
  <w:p w14:paraId="2934B1E2" w14:textId="77777777" w:rsidR="000F705C" w:rsidRDefault="000F705C" w:rsidP="00355FA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C9B3" w14:textId="77777777" w:rsidR="000F705C" w:rsidRDefault="000F705C" w:rsidP="00355FAD">
    <w:pPr>
      <w:pStyle w:val="Header"/>
      <w:jc w:val="right"/>
    </w:pPr>
    <w:r>
      <w:t>LI/DC/7</w:t>
    </w:r>
  </w:p>
  <w:p w14:paraId="0177BD69" w14:textId="3C1DCD58" w:rsidR="000F705C" w:rsidRDefault="000F705C" w:rsidP="00355FAD">
    <w:pPr>
      <w:pStyle w:val="Header"/>
      <w:jc w:val="right"/>
    </w:pPr>
    <w:r>
      <w:t xml:space="preserve">Annexe III, page </w:t>
    </w:r>
    <w:r>
      <w:fldChar w:fldCharType="begin"/>
    </w:r>
    <w:r>
      <w:instrText>PAGE   \* MERGEFORMAT</w:instrText>
    </w:r>
    <w:r>
      <w:fldChar w:fldCharType="separate"/>
    </w:r>
    <w:r w:rsidR="001F705D">
      <w:rPr>
        <w:noProof/>
      </w:rPr>
      <w:t>3</w:t>
    </w:r>
    <w:r>
      <w:fldChar w:fldCharType="end"/>
    </w:r>
  </w:p>
  <w:p w14:paraId="69AA0F67" w14:textId="77777777" w:rsidR="000F705C" w:rsidRDefault="000F705C" w:rsidP="00355FA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4222E" w14:textId="77777777" w:rsidR="000F705C" w:rsidRDefault="000F705C" w:rsidP="00355FAD">
    <w:pPr>
      <w:pStyle w:val="Header"/>
      <w:jc w:val="right"/>
    </w:pPr>
    <w:r>
      <w:t>LI/DC/7</w:t>
    </w:r>
  </w:p>
  <w:p w14:paraId="6340353F" w14:textId="22D91873" w:rsidR="000F705C" w:rsidRDefault="000F705C" w:rsidP="00355FAD">
    <w:pPr>
      <w:pStyle w:val="Header"/>
      <w:jc w:val="right"/>
    </w:pPr>
    <w:r>
      <w:t>ANNEXE III</w:t>
    </w:r>
  </w:p>
  <w:p w14:paraId="31479984" w14:textId="77777777" w:rsidR="000F705C" w:rsidRDefault="000F705C" w:rsidP="00355FAD">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8747" w14:textId="77777777" w:rsidR="000F705C" w:rsidRPr="00CD4E54" w:rsidRDefault="000F705C" w:rsidP="00355FAD">
    <w:pPr>
      <w:pStyle w:val="Header"/>
      <w:jc w:val="right"/>
    </w:pPr>
    <w:r w:rsidRPr="00CD4E54">
      <w:t>LI/DC/7</w:t>
    </w:r>
  </w:p>
  <w:p w14:paraId="45736CFC" w14:textId="0336E41B" w:rsidR="000F705C" w:rsidRPr="00CD4E54" w:rsidRDefault="000F705C" w:rsidP="00355FAD">
    <w:pPr>
      <w:pStyle w:val="Header"/>
      <w:jc w:val="right"/>
    </w:pPr>
    <w:r w:rsidRPr="00CD4E54">
      <w:t>Annexe I</w:t>
    </w:r>
    <w:r>
      <w:t>V</w:t>
    </w:r>
    <w:r w:rsidRPr="00CD4E54">
      <w:t xml:space="preserve">, page </w:t>
    </w:r>
    <w:r>
      <w:fldChar w:fldCharType="begin"/>
    </w:r>
    <w:r w:rsidRPr="00CD4E54">
      <w:instrText>PAGE   \* MERGEFORMAT</w:instrText>
    </w:r>
    <w:r>
      <w:fldChar w:fldCharType="separate"/>
    </w:r>
    <w:r w:rsidR="001F705D">
      <w:rPr>
        <w:noProof/>
      </w:rPr>
      <w:t>3</w:t>
    </w:r>
    <w:r>
      <w:fldChar w:fldCharType="end"/>
    </w:r>
  </w:p>
  <w:p w14:paraId="7828D03E" w14:textId="77777777" w:rsidR="000F705C" w:rsidRPr="00CD4E54" w:rsidRDefault="000F705C" w:rsidP="00355FA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3DBF1" w14:textId="77777777" w:rsidR="000F705C" w:rsidRDefault="000F705C" w:rsidP="00355FAD">
    <w:pPr>
      <w:pStyle w:val="Header"/>
      <w:jc w:val="right"/>
    </w:pPr>
    <w:r>
      <w:t>LI/DC/7</w:t>
    </w:r>
  </w:p>
  <w:p w14:paraId="570999CC" w14:textId="58483064" w:rsidR="000F705C" w:rsidRDefault="000F705C" w:rsidP="00355FAD">
    <w:pPr>
      <w:pStyle w:val="Header"/>
      <w:jc w:val="right"/>
    </w:pPr>
    <w:r>
      <w:t>ANNEXE IV</w:t>
    </w:r>
  </w:p>
  <w:p w14:paraId="265DFA82" w14:textId="77777777" w:rsidR="000F705C" w:rsidRDefault="000F705C" w:rsidP="00355F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F4FB2"/>
    <w:multiLevelType w:val="hybridMultilevel"/>
    <w:tmpl w:val="68DAE694"/>
    <w:lvl w:ilvl="0" w:tplc="96E660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0203F63"/>
    <w:multiLevelType w:val="hybridMultilevel"/>
    <w:tmpl w:val="32B00962"/>
    <w:lvl w:ilvl="0" w:tplc="7D8CD1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4490B"/>
    <w:multiLevelType w:val="hybridMultilevel"/>
    <w:tmpl w:val="172E94D4"/>
    <w:lvl w:ilvl="0" w:tplc="8444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57C27"/>
    <w:multiLevelType w:val="multilevel"/>
    <w:tmpl w:val="558A239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201339"/>
    <w:multiLevelType w:val="hybridMultilevel"/>
    <w:tmpl w:val="7D28C91A"/>
    <w:lvl w:ilvl="0" w:tplc="202CC210">
      <w:start w:val="1"/>
      <w:numFmt w:val="lowerRoman"/>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FB19A2"/>
    <w:multiLevelType w:val="multilevel"/>
    <w:tmpl w:val="68D2D40A"/>
    <w:lvl w:ilvl="0">
      <w:start w:val="1"/>
      <w:numFmt w:val="decimal"/>
      <w:lvlRestart w:val="0"/>
      <w:pStyle w:val="ONUMFS"/>
      <w:lvlText w:val="%1."/>
      <w:lvlJc w:val="left"/>
      <w:pPr>
        <w:tabs>
          <w:tab w:val="num" w:pos="567"/>
        </w:tabs>
      </w:pPr>
      <w:rPr>
        <w:rFonts w:cs="Times New Roman" w:hint="default"/>
        <w:b w:val="0"/>
        <w:i w:val="0"/>
        <w:color w:val="auto"/>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CEF251C"/>
    <w:multiLevelType w:val="hybridMultilevel"/>
    <w:tmpl w:val="070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673BD"/>
    <w:multiLevelType w:val="hybridMultilevel"/>
    <w:tmpl w:val="AAF875FE"/>
    <w:lvl w:ilvl="0" w:tplc="2B0AABC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410310"/>
    <w:multiLevelType w:val="hybridMultilevel"/>
    <w:tmpl w:val="D0A00CB6"/>
    <w:lvl w:ilvl="0" w:tplc="0BB2E856">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6">
    <w:nsid w:val="604B6A15"/>
    <w:multiLevelType w:val="hybridMultilevel"/>
    <w:tmpl w:val="816EEC36"/>
    <w:lvl w:ilvl="0" w:tplc="D8722B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E0C17DB"/>
    <w:multiLevelType w:val="hybridMultilevel"/>
    <w:tmpl w:val="38546CA2"/>
    <w:lvl w:ilvl="0" w:tplc="251E3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429E"/>
    <w:multiLevelType w:val="hybridMultilevel"/>
    <w:tmpl w:val="0672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5078B"/>
    <w:multiLevelType w:val="hybridMultilevel"/>
    <w:tmpl w:val="35B00E86"/>
    <w:lvl w:ilvl="0" w:tplc="8F0EA628">
      <w:start w:val="1"/>
      <w:numFmt w:val="decimal"/>
      <w:lvlText w:val="%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CFE5D8D"/>
    <w:multiLevelType w:val="hybridMultilevel"/>
    <w:tmpl w:val="81C251BA"/>
    <w:lvl w:ilvl="0" w:tplc="6A70EA14">
      <w:start w:val="1"/>
      <w:numFmt w:val="lowerRoman"/>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5"/>
  </w:num>
  <w:num w:numId="5">
    <w:abstractNumId w:val="3"/>
    <w:lvlOverride w:ilvl="0">
      <w:startOverride w:val="1"/>
    </w:lvlOverride>
    <w:lvlOverride w:ilvl="1">
      <w:startOverride w:val="1"/>
    </w:lvlOverride>
    <w:lvlOverride w:ilvl="2">
      <w:startOverride w:val="2"/>
    </w:lvlOverride>
  </w:num>
  <w:num w:numId="6">
    <w:abstractNumId w:val="10"/>
  </w:num>
  <w:num w:numId="7">
    <w:abstractNumId w:val="1"/>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18"/>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num>
  <w:num w:numId="20">
    <w:abstractNumId w:val="13"/>
  </w:num>
  <w:num w:numId="21">
    <w:abstractNumId w:val="16"/>
  </w:num>
  <w:num w:numId="22">
    <w:abstractNumId w:val="2"/>
  </w:num>
  <w:num w:numId="23">
    <w:abstractNumId w:val="5"/>
  </w:num>
  <w:num w:numId="24">
    <w:abstractNumId w:val="17"/>
  </w:num>
  <w:num w:numId="25">
    <w:abstractNumId w:val="20"/>
  </w:num>
  <w:num w:numId="26">
    <w:abstractNumId w:val="7"/>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fra"/>
    <w:docVar w:name="TargetLng" w:val="eng"/>
    <w:docVar w:name="TermBases" w:val="Empty"/>
    <w:docVar w:name="TermBaseURL" w:val="empty"/>
    <w:docVar w:name="TextBases" w:val="li_dc_es_fr"/>
    <w:docVar w:name="TextBaseURL" w:val="empty"/>
    <w:docVar w:name="UILng" w:val="en"/>
  </w:docVars>
  <w:rsids>
    <w:rsidRoot w:val="000917D9"/>
    <w:rsid w:val="000006DE"/>
    <w:rsid w:val="00003180"/>
    <w:rsid w:val="000035F1"/>
    <w:rsid w:val="00003F94"/>
    <w:rsid w:val="00004A5D"/>
    <w:rsid w:val="00004AC9"/>
    <w:rsid w:val="00004E95"/>
    <w:rsid w:val="00005195"/>
    <w:rsid w:val="0000534A"/>
    <w:rsid w:val="00005818"/>
    <w:rsid w:val="00005AC7"/>
    <w:rsid w:val="00006163"/>
    <w:rsid w:val="0000668A"/>
    <w:rsid w:val="00007382"/>
    <w:rsid w:val="000077A5"/>
    <w:rsid w:val="000077C6"/>
    <w:rsid w:val="000105B2"/>
    <w:rsid w:val="000105CF"/>
    <w:rsid w:val="000119CC"/>
    <w:rsid w:val="00011DE3"/>
    <w:rsid w:val="00012AF1"/>
    <w:rsid w:val="00012DD0"/>
    <w:rsid w:val="000130A6"/>
    <w:rsid w:val="00014496"/>
    <w:rsid w:val="0001497C"/>
    <w:rsid w:val="0001571C"/>
    <w:rsid w:val="00016010"/>
    <w:rsid w:val="00016DDB"/>
    <w:rsid w:val="00017132"/>
    <w:rsid w:val="000178BE"/>
    <w:rsid w:val="00017A25"/>
    <w:rsid w:val="00017C6C"/>
    <w:rsid w:val="0002041B"/>
    <w:rsid w:val="00020768"/>
    <w:rsid w:val="00020B15"/>
    <w:rsid w:val="0002161B"/>
    <w:rsid w:val="000217A0"/>
    <w:rsid w:val="0002192F"/>
    <w:rsid w:val="00021B98"/>
    <w:rsid w:val="0002204E"/>
    <w:rsid w:val="000220DB"/>
    <w:rsid w:val="00022F02"/>
    <w:rsid w:val="00023065"/>
    <w:rsid w:val="000248CC"/>
    <w:rsid w:val="00024AF4"/>
    <w:rsid w:val="000251FC"/>
    <w:rsid w:val="0002630E"/>
    <w:rsid w:val="00026458"/>
    <w:rsid w:val="000267A7"/>
    <w:rsid w:val="00026ECC"/>
    <w:rsid w:val="00027221"/>
    <w:rsid w:val="000274BC"/>
    <w:rsid w:val="0002751B"/>
    <w:rsid w:val="00027B1D"/>
    <w:rsid w:val="00027BB0"/>
    <w:rsid w:val="00027FE2"/>
    <w:rsid w:val="00030B3B"/>
    <w:rsid w:val="00031559"/>
    <w:rsid w:val="00031B16"/>
    <w:rsid w:val="00031F01"/>
    <w:rsid w:val="00032279"/>
    <w:rsid w:val="000331D4"/>
    <w:rsid w:val="0003370E"/>
    <w:rsid w:val="000339BC"/>
    <w:rsid w:val="000343E9"/>
    <w:rsid w:val="00034DF1"/>
    <w:rsid w:val="000369AC"/>
    <w:rsid w:val="00037423"/>
    <w:rsid w:val="00037BBF"/>
    <w:rsid w:val="0004044C"/>
    <w:rsid w:val="00040478"/>
    <w:rsid w:val="0004068B"/>
    <w:rsid w:val="00040711"/>
    <w:rsid w:val="000407FF"/>
    <w:rsid w:val="00042EA2"/>
    <w:rsid w:val="00043304"/>
    <w:rsid w:val="00043CAA"/>
    <w:rsid w:val="000440B9"/>
    <w:rsid w:val="00044C4B"/>
    <w:rsid w:val="0004547C"/>
    <w:rsid w:val="000457B1"/>
    <w:rsid w:val="00045F81"/>
    <w:rsid w:val="00046132"/>
    <w:rsid w:val="000464EA"/>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6603"/>
    <w:rsid w:val="0005685C"/>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1B52"/>
    <w:rsid w:val="0007289A"/>
    <w:rsid w:val="00074AB6"/>
    <w:rsid w:val="00075432"/>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74E"/>
    <w:rsid w:val="00085C99"/>
    <w:rsid w:val="00086233"/>
    <w:rsid w:val="00086CF2"/>
    <w:rsid w:val="000872AB"/>
    <w:rsid w:val="00090278"/>
    <w:rsid w:val="00090601"/>
    <w:rsid w:val="00090614"/>
    <w:rsid w:val="00090D4A"/>
    <w:rsid w:val="00091204"/>
    <w:rsid w:val="000917D9"/>
    <w:rsid w:val="00091CED"/>
    <w:rsid w:val="00092D8F"/>
    <w:rsid w:val="0009427A"/>
    <w:rsid w:val="00094294"/>
    <w:rsid w:val="0009441D"/>
    <w:rsid w:val="000950BB"/>
    <w:rsid w:val="0009519E"/>
    <w:rsid w:val="000959C1"/>
    <w:rsid w:val="000968ED"/>
    <w:rsid w:val="00096958"/>
    <w:rsid w:val="000A05F1"/>
    <w:rsid w:val="000A0ABD"/>
    <w:rsid w:val="000A0D36"/>
    <w:rsid w:val="000A10B3"/>
    <w:rsid w:val="000A1202"/>
    <w:rsid w:val="000A338E"/>
    <w:rsid w:val="000A466F"/>
    <w:rsid w:val="000A5BD4"/>
    <w:rsid w:val="000A6CCB"/>
    <w:rsid w:val="000A6FB9"/>
    <w:rsid w:val="000A72BE"/>
    <w:rsid w:val="000A7F78"/>
    <w:rsid w:val="000B0E81"/>
    <w:rsid w:val="000B178F"/>
    <w:rsid w:val="000B27A2"/>
    <w:rsid w:val="000B29E7"/>
    <w:rsid w:val="000B2AD6"/>
    <w:rsid w:val="000B2FEB"/>
    <w:rsid w:val="000B3595"/>
    <w:rsid w:val="000B379B"/>
    <w:rsid w:val="000B3D25"/>
    <w:rsid w:val="000B4BB1"/>
    <w:rsid w:val="000B4E43"/>
    <w:rsid w:val="000B502B"/>
    <w:rsid w:val="000B50EA"/>
    <w:rsid w:val="000B5897"/>
    <w:rsid w:val="000B58EA"/>
    <w:rsid w:val="000B656B"/>
    <w:rsid w:val="000B6EDE"/>
    <w:rsid w:val="000B7D25"/>
    <w:rsid w:val="000C1B77"/>
    <w:rsid w:val="000C335D"/>
    <w:rsid w:val="000C38A7"/>
    <w:rsid w:val="000C4D2D"/>
    <w:rsid w:val="000C5DDE"/>
    <w:rsid w:val="000C5EE3"/>
    <w:rsid w:val="000C685B"/>
    <w:rsid w:val="000C6C0B"/>
    <w:rsid w:val="000C7659"/>
    <w:rsid w:val="000C7E6B"/>
    <w:rsid w:val="000D00EA"/>
    <w:rsid w:val="000D0C32"/>
    <w:rsid w:val="000D2056"/>
    <w:rsid w:val="000D3DA2"/>
    <w:rsid w:val="000D453E"/>
    <w:rsid w:val="000D4A8E"/>
    <w:rsid w:val="000D4FA3"/>
    <w:rsid w:val="000D5004"/>
    <w:rsid w:val="000D69D1"/>
    <w:rsid w:val="000D6B3C"/>
    <w:rsid w:val="000D6D14"/>
    <w:rsid w:val="000E0235"/>
    <w:rsid w:val="000E18DC"/>
    <w:rsid w:val="000E1D4E"/>
    <w:rsid w:val="000E2729"/>
    <w:rsid w:val="000E2828"/>
    <w:rsid w:val="000E377E"/>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4068"/>
    <w:rsid w:val="000F4358"/>
    <w:rsid w:val="000F4364"/>
    <w:rsid w:val="000F4A71"/>
    <w:rsid w:val="000F4F40"/>
    <w:rsid w:val="000F53AE"/>
    <w:rsid w:val="000F586F"/>
    <w:rsid w:val="000F5E1E"/>
    <w:rsid w:val="000F5E56"/>
    <w:rsid w:val="000F64F6"/>
    <w:rsid w:val="000F6670"/>
    <w:rsid w:val="000F6758"/>
    <w:rsid w:val="000F705C"/>
    <w:rsid w:val="000F7951"/>
    <w:rsid w:val="000F7BAD"/>
    <w:rsid w:val="00100CF5"/>
    <w:rsid w:val="0010132B"/>
    <w:rsid w:val="001016A9"/>
    <w:rsid w:val="00101A30"/>
    <w:rsid w:val="00102185"/>
    <w:rsid w:val="001028C7"/>
    <w:rsid w:val="00103D5F"/>
    <w:rsid w:val="001041E1"/>
    <w:rsid w:val="00104424"/>
    <w:rsid w:val="00104A57"/>
    <w:rsid w:val="0010509F"/>
    <w:rsid w:val="00105194"/>
    <w:rsid w:val="001053F6"/>
    <w:rsid w:val="00105510"/>
    <w:rsid w:val="00105819"/>
    <w:rsid w:val="00105F62"/>
    <w:rsid w:val="00106E71"/>
    <w:rsid w:val="001070B0"/>
    <w:rsid w:val="001103C8"/>
    <w:rsid w:val="00110878"/>
    <w:rsid w:val="00111064"/>
    <w:rsid w:val="0011200E"/>
    <w:rsid w:val="001126F3"/>
    <w:rsid w:val="00113519"/>
    <w:rsid w:val="00113F18"/>
    <w:rsid w:val="00115344"/>
    <w:rsid w:val="001155A7"/>
    <w:rsid w:val="001168C0"/>
    <w:rsid w:val="00116E37"/>
    <w:rsid w:val="00117964"/>
    <w:rsid w:val="00120C52"/>
    <w:rsid w:val="00121F40"/>
    <w:rsid w:val="00122619"/>
    <w:rsid w:val="001226B6"/>
    <w:rsid w:val="001227BE"/>
    <w:rsid w:val="00122CC0"/>
    <w:rsid w:val="00123254"/>
    <w:rsid w:val="001237B9"/>
    <w:rsid w:val="0012521E"/>
    <w:rsid w:val="00125A30"/>
    <w:rsid w:val="00125AAA"/>
    <w:rsid w:val="00125DDA"/>
    <w:rsid w:val="00127847"/>
    <w:rsid w:val="00130446"/>
    <w:rsid w:val="00130524"/>
    <w:rsid w:val="0013069A"/>
    <w:rsid w:val="00130A1D"/>
    <w:rsid w:val="00130FCC"/>
    <w:rsid w:val="00131670"/>
    <w:rsid w:val="00131E47"/>
    <w:rsid w:val="00132570"/>
    <w:rsid w:val="00132BD6"/>
    <w:rsid w:val="001334F6"/>
    <w:rsid w:val="001336CE"/>
    <w:rsid w:val="00133850"/>
    <w:rsid w:val="00133ACC"/>
    <w:rsid w:val="00134138"/>
    <w:rsid w:val="00134381"/>
    <w:rsid w:val="0013453C"/>
    <w:rsid w:val="001362EE"/>
    <w:rsid w:val="00136FE9"/>
    <w:rsid w:val="00137CB7"/>
    <w:rsid w:val="00137F74"/>
    <w:rsid w:val="001408C7"/>
    <w:rsid w:val="00140E9D"/>
    <w:rsid w:val="00141230"/>
    <w:rsid w:val="00141445"/>
    <w:rsid w:val="00141D04"/>
    <w:rsid w:val="0014223E"/>
    <w:rsid w:val="001428F5"/>
    <w:rsid w:val="00143F13"/>
    <w:rsid w:val="00144436"/>
    <w:rsid w:val="00144517"/>
    <w:rsid w:val="00145650"/>
    <w:rsid w:val="001469A5"/>
    <w:rsid w:val="00146D16"/>
    <w:rsid w:val="00147BD4"/>
    <w:rsid w:val="00150840"/>
    <w:rsid w:val="00150FD5"/>
    <w:rsid w:val="0015107D"/>
    <w:rsid w:val="00152051"/>
    <w:rsid w:val="001522D7"/>
    <w:rsid w:val="00152A99"/>
    <w:rsid w:val="00153D69"/>
    <w:rsid w:val="00153FFE"/>
    <w:rsid w:val="00154F19"/>
    <w:rsid w:val="00155A3D"/>
    <w:rsid w:val="00155CB6"/>
    <w:rsid w:val="001568DB"/>
    <w:rsid w:val="00156AE3"/>
    <w:rsid w:val="00156FDF"/>
    <w:rsid w:val="0015762B"/>
    <w:rsid w:val="001601CD"/>
    <w:rsid w:val="00160A53"/>
    <w:rsid w:val="00161A6E"/>
    <w:rsid w:val="00161CD6"/>
    <w:rsid w:val="00162984"/>
    <w:rsid w:val="00162B94"/>
    <w:rsid w:val="00163259"/>
    <w:rsid w:val="0016326F"/>
    <w:rsid w:val="00163B63"/>
    <w:rsid w:val="00164C20"/>
    <w:rsid w:val="00164D16"/>
    <w:rsid w:val="00165075"/>
    <w:rsid w:val="0016555E"/>
    <w:rsid w:val="00167C1B"/>
    <w:rsid w:val="001704DB"/>
    <w:rsid w:val="0017235A"/>
    <w:rsid w:val="00172895"/>
    <w:rsid w:val="001728DB"/>
    <w:rsid w:val="001731AC"/>
    <w:rsid w:val="0017443B"/>
    <w:rsid w:val="001752BD"/>
    <w:rsid w:val="00175AFD"/>
    <w:rsid w:val="00175E27"/>
    <w:rsid w:val="00176324"/>
    <w:rsid w:val="00176A83"/>
    <w:rsid w:val="001776F8"/>
    <w:rsid w:val="00177BED"/>
    <w:rsid w:val="00180207"/>
    <w:rsid w:val="0018056F"/>
    <w:rsid w:val="00180F31"/>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085"/>
    <w:rsid w:val="001917B8"/>
    <w:rsid w:val="00191A67"/>
    <w:rsid w:val="00191C1C"/>
    <w:rsid w:val="00192390"/>
    <w:rsid w:val="001923E3"/>
    <w:rsid w:val="00194827"/>
    <w:rsid w:val="00194C86"/>
    <w:rsid w:val="00195289"/>
    <w:rsid w:val="0019549C"/>
    <w:rsid w:val="00196308"/>
    <w:rsid w:val="0019691F"/>
    <w:rsid w:val="00196DF8"/>
    <w:rsid w:val="00197162"/>
    <w:rsid w:val="001976C1"/>
    <w:rsid w:val="001A09D9"/>
    <w:rsid w:val="001A12A9"/>
    <w:rsid w:val="001A13DE"/>
    <w:rsid w:val="001A2374"/>
    <w:rsid w:val="001A2E7D"/>
    <w:rsid w:val="001A32A2"/>
    <w:rsid w:val="001A451C"/>
    <w:rsid w:val="001A490E"/>
    <w:rsid w:val="001A5B4E"/>
    <w:rsid w:val="001A605F"/>
    <w:rsid w:val="001A6513"/>
    <w:rsid w:val="001A67A7"/>
    <w:rsid w:val="001A6F03"/>
    <w:rsid w:val="001B08A1"/>
    <w:rsid w:val="001B10DC"/>
    <w:rsid w:val="001B115D"/>
    <w:rsid w:val="001B2A4C"/>
    <w:rsid w:val="001B3479"/>
    <w:rsid w:val="001B35C6"/>
    <w:rsid w:val="001B3A34"/>
    <w:rsid w:val="001B45E2"/>
    <w:rsid w:val="001B4CD2"/>
    <w:rsid w:val="001B4D4F"/>
    <w:rsid w:val="001B53A5"/>
    <w:rsid w:val="001B69B3"/>
    <w:rsid w:val="001B7C76"/>
    <w:rsid w:val="001C00E1"/>
    <w:rsid w:val="001C11C3"/>
    <w:rsid w:val="001C17A1"/>
    <w:rsid w:val="001C41BC"/>
    <w:rsid w:val="001C43F5"/>
    <w:rsid w:val="001C586D"/>
    <w:rsid w:val="001C66D2"/>
    <w:rsid w:val="001C68EA"/>
    <w:rsid w:val="001C6B09"/>
    <w:rsid w:val="001C6BBA"/>
    <w:rsid w:val="001C728B"/>
    <w:rsid w:val="001C7603"/>
    <w:rsid w:val="001D06B8"/>
    <w:rsid w:val="001D19F0"/>
    <w:rsid w:val="001D1CB2"/>
    <w:rsid w:val="001D228C"/>
    <w:rsid w:val="001D563B"/>
    <w:rsid w:val="001D5989"/>
    <w:rsid w:val="001D5AD3"/>
    <w:rsid w:val="001D5CBA"/>
    <w:rsid w:val="001D6032"/>
    <w:rsid w:val="001D6327"/>
    <w:rsid w:val="001E0550"/>
    <w:rsid w:val="001E0AEA"/>
    <w:rsid w:val="001E0C8A"/>
    <w:rsid w:val="001E2241"/>
    <w:rsid w:val="001E24C1"/>
    <w:rsid w:val="001E2F50"/>
    <w:rsid w:val="001E3373"/>
    <w:rsid w:val="001E361A"/>
    <w:rsid w:val="001E3987"/>
    <w:rsid w:val="001E3FE6"/>
    <w:rsid w:val="001E4EAF"/>
    <w:rsid w:val="001E5E16"/>
    <w:rsid w:val="001E6D6F"/>
    <w:rsid w:val="001E72FF"/>
    <w:rsid w:val="001E7B2B"/>
    <w:rsid w:val="001F063D"/>
    <w:rsid w:val="001F0786"/>
    <w:rsid w:val="001F0B2F"/>
    <w:rsid w:val="001F0B9F"/>
    <w:rsid w:val="001F13AE"/>
    <w:rsid w:val="001F172F"/>
    <w:rsid w:val="001F1984"/>
    <w:rsid w:val="001F29F8"/>
    <w:rsid w:val="001F3384"/>
    <w:rsid w:val="001F44FB"/>
    <w:rsid w:val="001F47B0"/>
    <w:rsid w:val="001F481A"/>
    <w:rsid w:val="001F49E7"/>
    <w:rsid w:val="001F4C73"/>
    <w:rsid w:val="001F6229"/>
    <w:rsid w:val="001F705D"/>
    <w:rsid w:val="002002C7"/>
    <w:rsid w:val="00200321"/>
    <w:rsid w:val="0020092B"/>
    <w:rsid w:val="0020097A"/>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9FD"/>
    <w:rsid w:val="00212F25"/>
    <w:rsid w:val="00213146"/>
    <w:rsid w:val="00213670"/>
    <w:rsid w:val="0021409F"/>
    <w:rsid w:val="00214299"/>
    <w:rsid w:val="00214748"/>
    <w:rsid w:val="002148A5"/>
    <w:rsid w:val="00214ADE"/>
    <w:rsid w:val="002158E5"/>
    <w:rsid w:val="00215D62"/>
    <w:rsid w:val="00215D87"/>
    <w:rsid w:val="002160C6"/>
    <w:rsid w:val="00216656"/>
    <w:rsid w:val="00216F5D"/>
    <w:rsid w:val="002172A3"/>
    <w:rsid w:val="00217331"/>
    <w:rsid w:val="00220BBC"/>
    <w:rsid w:val="00220F0B"/>
    <w:rsid w:val="00220FF7"/>
    <w:rsid w:val="00221164"/>
    <w:rsid w:val="002216A3"/>
    <w:rsid w:val="00222138"/>
    <w:rsid w:val="00222246"/>
    <w:rsid w:val="00222A6F"/>
    <w:rsid w:val="0022338A"/>
    <w:rsid w:val="00223AD6"/>
    <w:rsid w:val="00223B2A"/>
    <w:rsid w:val="00223D69"/>
    <w:rsid w:val="002245B5"/>
    <w:rsid w:val="00224B35"/>
    <w:rsid w:val="002264BF"/>
    <w:rsid w:val="00226629"/>
    <w:rsid w:val="00226CCA"/>
    <w:rsid w:val="002270E6"/>
    <w:rsid w:val="00227269"/>
    <w:rsid w:val="002316DD"/>
    <w:rsid w:val="00231808"/>
    <w:rsid w:val="00232188"/>
    <w:rsid w:val="002331D5"/>
    <w:rsid w:val="002335F2"/>
    <w:rsid w:val="00233E9B"/>
    <w:rsid w:val="00233FE1"/>
    <w:rsid w:val="00234D24"/>
    <w:rsid w:val="00235462"/>
    <w:rsid w:val="00235493"/>
    <w:rsid w:val="002354A2"/>
    <w:rsid w:val="00236B0B"/>
    <w:rsid w:val="00237A97"/>
    <w:rsid w:val="00237BCB"/>
    <w:rsid w:val="00240F35"/>
    <w:rsid w:val="00240FAC"/>
    <w:rsid w:val="0024239A"/>
    <w:rsid w:val="00243292"/>
    <w:rsid w:val="00243D44"/>
    <w:rsid w:val="00243F69"/>
    <w:rsid w:val="0024599B"/>
    <w:rsid w:val="00247D89"/>
    <w:rsid w:val="00247FCB"/>
    <w:rsid w:val="00250B06"/>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6817"/>
    <w:rsid w:val="00267070"/>
    <w:rsid w:val="00267352"/>
    <w:rsid w:val="002679E3"/>
    <w:rsid w:val="00267D40"/>
    <w:rsid w:val="00270148"/>
    <w:rsid w:val="002710D8"/>
    <w:rsid w:val="00271A96"/>
    <w:rsid w:val="00272D60"/>
    <w:rsid w:val="00274D4D"/>
    <w:rsid w:val="002756C6"/>
    <w:rsid w:val="00275B9D"/>
    <w:rsid w:val="00276114"/>
    <w:rsid w:val="002764D5"/>
    <w:rsid w:val="00277B73"/>
    <w:rsid w:val="00280D8A"/>
    <w:rsid w:val="002810A8"/>
    <w:rsid w:val="00281B57"/>
    <w:rsid w:val="00281C15"/>
    <w:rsid w:val="00283080"/>
    <w:rsid w:val="0028458A"/>
    <w:rsid w:val="00284FC7"/>
    <w:rsid w:val="00285252"/>
    <w:rsid w:val="00285C2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7F"/>
    <w:rsid w:val="002946A8"/>
    <w:rsid w:val="0029471B"/>
    <w:rsid w:val="00294926"/>
    <w:rsid w:val="0029503F"/>
    <w:rsid w:val="002954DB"/>
    <w:rsid w:val="00297234"/>
    <w:rsid w:val="00297592"/>
    <w:rsid w:val="0029794D"/>
    <w:rsid w:val="002A0A54"/>
    <w:rsid w:val="002A0DC0"/>
    <w:rsid w:val="002A2C0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DC4"/>
    <w:rsid w:val="002C0ECA"/>
    <w:rsid w:val="002C1656"/>
    <w:rsid w:val="002C3D85"/>
    <w:rsid w:val="002C6116"/>
    <w:rsid w:val="002C6174"/>
    <w:rsid w:val="002C61EA"/>
    <w:rsid w:val="002C69D0"/>
    <w:rsid w:val="002C6E06"/>
    <w:rsid w:val="002C7A98"/>
    <w:rsid w:val="002D0589"/>
    <w:rsid w:val="002D0943"/>
    <w:rsid w:val="002D11BE"/>
    <w:rsid w:val="002D13BB"/>
    <w:rsid w:val="002D2506"/>
    <w:rsid w:val="002D270E"/>
    <w:rsid w:val="002D2D13"/>
    <w:rsid w:val="002D4091"/>
    <w:rsid w:val="002D436D"/>
    <w:rsid w:val="002D4689"/>
    <w:rsid w:val="002D475C"/>
    <w:rsid w:val="002D48A0"/>
    <w:rsid w:val="002D4A50"/>
    <w:rsid w:val="002D53B6"/>
    <w:rsid w:val="002D5668"/>
    <w:rsid w:val="002D5BCE"/>
    <w:rsid w:val="002D6657"/>
    <w:rsid w:val="002D6873"/>
    <w:rsid w:val="002D76A3"/>
    <w:rsid w:val="002E064A"/>
    <w:rsid w:val="002E0B1C"/>
    <w:rsid w:val="002E0EE5"/>
    <w:rsid w:val="002E26E4"/>
    <w:rsid w:val="002E2BAC"/>
    <w:rsid w:val="002E300B"/>
    <w:rsid w:val="002E35E5"/>
    <w:rsid w:val="002E3BB4"/>
    <w:rsid w:val="002E4ACB"/>
    <w:rsid w:val="002E5095"/>
    <w:rsid w:val="002E64A1"/>
    <w:rsid w:val="002F0DFE"/>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12"/>
    <w:rsid w:val="003012FB"/>
    <w:rsid w:val="003015DE"/>
    <w:rsid w:val="003049CA"/>
    <w:rsid w:val="00305E4B"/>
    <w:rsid w:val="003067B9"/>
    <w:rsid w:val="00306FB6"/>
    <w:rsid w:val="003076DA"/>
    <w:rsid w:val="003105D1"/>
    <w:rsid w:val="00311638"/>
    <w:rsid w:val="003121BF"/>
    <w:rsid w:val="0031247F"/>
    <w:rsid w:val="00312F7F"/>
    <w:rsid w:val="003135B8"/>
    <w:rsid w:val="0031420A"/>
    <w:rsid w:val="003143EE"/>
    <w:rsid w:val="00314F4F"/>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05C"/>
    <w:rsid w:val="003262A8"/>
    <w:rsid w:val="0032658E"/>
    <w:rsid w:val="00326869"/>
    <w:rsid w:val="00327C93"/>
    <w:rsid w:val="0033136A"/>
    <w:rsid w:val="00331C25"/>
    <w:rsid w:val="00331DA8"/>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511C"/>
    <w:rsid w:val="0034539B"/>
    <w:rsid w:val="00345624"/>
    <w:rsid w:val="003470B4"/>
    <w:rsid w:val="00350275"/>
    <w:rsid w:val="00350E89"/>
    <w:rsid w:val="00350FF5"/>
    <w:rsid w:val="003511DA"/>
    <w:rsid w:val="00351496"/>
    <w:rsid w:val="00351572"/>
    <w:rsid w:val="003520B3"/>
    <w:rsid w:val="00352CF4"/>
    <w:rsid w:val="00353E51"/>
    <w:rsid w:val="0035442A"/>
    <w:rsid w:val="00354562"/>
    <w:rsid w:val="003553CE"/>
    <w:rsid w:val="00355FAD"/>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0A3A"/>
    <w:rsid w:val="003710C3"/>
    <w:rsid w:val="0037181C"/>
    <w:rsid w:val="00371C54"/>
    <w:rsid w:val="003726EC"/>
    <w:rsid w:val="00372AE7"/>
    <w:rsid w:val="00372D66"/>
    <w:rsid w:val="00373547"/>
    <w:rsid w:val="00373865"/>
    <w:rsid w:val="00373DE4"/>
    <w:rsid w:val="003749B6"/>
    <w:rsid w:val="00375078"/>
    <w:rsid w:val="00375AF3"/>
    <w:rsid w:val="00376152"/>
    <w:rsid w:val="00376A67"/>
    <w:rsid w:val="00376A6B"/>
    <w:rsid w:val="003802CB"/>
    <w:rsid w:val="003806E2"/>
    <w:rsid w:val="00380BA2"/>
    <w:rsid w:val="00380D2D"/>
    <w:rsid w:val="00381192"/>
    <w:rsid w:val="003814EC"/>
    <w:rsid w:val="00381A77"/>
    <w:rsid w:val="00381D84"/>
    <w:rsid w:val="00381E6E"/>
    <w:rsid w:val="00382C33"/>
    <w:rsid w:val="00383296"/>
    <w:rsid w:val="003845C1"/>
    <w:rsid w:val="003848D2"/>
    <w:rsid w:val="00386442"/>
    <w:rsid w:val="00386824"/>
    <w:rsid w:val="00386DEB"/>
    <w:rsid w:val="00391392"/>
    <w:rsid w:val="00391B2E"/>
    <w:rsid w:val="00392320"/>
    <w:rsid w:val="003930D6"/>
    <w:rsid w:val="0039322D"/>
    <w:rsid w:val="00393908"/>
    <w:rsid w:val="00394605"/>
    <w:rsid w:val="00395112"/>
    <w:rsid w:val="003959D2"/>
    <w:rsid w:val="00396D61"/>
    <w:rsid w:val="00396EAE"/>
    <w:rsid w:val="003973A8"/>
    <w:rsid w:val="0039782D"/>
    <w:rsid w:val="003A0DE3"/>
    <w:rsid w:val="003A1420"/>
    <w:rsid w:val="003A1693"/>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8C1"/>
    <w:rsid w:val="003B39E7"/>
    <w:rsid w:val="003B533C"/>
    <w:rsid w:val="003B5AC1"/>
    <w:rsid w:val="003B602B"/>
    <w:rsid w:val="003B60CB"/>
    <w:rsid w:val="003B70CA"/>
    <w:rsid w:val="003B762A"/>
    <w:rsid w:val="003B76A1"/>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0EED"/>
    <w:rsid w:val="003D1A94"/>
    <w:rsid w:val="003D1FC0"/>
    <w:rsid w:val="003D25B9"/>
    <w:rsid w:val="003D2B35"/>
    <w:rsid w:val="003D2E88"/>
    <w:rsid w:val="003D36E8"/>
    <w:rsid w:val="003D3DE1"/>
    <w:rsid w:val="003D43B7"/>
    <w:rsid w:val="003D59AC"/>
    <w:rsid w:val="003D61E2"/>
    <w:rsid w:val="003D6330"/>
    <w:rsid w:val="003D6CA8"/>
    <w:rsid w:val="003E045D"/>
    <w:rsid w:val="003E0745"/>
    <w:rsid w:val="003E10A2"/>
    <w:rsid w:val="003E1282"/>
    <w:rsid w:val="003E12A5"/>
    <w:rsid w:val="003E160D"/>
    <w:rsid w:val="003E25E3"/>
    <w:rsid w:val="003E26CD"/>
    <w:rsid w:val="003E28FB"/>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12D0"/>
    <w:rsid w:val="003F2469"/>
    <w:rsid w:val="003F2597"/>
    <w:rsid w:val="003F2CAC"/>
    <w:rsid w:val="003F2CED"/>
    <w:rsid w:val="003F2D30"/>
    <w:rsid w:val="003F3A06"/>
    <w:rsid w:val="003F4B0A"/>
    <w:rsid w:val="003F5BCC"/>
    <w:rsid w:val="003F5CD0"/>
    <w:rsid w:val="003F5EEB"/>
    <w:rsid w:val="003F5EF4"/>
    <w:rsid w:val="003F61DE"/>
    <w:rsid w:val="003F626F"/>
    <w:rsid w:val="003F6C90"/>
    <w:rsid w:val="00400F46"/>
    <w:rsid w:val="004022D1"/>
    <w:rsid w:val="00402F39"/>
    <w:rsid w:val="00403440"/>
    <w:rsid w:val="00403BDD"/>
    <w:rsid w:val="00404208"/>
    <w:rsid w:val="0040433D"/>
    <w:rsid w:val="00404DF1"/>
    <w:rsid w:val="00406088"/>
    <w:rsid w:val="00410159"/>
    <w:rsid w:val="0041032C"/>
    <w:rsid w:val="00410D1B"/>
    <w:rsid w:val="00410F82"/>
    <w:rsid w:val="0041127E"/>
    <w:rsid w:val="004113E5"/>
    <w:rsid w:val="004119E5"/>
    <w:rsid w:val="00411C5B"/>
    <w:rsid w:val="0041299F"/>
    <w:rsid w:val="0041343D"/>
    <w:rsid w:val="004135B3"/>
    <w:rsid w:val="004145D2"/>
    <w:rsid w:val="00414B39"/>
    <w:rsid w:val="004153FB"/>
    <w:rsid w:val="00415824"/>
    <w:rsid w:val="00415A5B"/>
    <w:rsid w:val="0041684F"/>
    <w:rsid w:val="00416F46"/>
    <w:rsid w:val="00417253"/>
    <w:rsid w:val="00417593"/>
    <w:rsid w:val="004203E6"/>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C7D"/>
    <w:rsid w:val="00444EFB"/>
    <w:rsid w:val="0044520D"/>
    <w:rsid w:val="0044542D"/>
    <w:rsid w:val="004463BE"/>
    <w:rsid w:val="00446D8C"/>
    <w:rsid w:val="00446F57"/>
    <w:rsid w:val="00446FE7"/>
    <w:rsid w:val="00447BED"/>
    <w:rsid w:val="00450AF4"/>
    <w:rsid w:val="004512C0"/>
    <w:rsid w:val="00452EF8"/>
    <w:rsid w:val="00452F90"/>
    <w:rsid w:val="00454582"/>
    <w:rsid w:val="00454B0A"/>
    <w:rsid w:val="00454FAF"/>
    <w:rsid w:val="00455BAC"/>
    <w:rsid w:val="00455F0B"/>
    <w:rsid w:val="00456760"/>
    <w:rsid w:val="004568DE"/>
    <w:rsid w:val="00456AFD"/>
    <w:rsid w:val="00456EE5"/>
    <w:rsid w:val="00457F1E"/>
    <w:rsid w:val="0046035D"/>
    <w:rsid w:val="0046091D"/>
    <w:rsid w:val="00460C70"/>
    <w:rsid w:val="00460FAC"/>
    <w:rsid w:val="00461A8F"/>
    <w:rsid w:val="00462200"/>
    <w:rsid w:val="004647DA"/>
    <w:rsid w:val="00466562"/>
    <w:rsid w:val="00466769"/>
    <w:rsid w:val="00466F32"/>
    <w:rsid w:val="00470970"/>
    <w:rsid w:val="00470B59"/>
    <w:rsid w:val="00470B8C"/>
    <w:rsid w:val="004711D0"/>
    <w:rsid w:val="0047130A"/>
    <w:rsid w:val="00471933"/>
    <w:rsid w:val="00471C17"/>
    <w:rsid w:val="00471F3F"/>
    <w:rsid w:val="00472B73"/>
    <w:rsid w:val="00472DA9"/>
    <w:rsid w:val="00474062"/>
    <w:rsid w:val="00475C11"/>
    <w:rsid w:val="00475F79"/>
    <w:rsid w:val="00475FF5"/>
    <w:rsid w:val="00477192"/>
    <w:rsid w:val="00477856"/>
    <w:rsid w:val="00477D6B"/>
    <w:rsid w:val="0048088D"/>
    <w:rsid w:val="00483A54"/>
    <w:rsid w:val="0048400A"/>
    <w:rsid w:val="004855DE"/>
    <w:rsid w:val="00485AA3"/>
    <w:rsid w:val="00485F51"/>
    <w:rsid w:val="00486D06"/>
    <w:rsid w:val="00486F6D"/>
    <w:rsid w:val="00487DDA"/>
    <w:rsid w:val="00490113"/>
    <w:rsid w:val="004906C7"/>
    <w:rsid w:val="00490718"/>
    <w:rsid w:val="00491BA8"/>
    <w:rsid w:val="00491F18"/>
    <w:rsid w:val="00492A13"/>
    <w:rsid w:val="00493FA2"/>
    <w:rsid w:val="00493FFF"/>
    <w:rsid w:val="00494309"/>
    <w:rsid w:val="00494623"/>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5DA"/>
    <w:rsid w:val="004B0781"/>
    <w:rsid w:val="004B0807"/>
    <w:rsid w:val="004B174F"/>
    <w:rsid w:val="004B34F9"/>
    <w:rsid w:val="004B39D5"/>
    <w:rsid w:val="004B5BE2"/>
    <w:rsid w:val="004B5C81"/>
    <w:rsid w:val="004B6A0B"/>
    <w:rsid w:val="004B6D3F"/>
    <w:rsid w:val="004B7803"/>
    <w:rsid w:val="004B7A90"/>
    <w:rsid w:val="004B7C78"/>
    <w:rsid w:val="004C04A7"/>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84A"/>
    <w:rsid w:val="004C7A3C"/>
    <w:rsid w:val="004C7D16"/>
    <w:rsid w:val="004D0542"/>
    <w:rsid w:val="004D13D2"/>
    <w:rsid w:val="004D1889"/>
    <w:rsid w:val="004D1DBD"/>
    <w:rsid w:val="004D205F"/>
    <w:rsid w:val="004D24A9"/>
    <w:rsid w:val="004D2909"/>
    <w:rsid w:val="004D2B13"/>
    <w:rsid w:val="004D3353"/>
    <w:rsid w:val="004D4B11"/>
    <w:rsid w:val="004D5315"/>
    <w:rsid w:val="004D5F12"/>
    <w:rsid w:val="004D773C"/>
    <w:rsid w:val="004D7AB0"/>
    <w:rsid w:val="004D7D6B"/>
    <w:rsid w:val="004E02A1"/>
    <w:rsid w:val="004E0476"/>
    <w:rsid w:val="004E064A"/>
    <w:rsid w:val="004E0922"/>
    <w:rsid w:val="004E1445"/>
    <w:rsid w:val="004E148B"/>
    <w:rsid w:val="004E1AFB"/>
    <w:rsid w:val="004E1FEC"/>
    <w:rsid w:val="004E258B"/>
    <w:rsid w:val="004E2F98"/>
    <w:rsid w:val="004E3A87"/>
    <w:rsid w:val="004E3E37"/>
    <w:rsid w:val="004E44B9"/>
    <w:rsid w:val="004E46A2"/>
    <w:rsid w:val="004E5C89"/>
    <w:rsid w:val="004E619D"/>
    <w:rsid w:val="004E6F03"/>
    <w:rsid w:val="004E7085"/>
    <w:rsid w:val="004E78A5"/>
    <w:rsid w:val="004E7DF0"/>
    <w:rsid w:val="004F0395"/>
    <w:rsid w:val="004F04D2"/>
    <w:rsid w:val="004F0D64"/>
    <w:rsid w:val="004F1767"/>
    <w:rsid w:val="004F1CE9"/>
    <w:rsid w:val="004F2194"/>
    <w:rsid w:val="004F26C0"/>
    <w:rsid w:val="004F28D1"/>
    <w:rsid w:val="004F43F9"/>
    <w:rsid w:val="004F440B"/>
    <w:rsid w:val="004F4566"/>
    <w:rsid w:val="004F4C75"/>
    <w:rsid w:val="004F5AEE"/>
    <w:rsid w:val="004F5DB4"/>
    <w:rsid w:val="004F659B"/>
    <w:rsid w:val="004F6620"/>
    <w:rsid w:val="004F7D68"/>
    <w:rsid w:val="004F7DFD"/>
    <w:rsid w:val="00500502"/>
    <w:rsid w:val="005019FF"/>
    <w:rsid w:val="005023DC"/>
    <w:rsid w:val="00502483"/>
    <w:rsid w:val="00502776"/>
    <w:rsid w:val="00503D74"/>
    <w:rsid w:val="005041D3"/>
    <w:rsid w:val="0050482D"/>
    <w:rsid w:val="00504C02"/>
    <w:rsid w:val="00505A89"/>
    <w:rsid w:val="00505B72"/>
    <w:rsid w:val="005067E3"/>
    <w:rsid w:val="0050682F"/>
    <w:rsid w:val="00506A5D"/>
    <w:rsid w:val="0050778D"/>
    <w:rsid w:val="005101AC"/>
    <w:rsid w:val="00510F5F"/>
    <w:rsid w:val="00511832"/>
    <w:rsid w:val="0051195F"/>
    <w:rsid w:val="00512500"/>
    <w:rsid w:val="00512542"/>
    <w:rsid w:val="00512A22"/>
    <w:rsid w:val="00512AAA"/>
    <w:rsid w:val="00512D22"/>
    <w:rsid w:val="005134B8"/>
    <w:rsid w:val="00513506"/>
    <w:rsid w:val="00514B9E"/>
    <w:rsid w:val="00515355"/>
    <w:rsid w:val="00515BCE"/>
    <w:rsid w:val="00516DF7"/>
    <w:rsid w:val="0051799B"/>
    <w:rsid w:val="005208B8"/>
    <w:rsid w:val="005208CA"/>
    <w:rsid w:val="00520B2B"/>
    <w:rsid w:val="00521396"/>
    <w:rsid w:val="00521399"/>
    <w:rsid w:val="00521EB7"/>
    <w:rsid w:val="005224FC"/>
    <w:rsid w:val="0052321B"/>
    <w:rsid w:val="005239F8"/>
    <w:rsid w:val="00523EC2"/>
    <w:rsid w:val="005241CD"/>
    <w:rsid w:val="00524572"/>
    <w:rsid w:val="00524999"/>
    <w:rsid w:val="00525573"/>
    <w:rsid w:val="00525D74"/>
    <w:rsid w:val="00526041"/>
    <w:rsid w:val="00526089"/>
    <w:rsid w:val="00526804"/>
    <w:rsid w:val="00526D71"/>
    <w:rsid w:val="0052702B"/>
    <w:rsid w:val="00527139"/>
    <w:rsid w:val="00527653"/>
    <w:rsid w:val="00527658"/>
    <w:rsid w:val="00527D64"/>
    <w:rsid w:val="00527D88"/>
    <w:rsid w:val="00527E8D"/>
    <w:rsid w:val="00530445"/>
    <w:rsid w:val="0053057A"/>
    <w:rsid w:val="0053190A"/>
    <w:rsid w:val="0053295A"/>
    <w:rsid w:val="00532A97"/>
    <w:rsid w:val="00533065"/>
    <w:rsid w:val="0053323C"/>
    <w:rsid w:val="00533325"/>
    <w:rsid w:val="005344C8"/>
    <w:rsid w:val="005356A2"/>
    <w:rsid w:val="00535AE7"/>
    <w:rsid w:val="005371DD"/>
    <w:rsid w:val="00537236"/>
    <w:rsid w:val="00537577"/>
    <w:rsid w:val="005375F9"/>
    <w:rsid w:val="0053774A"/>
    <w:rsid w:val="005378EA"/>
    <w:rsid w:val="00540353"/>
    <w:rsid w:val="00540799"/>
    <w:rsid w:val="00540879"/>
    <w:rsid w:val="00540C48"/>
    <w:rsid w:val="00540DFA"/>
    <w:rsid w:val="00540E64"/>
    <w:rsid w:val="005411A1"/>
    <w:rsid w:val="005412F3"/>
    <w:rsid w:val="0054181E"/>
    <w:rsid w:val="00541D81"/>
    <w:rsid w:val="00542210"/>
    <w:rsid w:val="00542C96"/>
    <w:rsid w:val="00543ABA"/>
    <w:rsid w:val="00543BC6"/>
    <w:rsid w:val="00543D31"/>
    <w:rsid w:val="005469D2"/>
    <w:rsid w:val="00546BE6"/>
    <w:rsid w:val="0055010A"/>
    <w:rsid w:val="005502E1"/>
    <w:rsid w:val="00550AD6"/>
    <w:rsid w:val="00551548"/>
    <w:rsid w:val="00553830"/>
    <w:rsid w:val="00553EB3"/>
    <w:rsid w:val="00554655"/>
    <w:rsid w:val="00554E66"/>
    <w:rsid w:val="00554F9D"/>
    <w:rsid w:val="00555322"/>
    <w:rsid w:val="00556ABB"/>
    <w:rsid w:val="00557511"/>
    <w:rsid w:val="00557839"/>
    <w:rsid w:val="005605DF"/>
    <w:rsid w:val="005609FD"/>
    <w:rsid w:val="00560A29"/>
    <w:rsid w:val="005611DE"/>
    <w:rsid w:val="00562639"/>
    <w:rsid w:val="00563120"/>
    <w:rsid w:val="00564D5F"/>
    <w:rsid w:val="00565323"/>
    <w:rsid w:val="005656EF"/>
    <w:rsid w:val="00565717"/>
    <w:rsid w:val="005660E1"/>
    <w:rsid w:val="005665D5"/>
    <w:rsid w:val="0056664C"/>
    <w:rsid w:val="0056747F"/>
    <w:rsid w:val="00567882"/>
    <w:rsid w:val="00567A85"/>
    <w:rsid w:val="00567D53"/>
    <w:rsid w:val="00570BC8"/>
    <w:rsid w:val="005713F3"/>
    <w:rsid w:val="00571BA1"/>
    <w:rsid w:val="005734D0"/>
    <w:rsid w:val="00574E28"/>
    <w:rsid w:val="00575426"/>
    <w:rsid w:val="00575717"/>
    <w:rsid w:val="00575A43"/>
    <w:rsid w:val="00576D17"/>
    <w:rsid w:val="00577025"/>
    <w:rsid w:val="0057760C"/>
    <w:rsid w:val="00577630"/>
    <w:rsid w:val="00577D5C"/>
    <w:rsid w:val="005800E0"/>
    <w:rsid w:val="00580C2E"/>
    <w:rsid w:val="00581071"/>
    <w:rsid w:val="005814C8"/>
    <w:rsid w:val="00582FC3"/>
    <w:rsid w:val="0058345A"/>
    <w:rsid w:val="0058348C"/>
    <w:rsid w:val="00583B4D"/>
    <w:rsid w:val="00584781"/>
    <w:rsid w:val="005849D1"/>
    <w:rsid w:val="00584F47"/>
    <w:rsid w:val="00585283"/>
    <w:rsid w:val="005856CA"/>
    <w:rsid w:val="005856E1"/>
    <w:rsid w:val="005863C3"/>
    <w:rsid w:val="00586434"/>
    <w:rsid w:val="005865F2"/>
    <w:rsid w:val="00587204"/>
    <w:rsid w:val="00591439"/>
    <w:rsid w:val="0059163F"/>
    <w:rsid w:val="0059251D"/>
    <w:rsid w:val="005926F8"/>
    <w:rsid w:val="00592B86"/>
    <w:rsid w:val="00592DBB"/>
    <w:rsid w:val="005947D0"/>
    <w:rsid w:val="005951C4"/>
    <w:rsid w:val="00595A90"/>
    <w:rsid w:val="00595C96"/>
    <w:rsid w:val="00596AFB"/>
    <w:rsid w:val="00596B1C"/>
    <w:rsid w:val="00596D6C"/>
    <w:rsid w:val="00597748"/>
    <w:rsid w:val="005A152E"/>
    <w:rsid w:val="005A2524"/>
    <w:rsid w:val="005A26E3"/>
    <w:rsid w:val="005A29D5"/>
    <w:rsid w:val="005A395C"/>
    <w:rsid w:val="005A49A8"/>
    <w:rsid w:val="005A4BAA"/>
    <w:rsid w:val="005A4CE1"/>
    <w:rsid w:val="005A63D7"/>
    <w:rsid w:val="005A6B95"/>
    <w:rsid w:val="005B0E55"/>
    <w:rsid w:val="005B20F9"/>
    <w:rsid w:val="005B2108"/>
    <w:rsid w:val="005B2546"/>
    <w:rsid w:val="005B29AB"/>
    <w:rsid w:val="005B366B"/>
    <w:rsid w:val="005B4124"/>
    <w:rsid w:val="005B5920"/>
    <w:rsid w:val="005B5DF6"/>
    <w:rsid w:val="005B640C"/>
    <w:rsid w:val="005B6F89"/>
    <w:rsid w:val="005B70BC"/>
    <w:rsid w:val="005B7168"/>
    <w:rsid w:val="005B73B8"/>
    <w:rsid w:val="005B788A"/>
    <w:rsid w:val="005C010C"/>
    <w:rsid w:val="005C021D"/>
    <w:rsid w:val="005C03CB"/>
    <w:rsid w:val="005C04F8"/>
    <w:rsid w:val="005C150A"/>
    <w:rsid w:val="005C22F0"/>
    <w:rsid w:val="005C3700"/>
    <w:rsid w:val="005C4803"/>
    <w:rsid w:val="005C4AEA"/>
    <w:rsid w:val="005C5C78"/>
    <w:rsid w:val="005C5CE4"/>
    <w:rsid w:val="005C6649"/>
    <w:rsid w:val="005C6BCB"/>
    <w:rsid w:val="005C6E32"/>
    <w:rsid w:val="005D0946"/>
    <w:rsid w:val="005D139F"/>
    <w:rsid w:val="005D17A2"/>
    <w:rsid w:val="005D1B40"/>
    <w:rsid w:val="005D2F53"/>
    <w:rsid w:val="005D3A40"/>
    <w:rsid w:val="005D4604"/>
    <w:rsid w:val="005D5E8B"/>
    <w:rsid w:val="005D7358"/>
    <w:rsid w:val="005D741A"/>
    <w:rsid w:val="005E018B"/>
    <w:rsid w:val="005E09E1"/>
    <w:rsid w:val="005E1BB4"/>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3A2B"/>
    <w:rsid w:val="005F5680"/>
    <w:rsid w:val="005F578E"/>
    <w:rsid w:val="005F630A"/>
    <w:rsid w:val="005F638C"/>
    <w:rsid w:val="005F6DE5"/>
    <w:rsid w:val="005F722C"/>
    <w:rsid w:val="00600038"/>
    <w:rsid w:val="00600EB1"/>
    <w:rsid w:val="0060101A"/>
    <w:rsid w:val="00601312"/>
    <w:rsid w:val="0060193F"/>
    <w:rsid w:val="00601D82"/>
    <w:rsid w:val="006023B8"/>
    <w:rsid w:val="006024A2"/>
    <w:rsid w:val="006037D8"/>
    <w:rsid w:val="00603FA3"/>
    <w:rsid w:val="00604357"/>
    <w:rsid w:val="0060478D"/>
    <w:rsid w:val="00604E84"/>
    <w:rsid w:val="006053C6"/>
    <w:rsid w:val="00605827"/>
    <w:rsid w:val="00605BB7"/>
    <w:rsid w:val="00606BD0"/>
    <w:rsid w:val="006075E7"/>
    <w:rsid w:val="00607B24"/>
    <w:rsid w:val="00610750"/>
    <w:rsid w:val="00610F03"/>
    <w:rsid w:val="00610F20"/>
    <w:rsid w:val="00611ADF"/>
    <w:rsid w:val="00611DAA"/>
    <w:rsid w:val="00611F28"/>
    <w:rsid w:val="0061227B"/>
    <w:rsid w:val="00612A4C"/>
    <w:rsid w:val="0061337D"/>
    <w:rsid w:val="00613801"/>
    <w:rsid w:val="00613CCB"/>
    <w:rsid w:val="00613E58"/>
    <w:rsid w:val="006140B7"/>
    <w:rsid w:val="00614CE8"/>
    <w:rsid w:val="00614CFE"/>
    <w:rsid w:val="00614DBA"/>
    <w:rsid w:val="00614FEB"/>
    <w:rsid w:val="0061593F"/>
    <w:rsid w:val="00615BC6"/>
    <w:rsid w:val="00615EB0"/>
    <w:rsid w:val="006161CB"/>
    <w:rsid w:val="006165CF"/>
    <w:rsid w:val="0061729C"/>
    <w:rsid w:val="0061782F"/>
    <w:rsid w:val="006224D3"/>
    <w:rsid w:val="00622EE1"/>
    <w:rsid w:val="00623688"/>
    <w:rsid w:val="006244C7"/>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6D1C"/>
    <w:rsid w:val="00647101"/>
    <w:rsid w:val="006502BE"/>
    <w:rsid w:val="00650448"/>
    <w:rsid w:val="0065067A"/>
    <w:rsid w:val="006507A9"/>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251"/>
    <w:rsid w:val="006675CE"/>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0F15"/>
    <w:rsid w:val="006813FB"/>
    <w:rsid w:val="00682997"/>
    <w:rsid w:val="00683222"/>
    <w:rsid w:val="0068327B"/>
    <w:rsid w:val="006833A0"/>
    <w:rsid w:val="0068372D"/>
    <w:rsid w:val="006842D6"/>
    <w:rsid w:val="00684AD4"/>
    <w:rsid w:val="00684BEC"/>
    <w:rsid w:val="00685429"/>
    <w:rsid w:val="0068548B"/>
    <w:rsid w:val="00685CF2"/>
    <w:rsid w:val="00685D2B"/>
    <w:rsid w:val="00686155"/>
    <w:rsid w:val="0068654A"/>
    <w:rsid w:val="006875D1"/>
    <w:rsid w:val="0069077F"/>
    <w:rsid w:val="00690F20"/>
    <w:rsid w:val="006919E9"/>
    <w:rsid w:val="006921F3"/>
    <w:rsid w:val="0069256D"/>
    <w:rsid w:val="00693EE0"/>
    <w:rsid w:val="00694170"/>
    <w:rsid w:val="0069419D"/>
    <w:rsid w:val="00694336"/>
    <w:rsid w:val="00695298"/>
    <w:rsid w:val="0069539C"/>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28FD"/>
    <w:rsid w:val="006B3607"/>
    <w:rsid w:val="006B3A95"/>
    <w:rsid w:val="006B4132"/>
    <w:rsid w:val="006B4BE7"/>
    <w:rsid w:val="006B4D7F"/>
    <w:rsid w:val="006B54E9"/>
    <w:rsid w:val="006B58CA"/>
    <w:rsid w:val="006B6B07"/>
    <w:rsid w:val="006B72E0"/>
    <w:rsid w:val="006B74A2"/>
    <w:rsid w:val="006B775C"/>
    <w:rsid w:val="006B7D46"/>
    <w:rsid w:val="006C056E"/>
    <w:rsid w:val="006C0C57"/>
    <w:rsid w:val="006C0D05"/>
    <w:rsid w:val="006C0D1A"/>
    <w:rsid w:val="006C10AF"/>
    <w:rsid w:val="006C199C"/>
    <w:rsid w:val="006C2B66"/>
    <w:rsid w:val="006C2BE2"/>
    <w:rsid w:val="006C43DD"/>
    <w:rsid w:val="006C457B"/>
    <w:rsid w:val="006C514E"/>
    <w:rsid w:val="006C5EB0"/>
    <w:rsid w:val="006C661C"/>
    <w:rsid w:val="006C6671"/>
    <w:rsid w:val="006C6D5D"/>
    <w:rsid w:val="006C6DAE"/>
    <w:rsid w:val="006C7DD0"/>
    <w:rsid w:val="006D016E"/>
    <w:rsid w:val="006D059B"/>
    <w:rsid w:val="006D0A70"/>
    <w:rsid w:val="006D1513"/>
    <w:rsid w:val="006D159A"/>
    <w:rsid w:val="006D1850"/>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3E1"/>
    <w:rsid w:val="006F04FC"/>
    <w:rsid w:val="006F0F6C"/>
    <w:rsid w:val="006F13CE"/>
    <w:rsid w:val="006F183B"/>
    <w:rsid w:val="006F188D"/>
    <w:rsid w:val="006F18ED"/>
    <w:rsid w:val="006F1E5E"/>
    <w:rsid w:val="006F3CB7"/>
    <w:rsid w:val="006F48DC"/>
    <w:rsid w:val="006F4E74"/>
    <w:rsid w:val="006F5193"/>
    <w:rsid w:val="006F54AE"/>
    <w:rsid w:val="006F5A11"/>
    <w:rsid w:val="006F5C33"/>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079A8"/>
    <w:rsid w:val="00711A27"/>
    <w:rsid w:val="00711AF6"/>
    <w:rsid w:val="00712BA9"/>
    <w:rsid w:val="00713026"/>
    <w:rsid w:val="00713C45"/>
    <w:rsid w:val="00714AF4"/>
    <w:rsid w:val="00715F94"/>
    <w:rsid w:val="0071672F"/>
    <w:rsid w:val="0072134F"/>
    <w:rsid w:val="007215A9"/>
    <w:rsid w:val="007216D2"/>
    <w:rsid w:val="00721CC5"/>
    <w:rsid w:val="007220C9"/>
    <w:rsid w:val="007220FE"/>
    <w:rsid w:val="007235C3"/>
    <w:rsid w:val="00723AD1"/>
    <w:rsid w:val="00723FA6"/>
    <w:rsid w:val="007240FA"/>
    <w:rsid w:val="007241FB"/>
    <w:rsid w:val="007243A9"/>
    <w:rsid w:val="007249A7"/>
    <w:rsid w:val="00724AC7"/>
    <w:rsid w:val="00724C42"/>
    <w:rsid w:val="00724D4B"/>
    <w:rsid w:val="00724F27"/>
    <w:rsid w:val="00725581"/>
    <w:rsid w:val="00726005"/>
    <w:rsid w:val="007273DA"/>
    <w:rsid w:val="00727B7F"/>
    <w:rsid w:val="007306E9"/>
    <w:rsid w:val="007306EF"/>
    <w:rsid w:val="00730896"/>
    <w:rsid w:val="00733AE6"/>
    <w:rsid w:val="007349F7"/>
    <w:rsid w:val="00735BA0"/>
    <w:rsid w:val="00736C51"/>
    <w:rsid w:val="00736EBF"/>
    <w:rsid w:val="00737021"/>
    <w:rsid w:val="0074170A"/>
    <w:rsid w:val="00741A32"/>
    <w:rsid w:val="0074214C"/>
    <w:rsid w:val="00742201"/>
    <w:rsid w:val="00742A9F"/>
    <w:rsid w:val="00742B0C"/>
    <w:rsid w:val="00742E11"/>
    <w:rsid w:val="007432B1"/>
    <w:rsid w:val="00743E8D"/>
    <w:rsid w:val="00744FFC"/>
    <w:rsid w:val="00745158"/>
    <w:rsid w:val="007462BF"/>
    <w:rsid w:val="007467F4"/>
    <w:rsid w:val="00746BC3"/>
    <w:rsid w:val="00746EE4"/>
    <w:rsid w:val="007473C3"/>
    <w:rsid w:val="00747BE4"/>
    <w:rsid w:val="00747ED4"/>
    <w:rsid w:val="007503B8"/>
    <w:rsid w:val="00750623"/>
    <w:rsid w:val="00750A0B"/>
    <w:rsid w:val="007513D1"/>
    <w:rsid w:val="00751D41"/>
    <w:rsid w:val="0075224A"/>
    <w:rsid w:val="00754680"/>
    <w:rsid w:val="00754E8A"/>
    <w:rsid w:val="0075501E"/>
    <w:rsid w:val="007550D2"/>
    <w:rsid w:val="007552A2"/>
    <w:rsid w:val="00755492"/>
    <w:rsid w:val="00755C01"/>
    <w:rsid w:val="0075777F"/>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67A6F"/>
    <w:rsid w:val="00770773"/>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2C1"/>
    <w:rsid w:val="00785FE1"/>
    <w:rsid w:val="0078609E"/>
    <w:rsid w:val="007861A3"/>
    <w:rsid w:val="007903FD"/>
    <w:rsid w:val="00790821"/>
    <w:rsid w:val="00790C1F"/>
    <w:rsid w:val="0079145C"/>
    <w:rsid w:val="00791CEF"/>
    <w:rsid w:val="00792003"/>
    <w:rsid w:val="0079605B"/>
    <w:rsid w:val="00796CE4"/>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6983"/>
    <w:rsid w:val="007A777C"/>
    <w:rsid w:val="007B0D9E"/>
    <w:rsid w:val="007B1F15"/>
    <w:rsid w:val="007B214E"/>
    <w:rsid w:val="007B21CE"/>
    <w:rsid w:val="007B2FD5"/>
    <w:rsid w:val="007B3A0F"/>
    <w:rsid w:val="007B4180"/>
    <w:rsid w:val="007B5B51"/>
    <w:rsid w:val="007B5D0B"/>
    <w:rsid w:val="007B6100"/>
    <w:rsid w:val="007B6738"/>
    <w:rsid w:val="007B7AB6"/>
    <w:rsid w:val="007C0011"/>
    <w:rsid w:val="007C001A"/>
    <w:rsid w:val="007C0116"/>
    <w:rsid w:val="007C03F6"/>
    <w:rsid w:val="007C050C"/>
    <w:rsid w:val="007C0642"/>
    <w:rsid w:val="007C172E"/>
    <w:rsid w:val="007C185D"/>
    <w:rsid w:val="007C18F6"/>
    <w:rsid w:val="007C1929"/>
    <w:rsid w:val="007C2667"/>
    <w:rsid w:val="007C2F49"/>
    <w:rsid w:val="007C3036"/>
    <w:rsid w:val="007C4874"/>
    <w:rsid w:val="007C4E9B"/>
    <w:rsid w:val="007C641E"/>
    <w:rsid w:val="007C6CE3"/>
    <w:rsid w:val="007C737A"/>
    <w:rsid w:val="007C7814"/>
    <w:rsid w:val="007C7FDA"/>
    <w:rsid w:val="007D0783"/>
    <w:rsid w:val="007D1613"/>
    <w:rsid w:val="007D1809"/>
    <w:rsid w:val="007D1968"/>
    <w:rsid w:val="007D2BD4"/>
    <w:rsid w:val="007D36B9"/>
    <w:rsid w:val="007D3847"/>
    <w:rsid w:val="007D3EB3"/>
    <w:rsid w:val="007D441F"/>
    <w:rsid w:val="007D4889"/>
    <w:rsid w:val="007D4C22"/>
    <w:rsid w:val="007D4FC2"/>
    <w:rsid w:val="007D53C6"/>
    <w:rsid w:val="007D6DD3"/>
    <w:rsid w:val="007D7620"/>
    <w:rsid w:val="007D7E2C"/>
    <w:rsid w:val="007E019F"/>
    <w:rsid w:val="007E08C9"/>
    <w:rsid w:val="007E08E3"/>
    <w:rsid w:val="007E0F33"/>
    <w:rsid w:val="007E1304"/>
    <w:rsid w:val="007E19C1"/>
    <w:rsid w:val="007E28D5"/>
    <w:rsid w:val="007E2DE1"/>
    <w:rsid w:val="007E32A6"/>
    <w:rsid w:val="007E3E20"/>
    <w:rsid w:val="007E4401"/>
    <w:rsid w:val="007E4817"/>
    <w:rsid w:val="007E50BF"/>
    <w:rsid w:val="007E51A9"/>
    <w:rsid w:val="007E51DB"/>
    <w:rsid w:val="007E5E41"/>
    <w:rsid w:val="007E615F"/>
    <w:rsid w:val="007E6601"/>
    <w:rsid w:val="007E67BF"/>
    <w:rsid w:val="007E698F"/>
    <w:rsid w:val="007E6DD9"/>
    <w:rsid w:val="007E70DC"/>
    <w:rsid w:val="007E72B3"/>
    <w:rsid w:val="007E7D52"/>
    <w:rsid w:val="007F0340"/>
    <w:rsid w:val="007F0A89"/>
    <w:rsid w:val="007F0CCA"/>
    <w:rsid w:val="007F110F"/>
    <w:rsid w:val="007F1C68"/>
    <w:rsid w:val="007F4628"/>
    <w:rsid w:val="007F481C"/>
    <w:rsid w:val="007F4A44"/>
    <w:rsid w:val="007F4EB1"/>
    <w:rsid w:val="007F50DC"/>
    <w:rsid w:val="007F5BFB"/>
    <w:rsid w:val="007F732A"/>
    <w:rsid w:val="007F74B3"/>
    <w:rsid w:val="007F7E97"/>
    <w:rsid w:val="00800627"/>
    <w:rsid w:val="008015A9"/>
    <w:rsid w:val="00801630"/>
    <w:rsid w:val="00802F9A"/>
    <w:rsid w:val="0080323D"/>
    <w:rsid w:val="008032EF"/>
    <w:rsid w:val="00803C7C"/>
    <w:rsid w:val="008048A6"/>
    <w:rsid w:val="00804C72"/>
    <w:rsid w:val="008051DE"/>
    <w:rsid w:val="00805E33"/>
    <w:rsid w:val="0080660E"/>
    <w:rsid w:val="00806850"/>
    <w:rsid w:val="008071DB"/>
    <w:rsid w:val="00807A13"/>
    <w:rsid w:val="00807FD4"/>
    <w:rsid w:val="00810A74"/>
    <w:rsid w:val="00810CC4"/>
    <w:rsid w:val="00811AA9"/>
    <w:rsid w:val="00811AFA"/>
    <w:rsid w:val="00812023"/>
    <w:rsid w:val="00812406"/>
    <w:rsid w:val="0081292E"/>
    <w:rsid w:val="0081312F"/>
    <w:rsid w:val="0081342D"/>
    <w:rsid w:val="008148C6"/>
    <w:rsid w:val="00814B16"/>
    <w:rsid w:val="00815686"/>
    <w:rsid w:val="00816B25"/>
    <w:rsid w:val="00816DD5"/>
    <w:rsid w:val="0082016C"/>
    <w:rsid w:val="00820EE6"/>
    <w:rsid w:val="008213D6"/>
    <w:rsid w:val="00821516"/>
    <w:rsid w:val="008221D0"/>
    <w:rsid w:val="008229DB"/>
    <w:rsid w:val="00822EA5"/>
    <w:rsid w:val="008230AB"/>
    <w:rsid w:val="00823741"/>
    <w:rsid w:val="008250B1"/>
    <w:rsid w:val="00825AF8"/>
    <w:rsid w:val="00825B56"/>
    <w:rsid w:val="00825CA1"/>
    <w:rsid w:val="00830154"/>
    <w:rsid w:val="00830625"/>
    <w:rsid w:val="008309A1"/>
    <w:rsid w:val="00830E48"/>
    <w:rsid w:val="00832263"/>
    <w:rsid w:val="00832A36"/>
    <w:rsid w:val="00832D41"/>
    <w:rsid w:val="008335D5"/>
    <w:rsid w:val="008338A2"/>
    <w:rsid w:val="008342A1"/>
    <w:rsid w:val="00835BEA"/>
    <w:rsid w:val="0083736F"/>
    <w:rsid w:val="00840381"/>
    <w:rsid w:val="00840B3E"/>
    <w:rsid w:val="00840D44"/>
    <w:rsid w:val="00841515"/>
    <w:rsid w:val="0084194C"/>
    <w:rsid w:val="00841AAE"/>
    <w:rsid w:val="00842015"/>
    <w:rsid w:val="0084321C"/>
    <w:rsid w:val="00843775"/>
    <w:rsid w:val="008456FB"/>
    <w:rsid w:val="00845D22"/>
    <w:rsid w:val="00847869"/>
    <w:rsid w:val="00847DEF"/>
    <w:rsid w:val="0085076C"/>
    <w:rsid w:val="008511FA"/>
    <w:rsid w:val="00852205"/>
    <w:rsid w:val="00852A39"/>
    <w:rsid w:val="00852BBD"/>
    <w:rsid w:val="00853358"/>
    <w:rsid w:val="008534BD"/>
    <w:rsid w:val="0085442A"/>
    <w:rsid w:val="00854781"/>
    <w:rsid w:val="008552D0"/>
    <w:rsid w:val="00855609"/>
    <w:rsid w:val="00855AA5"/>
    <w:rsid w:val="008561BB"/>
    <w:rsid w:val="00856238"/>
    <w:rsid w:val="00856581"/>
    <w:rsid w:val="00856EE6"/>
    <w:rsid w:val="00857724"/>
    <w:rsid w:val="008579AA"/>
    <w:rsid w:val="00857DF0"/>
    <w:rsid w:val="008609A9"/>
    <w:rsid w:val="00861355"/>
    <w:rsid w:val="0086168D"/>
    <w:rsid w:val="00861B02"/>
    <w:rsid w:val="00862067"/>
    <w:rsid w:val="00862242"/>
    <w:rsid w:val="008626DC"/>
    <w:rsid w:val="00862C2F"/>
    <w:rsid w:val="00863198"/>
    <w:rsid w:val="008639A8"/>
    <w:rsid w:val="00863D81"/>
    <w:rsid w:val="00864DEF"/>
    <w:rsid w:val="00864E2B"/>
    <w:rsid w:val="008651FC"/>
    <w:rsid w:val="0086631F"/>
    <w:rsid w:val="00866382"/>
    <w:rsid w:val="0086656C"/>
    <w:rsid w:val="00867549"/>
    <w:rsid w:val="008679B9"/>
    <w:rsid w:val="008704AC"/>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0DE3"/>
    <w:rsid w:val="00881101"/>
    <w:rsid w:val="008816BF"/>
    <w:rsid w:val="00882BAA"/>
    <w:rsid w:val="00883046"/>
    <w:rsid w:val="008832F8"/>
    <w:rsid w:val="00884BA3"/>
    <w:rsid w:val="00885A96"/>
    <w:rsid w:val="00886971"/>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193"/>
    <w:rsid w:val="008B0240"/>
    <w:rsid w:val="008B0784"/>
    <w:rsid w:val="008B09FF"/>
    <w:rsid w:val="008B1102"/>
    <w:rsid w:val="008B157D"/>
    <w:rsid w:val="008B2259"/>
    <w:rsid w:val="008B2CC1"/>
    <w:rsid w:val="008B2DDA"/>
    <w:rsid w:val="008B41C1"/>
    <w:rsid w:val="008B442A"/>
    <w:rsid w:val="008B4642"/>
    <w:rsid w:val="008B60B2"/>
    <w:rsid w:val="008B632B"/>
    <w:rsid w:val="008B646B"/>
    <w:rsid w:val="008B683F"/>
    <w:rsid w:val="008B76EB"/>
    <w:rsid w:val="008C023F"/>
    <w:rsid w:val="008C0307"/>
    <w:rsid w:val="008C0904"/>
    <w:rsid w:val="008C11A3"/>
    <w:rsid w:val="008C23A2"/>
    <w:rsid w:val="008C23E8"/>
    <w:rsid w:val="008C291E"/>
    <w:rsid w:val="008C2A32"/>
    <w:rsid w:val="008C3565"/>
    <w:rsid w:val="008C38BC"/>
    <w:rsid w:val="008C581D"/>
    <w:rsid w:val="008C5897"/>
    <w:rsid w:val="008C767C"/>
    <w:rsid w:val="008C790B"/>
    <w:rsid w:val="008D09DA"/>
    <w:rsid w:val="008D0BC3"/>
    <w:rsid w:val="008D0C2B"/>
    <w:rsid w:val="008D1206"/>
    <w:rsid w:val="008D1453"/>
    <w:rsid w:val="008D2259"/>
    <w:rsid w:val="008D2596"/>
    <w:rsid w:val="008D28B2"/>
    <w:rsid w:val="008D3298"/>
    <w:rsid w:val="008D549D"/>
    <w:rsid w:val="008D5C15"/>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20B"/>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23"/>
    <w:rsid w:val="0090777A"/>
    <w:rsid w:val="009077D7"/>
    <w:rsid w:val="00907930"/>
    <w:rsid w:val="00907A50"/>
    <w:rsid w:val="00907D55"/>
    <w:rsid w:val="00910032"/>
    <w:rsid w:val="00910184"/>
    <w:rsid w:val="00910776"/>
    <w:rsid w:val="009118AE"/>
    <w:rsid w:val="00912B1B"/>
    <w:rsid w:val="009131E3"/>
    <w:rsid w:val="00913361"/>
    <w:rsid w:val="00913734"/>
    <w:rsid w:val="00914486"/>
    <w:rsid w:val="00915795"/>
    <w:rsid w:val="00915985"/>
    <w:rsid w:val="00915E3D"/>
    <w:rsid w:val="0091630D"/>
    <w:rsid w:val="00916EE2"/>
    <w:rsid w:val="0091731E"/>
    <w:rsid w:val="00920A80"/>
    <w:rsid w:val="00924ACB"/>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234"/>
    <w:rsid w:val="00936A7E"/>
    <w:rsid w:val="009400C1"/>
    <w:rsid w:val="00940AE5"/>
    <w:rsid w:val="00940DB6"/>
    <w:rsid w:val="00940DD7"/>
    <w:rsid w:val="00940DDB"/>
    <w:rsid w:val="0094180C"/>
    <w:rsid w:val="009426E4"/>
    <w:rsid w:val="009434DD"/>
    <w:rsid w:val="00943768"/>
    <w:rsid w:val="00943B80"/>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4FD2"/>
    <w:rsid w:val="0096589A"/>
    <w:rsid w:val="009658B3"/>
    <w:rsid w:val="00965D36"/>
    <w:rsid w:val="00965DB6"/>
    <w:rsid w:val="00966A22"/>
    <w:rsid w:val="00966CB4"/>
    <w:rsid w:val="00967166"/>
    <w:rsid w:val="0096722F"/>
    <w:rsid w:val="00967894"/>
    <w:rsid w:val="00971D52"/>
    <w:rsid w:val="009735B3"/>
    <w:rsid w:val="009740AD"/>
    <w:rsid w:val="0097485D"/>
    <w:rsid w:val="00975791"/>
    <w:rsid w:val="00975939"/>
    <w:rsid w:val="009765CC"/>
    <w:rsid w:val="00977302"/>
    <w:rsid w:val="00977E00"/>
    <w:rsid w:val="00977E01"/>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664D"/>
    <w:rsid w:val="009975AE"/>
    <w:rsid w:val="009978D0"/>
    <w:rsid w:val="00997948"/>
    <w:rsid w:val="009A0279"/>
    <w:rsid w:val="009A15D3"/>
    <w:rsid w:val="009A17EA"/>
    <w:rsid w:val="009A1BDE"/>
    <w:rsid w:val="009A1E5E"/>
    <w:rsid w:val="009A1F1E"/>
    <w:rsid w:val="009A7C25"/>
    <w:rsid w:val="009B0D94"/>
    <w:rsid w:val="009B3133"/>
    <w:rsid w:val="009B3290"/>
    <w:rsid w:val="009B35C7"/>
    <w:rsid w:val="009B383F"/>
    <w:rsid w:val="009B420C"/>
    <w:rsid w:val="009B4241"/>
    <w:rsid w:val="009B46D2"/>
    <w:rsid w:val="009B4AAB"/>
    <w:rsid w:val="009B5288"/>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26F"/>
    <w:rsid w:val="009C5935"/>
    <w:rsid w:val="009C5D6F"/>
    <w:rsid w:val="009C6C1C"/>
    <w:rsid w:val="009C6C68"/>
    <w:rsid w:val="009C740B"/>
    <w:rsid w:val="009C74C4"/>
    <w:rsid w:val="009D0B21"/>
    <w:rsid w:val="009D0CCC"/>
    <w:rsid w:val="009D13BE"/>
    <w:rsid w:val="009D3F45"/>
    <w:rsid w:val="009D47BC"/>
    <w:rsid w:val="009D6D51"/>
    <w:rsid w:val="009D7374"/>
    <w:rsid w:val="009D7A4D"/>
    <w:rsid w:val="009D7C3F"/>
    <w:rsid w:val="009E02A7"/>
    <w:rsid w:val="009E0A22"/>
    <w:rsid w:val="009E2636"/>
    <w:rsid w:val="009E2778"/>
    <w:rsid w:val="009E2791"/>
    <w:rsid w:val="009E2BD1"/>
    <w:rsid w:val="009E2CA8"/>
    <w:rsid w:val="009E3362"/>
    <w:rsid w:val="009E36F5"/>
    <w:rsid w:val="009E3BAB"/>
    <w:rsid w:val="009E3C5F"/>
    <w:rsid w:val="009E3EF7"/>
    <w:rsid w:val="009E3F6F"/>
    <w:rsid w:val="009E44C4"/>
    <w:rsid w:val="009E4635"/>
    <w:rsid w:val="009E49E5"/>
    <w:rsid w:val="009E4BE5"/>
    <w:rsid w:val="009E5397"/>
    <w:rsid w:val="009E689A"/>
    <w:rsid w:val="009E73C0"/>
    <w:rsid w:val="009F0A4D"/>
    <w:rsid w:val="009F171C"/>
    <w:rsid w:val="009F1EDB"/>
    <w:rsid w:val="009F24AB"/>
    <w:rsid w:val="009F299C"/>
    <w:rsid w:val="009F4774"/>
    <w:rsid w:val="009F499F"/>
    <w:rsid w:val="009F4DB9"/>
    <w:rsid w:val="009F53CA"/>
    <w:rsid w:val="009F592C"/>
    <w:rsid w:val="009F600E"/>
    <w:rsid w:val="009F7346"/>
    <w:rsid w:val="009F7B57"/>
    <w:rsid w:val="00A001D8"/>
    <w:rsid w:val="00A003F3"/>
    <w:rsid w:val="00A0069A"/>
    <w:rsid w:val="00A014CF"/>
    <w:rsid w:val="00A017C7"/>
    <w:rsid w:val="00A01E2A"/>
    <w:rsid w:val="00A03142"/>
    <w:rsid w:val="00A032A4"/>
    <w:rsid w:val="00A04A38"/>
    <w:rsid w:val="00A05A76"/>
    <w:rsid w:val="00A05CEE"/>
    <w:rsid w:val="00A05D24"/>
    <w:rsid w:val="00A05EF1"/>
    <w:rsid w:val="00A065EE"/>
    <w:rsid w:val="00A06D93"/>
    <w:rsid w:val="00A06DB2"/>
    <w:rsid w:val="00A07328"/>
    <w:rsid w:val="00A07FBB"/>
    <w:rsid w:val="00A10EB6"/>
    <w:rsid w:val="00A1198B"/>
    <w:rsid w:val="00A11D7C"/>
    <w:rsid w:val="00A11DB0"/>
    <w:rsid w:val="00A11E65"/>
    <w:rsid w:val="00A1246D"/>
    <w:rsid w:val="00A125C4"/>
    <w:rsid w:val="00A13787"/>
    <w:rsid w:val="00A13904"/>
    <w:rsid w:val="00A13945"/>
    <w:rsid w:val="00A139D4"/>
    <w:rsid w:val="00A13AD5"/>
    <w:rsid w:val="00A1529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650E"/>
    <w:rsid w:val="00A27BF8"/>
    <w:rsid w:val="00A305D5"/>
    <w:rsid w:val="00A306D0"/>
    <w:rsid w:val="00A30DF0"/>
    <w:rsid w:val="00A310D0"/>
    <w:rsid w:val="00A31C27"/>
    <w:rsid w:val="00A3218C"/>
    <w:rsid w:val="00A3229D"/>
    <w:rsid w:val="00A32EAD"/>
    <w:rsid w:val="00A3345C"/>
    <w:rsid w:val="00A339F6"/>
    <w:rsid w:val="00A33AF3"/>
    <w:rsid w:val="00A33E29"/>
    <w:rsid w:val="00A33EB4"/>
    <w:rsid w:val="00A34098"/>
    <w:rsid w:val="00A341C2"/>
    <w:rsid w:val="00A35AB4"/>
    <w:rsid w:val="00A3615A"/>
    <w:rsid w:val="00A37684"/>
    <w:rsid w:val="00A37935"/>
    <w:rsid w:val="00A405F2"/>
    <w:rsid w:val="00A40741"/>
    <w:rsid w:val="00A40922"/>
    <w:rsid w:val="00A40A89"/>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47FAF"/>
    <w:rsid w:val="00A50471"/>
    <w:rsid w:val="00A51359"/>
    <w:rsid w:val="00A5156B"/>
    <w:rsid w:val="00A51E8B"/>
    <w:rsid w:val="00A52771"/>
    <w:rsid w:val="00A5281A"/>
    <w:rsid w:val="00A53599"/>
    <w:rsid w:val="00A536F5"/>
    <w:rsid w:val="00A538F2"/>
    <w:rsid w:val="00A541A8"/>
    <w:rsid w:val="00A545DD"/>
    <w:rsid w:val="00A54CD5"/>
    <w:rsid w:val="00A54DB6"/>
    <w:rsid w:val="00A54FBE"/>
    <w:rsid w:val="00A54FD5"/>
    <w:rsid w:val="00A553BC"/>
    <w:rsid w:val="00A55634"/>
    <w:rsid w:val="00A558D5"/>
    <w:rsid w:val="00A55952"/>
    <w:rsid w:val="00A5616C"/>
    <w:rsid w:val="00A5688B"/>
    <w:rsid w:val="00A5784E"/>
    <w:rsid w:val="00A61C2B"/>
    <w:rsid w:val="00A622C4"/>
    <w:rsid w:val="00A624A9"/>
    <w:rsid w:val="00A62CAE"/>
    <w:rsid w:val="00A62E10"/>
    <w:rsid w:val="00A635C4"/>
    <w:rsid w:val="00A639B8"/>
    <w:rsid w:val="00A64140"/>
    <w:rsid w:val="00A64384"/>
    <w:rsid w:val="00A64612"/>
    <w:rsid w:val="00A64909"/>
    <w:rsid w:val="00A66758"/>
    <w:rsid w:val="00A67070"/>
    <w:rsid w:val="00A6772B"/>
    <w:rsid w:val="00A67CEF"/>
    <w:rsid w:val="00A67DCD"/>
    <w:rsid w:val="00A70078"/>
    <w:rsid w:val="00A7044E"/>
    <w:rsid w:val="00A70776"/>
    <w:rsid w:val="00A70C3A"/>
    <w:rsid w:val="00A71632"/>
    <w:rsid w:val="00A71B02"/>
    <w:rsid w:val="00A72059"/>
    <w:rsid w:val="00A7210D"/>
    <w:rsid w:val="00A72A3C"/>
    <w:rsid w:val="00A73153"/>
    <w:rsid w:val="00A73688"/>
    <w:rsid w:val="00A73998"/>
    <w:rsid w:val="00A74888"/>
    <w:rsid w:val="00A754D0"/>
    <w:rsid w:val="00A75BAE"/>
    <w:rsid w:val="00A75C87"/>
    <w:rsid w:val="00A75D74"/>
    <w:rsid w:val="00A7624B"/>
    <w:rsid w:val="00A76DA8"/>
    <w:rsid w:val="00A76EF8"/>
    <w:rsid w:val="00A805DB"/>
    <w:rsid w:val="00A807AE"/>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561"/>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93F"/>
    <w:rsid w:val="00AA7E97"/>
    <w:rsid w:val="00AA7FCD"/>
    <w:rsid w:val="00AB086E"/>
    <w:rsid w:val="00AB08EB"/>
    <w:rsid w:val="00AB0DCE"/>
    <w:rsid w:val="00AB2EF0"/>
    <w:rsid w:val="00AB2F99"/>
    <w:rsid w:val="00AB4676"/>
    <w:rsid w:val="00AB4A86"/>
    <w:rsid w:val="00AB50CD"/>
    <w:rsid w:val="00AB618C"/>
    <w:rsid w:val="00AB6193"/>
    <w:rsid w:val="00AB6A55"/>
    <w:rsid w:val="00AB7C1D"/>
    <w:rsid w:val="00AC0EC1"/>
    <w:rsid w:val="00AC186F"/>
    <w:rsid w:val="00AC1D4E"/>
    <w:rsid w:val="00AC205C"/>
    <w:rsid w:val="00AC2237"/>
    <w:rsid w:val="00AC2283"/>
    <w:rsid w:val="00AC2C2A"/>
    <w:rsid w:val="00AC398C"/>
    <w:rsid w:val="00AC406B"/>
    <w:rsid w:val="00AC58D6"/>
    <w:rsid w:val="00AC649C"/>
    <w:rsid w:val="00AC6600"/>
    <w:rsid w:val="00AC7E28"/>
    <w:rsid w:val="00AD011B"/>
    <w:rsid w:val="00AD01A4"/>
    <w:rsid w:val="00AD059A"/>
    <w:rsid w:val="00AD072F"/>
    <w:rsid w:val="00AD08D1"/>
    <w:rsid w:val="00AD0AC9"/>
    <w:rsid w:val="00AD0CE1"/>
    <w:rsid w:val="00AD2269"/>
    <w:rsid w:val="00AD277B"/>
    <w:rsid w:val="00AD31B5"/>
    <w:rsid w:val="00AD472A"/>
    <w:rsid w:val="00AD4E89"/>
    <w:rsid w:val="00AD61C0"/>
    <w:rsid w:val="00AD6BBB"/>
    <w:rsid w:val="00AD6E63"/>
    <w:rsid w:val="00AD71F3"/>
    <w:rsid w:val="00AD7D42"/>
    <w:rsid w:val="00AE0DAA"/>
    <w:rsid w:val="00AE0DF0"/>
    <w:rsid w:val="00AE179A"/>
    <w:rsid w:val="00AE2B0E"/>
    <w:rsid w:val="00AE40E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1C3"/>
    <w:rsid w:val="00AF56A8"/>
    <w:rsid w:val="00AF776F"/>
    <w:rsid w:val="00AF7785"/>
    <w:rsid w:val="00AF789F"/>
    <w:rsid w:val="00B01047"/>
    <w:rsid w:val="00B02015"/>
    <w:rsid w:val="00B025CD"/>
    <w:rsid w:val="00B02925"/>
    <w:rsid w:val="00B0335B"/>
    <w:rsid w:val="00B035EF"/>
    <w:rsid w:val="00B03BED"/>
    <w:rsid w:val="00B04428"/>
    <w:rsid w:val="00B04576"/>
    <w:rsid w:val="00B0494E"/>
    <w:rsid w:val="00B04F2E"/>
    <w:rsid w:val="00B05973"/>
    <w:rsid w:val="00B05A69"/>
    <w:rsid w:val="00B060CA"/>
    <w:rsid w:val="00B06C78"/>
    <w:rsid w:val="00B06C95"/>
    <w:rsid w:val="00B06F7E"/>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0C87"/>
    <w:rsid w:val="00B210AF"/>
    <w:rsid w:val="00B212A1"/>
    <w:rsid w:val="00B220BD"/>
    <w:rsid w:val="00B221D3"/>
    <w:rsid w:val="00B23B93"/>
    <w:rsid w:val="00B2566F"/>
    <w:rsid w:val="00B25713"/>
    <w:rsid w:val="00B2595B"/>
    <w:rsid w:val="00B2669F"/>
    <w:rsid w:val="00B2672C"/>
    <w:rsid w:val="00B26A2A"/>
    <w:rsid w:val="00B26E79"/>
    <w:rsid w:val="00B30BB5"/>
    <w:rsid w:val="00B30F2D"/>
    <w:rsid w:val="00B3190A"/>
    <w:rsid w:val="00B32332"/>
    <w:rsid w:val="00B32552"/>
    <w:rsid w:val="00B340BC"/>
    <w:rsid w:val="00B344FE"/>
    <w:rsid w:val="00B345BE"/>
    <w:rsid w:val="00B3483F"/>
    <w:rsid w:val="00B34A7C"/>
    <w:rsid w:val="00B352A7"/>
    <w:rsid w:val="00B3659A"/>
    <w:rsid w:val="00B366B5"/>
    <w:rsid w:val="00B367A3"/>
    <w:rsid w:val="00B3755E"/>
    <w:rsid w:val="00B37B5D"/>
    <w:rsid w:val="00B400BA"/>
    <w:rsid w:val="00B400C8"/>
    <w:rsid w:val="00B40EC8"/>
    <w:rsid w:val="00B410B7"/>
    <w:rsid w:val="00B42166"/>
    <w:rsid w:val="00B428DD"/>
    <w:rsid w:val="00B42E95"/>
    <w:rsid w:val="00B42ED3"/>
    <w:rsid w:val="00B43BA4"/>
    <w:rsid w:val="00B4486D"/>
    <w:rsid w:val="00B45BCB"/>
    <w:rsid w:val="00B464D7"/>
    <w:rsid w:val="00B51139"/>
    <w:rsid w:val="00B511AD"/>
    <w:rsid w:val="00B51A78"/>
    <w:rsid w:val="00B51A9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3D16"/>
    <w:rsid w:val="00B643E6"/>
    <w:rsid w:val="00B65396"/>
    <w:rsid w:val="00B65E1D"/>
    <w:rsid w:val="00B664F0"/>
    <w:rsid w:val="00B67603"/>
    <w:rsid w:val="00B67B0E"/>
    <w:rsid w:val="00B70384"/>
    <w:rsid w:val="00B70927"/>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64E4"/>
    <w:rsid w:val="00B774C1"/>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5295"/>
    <w:rsid w:val="00BA5307"/>
    <w:rsid w:val="00BA6322"/>
    <w:rsid w:val="00BA77FB"/>
    <w:rsid w:val="00BB07EC"/>
    <w:rsid w:val="00BB0C52"/>
    <w:rsid w:val="00BB0CBC"/>
    <w:rsid w:val="00BB0F36"/>
    <w:rsid w:val="00BB1F7B"/>
    <w:rsid w:val="00BB25A9"/>
    <w:rsid w:val="00BB3775"/>
    <w:rsid w:val="00BB3AEB"/>
    <w:rsid w:val="00BB46C9"/>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AF4"/>
    <w:rsid w:val="00BC2B08"/>
    <w:rsid w:val="00BC32B9"/>
    <w:rsid w:val="00BC3DAB"/>
    <w:rsid w:val="00BC41B5"/>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31A"/>
    <w:rsid w:val="00BD6B59"/>
    <w:rsid w:val="00BD6F08"/>
    <w:rsid w:val="00BD7072"/>
    <w:rsid w:val="00BD78C4"/>
    <w:rsid w:val="00BD792E"/>
    <w:rsid w:val="00BD7F99"/>
    <w:rsid w:val="00BE03D8"/>
    <w:rsid w:val="00BE1F4A"/>
    <w:rsid w:val="00BE21BC"/>
    <w:rsid w:val="00BE2682"/>
    <w:rsid w:val="00BE300F"/>
    <w:rsid w:val="00BE34D2"/>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1D9"/>
    <w:rsid w:val="00BF393E"/>
    <w:rsid w:val="00BF50B5"/>
    <w:rsid w:val="00BF588F"/>
    <w:rsid w:val="00BF5CD5"/>
    <w:rsid w:val="00BF5D5C"/>
    <w:rsid w:val="00BF5FA2"/>
    <w:rsid w:val="00BF62E1"/>
    <w:rsid w:val="00BF7C37"/>
    <w:rsid w:val="00C007E3"/>
    <w:rsid w:val="00C012CD"/>
    <w:rsid w:val="00C02619"/>
    <w:rsid w:val="00C02887"/>
    <w:rsid w:val="00C03012"/>
    <w:rsid w:val="00C03058"/>
    <w:rsid w:val="00C0473A"/>
    <w:rsid w:val="00C05458"/>
    <w:rsid w:val="00C058B4"/>
    <w:rsid w:val="00C06145"/>
    <w:rsid w:val="00C06944"/>
    <w:rsid w:val="00C06DBD"/>
    <w:rsid w:val="00C10513"/>
    <w:rsid w:val="00C11BFE"/>
    <w:rsid w:val="00C11F43"/>
    <w:rsid w:val="00C124BC"/>
    <w:rsid w:val="00C12E91"/>
    <w:rsid w:val="00C1364C"/>
    <w:rsid w:val="00C13842"/>
    <w:rsid w:val="00C13BB8"/>
    <w:rsid w:val="00C14066"/>
    <w:rsid w:val="00C144E1"/>
    <w:rsid w:val="00C14DA9"/>
    <w:rsid w:val="00C16053"/>
    <w:rsid w:val="00C16CED"/>
    <w:rsid w:val="00C1733D"/>
    <w:rsid w:val="00C178B9"/>
    <w:rsid w:val="00C20998"/>
    <w:rsid w:val="00C21319"/>
    <w:rsid w:val="00C214F4"/>
    <w:rsid w:val="00C21824"/>
    <w:rsid w:val="00C21D79"/>
    <w:rsid w:val="00C22240"/>
    <w:rsid w:val="00C229CB"/>
    <w:rsid w:val="00C23F65"/>
    <w:rsid w:val="00C24146"/>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408"/>
    <w:rsid w:val="00C36C6C"/>
    <w:rsid w:val="00C40215"/>
    <w:rsid w:val="00C404FD"/>
    <w:rsid w:val="00C40664"/>
    <w:rsid w:val="00C412D8"/>
    <w:rsid w:val="00C422E0"/>
    <w:rsid w:val="00C4238F"/>
    <w:rsid w:val="00C4294D"/>
    <w:rsid w:val="00C42ABB"/>
    <w:rsid w:val="00C43537"/>
    <w:rsid w:val="00C44754"/>
    <w:rsid w:val="00C44D72"/>
    <w:rsid w:val="00C455D4"/>
    <w:rsid w:val="00C45DAD"/>
    <w:rsid w:val="00C464D1"/>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5BF3"/>
    <w:rsid w:val="00C5615E"/>
    <w:rsid w:val="00C56F51"/>
    <w:rsid w:val="00C571B1"/>
    <w:rsid w:val="00C5770D"/>
    <w:rsid w:val="00C603D5"/>
    <w:rsid w:val="00C61392"/>
    <w:rsid w:val="00C61ABE"/>
    <w:rsid w:val="00C62C9D"/>
    <w:rsid w:val="00C62F15"/>
    <w:rsid w:val="00C63D3B"/>
    <w:rsid w:val="00C65078"/>
    <w:rsid w:val="00C6526C"/>
    <w:rsid w:val="00C652F6"/>
    <w:rsid w:val="00C656C6"/>
    <w:rsid w:val="00C65841"/>
    <w:rsid w:val="00C664E5"/>
    <w:rsid w:val="00C67177"/>
    <w:rsid w:val="00C67290"/>
    <w:rsid w:val="00C67A58"/>
    <w:rsid w:val="00C7071F"/>
    <w:rsid w:val="00C70790"/>
    <w:rsid w:val="00C70C1D"/>
    <w:rsid w:val="00C70C2B"/>
    <w:rsid w:val="00C71FE1"/>
    <w:rsid w:val="00C720C7"/>
    <w:rsid w:val="00C729B4"/>
    <w:rsid w:val="00C72CC7"/>
    <w:rsid w:val="00C733D4"/>
    <w:rsid w:val="00C73711"/>
    <w:rsid w:val="00C73A1B"/>
    <w:rsid w:val="00C73D0A"/>
    <w:rsid w:val="00C741AB"/>
    <w:rsid w:val="00C74DFC"/>
    <w:rsid w:val="00C759D1"/>
    <w:rsid w:val="00C75E25"/>
    <w:rsid w:val="00C76C51"/>
    <w:rsid w:val="00C77094"/>
    <w:rsid w:val="00C77A03"/>
    <w:rsid w:val="00C77CAE"/>
    <w:rsid w:val="00C80333"/>
    <w:rsid w:val="00C80F3F"/>
    <w:rsid w:val="00C8121C"/>
    <w:rsid w:val="00C826EE"/>
    <w:rsid w:val="00C82DDC"/>
    <w:rsid w:val="00C83199"/>
    <w:rsid w:val="00C833E2"/>
    <w:rsid w:val="00C83A21"/>
    <w:rsid w:val="00C83CD4"/>
    <w:rsid w:val="00C867BA"/>
    <w:rsid w:val="00C8695C"/>
    <w:rsid w:val="00C9000B"/>
    <w:rsid w:val="00C905C3"/>
    <w:rsid w:val="00C906D8"/>
    <w:rsid w:val="00C90CD3"/>
    <w:rsid w:val="00C91841"/>
    <w:rsid w:val="00C9253F"/>
    <w:rsid w:val="00C92581"/>
    <w:rsid w:val="00C925AD"/>
    <w:rsid w:val="00C92CEC"/>
    <w:rsid w:val="00C935F0"/>
    <w:rsid w:val="00C93BF0"/>
    <w:rsid w:val="00C9496A"/>
    <w:rsid w:val="00C94ABC"/>
    <w:rsid w:val="00C94E3B"/>
    <w:rsid w:val="00C95017"/>
    <w:rsid w:val="00C9550C"/>
    <w:rsid w:val="00C9588B"/>
    <w:rsid w:val="00C958E7"/>
    <w:rsid w:val="00C96197"/>
    <w:rsid w:val="00C96401"/>
    <w:rsid w:val="00C973C4"/>
    <w:rsid w:val="00C97D9D"/>
    <w:rsid w:val="00CA024C"/>
    <w:rsid w:val="00CA0B55"/>
    <w:rsid w:val="00CA111B"/>
    <w:rsid w:val="00CA1898"/>
    <w:rsid w:val="00CA19D6"/>
    <w:rsid w:val="00CA2DEA"/>
    <w:rsid w:val="00CA373C"/>
    <w:rsid w:val="00CA3BF6"/>
    <w:rsid w:val="00CA5CA0"/>
    <w:rsid w:val="00CA5EAB"/>
    <w:rsid w:val="00CA6790"/>
    <w:rsid w:val="00CA7306"/>
    <w:rsid w:val="00CB047A"/>
    <w:rsid w:val="00CB0ACB"/>
    <w:rsid w:val="00CB0C4C"/>
    <w:rsid w:val="00CB14DB"/>
    <w:rsid w:val="00CB2262"/>
    <w:rsid w:val="00CB2781"/>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C16D8"/>
    <w:rsid w:val="00CC1ACC"/>
    <w:rsid w:val="00CC27DE"/>
    <w:rsid w:val="00CC3216"/>
    <w:rsid w:val="00CC3B69"/>
    <w:rsid w:val="00CC42B3"/>
    <w:rsid w:val="00CC48F4"/>
    <w:rsid w:val="00CC490C"/>
    <w:rsid w:val="00CC4E44"/>
    <w:rsid w:val="00CC4EED"/>
    <w:rsid w:val="00CC5196"/>
    <w:rsid w:val="00CC6812"/>
    <w:rsid w:val="00CC68D5"/>
    <w:rsid w:val="00CC69AF"/>
    <w:rsid w:val="00CC726D"/>
    <w:rsid w:val="00CC7974"/>
    <w:rsid w:val="00CD00A0"/>
    <w:rsid w:val="00CD055D"/>
    <w:rsid w:val="00CD0626"/>
    <w:rsid w:val="00CD1254"/>
    <w:rsid w:val="00CD211E"/>
    <w:rsid w:val="00CD2838"/>
    <w:rsid w:val="00CD3204"/>
    <w:rsid w:val="00CD352A"/>
    <w:rsid w:val="00CD468B"/>
    <w:rsid w:val="00CD4C43"/>
    <w:rsid w:val="00CD4E54"/>
    <w:rsid w:val="00CD5DE1"/>
    <w:rsid w:val="00CD6791"/>
    <w:rsid w:val="00CD7395"/>
    <w:rsid w:val="00CE0856"/>
    <w:rsid w:val="00CE0B6E"/>
    <w:rsid w:val="00CE139F"/>
    <w:rsid w:val="00CE1420"/>
    <w:rsid w:val="00CE40B1"/>
    <w:rsid w:val="00CE5727"/>
    <w:rsid w:val="00CE5EF3"/>
    <w:rsid w:val="00CE6076"/>
    <w:rsid w:val="00CE638F"/>
    <w:rsid w:val="00CF0617"/>
    <w:rsid w:val="00CF0854"/>
    <w:rsid w:val="00CF1011"/>
    <w:rsid w:val="00CF15C6"/>
    <w:rsid w:val="00CF1711"/>
    <w:rsid w:val="00CF2455"/>
    <w:rsid w:val="00CF29EC"/>
    <w:rsid w:val="00CF2AE1"/>
    <w:rsid w:val="00CF3AF5"/>
    <w:rsid w:val="00CF4101"/>
    <w:rsid w:val="00CF470A"/>
    <w:rsid w:val="00CF48E3"/>
    <w:rsid w:val="00CF5267"/>
    <w:rsid w:val="00CF5D08"/>
    <w:rsid w:val="00CF60A9"/>
    <w:rsid w:val="00CF7A30"/>
    <w:rsid w:val="00CF7C58"/>
    <w:rsid w:val="00CF7E3A"/>
    <w:rsid w:val="00D001A6"/>
    <w:rsid w:val="00D00398"/>
    <w:rsid w:val="00D0047D"/>
    <w:rsid w:val="00D004D8"/>
    <w:rsid w:val="00D029AE"/>
    <w:rsid w:val="00D02D80"/>
    <w:rsid w:val="00D03F54"/>
    <w:rsid w:val="00D03FA5"/>
    <w:rsid w:val="00D04CD0"/>
    <w:rsid w:val="00D04E26"/>
    <w:rsid w:val="00D05A44"/>
    <w:rsid w:val="00D05C6F"/>
    <w:rsid w:val="00D05CF4"/>
    <w:rsid w:val="00D05EBD"/>
    <w:rsid w:val="00D0656C"/>
    <w:rsid w:val="00D07489"/>
    <w:rsid w:val="00D10A2D"/>
    <w:rsid w:val="00D1135B"/>
    <w:rsid w:val="00D11478"/>
    <w:rsid w:val="00D12275"/>
    <w:rsid w:val="00D1278C"/>
    <w:rsid w:val="00D12C74"/>
    <w:rsid w:val="00D132B7"/>
    <w:rsid w:val="00D133A5"/>
    <w:rsid w:val="00D1413C"/>
    <w:rsid w:val="00D148C3"/>
    <w:rsid w:val="00D14AA4"/>
    <w:rsid w:val="00D14F21"/>
    <w:rsid w:val="00D1540C"/>
    <w:rsid w:val="00D1545C"/>
    <w:rsid w:val="00D15FBC"/>
    <w:rsid w:val="00D1602E"/>
    <w:rsid w:val="00D16915"/>
    <w:rsid w:val="00D17199"/>
    <w:rsid w:val="00D176B5"/>
    <w:rsid w:val="00D17E61"/>
    <w:rsid w:val="00D204E5"/>
    <w:rsid w:val="00D21776"/>
    <w:rsid w:val="00D21B61"/>
    <w:rsid w:val="00D241F8"/>
    <w:rsid w:val="00D24664"/>
    <w:rsid w:val="00D25A4B"/>
    <w:rsid w:val="00D25E22"/>
    <w:rsid w:val="00D25EB6"/>
    <w:rsid w:val="00D26795"/>
    <w:rsid w:val="00D273B4"/>
    <w:rsid w:val="00D3074B"/>
    <w:rsid w:val="00D30DF0"/>
    <w:rsid w:val="00D31271"/>
    <w:rsid w:val="00D312F1"/>
    <w:rsid w:val="00D316C3"/>
    <w:rsid w:val="00D3173F"/>
    <w:rsid w:val="00D31DF6"/>
    <w:rsid w:val="00D32361"/>
    <w:rsid w:val="00D32F92"/>
    <w:rsid w:val="00D335B0"/>
    <w:rsid w:val="00D33D36"/>
    <w:rsid w:val="00D34FF0"/>
    <w:rsid w:val="00D357CB"/>
    <w:rsid w:val="00D360A8"/>
    <w:rsid w:val="00D37B1F"/>
    <w:rsid w:val="00D40ABE"/>
    <w:rsid w:val="00D44279"/>
    <w:rsid w:val="00D4468A"/>
    <w:rsid w:val="00D45167"/>
    <w:rsid w:val="00D45252"/>
    <w:rsid w:val="00D47A95"/>
    <w:rsid w:val="00D47D78"/>
    <w:rsid w:val="00D50348"/>
    <w:rsid w:val="00D50384"/>
    <w:rsid w:val="00D504C1"/>
    <w:rsid w:val="00D5057E"/>
    <w:rsid w:val="00D50676"/>
    <w:rsid w:val="00D50B69"/>
    <w:rsid w:val="00D50CAA"/>
    <w:rsid w:val="00D51DF7"/>
    <w:rsid w:val="00D522DE"/>
    <w:rsid w:val="00D52C4B"/>
    <w:rsid w:val="00D52C7F"/>
    <w:rsid w:val="00D531DB"/>
    <w:rsid w:val="00D53C49"/>
    <w:rsid w:val="00D53CE0"/>
    <w:rsid w:val="00D556AD"/>
    <w:rsid w:val="00D57130"/>
    <w:rsid w:val="00D573CF"/>
    <w:rsid w:val="00D6080C"/>
    <w:rsid w:val="00D60BB3"/>
    <w:rsid w:val="00D612D5"/>
    <w:rsid w:val="00D62048"/>
    <w:rsid w:val="00D6250E"/>
    <w:rsid w:val="00D63596"/>
    <w:rsid w:val="00D639F5"/>
    <w:rsid w:val="00D6664A"/>
    <w:rsid w:val="00D66BF9"/>
    <w:rsid w:val="00D67CCD"/>
    <w:rsid w:val="00D67E0B"/>
    <w:rsid w:val="00D67EA4"/>
    <w:rsid w:val="00D7100A"/>
    <w:rsid w:val="00D71B4D"/>
    <w:rsid w:val="00D726CF"/>
    <w:rsid w:val="00D72B60"/>
    <w:rsid w:val="00D7348A"/>
    <w:rsid w:val="00D736C8"/>
    <w:rsid w:val="00D7371D"/>
    <w:rsid w:val="00D73EA4"/>
    <w:rsid w:val="00D74BF8"/>
    <w:rsid w:val="00D74E17"/>
    <w:rsid w:val="00D751BF"/>
    <w:rsid w:val="00D757F1"/>
    <w:rsid w:val="00D75E5A"/>
    <w:rsid w:val="00D76169"/>
    <w:rsid w:val="00D76F7A"/>
    <w:rsid w:val="00D80135"/>
    <w:rsid w:val="00D809CA"/>
    <w:rsid w:val="00D80EFB"/>
    <w:rsid w:val="00D81136"/>
    <w:rsid w:val="00D81E2B"/>
    <w:rsid w:val="00D82127"/>
    <w:rsid w:val="00D831FB"/>
    <w:rsid w:val="00D833C0"/>
    <w:rsid w:val="00D83682"/>
    <w:rsid w:val="00D83890"/>
    <w:rsid w:val="00D83D19"/>
    <w:rsid w:val="00D844B1"/>
    <w:rsid w:val="00D84B85"/>
    <w:rsid w:val="00D8514B"/>
    <w:rsid w:val="00D905D3"/>
    <w:rsid w:val="00D90910"/>
    <w:rsid w:val="00D9230E"/>
    <w:rsid w:val="00D92832"/>
    <w:rsid w:val="00D92862"/>
    <w:rsid w:val="00D939F4"/>
    <w:rsid w:val="00D93D55"/>
    <w:rsid w:val="00D943D7"/>
    <w:rsid w:val="00D94598"/>
    <w:rsid w:val="00D95545"/>
    <w:rsid w:val="00D95B0F"/>
    <w:rsid w:val="00D95E4D"/>
    <w:rsid w:val="00D96098"/>
    <w:rsid w:val="00D96334"/>
    <w:rsid w:val="00D96951"/>
    <w:rsid w:val="00D96D9D"/>
    <w:rsid w:val="00D96E7B"/>
    <w:rsid w:val="00D971FB"/>
    <w:rsid w:val="00D97519"/>
    <w:rsid w:val="00D97E72"/>
    <w:rsid w:val="00D97F9F"/>
    <w:rsid w:val="00DA0086"/>
    <w:rsid w:val="00DA0489"/>
    <w:rsid w:val="00DA076F"/>
    <w:rsid w:val="00DA11E3"/>
    <w:rsid w:val="00DA1B1C"/>
    <w:rsid w:val="00DA1D24"/>
    <w:rsid w:val="00DA2B93"/>
    <w:rsid w:val="00DA5723"/>
    <w:rsid w:val="00DA5834"/>
    <w:rsid w:val="00DA67C6"/>
    <w:rsid w:val="00DA759E"/>
    <w:rsid w:val="00DB0AE8"/>
    <w:rsid w:val="00DB12A8"/>
    <w:rsid w:val="00DB1446"/>
    <w:rsid w:val="00DB1A74"/>
    <w:rsid w:val="00DB2593"/>
    <w:rsid w:val="00DB2855"/>
    <w:rsid w:val="00DB291F"/>
    <w:rsid w:val="00DB3C38"/>
    <w:rsid w:val="00DB4A2E"/>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9FC"/>
    <w:rsid w:val="00DE2EE7"/>
    <w:rsid w:val="00DE2F1A"/>
    <w:rsid w:val="00DE3F52"/>
    <w:rsid w:val="00DE465C"/>
    <w:rsid w:val="00DE5166"/>
    <w:rsid w:val="00DE61FA"/>
    <w:rsid w:val="00DE71B0"/>
    <w:rsid w:val="00DE79EE"/>
    <w:rsid w:val="00DE79F3"/>
    <w:rsid w:val="00DE7E1F"/>
    <w:rsid w:val="00DE7FDA"/>
    <w:rsid w:val="00DF16D0"/>
    <w:rsid w:val="00DF16E7"/>
    <w:rsid w:val="00DF1985"/>
    <w:rsid w:val="00DF1E25"/>
    <w:rsid w:val="00DF27DD"/>
    <w:rsid w:val="00DF2860"/>
    <w:rsid w:val="00DF3014"/>
    <w:rsid w:val="00DF3CA7"/>
    <w:rsid w:val="00DF411B"/>
    <w:rsid w:val="00DF4689"/>
    <w:rsid w:val="00DF4734"/>
    <w:rsid w:val="00DF4E7A"/>
    <w:rsid w:val="00DF551A"/>
    <w:rsid w:val="00DF5523"/>
    <w:rsid w:val="00DF6173"/>
    <w:rsid w:val="00DF6A83"/>
    <w:rsid w:val="00DF6D20"/>
    <w:rsid w:val="00E00B34"/>
    <w:rsid w:val="00E00D3B"/>
    <w:rsid w:val="00E00F00"/>
    <w:rsid w:val="00E013BE"/>
    <w:rsid w:val="00E016EB"/>
    <w:rsid w:val="00E01C2F"/>
    <w:rsid w:val="00E01C58"/>
    <w:rsid w:val="00E022EC"/>
    <w:rsid w:val="00E0253D"/>
    <w:rsid w:val="00E0304C"/>
    <w:rsid w:val="00E04312"/>
    <w:rsid w:val="00E05262"/>
    <w:rsid w:val="00E065BD"/>
    <w:rsid w:val="00E06BD4"/>
    <w:rsid w:val="00E06DA7"/>
    <w:rsid w:val="00E0712A"/>
    <w:rsid w:val="00E075F6"/>
    <w:rsid w:val="00E0771F"/>
    <w:rsid w:val="00E07723"/>
    <w:rsid w:val="00E10459"/>
    <w:rsid w:val="00E111DE"/>
    <w:rsid w:val="00E116C9"/>
    <w:rsid w:val="00E1187A"/>
    <w:rsid w:val="00E1199E"/>
    <w:rsid w:val="00E11A95"/>
    <w:rsid w:val="00E123AB"/>
    <w:rsid w:val="00E13B57"/>
    <w:rsid w:val="00E14121"/>
    <w:rsid w:val="00E144F4"/>
    <w:rsid w:val="00E1535A"/>
    <w:rsid w:val="00E155BC"/>
    <w:rsid w:val="00E203A5"/>
    <w:rsid w:val="00E209BD"/>
    <w:rsid w:val="00E213C7"/>
    <w:rsid w:val="00E219DF"/>
    <w:rsid w:val="00E21DA3"/>
    <w:rsid w:val="00E226A0"/>
    <w:rsid w:val="00E23AEF"/>
    <w:rsid w:val="00E23FCB"/>
    <w:rsid w:val="00E240ED"/>
    <w:rsid w:val="00E24557"/>
    <w:rsid w:val="00E25471"/>
    <w:rsid w:val="00E25ACF"/>
    <w:rsid w:val="00E26489"/>
    <w:rsid w:val="00E26A2C"/>
    <w:rsid w:val="00E26F04"/>
    <w:rsid w:val="00E270D0"/>
    <w:rsid w:val="00E2732E"/>
    <w:rsid w:val="00E2764E"/>
    <w:rsid w:val="00E3097B"/>
    <w:rsid w:val="00E30ADC"/>
    <w:rsid w:val="00E31772"/>
    <w:rsid w:val="00E31DD2"/>
    <w:rsid w:val="00E31E39"/>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9C7"/>
    <w:rsid w:val="00E40B6B"/>
    <w:rsid w:val="00E40DB8"/>
    <w:rsid w:val="00E41046"/>
    <w:rsid w:val="00E41845"/>
    <w:rsid w:val="00E419BA"/>
    <w:rsid w:val="00E4201C"/>
    <w:rsid w:val="00E421B8"/>
    <w:rsid w:val="00E4300E"/>
    <w:rsid w:val="00E43680"/>
    <w:rsid w:val="00E44889"/>
    <w:rsid w:val="00E44AEA"/>
    <w:rsid w:val="00E45543"/>
    <w:rsid w:val="00E46B2B"/>
    <w:rsid w:val="00E479D3"/>
    <w:rsid w:val="00E47D1C"/>
    <w:rsid w:val="00E5042E"/>
    <w:rsid w:val="00E50897"/>
    <w:rsid w:val="00E516AA"/>
    <w:rsid w:val="00E52AE2"/>
    <w:rsid w:val="00E52B45"/>
    <w:rsid w:val="00E530B8"/>
    <w:rsid w:val="00E5376B"/>
    <w:rsid w:val="00E5575E"/>
    <w:rsid w:val="00E56524"/>
    <w:rsid w:val="00E571BB"/>
    <w:rsid w:val="00E60310"/>
    <w:rsid w:val="00E6180C"/>
    <w:rsid w:val="00E620E5"/>
    <w:rsid w:val="00E62290"/>
    <w:rsid w:val="00E6250E"/>
    <w:rsid w:val="00E6279E"/>
    <w:rsid w:val="00E628D7"/>
    <w:rsid w:val="00E62A62"/>
    <w:rsid w:val="00E630D4"/>
    <w:rsid w:val="00E632EC"/>
    <w:rsid w:val="00E63C16"/>
    <w:rsid w:val="00E64064"/>
    <w:rsid w:val="00E649B4"/>
    <w:rsid w:val="00E65C33"/>
    <w:rsid w:val="00E663A2"/>
    <w:rsid w:val="00E66C8E"/>
    <w:rsid w:val="00E66C92"/>
    <w:rsid w:val="00E6718B"/>
    <w:rsid w:val="00E67417"/>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19DD"/>
    <w:rsid w:val="00E82723"/>
    <w:rsid w:val="00E82C89"/>
    <w:rsid w:val="00E83164"/>
    <w:rsid w:val="00E839C7"/>
    <w:rsid w:val="00E84193"/>
    <w:rsid w:val="00E85C66"/>
    <w:rsid w:val="00E85C79"/>
    <w:rsid w:val="00E85D0D"/>
    <w:rsid w:val="00E86CAC"/>
    <w:rsid w:val="00E86E40"/>
    <w:rsid w:val="00E87AE2"/>
    <w:rsid w:val="00E87E6C"/>
    <w:rsid w:val="00E907A0"/>
    <w:rsid w:val="00E90E07"/>
    <w:rsid w:val="00E91F03"/>
    <w:rsid w:val="00E91F92"/>
    <w:rsid w:val="00E9213E"/>
    <w:rsid w:val="00E92551"/>
    <w:rsid w:val="00E92B95"/>
    <w:rsid w:val="00E9387E"/>
    <w:rsid w:val="00E94362"/>
    <w:rsid w:val="00E9582A"/>
    <w:rsid w:val="00E96223"/>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A7262"/>
    <w:rsid w:val="00EB0ED0"/>
    <w:rsid w:val="00EB13BF"/>
    <w:rsid w:val="00EB15DE"/>
    <w:rsid w:val="00EB1D72"/>
    <w:rsid w:val="00EB2E77"/>
    <w:rsid w:val="00EB361F"/>
    <w:rsid w:val="00EB3EA4"/>
    <w:rsid w:val="00EB4B7F"/>
    <w:rsid w:val="00EB5CA0"/>
    <w:rsid w:val="00EB6C1C"/>
    <w:rsid w:val="00EB7121"/>
    <w:rsid w:val="00EB75AE"/>
    <w:rsid w:val="00EC0590"/>
    <w:rsid w:val="00EC079A"/>
    <w:rsid w:val="00EC18F4"/>
    <w:rsid w:val="00EC1F36"/>
    <w:rsid w:val="00EC20C6"/>
    <w:rsid w:val="00EC4020"/>
    <w:rsid w:val="00EC460B"/>
    <w:rsid w:val="00EC479A"/>
    <w:rsid w:val="00EC4821"/>
    <w:rsid w:val="00EC4E49"/>
    <w:rsid w:val="00EC4F4A"/>
    <w:rsid w:val="00EC51A6"/>
    <w:rsid w:val="00EC54EB"/>
    <w:rsid w:val="00EC5714"/>
    <w:rsid w:val="00EC5CA5"/>
    <w:rsid w:val="00EC63FC"/>
    <w:rsid w:val="00EC72E9"/>
    <w:rsid w:val="00EC7406"/>
    <w:rsid w:val="00EC789A"/>
    <w:rsid w:val="00ED0205"/>
    <w:rsid w:val="00ED0A98"/>
    <w:rsid w:val="00ED0D12"/>
    <w:rsid w:val="00ED1DCD"/>
    <w:rsid w:val="00ED2709"/>
    <w:rsid w:val="00ED6372"/>
    <w:rsid w:val="00ED77FB"/>
    <w:rsid w:val="00ED7DA4"/>
    <w:rsid w:val="00EE16CA"/>
    <w:rsid w:val="00EE1D29"/>
    <w:rsid w:val="00EE386F"/>
    <w:rsid w:val="00EE429E"/>
    <w:rsid w:val="00EE45FA"/>
    <w:rsid w:val="00EE4D28"/>
    <w:rsid w:val="00EE5081"/>
    <w:rsid w:val="00EE57D6"/>
    <w:rsid w:val="00EE62A6"/>
    <w:rsid w:val="00EE6570"/>
    <w:rsid w:val="00EE691F"/>
    <w:rsid w:val="00EE6D18"/>
    <w:rsid w:val="00EE79DD"/>
    <w:rsid w:val="00EF0353"/>
    <w:rsid w:val="00EF0527"/>
    <w:rsid w:val="00EF1B64"/>
    <w:rsid w:val="00EF1BEB"/>
    <w:rsid w:val="00EF29B3"/>
    <w:rsid w:val="00EF2C41"/>
    <w:rsid w:val="00EF2F95"/>
    <w:rsid w:val="00EF3050"/>
    <w:rsid w:val="00EF39AD"/>
    <w:rsid w:val="00EF5095"/>
    <w:rsid w:val="00EF6494"/>
    <w:rsid w:val="00EF745E"/>
    <w:rsid w:val="00EF7701"/>
    <w:rsid w:val="00EF7804"/>
    <w:rsid w:val="00F0174D"/>
    <w:rsid w:val="00F017A3"/>
    <w:rsid w:val="00F019D8"/>
    <w:rsid w:val="00F019F9"/>
    <w:rsid w:val="00F04066"/>
    <w:rsid w:val="00F044C0"/>
    <w:rsid w:val="00F04812"/>
    <w:rsid w:val="00F04EEC"/>
    <w:rsid w:val="00F056C0"/>
    <w:rsid w:val="00F05EF1"/>
    <w:rsid w:val="00F101E3"/>
    <w:rsid w:val="00F103D2"/>
    <w:rsid w:val="00F10511"/>
    <w:rsid w:val="00F113F1"/>
    <w:rsid w:val="00F117C0"/>
    <w:rsid w:val="00F11AA6"/>
    <w:rsid w:val="00F11EBE"/>
    <w:rsid w:val="00F1278C"/>
    <w:rsid w:val="00F12F42"/>
    <w:rsid w:val="00F132E6"/>
    <w:rsid w:val="00F13B26"/>
    <w:rsid w:val="00F13D53"/>
    <w:rsid w:val="00F14482"/>
    <w:rsid w:val="00F1448D"/>
    <w:rsid w:val="00F146E8"/>
    <w:rsid w:val="00F14AC7"/>
    <w:rsid w:val="00F15473"/>
    <w:rsid w:val="00F15F3C"/>
    <w:rsid w:val="00F16BA0"/>
    <w:rsid w:val="00F171B6"/>
    <w:rsid w:val="00F17674"/>
    <w:rsid w:val="00F20FBF"/>
    <w:rsid w:val="00F21AC3"/>
    <w:rsid w:val="00F2292E"/>
    <w:rsid w:val="00F23CC7"/>
    <w:rsid w:val="00F23F14"/>
    <w:rsid w:val="00F24209"/>
    <w:rsid w:val="00F2463B"/>
    <w:rsid w:val="00F25882"/>
    <w:rsid w:val="00F2628C"/>
    <w:rsid w:val="00F26E4F"/>
    <w:rsid w:val="00F277D7"/>
    <w:rsid w:val="00F27D54"/>
    <w:rsid w:val="00F3011B"/>
    <w:rsid w:val="00F31033"/>
    <w:rsid w:val="00F31685"/>
    <w:rsid w:val="00F3174B"/>
    <w:rsid w:val="00F31B8E"/>
    <w:rsid w:val="00F31D08"/>
    <w:rsid w:val="00F32070"/>
    <w:rsid w:val="00F3276F"/>
    <w:rsid w:val="00F331BD"/>
    <w:rsid w:val="00F33EEF"/>
    <w:rsid w:val="00F34710"/>
    <w:rsid w:val="00F3472F"/>
    <w:rsid w:val="00F34E71"/>
    <w:rsid w:val="00F35C10"/>
    <w:rsid w:val="00F35CC7"/>
    <w:rsid w:val="00F3649B"/>
    <w:rsid w:val="00F36FA5"/>
    <w:rsid w:val="00F378F2"/>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300F"/>
    <w:rsid w:val="00F53AE6"/>
    <w:rsid w:val="00F5401E"/>
    <w:rsid w:val="00F5414D"/>
    <w:rsid w:val="00F54945"/>
    <w:rsid w:val="00F5498F"/>
    <w:rsid w:val="00F55B4E"/>
    <w:rsid w:val="00F55F87"/>
    <w:rsid w:val="00F561CB"/>
    <w:rsid w:val="00F562B5"/>
    <w:rsid w:val="00F567FB"/>
    <w:rsid w:val="00F568E1"/>
    <w:rsid w:val="00F576A1"/>
    <w:rsid w:val="00F57CE2"/>
    <w:rsid w:val="00F603CF"/>
    <w:rsid w:val="00F606A3"/>
    <w:rsid w:val="00F60C32"/>
    <w:rsid w:val="00F6148D"/>
    <w:rsid w:val="00F61512"/>
    <w:rsid w:val="00F62273"/>
    <w:rsid w:val="00F6229E"/>
    <w:rsid w:val="00F6276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DF3"/>
    <w:rsid w:val="00F67F88"/>
    <w:rsid w:val="00F7082C"/>
    <w:rsid w:val="00F70D8D"/>
    <w:rsid w:val="00F71C27"/>
    <w:rsid w:val="00F7467E"/>
    <w:rsid w:val="00F747ED"/>
    <w:rsid w:val="00F74F06"/>
    <w:rsid w:val="00F74FF7"/>
    <w:rsid w:val="00F75687"/>
    <w:rsid w:val="00F75B48"/>
    <w:rsid w:val="00F75D57"/>
    <w:rsid w:val="00F75EBF"/>
    <w:rsid w:val="00F75F1F"/>
    <w:rsid w:val="00F76725"/>
    <w:rsid w:val="00F76836"/>
    <w:rsid w:val="00F77861"/>
    <w:rsid w:val="00F80E3E"/>
    <w:rsid w:val="00F813F0"/>
    <w:rsid w:val="00F82752"/>
    <w:rsid w:val="00F835ED"/>
    <w:rsid w:val="00F83D27"/>
    <w:rsid w:val="00F84C42"/>
    <w:rsid w:val="00F85918"/>
    <w:rsid w:val="00F85987"/>
    <w:rsid w:val="00F85B4B"/>
    <w:rsid w:val="00F85E4A"/>
    <w:rsid w:val="00F87A9E"/>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1E"/>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0935"/>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2B96"/>
    <w:rsid w:val="00FE4245"/>
    <w:rsid w:val="00FE441B"/>
    <w:rsid w:val="00FE5791"/>
    <w:rsid w:val="00FE5ECD"/>
    <w:rsid w:val="00FF0171"/>
    <w:rsid w:val="00FF04D7"/>
    <w:rsid w:val="00FF15F4"/>
    <w:rsid w:val="00FF1B98"/>
    <w:rsid w:val="00FF1FB4"/>
    <w:rsid w:val="00FF29AF"/>
    <w:rsid w:val="00FF389B"/>
    <w:rsid w:val="00FF418E"/>
    <w:rsid w:val="00FF41E7"/>
    <w:rsid w:val="00FF469D"/>
    <w:rsid w:val="00FF4ED0"/>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D7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character" w:customStyle="1" w:styleId="hps">
    <w:name w:val="hps"/>
    <w:basedOn w:val="DefaultParagraphFont"/>
    <w:rsid w:val="006507A9"/>
  </w:style>
  <w:style w:type="character" w:customStyle="1" w:styleId="atn">
    <w:name w:val="atn"/>
    <w:basedOn w:val="DefaultParagraphFont"/>
    <w:rsid w:val="006507A9"/>
  </w:style>
  <w:style w:type="paragraph" w:styleId="Revision">
    <w:name w:val="Revision"/>
    <w:hidden/>
    <w:uiPriority w:val="99"/>
    <w:semiHidden/>
    <w:rsid w:val="00A341C2"/>
    <w:rPr>
      <w:rFonts w:ascii="Arial" w:eastAsia="SimSun" w:hAnsi="Arial" w:cs="Arial"/>
      <w:sz w:val="22"/>
      <w:lang w:val="fr-FR" w:eastAsia="zh-CN"/>
    </w:rPr>
  </w:style>
  <w:style w:type="table" w:styleId="TableGrid">
    <w:name w:val="Table Grid"/>
    <w:basedOn w:val="TableNormal"/>
    <w:uiPriority w:val="59"/>
    <w:locked/>
    <w:rsid w:val="0086135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861355"/>
    <w:pPr>
      <w:widowControl w:val="0"/>
      <w:autoSpaceDE w:val="0"/>
      <w:autoSpaceDN w:val="0"/>
      <w:adjustRightInd w:val="0"/>
      <w:spacing w:line="230" w:lineRule="exact"/>
      <w:jc w:val="center"/>
    </w:pPr>
    <w:rPr>
      <w:rFonts w:eastAsiaTheme="minorEastAsia"/>
      <w:sz w:val="24"/>
      <w:szCs w:val="24"/>
      <w:lang w:val="en-US" w:eastAsia="en-US"/>
    </w:rPr>
  </w:style>
  <w:style w:type="character" w:customStyle="1" w:styleId="FontStyle45">
    <w:name w:val="Font Style45"/>
    <w:basedOn w:val="DefaultParagraphFont"/>
    <w:uiPriority w:val="99"/>
    <w:rsid w:val="00861355"/>
    <w:rPr>
      <w:rFonts w:ascii="Arial" w:hAnsi="Arial" w:cs="Arial"/>
      <w:sz w:val="16"/>
      <w:szCs w:val="16"/>
    </w:rPr>
  </w:style>
  <w:style w:type="paragraph" w:customStyle="1" w:styleId="Style15">
    <w:name w:val="Style15"/>
    <w:basedOn w:val="Normal"/>
    <w:uiPriority w:val="99"/>
    <w:rsid w:val="00861355"/>
    <w:pPr>
      <w:widowControl w:val="0"/>
      <w:autoSpaceDE w:val="0"/>
      <w:autoSpaceDN w:val="0"/>
      <w:adjustRightInd w:val="0"/>
      <w:spacing w:line="198" w:lineRule="exact"/>
      <w:jc w:val="both"/>
    </w:pPr>
    <w:rPr>
      <w:rFonts w:eastAsiaTheme="minorEastAsia"/>
      <w:sz w:val="24"/>
      <w:szCs w:val="24"/>
      <w:lang w:val="en-US" w:eastAsia="en-US"/>
    </w:rPr>
  </w:style>
  <w:style w:type="character" w:customStyle="1" w:styleId="FontStyle43">
    <w:name w:val="Font Style43"/>
    <w:basedOn w:val="DefaultParagraphFont"/>
    <w:uiPriority w:val="99"/>
    <w:rsid w:val="00861355"/>
    <w:rPr>
      <w:rFonts w:ascii="Arial" w:hAnsi="Arial" w:cs="Arial"/>
      <w:b/>
      <w:bCs/>
      <w:spacing w:val="-20"/>
      <w:sz w:val="22"/>
      <w:szCs w:val="22"/>
    </w:rPr>
  </w:style>
  <w:style w:type="paragraph" w:customStyle="1" w:styleId="Style14">
    <w:name w:val="Style14"/>
    <w:basedOn w:val="Normal"/>
    <w:uiPriority w:val="99"/>
    <w:rsid w:val="00861355"/>
    <w:pPr>
      <w:widowControl w:val="0"/>
      <w:autoSpaceDE w:val="0"/>
      <w:autoSpaceDN w:val="0"/>
      <w:adjustRightInd w:val="0"/>
      <w:spacing w:line="202" w:lineRule="exact"/>
      <w:jc w:val="both"/>
    </w:pPr>
    <w:rPr>
      <w:rFonts w:eastAsiaTheme="minorEastAsia"/>
      <w:sz w:val="24"/>
      <w:szCs w:val="24"/>
      <w:lang w:val="en-US" w:eastAsia="en-US"/>
    </w:rPr>
  </w:style>
  <w:style w:type="paragraph" w:customStyle="1" w:styleId="Style34">
    <w:name w:val="Style34"/>
    <w:basedOn w:val="Normal"/>
    <w:uiPriority w:val="99"/>
    <w:rsid w:val="00861355"/>
    <w:pPr>
      <w:widowControl w:val="0"/>
      <w:autoSpaceDE w:val="0"/>
      <w:autoSpaceDN w:val="0"/>
      <w:adjustRightInd w:val="0"/>
      <w:spacing w:line="202" w:lineRule="exact"/>
      <w:jc w:val="both"/>
    </w:pPr>
    <w:rPr>
      <w:rFonts w:eastAsiaTheme="minorEastAsia"/>
      <w:sz w:val="24"/>
      <w:szCs w:val="24"/>
      <w:lang w:val="en-US" w:eastAsia="en-US"/>
    </w:rPr>
  </w:style>
  <w:style w:type="character" w:customStyle="1" w:styleId="FontStyle46">
    <w:name w:val="Font Style46"/>
    <w:basedOn w:val="DefaultParagraphFont"/>
    <w:uiPriority w:val="99"/>
    <w:rsid w:val="00861355"/>
    <w:rPr>
      <w:rFonts w:ascii="Arial" w:hAnsi="Arial" w:cs="Arial"/>
      <w:i/>
      <w:iCs/>
      <w:sz w:val="16"/>
      <w:szCs w:val="16"/>
    </w:rPr>
  </w:style>
  <w:style w:type="paragraph" w:customStyle="1" w:styleId="Style21">
    <w:name w:val="Style21"/>
    <w:basedOn w:val="Normal"/>
    <w:uiPriority w:val="99"/>
    <w:rsid w:val="00861355"/>
    <w:pPr>
      <w:widowControl w:val="0"/>
      <w:autoSpaceDE w:val="0"/>
      <w:autoSpaceDN w:val="0"/>
      <w:adjustRightInd w:val="0"/>
      <w:spacing w:line="199" w:lineRule="exact"/>
      <w:ind w:firstLine="1171"/>
      <w:jc w:val="both"/>
    </w:pPr>
    <w:rPr>
      <w:rFonts w:eastAsiaTheme="minorEastAsia"/>
      <w:sz w:val="24"/>
      <w:szCs w:val="24"/>
      <w:lang w:val="en-US" w:eastAsia="en-US"/>
    </w:rPr>
  </w:style>
  <w:style w:type="paragraph" w:styleId="NoSpacing">
    <w:name w:val="No Spacing"/>
    <w:uiPriority w:val="1"/>
    <w:qFormat/>
    <w:rsid w:val="00861355"/>
    <w:rPr>
      <w:rFonts w:asciiTheme="minorHAnsi" w:eastAsiaTheme="minorHAnsi" w:hAnsiTheme="minorHAnsi" w:cstheme="minorBidi"/>
      <w:sz w:val="22"/>
      <w:szCs w:val="22"/>
      <w:lang w:val="es-CL"/>
    </w:rPr>
  </w:style>
  <w:style w:type="paragraph" w:customStyle="1" w:styleId="Style6">
    <w:name w:val="Style6"/>
    <w:basedOn w:val="Normal"/>
    <w:uiPriority w:val="99"/>
    <w:rsid w:val="00861355"/>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7">
    <w:name w:val="Style7"/>
    <w:basedOn w:val="Normal"/>
    <w:uiPriority w:val="99"/>
    <w:rsid w:val="00861355"/>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861355"/>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861355"/>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13">
    <w:name w:val="Font Style13"/>
    <w:basedOn w:val="DefaultParagraphFont"/>
    <w:uiPriority w:val="99"/>
    <w:rsid w:val="00861355"/>
    <w:rPr>
      <w:rFonts w:ascii="Cambria" w:hAnsi="Cambria" w:cs="Cambria"/>
      <w:i/>
      <w:iCs/>
      <w:sz w:val="20"/>
      <w:szCs w:val="20"/>
    </w:rPr>
  </w:style>
  <w:style w:type="character" w:customStyle="1" w:styleId="FontStyle20">
    <w:name w:val="Font Style20"/>
    <w:basedOn w:val="DefaultParagraphFont"/>
    <w:uiPriority w:val="99"/>
    <w:rsid w:val="00861355"/>
    <w:rPr>
      <w:rFonts w:ascii="Cambria" w:hAnsi="Cambria" w:cs="Cambria"/>
      <w:b/>
      <w:bCs/>
      <w:i/>
      <w:iCs/>
      <w:sz w:val="24"/>
      <w:szCs w:val="24"/>
    </w:rPr>
  </w:style>
  <w:style w:type="character" w:customStyle="1" w:styleId="FontStyle22">
    <w:name w:val="Font Style22"/>
    <w:basedOn w:val="DefaultParagraphFont"/>
    <w:uiPriority w:val="99"/>
    <w:rsid w:val="00861355"/>
    <w:rPr>
      <w:rFonts w:ascii="Cambria" w:hAnsi="Cambria" w:cs="Cambria"/>
      <w:b/>
      <w:bCs/>
      <w:sz w:val="26"/>
      <w:szCs w:val="26"/>
    </w:rPr>
  </w:style>
  <w:style w:type="character" w:customStyle="1" w:styleId="FontStyle23">
    <w:name w:val="Font Style23"/>
    <w:basedOn w:val="DefaultParagraphFont"/>
    <w:uiPriority w:val="99"/>
    <w:rsid w:val="00861355"/>
    <w:rPr>
      <w:rFonts w:ascii="Cambria" w:hAnsi="Cambria" w:cs="Cambria"/>
      <w:sz w:val="24"/>
      <w:szCs w:val="24"/>
    </w:rPr>
  </w:style>
  <w:style w:type="character" w:customStyle="1" w:styleId="FontStyle24">
    <w:name w:val="Font Style24"/>
    <w:basedOn w:val="DefaultParagraphFont"/>
    <w:uiPriority w:val="99"/>
    <w:rsid w:val="00861355"/>
    <w:rPr>
      <w:rFonts w:ascii="Cambria" w:hAnsi="Cambria" w:cs="Cambria"/>
      <w:sz w:val="26"/>
      <w:szCs w:val="26"/>
    </w:rPr>
  </w:style>
  <w:style w:type="character" w:customStyle="1" w:styleId="shorttext">
    <w:name w:val="short_text"/>
    <w:basedOn w:val="DefaultParagraphFont"/>
    <w:rsid w:val="00861355"/>
  </w:style>
  <w:style w:type="paragraph" w:customStyle="1" w:styleId="Default">
    <w:name w:val="Default"/>
    <w:rsid w:val="00861355"/>
    <w:pPr>
      <w:autoSpaceDE w:val="0"/>
      <w:autoSpaceDN w:val="0"/>
      <w:adjustRightInd w:val="0"/>
    </w:pPr>
    <w:rPr>
      <w:rFonts w:ascii="Arial" w:hAnsi="Arial" w:cs="Arial"/>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uiPriority w:val="99"/>
    <w:semiHidden/>
    <w:rsid w:val="00286547"/>
    <w:rPr>
      <w:rFonts w:ascii="Tahoma" w:hAnsi="Tahoma" w:cs="Tahoma"/>
      <w:sz w:val="16"/>
      <w:szCs w:val="16"/>
    </w:rPr>
  </w:style>
  <w:style w:type="character" w:customStyle="1" w:styleId="BalloonTextChar">
    <w:name w:val="Balloon Text Char"/>
    <w:link w:val="BalloonText"/>
    <w:uiPriority w:val="99"/>
    <w:semiHidden/>
    <w:locked/>
    <w:rsid w:val="00A250A4"/>
    <w:rPr>
      <w:rFonts w:eastAsia="SimSun" w:cs="Arial"/>
      <w:sz w:val="2"/>
      <w:lang w:val="x-none" w:eastAsia="zh-CN"/>
    </w:rPr>
  </w:style>
  <w:style w:type="character" w:styleId="FootnoteReference">
    <w:name w:val="footnote reference"/>
    <w:uiPriority w:val="99"/>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uiPriority w:val="99"/>
    <w:rsid w:val="0041684F"/>
    <w:rPr>
      <w:sz w:val="16"/>
      <w:szCs w:val="16"/>
    </w:rPr>
  </w:style>
  <w:style w:type="paragraph" w:styleId="CommentSubject">
    <w:name w:val="annotation subject"/>
    <w:basedOn w:val="CommentText"/>
    <w:next w:val="CommentText"/>
    <w:link w:val="CommentSubjectChar"/>
    <w:uiPriority w:val="99"/>
    <w:rsid w:val="0041684F"/>
    <w:rPr>
      <w:b/>
      <w:bCs/>
      <w:sz w:val="20"/>
    </w:rPr>
  </w:style>
  <w:style w:type="character" w:customStyle="1" w:styleId="CommentSubjectChar">
    <w:name w:val="Comment Subject Char"/>
    <w:link w:val="CommentSubject"/>
    <w:uiPriority w:val="99"/>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uiPriority w:val="99"/>
    <w:unhideWhenUsed/>
    <w:rsid w:val="00311638"/>
    <w:rPr>
      <w:color w:val="0000FF" w:themeColor="hyperlink"/>
      <w:u w:val="single"/>
    </w:rPr>
  </w:style>
  <w:style w:type="paragraph" w:styleId="TOCHeading">
    <w:name w:val="TOC Heading"/>
    <w:basedOn w:val="Heading1"/>
    <w:next w:val="Normal"/>
    <w:uiPriority w:val="39"/>
    <w:semiHidden/>
    <w:unhideWhenUsed/>
    <w:qFormat/>
    <w:rsid w:val="0031163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311638"/>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locked/>
    <w:rsid w:val="00311638"/>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locked/>
    <w:rsid w:val="00311638"/>
    <w:pPr>
      <w:spacing w:after="100" w:line="276" w:lineRule="auto"/>
      <w:ind w:left="440"/>
    </w:pPr>
    <w:rPr>
      <w:rFonts w:asciiTheme="minorHAnsi" w:eastAsiaTheme="minorEastAsia" w:hAnsiTheme="minorHAnsi" w:cstheme="minorBidi"/>
      <w:szCs w:val="22"/>
      <w:lang w:eastAsia="ja-JP"/>
    </w:rPr>
  </w:style>
  <w:style w:type="character" w:styleId="FollowedHyperlink">
    <w:name w:val="FollowedHyperlink"/>
    <w:basedOn w:val="DefaultParagraphFont"/>
    <w:uiPriority w:val="99"/>
    <w:unhideWhenUsed/>
    <w:rsid w:val="00311638"/>
    <w:rPr>
      <w:color w:val="800080" w:themeColor="followedHyperlink"/>
      <w:u w:val="single"/>
    </w:rPr>
  </w:style>
  <w:style w:type="paragraph" w:customStyle="1" w:styleId="a">
    <w:name w:val="바탕글"/>
    <w:basedOn w:val="Normal"/>
    <w:rsid w:val="00223D69"/>
    <w:pPr>
      <w:snapToGrid w:val="0"/>
      <w:spacing w:line="384" w:lineRule="auto"/>
      <w:jc w:val="both"/>
    </w:pPr>
    <w:rPr>
      <w:rFonts w:ascii="함초롬바탕" w:eastAsia="함초롬바탕" w:hAnsi="함초롬바탕" w:cs="Times New Roman"/>
      <w:color w:val="000000"/>
      <w:sz w:val="20"/>
      <w:lang w:eastAsia="ko-KR"/>
    </w:rPr>
  </w:style>
  <w:style w:type="character" w:customStyle="1" w:styleId="hps">
    <w:name w:val="hps"/>
    <w:basedOn w:val="DefaultParagraphFont"/>
    <w:rsid w:val="006507A9"/>
  </w:style>
  <w:style w:type="character" w:customStyle="1" w:styleId="atn">
    <w:name w:val="atn"/>
    <w:basedOn w:val="DefaultParagraphFont"/>
    <w:rsid w:val="006507A9"/>
  </w:style>
  <w:style w:type="paragraph" w:styleId="Revision">
    <w:name w:val="Revision"/>
    <w:hidden/>
    <w:uiPriority w:val="99"/>
    <w:semiHidden/>
    <w:rsid w:val="00A341C2"/>
    <w:rPr>
      <w:rFonts w:ascii="Arial" w:eastAsia="SimSun" w:hAnsi="Arial" w:cs="Arial"/>
      <w:sz w:val="22"/>
      <w:lang w:val="fr-FR" w:eastAsia="zh-CN"/>
    </w:rPr>
  </w:style>
  <w:style w:type="table" w:styleId="TableGrid">
    <w:name w:val="Table Grid"/>
    <w:basedOn w:val="TableNormal"/>
    <w:uiPriority w:val="59"/>
    <w:locked/>
    <w:rsid w:val="0086135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861355"/>
    <w:pPr>
      <w:widowControl w:val="0"/>
      <w:autoSpaceDE w:val="0"/>
      <w:autoSpaceDN w:val="0"/>
      <w:adjustRightInd w:val="0"/>
      <w:spacing w:line="230" w:lineRule="exact"/>
      <w:jc w:val="center"/>
    </w:pPr>
    <w:rPr>
      <w:rFonts w:eastAsiaTheme="minorEastAsia"/>
      <w:sz w:val="24"/>
      <w:szCs w:val="24"/>
      <w:lang w:val="en-US" w:eastAsia="en-US"/>
    </w:rPr>
  </w:style>
  <w:style w:type="character" w:customStyle="1" w:styleId="FontStyle45">
    <w:name w:val="Font Style45"/>
    <w:basedOn w:val="DefaultParagraphFont"/>
    <w:uiPriority w:val="99"/>
    <w:rsid w:val="00861355"/>
    <w:rPr>
      <w:rFonts w:ascii="Arial" w:hAnsi="Arial" w:cs="Arial"/>
      <w:sz w:val="16"/>
      <w:szCs w:val="16"/>
    </w:rPr>
  </w:style>
  <w:style w:type="paragraph" w:customStyle="1" w:styleId="Style15">
    <w:name w:val="Style15"/>
    <w:basedOn w:val="Normal"/>
    <w:uiPriority w:val="99"/>
    <w:rsid w:val="00861355"/>
    <w:pPr>
      <w:widowControl w:val="0"/>
      <w:autoSpaceDE w:val="0"/>
      <w:autoSpaceDN w:val="0"/>
      <w:adjustRightInd w:val="0"/>
      <w:spacing w:line="198" w:lineRule="exact"/>
      <w:jc w:val="both"/>
    </w:pPr>
    <w:rPr>
      <w:rFonts w:eastAsiaTheme="minorEastAsia"/>
      <w:sz w:val="24"/>
      <w:szCs w:val="24"/>
      <w:lang w:val="en-US" w:eastAsia="en-US"/>
    </w:rPr>
  </w:style>
  <w:style w:type="character" w:customStyle="1" w:styleId="FontStyle43">
    <w:name w:val="Font Style43"/>
    <w:basedOn w:val="DefaultParagraphFont"/>
    <w:uiPriority w:val="99"/>
    <w:rsid w:val="00861355"/>
    <w:rPr>
      <w:rFonts w:ascii="Arial" w:hAnsi="Arial" w:cs="Arial"/>
      <w:b/>
      <w:bCs/>
      <w:spacing w:val="-20"/>
      <w:sz w:val="22"/>
      <w:szCs w:val="22"/>
    </w:rPr>
  </w:style>
  <w:style w:type="paragraph" w:customStyle="1" w:styleId="Style14">
    <w:name w:val="Style14"/>
    <w:basedOn w:val="Normal"/>
    <w:uiPriority w:val="99"/>
    <w:rsid w:val="00861355"/>
    <w:pPr>
      <w:widowControl w:val="0"/>
      <w:autoSpaceDE w:val="0"/>
      <w:autoSpaceDN w:val="0"/>
      <w:adjustRightInd w:val="0"/>
      <w:spacing w:line="202" w:lineRule="exact"/>
      <w:jc w:val="both"/>
    </w:pPr>
    <w:rPr>
      <w:rFonts w:eastAsiaTheme="minorEastAsia"/>
      <w:sz w:val="24"/>
      <w:szCs w:val="24"/>
      <w:lang w:val="en-US" w:eastAsia="en-US"/>
    </w:rPr>
  </w:style>
  <w:style w:type="paragraph" w:customStyle="1" w:styleId="Style34">
    <w:name w:val="Style34"/>
    <w:basedOn w:val="Normal"/>
    <w:uiPriority w:val="99"/>
    <w:rsid w:val="00861355"/>
    <w:pPr>
      <w:widowControl w:val="0"/>
      <w:autoSpaceDE w:val="0"/>
      <w:autoSpaceDN w:val="0"/>
      <w:adjustRightInd w:val="0"/>
      <w:spacing w:line="202" w:lineRule="exact"/>
      <w:jc w:val="both"/>
    </w:pPr>
    <w:rPr>
      <w:rFonts w:eastAsiaTheme="minorEastAsia"/>
      <w:sz w:val="24"/>
      <w:szCs w:val="24"/>
      <w:lang w:val="en-US" w:eastAsia="en-US"/>
    </w:rPr>
  </w:style>
  <w:style w:type="character" w:customStyle="1" w:styleId="FontStyle46">
    <w:name w:val="Font Style46"/>
    <w:basedOn w:val="DefaultParagraphFont"/>
    <w:uiPriority w:val="99"/>
    <w:rsid w:val="00861355"/>
    <w:rPr>
      <w:rFonts w:ascii="Arial" w:hAnsi="Arial" w:cs="Arial"/>
      <w:i/>
      <w:iCs/>
      <w:sz w:val="16"/>
      <w:szCs w:val="16"/>
    </w:rPr>
  </w:style>
  <w:style w:type="paragraph" w:customStyle="1" w:styleId="Style21">
    <w:name w:val="Style21"/>
    <w:basedOn w:val="Normal"/>
    <w:uiPriority w:val="99"/>
    <w:rsid w:val="00861355"/>
    <w:pPr>
      <w:widowControl w:val="0"/>
      <w:autoSpaceDE w:val="0"/>
      <w:autoSpaceDN w:val="0"/>
      <w:adjustRightInd w:val="0"/>
      <w:spacing w:line="199" w:lineRule="exact"/>
      <w:ind w:firstLine="1171"/>
      <w:jc w:val="both"/>
    </w:pPr>
    <w:rPr>
      <w:rFonts w:eastAsiaTheme="minorEastAsia"/>
      <w:sz w:val="24"/>
      <w:szCs w:val="24"/>
      <w:lang w:val="en-US" w:eastAsia="en-US"/>
    </w:rPr>
  </w:style>
  <w:style w:type="paragraph" w:styleId="NoSpacing">
    <w:name w:val="No Spacing"/>
    <w:uiPriority w:val="1"/>
    <w:qFormat/>
    <w:rsid w:val="00861355"/>
    <w:rPr>
      <w:rFonts w:asciiTheme="minorHAnsi" w:eastAsiaTheme="minorHAnsi" w:hAnsiTheme="minorHAnsi" w:cstheme="minorBidi"/>
      <w:sz w:val="22"/>
      <w:szCs w:val="22"/>
      <w:lang w:val="es-CL"/>
    </w:rPr>
  </w:style>
  <w:style w:type="paragraph" w:customStyle="1" w:styleId="Style6">
    <w:name w:val="Style6"/>
    <w:basedOn w:val="Normal"/>
    <w:uiPriority w:val="99"/>
    <w:rsid w:val="00861355"/>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7">
    <w:name w:val="Style7"/>
    <w:basedOn w:val="Normal"/>
    <w:uiPriority w:val="99"/>
    <w:rsid w:val="00861355"/>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paragraph" w:customStyle="1" w:styleId="Style8">
    <w:name w:val="Style8"/>
    <w:basedOn w:val="Normal"/>
    <w:uiPriority w:val="99"/>
    <w:rsid w:val="00861355"/>
    <w:pPr>
      <w:widowControl w:val="0"/>
      <w:autoSpaceDE w:val="0"/>
      <w:autoSpaceDN w:val="0"/>
      <w:adjustRightInd w:val="0"/>
    </w:pPr>
    <w:rPr>
      <w:rFonts w:ascii="Cambria" w:eastAsiaTheme="minorEastAsia" w:hAnsi="Cambria" w:cstheme="minorBidi"/>
      <w:sz w:val="24"/>
      <w:szCs w:val="24"/>
      <w:lang w:eastAsia="en-US"/>
    </w:rPr>
  </w:style>
  <w:style w:type="paragraph" w:customStyle="1" w:styleId="Style10">
    <w:name w:val="Style10"/>
    <w:basedOn w:val="Normal"/>
    <w:uiPriority w:val="99"/>
    <w:rsid w:val="00861355"/>
    <w:pPr>
      <w:widowControl w:val="0"/>
      <w:autoSpaceDE w:val="0"/>
      <w:autoSpaceDN w:val="0"/>
      <w:adjustRightInd w:val="0"/>
      <w:spacing w:line="317" w:lineRule="exact"/>
      <w:jc w:val="both"/>
    </w:pPr>
    <w:rPr>
      <w:rFonts w:ascii="Cambria" w:eastAsiaTheme="minorEastAsia" w:hAnsi="Cambria" w:cstheme="minorBidi"/>
      <w:sz w:val="24"/>
      <w:szCs w:val="24"/>
      <w:lang w:eastAsia="en-US"/>
    </w:rPr>
  </w:style>
  <w:style w:type="character" w:customStyle="1" w:styleId="FontStyle13">
    <w:name w:val="Font Style13"/>
    <w:basedOn w:val="DefaultParagraphFont"/>
    <w:uiPriority w:val="99"/>
    <w:rsid w:val="00861355"/>
    <w:rPr>
      <w:rFonts w:ascii="Cambria" w:hAnsi="Cambria" w:cs="Cambria"/>
      <w:i/>
      <w:iCs/>
      <w:sz w:val="20"/>
      <w:szCs w:val="20"/>
    </w:rPr>
  </w:style>
  <w:style w:type="character" w:customStyle="1" w:styleId="FontStyle20">
    <w:name w:val="Font Style20"/>
    <w:basedOn w:val="DefaultParagraphFont"/>
    <w:uiPriority w:val="99"/>
    <w:rsid w:val="00861355"/>
    <w:rPr>
      <w:rFonts w:ascii="Cambria" w:hAnsi="Cambria" w:cs="Cambria"/>
      <w:b/>
      <w:bCs/>
      <w:i/>
      <w:iCs/>
      <w:sz w:val="24"/>
      <w:szCs w:val="24"/>
    </w:rPr>
  </w:style>
  <w:style w:type="character" w:customStyle="1" w:styleId="FontStyle22">
    <w:name w:val="Font Style22"/>
    <w:basedOn w:val="DefaultParagraphFont"/>
    <w:uiPriority w:val="99"/>
    <w:rsid w:val="00861355"/>
    <w:rPr>
      <w:rFonts w:ascii="Cambria" w:hAnsi="Cambria" w:cs="Cambria"/>
      <w:b/>
      <w:bCs/>
      <w:sz w:val="26"/>
      <w:szCs w:val="26"/>
    </w:rPr>
  </w:style>
  <w:style w:type="character" w:customStyle="1" w:styleId="FontStyle23">
    <w:name w:val="Font Style23"/>
    <w:basedOn w:val="DefaultParagraphFont"/>
    <w:uiPriority w:val="99"/>
    <w:rsid w:val="00861355"/>
    <w:rPr>
      <w:rFonts w:ascii="Cambria" w:hAnsi="Cambria" w:cs="Cambria"/>
      <w:sz w:val="24"/>
      <w:szCs w:val="24"/>
    </w:rPr>
  </w:style>
  <w:style w:type="character" w:customStyle="1" w:styleId="FontStyle24">
    <w:name w:val="Font Style24"/>
    <w:basedOn w:val="DefaultParagraphFont"/>
    <w:uiPriority w:val="99"/>
    <w:rsid w:val="00861355"/>
    <w:rPr>
      <w:rFonts w:ascii="Cambria" w:hAnsi="Cambria" w:cs="Cambria"/>
      <w:sz w:val="26"/>
      <w:szCs w:val="26"/>
    </w:rPr>
  </w:style>
  <w:style w:type="character" w:customStyle="1" w:styleId="shorttext">
    <w:name w:val="short_text"/>
    <w:basedOn w:val="DefaultParagraphFont"/>
    <w:rsid w:val="00861355"/>
  </w:style>
  <w:style w:type="paragraph" w:customStyle="1" w:styleId="Default">
    <w:name w:val="Default"/>
    <w:rsid w:val="00861355"/>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 w:id="1323893042">
      <w:bodyDiv w:val="1"/>
      <w:marLeft w:val="0"/>
      <w:marRight w:val="0"/>
      <w:marTop w:val="0"/>
      <w:marBottom w:val="0"/>
      <w:divBdr>
        <w:top w:val="none" w:sz="0" w:space="0" w:color="auto"/>
        <w:left w:val="none" w:sz="0" w:space="0" w:color="auto"/>
        <w:bottom w:val="none" w:sz="0" w:space="0" w:color="auto"/>
        <w:right w:val="none" w:sz="0" w:space="0" w:color="auto"/>
      </w:divBdr>
      <w:divsChild>
        <w:div w:id="1881815673">
          <w:marLeft w:val="0"/>
          <w:marRight w:val="0"/>
          <w:marTop w:val="0"/>
          <w:marBottom w:val="0"/>
          <w:divBdr>
            <w:top w:val="none" w:sz="0" w:space="0" w:color="auto"/>
            <w:left w:val="none" w:sz="0" w:space="0" w:color="auto"/>
            <w:bottom w:val="none" w:sz="0" w:space="0" w:color="auto"/>
            <w:right w:val="none" w:sz="0" w:space="0" w:color="auto"/>
          </w:divBdr>
          <w:divsChild>
            <w:div w:id="1308510776">
              <w:marLeft w:val="0"/>
              <w:marRight w:val="0"/>
              <w:marTop w:val="0"/>
              <w:marBottom w:val="0"/>
              <w:divBdr>
                <w:top w:val="none" w:sz="0" w:space="0" w:color="auto"/>
                <w:left w:val="none" w:sz="0" w:space="0" w:color="auto"/>
                <w:bottom w:val="none" w:sz="0" w:space="0" w:color="auto"/>
                <w:right w:val="none" w:sz="0" w:space="0" w:color="auto"/>
              </w:divBdr>
              <w:divsChild>
                <w:div w:id="349720196">
                  <w:marLeft w:val="0"/>
                  <w:marRight w:val="0"/>
                  <w:marTop w:val="0"/>
                  <w:marBottom w:val="0"/>
                  <w:divBdr>
                    <w:top w:val="none" w:sz="0" w:space="0" w:color="auto"/>
                    <w:left w:val="none" w:sz="0" w:space="0" w:color="auto"/>
                    <w:bottom w:val="none" w:sz="0" w:space="0" w:color="auto"/>
                    <w:right w:val="none" w:sz="0" w:space="0" w:color="auto"/>
                  </w:divBdr>
                  <w:divsChild>
                    <w:div w:id="981543566">
                      <w:marLeft w:val="0"/>
                      <w:marRight w:val="0"/>
                      <w:marTop w:val="0"/>
                      <w:marBottom w:val="0"/>
                      <w:divBdr>
                        <w:top w:val="none" w:sz="0" w:space="0" w:color="auto"/>
                        <w:left w:val="none" w:sz="0" w:space="0" w:color="auto"/>
                        <w:bottom w:val="none" w:sz="0" w:space="0" w:color="auto"/>
                        <w:right w:val="none" w:sz="0" w:space="0" w:color="auto"/>
                      </w:divBdr>
                      <w:divsChild>
                        <w:div w:id="820848014">
                          <w:marLeft w:val="0"/>
                          <w:marRight w:val="0"/>
                          <w:marTop w:val="0"/>
                          <w:marBottom w:val="0"/>
                          <w:divBdr>
                            <w:top w:val="none" w:sz="0" w:space="0" w:color="auto"/>
                            <w:left w:val="none" w:sz="0" w:space="0" w:color="auto"/>
                            <w:bottom w:val="none" w:sz="0" w:space="0" w:color="auto"/>
                            <w:right w:val="none" w:sz="0" w:space="0" w:color="auto"/>
                          </w:divBdr>
                          <w:divsChild>
                            <w:div w:id="1663124786">
                              <w:marLeft w:val="0"/>
                              <w:marRight w:val="0"/>
                              <w:marTop w:val="0"/>
                              <w:marBottom w:val="0"/>
                              <w:divBdr>
                                <w:top w:val="none" w:sz="0" w:space="0" w:color="auto"/>
                                <w:left w:val="none" w:sz="0" w:space="0" w:color="auto"/>
                                <w:bottom w:val="none" w:sz="0" w:space="0" w:color="auto"/>
                                <w:right w:val="none" w:sz="0" w:space="0" w:color="auto"/>
                              </w:divBdr>
                              <w:divsChild>
                                <w:div w:id="1975407965">
                                  <w:marLeft w:val="0"/>
                                  <w:marRight w:val="0"/>
                                  <w:marTop w:val="0"/>
                                  <w:marBottom w:val="0"/>
                                  <w:divBdr>
                                    <w:top w:val="none" w:sz="0" w:space="0" w:color="auto"/>
                                    <w:left w:val="none" w:sz="0" w:space="0" w:color="auto"/>
                                    <w:bottom w:val="none" w:sz="0" w:space="0" w:color="auto"/>
                                    <w:right w:val="none" w:sz="0" w:space="0" w:color="auto"/>
                                  </w:divBdr>
                                  <w:divsChild>
                                    <w:div w:id="175116058">
                                      <w:marLeft w:val="60"/>
                                      <w:marRight w:val="0"/>
                                      <w:marTop w:val="0"/>
                                      <w:marBottom w:val="0"/>
                                      <w:divBdr>
                                        <w:top w:val="none" w:sz="0" w:space="0" w:color="auto"/>
                                        <w:left w:val="none" w:sz="0" w:space="0" w:color="auto"/>
                                        <w:bottom w:val="none" w:sz="0" w:space="0" w:color="auto"/>
                                        <w:right w:val="none" w:sz="0" w:space="0" w:color="auto"/>
                                      </w:divBdr>
                                      <w:divsChild>
                                        <w:div w:id="925386000">
                                          <w:marLeft w:val="0"/>
                                          <w:marRight w:val="0"/>
                                          <w:marTop w:val="0"/>
                                          <w:marBottom w:val="0"/>
                                          <w:divBdr>
                                            <w:top w:val="none" w:sz="0" w:space="0" w:color="auto"/>
                                            <w:left w:val="none" w:sz="0" w:space="0" w:color="auto"/>
                                            <w:bottom w:val="none" w:sz="0" w:space="0" w:color="auto"/>
                                            <w:right w:val="none" w:sz="0" w:space="0" w:color="auto"/>
                                          </w:divBdr>
                                          <w:divsChild>
                                            <w:div w:id="1870021571">
                                              <w:marLeft w:val="0"/>
                                              <w:marRight w:val="0"/>
                                              <w:marTop w:val="0"/>
                                              <w:marBottom w:val="120"/>
                                              <w:divBdr>
                                                <w:top w:val="single" w:sz="6" w:space="0" w:color="F5F5F5"/>
                                                <w:left w:val="single" w:sz="6" w:space="0" w:color="F5F5F5"/>
                                                <w:bottom w:val="single" w:sz="6" w:space="0" w:color="F5F5F5"/>
                                                <w:right w:val="single" w:sz="6" w:space="0" w:color="F5F5F5"/>
                                              </w:divBdr>
                                              <w:divsChild>
                                                <w:div w:id="1460567035">
                                                  <w:marLeft w:val="0"/>
                                                  <w:marRight w:val="0"/>
                                                  <w:marTop w:val="0"/>
                                                  <w:marBottom w:val="0"/>
                                                  <w:divBdr>
                                                    <w:top w:val="none" w:sz="0" w:space="0" w:color="auto"/>
                                                    <w:left w:val="none" w:sz="0" w:space="0" w:color="auto"/>
                                                    <w:bottom w:val="none" w:sz="0" w:space="0" w:color="auto"/>
                                                    <w:right w:val="none" w:sz="0" w:space="0" w:color="auto"/>
                                                  </w:divBdr>
                                                  <w:divsChild>
                                                    <w:div w:id="1774284193">
                                                      <w:marLeft w:val="0"/>
                                                      <w:marRight w:val="0"/>
                                                      <w:marTop w:val="0"/>
                                                      <w:marBottom w:val="0"/>
                                                      <w:divBdr>
                                                        <w:top w:val="none" w:sz="0" w:space="0" w:color="auto"/>
                                                        <w:left w:val="none" w:sz="0" w:space="0" w:color="auto"/>
                                                        <w:bottom w:val="none" w:sz="0" w:space="0" w:color="auto"/>
                                                        <w:right w:val="none" w:sz="0" w:space="0" w:color="auto"/>
                                                      </w:divBdr>
                                                    </w:div>
                                                  </w:divsChild>
                                                </w:div>
                                                <w:div w:id="1660694074">
                                                  <w:marLeft w:val="0"/>
                                                  <w:marRight w:val="0"/>
                                                  <w:marTop w:val="0"/>
                                                  <w:marBottom w:val="0"/>
                                                  <w:divBdr>
                                                    <w:top w:val="none" w:sz="0" w:space="0" w:color="auto"/>
                                                    <w:left w:val="none" w:sz="0" w:space="0" w:color="auto"/>
                                                    <w:bottom w:val="none" w:sz="0" w:space="0" w:color="auto"/>
                                                    <w:right w:val="none" w:sz="0" w:space="0" w:color="auto"/>
                                                  </w:divBdr>
                                                  <w:divsChild>
                                                    <w:div w:id="1023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260980">
      <w:bodyDiv w:val="1"/>
      <w:marLeft w:val="0"/>
      <w:marRight w:val="0"/>
      <w:marTop w:val="0"/>
      <w:marBottom w:val="0"/>
      <w:divBdr>
        <w:top w:val="none" w:sz="0" w:space="0" w:color="auto"/>
        <w:left w:val="none" w:sz="0" w:space="0" w:color="auto"/>
        <w:bottom w:val="none" w:sz="0" w:space="0" w:color="auto"/>
        <w:right w:val="none" w:sz="0" w:space="0" w:color="auto"/>
      </w:divBdr>
      <w:divsChild>
        <w:div w:id="1353607958">
          <w:marLeft w:val="0"/>
          <w:marRight w:val="0"/>
          <w:marTop w:val="0"/>
          <w:marBottom w:val="0"/>
          <w:divBdr>
            <w:top w:val="none" w:sz="0" w:space="0" w:color="auto"/>
            <w:left w:val="none" w:sz="0" w:space="0" w:color="auto"/>
            <w:bottom w:val="none" w:sz="0" w:space="0" w:color="auto"/>
            <w:right w:val="none" w:sz="0" w:space="0" w:color="auto"/>
          </w:divBdr>
          <w:divsChild>
            <w:div w:id="1569418209">
              <w:marLeft w:val="0"/>
              <w:marRight w:val="0"/>
              <w:marTop w:val="0"/>
              <w:marBottom w:val="0"/>
              <w:divBdr>
                <w:top w:val="none" w:sz="0" w:space="0" w:color="auto"/>
                <w:left w:val="none" w:sz="0" w:space="0" w:color="auto"/>
                <w:bottom w:val="none" w:sz="0" w:space="0" w:color="auto"/>
                <w:right w:val="none" w:sz="0" w:space="0" w:color="auto"/>
              </w:divBdr>
              <w:divsChild>
                <w:div w:id="1686053252">
                  <w:marLeft w:val="0"/>
                  <w:marRight w:val="0"/>
                  <w:marTop w:val="0"/>
                  <w:marBottom w:val="0"/>
                  <w:divBdr>
                    <w:top w:val="none" w:sz="0" w:space="0" w:color="auto"/>
                    <w:left w:val="none" w:sz="0" w:space="0" w:color="auto"/>
                    <w:bottom w:val="none" w:sz="0" w:space="0" w:color="auto"/>
                    <w:right w:val="none" w:sz="0" w:space="0" w:color="auto"/>
                  </w:divBdr>
                  <w:divsChild>
                    <w:div w:id="999311217">
                      <w:marLeft w:val="0"/>
                      <w:marRight w:val="0"/>
                      <w:marTop w:val="0"/>
                      <w:marBottom w:val="0"/>
                      <w:divBdr>
                        <w:top w:val="none" w:sz="0" w:space="0" w:color="auto"/>
                        <w:left w:val="none" w:sz="0" w:space="0" w:color="auto"/>
                        <w:bottom w:val="none" w:sz="0" w:space="0" w:color="auto"/>
                        <w:right w:val="none" w:sz="0" w:space="0" w:color="auto"/>
                      </w:divBdr>
                      <w:divsChild>
                        <w:div w:id="1018510862">
                          <w:marLeft w:val="0"/>
                          <w:marRight w:val="0"/>
                          <w:marTop w:val="0"/>
                          <w:marBottom w:val="0"/>
                          <w:divBdr>
                            <w:top w:val="none" w:sz="0" w:space="0" w:color="auto"/>
                            <w:left w:val="none" w:sz="0" w:space="0" w:color="auto"/>
                            <w:bottom w:val="none" w:sz="0" w:space="0" w:color="auto"/>
                            <w:right w:val="none" w:sz="0" w:space="0" w:color="auto"/>
                          </w:divBdr>
                          <w:divsChild>
                            <w:div w:id="1527792786">
                              <w:marLeft w:val="0"/>
                              <w:marRight w:val="0"/>
                              <w:marTop w:val="0"/>
                              <w:marBottom w:val="0"/>
                              <w:divBdr>
                                <w:top w:val="none" w:sz="0" w:space="0" w:color="auto"/>
                                <w:left w:val="none" w:sz="0" w:space="0" w:color="auto"/>
                                <w:bottom w:val="none" w:sz="0" w:space="0" w:color="auto"/>
                                <w:right w:val="none" w:sz="0" w:space="0" w:color="auto"/>
                              </w:divBdr>
                              <w:divsChild>
                                <w:div w:id="1674605879">
                                  <w:marLeft w:val="0"/>
                                  <w:marRight w:val="0"/>
                                  <w:marTop w:val="0"/>
                                  <w:marBottom w:val="0"/>
                                  <w:divBdr>
                                    <w:top w:val="none" w:sz="0" w:space="0" w:color="auto"/>
                                    <w:left w:val="none" w:sz="0" w:space="0" w:color="auto"/>
                                    <w:bottom w:val="none" w:sz="0" w:space="0" w:color="auto"/>
                                    <w:right w:val="none" w:sz="0" w:space="0" w:color="auto"/>
                                  </w:divBdr>
                                  <w:divsChild>
                                    <w:div w:id="1803234616">
                                      <w:marLeft w:val="60"/>
                                      <w:marRight w:val="0"/>
                                      <w:marTop w:val="0"/>
                                      <w:marBottom w:val="0"/>
                                      <w:divBdr>
                                        <w:top w:val="none" w:sz="0" w:space="0" w:color="auto"/>
                                        <w:left w:val="none" w:sz="0" w:space="0" w:color="auto"/>
                                        <w:bottom w:val="none" w:sz="0" w:space="0" w:color="auto"/>
                                        <w:right w:val="none" w:sz="0" w:space="0" w:color="auto"/>
                                      </w:divBdr>
                                      <w:divsChild>
                                        <w:div w:id="1873574787">
                                          <w:marLeft w:val="0"/>
                                          <w:marRight w:val="0"/>
                                          <w:marTop w:val="0"/>
                                          <w:marBottom w:val="0"/>
                                          <w:divBdr>
                                            <w:top w:val="none" w:sz="0" w:space="0" w:color="auto"/>
                                            <w:left w:val="none" w:sz="0" w:space="0" w:color="auto"/>
                                            <w:bottom w:val="none" w:sz="0" w:space="0" w:color="auto"/>
                                            <w:right w:val="none" w:sz="0" w:space="0" w:color="auto"/>
                                          </w:divBdr>
                                          <w:divsChild>
                                            <w:div w:id="541555540">
                                              <w:marLeft w:val="0"/>
                                              <w:marRight w:val="0"/>
                                              <w:marTop w:val="0"/>
                                              <w:marBottom w:val="120"/>
                                              <w:divBdr>
                                                <w:top w:val="single" w:sz="6" w:space="0" w:color="F5F5F5"/>
                                                <w:left w:val="single" w:sz="6" w:space="0" w:color="F5F5F5"/>
                                                <w:bottom w:val="single" w:sz="6" w:space="0" w:color="F5F5F5"/>
                                                <w:right w:val="single" w:sz="6" w:space="0" w:color="F5F5F5"/>
                                              </w:divBdr>
                                              <w:divsChild>
                                                <w:div w:id="1928803553">
                                                  <w:marLeft w:val="0"/>
                                                  <w:marRight w:val="0"/>
                                                  <w:marTop w:val="0"/>
                                                  <w:marBottom w:val="0"/>
                                                  <w:divBdr>
                                                    <w:top w:val="none" w:sz="0" w:space="0" w:color="auto"/>
                                                    <w:left w:val="none" w:sz="0" w:space="0" w:color="auto"/>
                                                    <w:bottom w:val="none" w:sz="0" w:space="0" w:color="auto"/>
                                                    <w:right w:val="none" w:sz="0" w:space="0" w:color="auto"/>
                                                  </w:divBdr>
                                                  <w:divsChild>
                                                    <w:div w:id="1137186670">
                                                      <w:marLeft w:val="0"/>
                                                      <w:marRight w:val="0"/>
                                                      <w:marTop w:val="0"/>
                                                      <w:marBottom w:val="0"/>
                                                      <w:divBdr>
                                                        <w:top w:val="none" w:sz="0" w:space="0" w:color="auto"/>
                                                        <w:left w:val="none" w:sz="0" w:space="0" w:color="auto"/>
                                                        <w:bottom w:val="none" w:sz="0" w:space="0" w:color="auto"/>
                                                        <w:right w:val="none" w:sz="0" w:space="0" w:color="auto"/>
                                                      </w:divBdr>
                                                    </w:div>
                                                  </w:divsChild>
                                                </w:div>
                                                <w:div w:id="528572750">
                                                  <w:marLeft w:val="0"/>
                                                  <w:marRight w:val="0"/>
                                                  <w:marTop w:val="0"/>
                                                  <w:marBottom w:val="0"/>
                                                  <w:divBdr>
                                                    <w:top w:val="none" w:sz="0" w:space="0" w:color="auto"/>
                                                    <w:left w:val="none" w:sz="0" w:space="0" w:color="auto"/>
                                                    <w:bottom w:val="none" w:sz="0" w:space="0" w:color="auto"/>
                                                    <w:right w:val="none" w:sz="0" w:space="0" w:color="auto"/>
                                                  </w:divBdr>
                                                  <w:divsChild>
                                                    <w:div w:id="668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240146">
      <w:bodyDiv w:val="1"/>
      <w:marLeft w:val="0"/>
      <w:marRight w:val="0"/>
      <w:marTop w:val="0"/>
      <w:marBottom w:val="0"/>
      <w:divBdr>
        <w:top w:val="none" w:sz="0" w:space="0" w:color="auto"/>
        <w:left w:val="none" w:sz="0" w:space="0" w:color="auto"/>
        <w:bottom w:val="none" w:sz="0" w:space="0" w:color="auto"/>
        <w:right w:val="none" w:sz="0" w:space="0" w:color="auto"/>
      </w:divBdr>
      <w:divsChild>
        <w:div w:id="1139686046">
          <w:marLeft w:val="0"/>
          <w:marRight w:val="0"/>
          <w:marTop w:val="0"/>
          <w:marBottom w:val="0"/>
          <w:divBdr>
            <w:top w:val="none" w:sz="0" w:space="0" w:color="auto"/>
            <w:left w:val="none" w:sz="0" w:space="0" w:color="auto"/>
            <w:bottom w:val="none" w:sz="0" w:space="0" w:color="auto"/>
            <w:right w:val="none" w:sz="0" w:space="0" w:color="auto"/>
          </w:divBdr>
          <w:divsChild>
            <w:div w:id="1635019642">
              <w:marLeft w:val="0"/>
              <w:marRight w:val="0"/>
              <w:marTop w:val="0"/>
              <w:marBottom w:val="0"/>
              <w:divBdr>
                <w:top w:val="none" w:sz="0" w:space="0" w:color="auto"/>
                <w:left w:val="none" w:sz="0" w:space="0" w:color="auto"/>
                <w:bottom w:val="none" w:sz="0" w:space="0" w:color="auto"/>
                <w:right w:val="none" w:sz="0" w:space="0" w:color="auto"/>
              </w:divBdr>
              <w:divsChild>
                <w:div w:id="457379386">
                  <w:marLeft w:val="0"/>
                  <w:marRight w:val="0"/>
                  <w:marTop w:val="0"/>
                  <w:marBottom w:val="0"/>
                  <w:divBdr>
                    <w:top w:val="none" w:sz="0" w:space="0" w:color="auto"/>
                    <w:left w:val="none" w:sz="0" w:space="0" w:color="auto"/>
                    <w:bottom w:val="none" w:sz="0" w:space="0" w:color="auto"/>
                    <w:right w:val="none" w:sz="0" w:space="0" w:color="auto"/>
                  </w:divBdr>
                  <w:divsChild>
                    <w:div w:id="1031952241">
                      <w:marLeft w:val="0"/>
                      <w:marRight w:val="0"/>
                      <w:marTop w:val="0"/>
                      <w:marBottom w:val="0"/>
                      <w:divBdr>
                        <w:top w:val="none" w:sz="0" w:space="0" w:color="auto"/>
                        <w:left w:val="none" w:sz="0" w:space="0" w:color="auto"/>
                        <w:bottom w:val="none" w:sz="0" w:space="0" w:color="auto"/>
                        <w:right w:val="none" w:sz="0" w:space="0" w:color="auto"/>
                      </w:divBdr>
                      <w:divsChild>
                        <w:div w:id="50152538">
                          <w:marLeft w:val="0"/>
                          <w:marRight w:val="0"/>
                          <w:marTop w:val="0"/>
                          <w:marBottom w:val="0"/>
                          <w:divBdr>
                            <w:top w:val="none" w:sz="0" w:space="0" w:color="auto"/>
                            <w:left w:val="none" w:sz="0" w:space="0" w:color="auto"/>
                            <w:bottom w:val="none" w:sz="0" w:space="0" w:color="auto"/>
                            <w:right w:val="none" w:sz="0" w:space="0" w:color="auto"/>
                          </w:divBdr>
                          <w:divsChild>
                            <w:div w:id="295843106">
                              <w:marLeft w:val="0"/>
                              <w:marRight w:val="0"/>
                              <w:marTop w:val="0"/>
                              <w:marBottom w:val="0"/>
                              <w:divBdr>
                                <w:top w:val="none" w:sz="0" w:space="0" w:color="auto"/>
                                <w:left w:val="none" w:sz="0" w:space="0" w:color="auto"/>
                                <w:bottom w:val="none" w:sz="0" w:space="0" w:color="auto"/>
                                <w:right w:val="none" w:sz="0" w:space="0" w:color="auto"/>
                              </w:divBdr>
                              <w:divsChild>
                                <w:div w:id="1030061088">
                                  <w:marLeft w:val="0"/>
                                  <w:marRight w:val="0"/>
                                  <w:marTop w:val="0"/>
                                  <w:marBottom w:val="0"/>
                                  <w:divBdr>
                                    <w:top w:val="none" w:sz="0" w:space="0" w:color="auto"/>
                                    <w:left w:val="none" w:sz="0" w:space="0" w:color="auto"/>
                                    <w:bottom w:val="none" w:sz="0" w:space="0" w:color="auto"/>
                                    <w:right w:val="none" w:sz="0" w:space="0" w:color="auto"/>
                                  </w:divBdr>
                                  <w:divsChild>
                                    <w:div w:id="1194222027">
                                      <w:marLeft w:val="60"/>
                                      <w:marRight w:val="0"/>
                                      <w:marTop w:val="0"/>
                                      <w:marBottom w:val="0"/>
                                      <w:divBdr>
                                        <w:top w:val="none" w:sz="0" w:space="0" w:color="auto"/>
                                        <w:left w:val="none" w:sz="0" w:space="0" w:color="auto"/>
                                        <w:bottom w:val="none" w:sz="0" w:space="0" w:color="auto"/>
                                        <w:right w:val="none" w:sz="0" w:space="0" w:color="auto"/>
                                      </w:divBdr>
                                      <w:divsChild>
                                        <w:div w:id="580600768">
                                          <w:marLeft w:val="0"/>
                                          <w:marRight w:val="0"/>
                                          <w:marTop w:val="0"/>
                                          <w:marBottom w:val="0"/>
                                          <w:divBdr>
                                            <w:top w:val="none" w:sz="0" w:space="0" w:color="auto"/>
                                            <w:left w:val="none" w:sz="0" w:space="0" w:color="auto"/>
                                            <w:bottom w:val="none" w:sz="0" w:space="0" w:color="auto"/>
                                            <w:right w:val="none" w:sz="0" w:space="0" w:color="auto"/>
                                          </w:divBdr>
                                          <w:divsChild>
                                            <w:div w:id="671227013">
                                              <w:marLeft w:val="0"/>
                                              <w:marRight w:val="0"/>
                                              <w:marTop w:val="0"/>
                                              <w:marBottom w:val="120"/>
                                              <w:divBdr>
                                                <w:top w:val="single" w:sz="6" w:space="0" w:color="F5F5F5"/>
                                                <w:left w:val="single" w:sz="6" w:space="0" w:color="F5F5F5"/>
                                                <w:bottom w:val="single" w:sz="6" w:space="0" w:color="F5F5F5"/>
                                                <w:right w:val="single" w:sz="6" w:space="0" w:color="F5F5F5"/>
                                              </w:divBdr>
                                              <w:divsChild>
                                                <w:div w:id="1929654532">
                                                  <w:marLeft w:val="0"/>
                                                  <w:marRight w:val="0"/>
                                                  <w:marTop w:val="0"/>
                                                  <w:marBottom w:val="0"/>
                                                  <w:divBdr>
                                                    <w:top w:val="none" w:sz="0" w:space="0" w:color="auto"/>
                                                    <w:left w:val="none" w:sz="0" w:space="0" w:color="auto"/>
                                                    <w:bottom w:val="none" w:sz="0" w:space="0" w:color="auto"/>
                                                    <w:right w:val="none" w:sz="0" w:space="0" w:color="auto"/>
                                                  </w:divBdr>
                                                  <w:divsChild>
                                                    <w:div w:id="1712221928">
                                                      <w:marLeft w:val="0"/>
                                                      <w:marRight w:val="0"/>
                                                      <w:marTop w:val="0"/>
                                                      <w:marBottom w:val="0"/>
                                                      <w:divBdr>
                                                        <w:top w:val="none" w:sz="0" w:space="0" w:color="auto"/>
                                                        <w:left w:val="none" w:sz="0" w:space="0" w:color="auto"/>
                                                        <w:bottom w:val="none" w:sz="0" w:space="0" w:color="auto"/>
                                                        <w:right w:val="none" w:sz="0" w:space="0" w:color="auto"/>
                                                      </w:divBdr>
                                                    </w:div>
                                                  </w:divsChild>
                                                </w:div>
                                                <w:div w:id="2146654145">
                                                  <w:marLeft w:val="0"/>
                                                  <w:marRight w:val="0"/>
                                                  <w:marTop w:val="0"/>
                                                  <w:marBottom w:val="0"/>
                                                  <w:divBdr>
                                                    <w:top w:val="none" w:sz="0" w:space="0" w:color="auto"/>
                                                    <w:left w:val="none" w:sz="0" w:space="0" w:color="auto"/>
                                                    <w:bottom w:val="none" w:sz="0" w:space="0" w:color="auto"/>
                                                    <w:right w:val="none" w:sz="0" w:space="0" w:color="auto"/>
                                                  </w:divBdr>
                                                  <w:divsChild>
                                                    <w:div w:id="20065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435749">
      <w:bodyDiv w:val="1"/>
      <w:marLeft w:val="0"/>
      <w:marRight w:val="0"/>
      <w:marTop w:val="0"/>
      <w:marBottom w:val="0"/>
      <w:divBdr>
        <w:top w:val="none" w:sz="0" w:space="0" w:color="auto"/>
        <w:left w:val="none" w:sz="0" w:space="0" w:color="auto"/>
        <w:bottom w:val="none" w:sz="0" w:space="0" w:color="auto"/>
        <w:right w:val="none" w:sz="0" w:space="0" w:color="auto"/>
      </w:divBdr>
      <w:divsChild>
        <w:div w:id="1356299946">
          <w:marLeft w:val="0"/>
          <w:marRight w:val="0"/>
          <w:marTop w:val="0"/>
          <w:marBottom w:val="0"/>
          <w:divBdr>
            <w:top w:val="none" w:sz="0" w:space="0" w:color="auto"/>
            <w:left w:val="none" w:sz="0" w:space="0" w:color="auto"/>
            <w:bottom w:val="none" w:sz="0" w:space="0" w:color="auto"/>
            <w:right w:val="none" w:sz="0" w:space="0" w:color="auto"/>
          </w:divBdr>
          <w:divsChild>
            <w:div w:id="578711068">
              <w:marLeft w:val="0"/>
              <w:marRight w:val="0"/>
              <w:marTop w:val="0"/>
              <w:marBottom w:val="0"/>
              <w:divBdr>
                <w:top w:val="none" w:sz="0" w:space="0" w:color="auto"/>
                <w:left w:val="none" w:sz="0" w:space="0" w:color="auto"/>
                <w:bottom w:val="none" w:sz="0" w:space="0" w:color="auto"/>
                <w:right w:val="none" w:sz="0" w:space="0" w:color="auto"/>
              </w:divBdr>
              <w:divsChild>
                <w:div w:id="709106998">
                  <w:marLeft w:val="0"/>
                  <w:marRight w:val="0"/>
                  <w:marTop w:val="0"/>
                  <w:marBottom w:val="0"/>
                  <w:divBdr>
                    <w:top w:val="none" w:sz="0" w:space="0" w:color="auto"/>
                    <w:left w:val="none" w:sz="0" w:space="0" w:color="auto"/>
                    <w:bottom w:val="none" w:sz="0" w:space="0" w:color="auto"/>
                    <w:right w:val="none" w:sz="0" w:space="0" w:color="auto"/>
                  </w:divBdr>
                  <w:divsChild>
                    <w:div w:id="808977309">
                      <w:marLeft w:val="0"/>
                      <w:marRight w:val="0"/>
                      <w:marTop w:val="0"/>
                      <w:marBottom w:val="0"/>
                      <w:divBdr>
                        <w:top w:val="none" w:sz="0" w:space="0" w:color="auto"/>
                        <w:left w:val="none" w:sz="0" w:space="0" w:color="auto"/>
                        <w:bottom w:val="none" w:sz="0" w:space="0" w:color="auto"/>
                        <w:right w:val="none" w:sz="0" w:space="0" w:color="auto"/>
                      </w:divBdr>
                      <w:divsChild>
                        <w:div w:id="30695375">
                          <w:marLeft w:val="0"/>
                          <w:marRight w:val="0"/>
                          <w:marTop w:val="0"/>
                          <w:marBottom w:val="0"/>
                          <w:divBdr>
                            <w:top w:val="none" w:sz="0" w:space="0" w:color="auto"/>
                            <w:left w:val="none" w:sz="0" w:space="0" w:color="auto"/>
                            <w:bottom w:val="none" w:sz="0" w:space="0" w:color="auto"/>
                            <w:right w:val="none" w:sz="0" w:space="0" w:color="auto"/>
                          </w:divBdr>
                          <w:divsChild>
                            <w:div w:id="326901849">
                              <w:marLeft w:val="0"/>
                              <w:marRight w:val="0"/>
                              <w:marTop w:val="0"/>
                              <w:marBottom w:val="0"/>
                              <w:divBdr>
                                <w:top w:val="none" w:sz="0" w:space="0" w:color="auto"/>
                                <w:left w:val="none" w:sz="0" w:space="0" w:color="auto"/>
                                <w:bottom w:val="none" w:sz="0" w:space="0" w:color="auto"/>
                                <w:right w:val="none" w:sz="0" w:space="0" w:color="auto"/>
                              </w:divBdr>
                              <w:divsChild>
                                <w:div w:id="448285698">
                                  <w:marLeft w:val="0"/>
                                  <w:marRight w:val="0"/>
                                  <w:marTop w:val="0"/>
                                  <w:marBottom w:val="0"/>
                                  <w:divBdr>
                                    <w:top w:val="none" w:sz="0" w:space="0" w:color="auto"/>
                                    <w:left w:val="none" w:sz="0" w:space="0" w:color="auto"/>
                                    <w:bottom w:val="none" w:sz="0" w:space="0" w:color="auto"/>
                                    <w:right w:val="none" w:sz="0" w:space="0" w:color="auto"/>
                                  </w:divBdr>
                                  <w:divsChild>
                                    <w:div w:id="1363287042">
                                      <w:marLeft w:val="60"/>
                                      <w:marRight w:val="0"/>
                                      <w:marTop w:val="0"/>
                                      <w:marBottom w:val="0"/>
                                      <w:divBdr>
                                        <w:top w:val="none" w:sz="0" w:space="0" w:color="auto"/>
                                        <w:left w:val="none" w:sz="0" w:space="0" w:color="auto"/>
                                        <w:bottom w:val="none" w:sz="0" w:space="0" w:color="auto"/>
                                        <w:right w:val="none" w:sz="0" w:space="0" w:color="auto"/>
                                      </w:divBdr>
                                      <w:divsChild>
                                        <w:div w:id="1223367490">
                                          <w:marLeft w:val="0"/>
                                          <w:marRight w:val="0"/>
                                          <w:marTop w:val="0"/>
                                          <w:marBottom w:val="0"/>
                                          <w:divBdr>
                                            <w:top w:val="none" w:sz="0" w:space="0" w:color="auto"/>
                                            <w:left w:val="none" w:sz="0" w:space="0" w:color="auto"/>
                                            <w:bottom w:val="none" w:sz="0" w:space="0" w:color="auto"/>
                                            <w:right w:val="none" w:sz="0" w:space="0" w:color="auto"/>
                                          </w:divBdr>
                                          <w:divsChild>
                                            <w:div w:id="414521357">
                                              <w:marLeft w:val="0"/>
                                              <w:marRight w:val="0"/>
                                              <w:marTop w:val="0"/>
                                              <w:marBottom w:val="120"/>
                                              <w:divBdr>
                                                <w:top w:val="single" w:sz="6" w:space="0" w:color="F5F5F5"/>
                                                <w:left w:val="single" w:sz="6" w:space="0" w:color="F5F5F5"/>
                                                <w:bottom w:val="single" w:sz="6" w:space="0" w:color="F5F5F5"/>
                                                <w:right w:val="single" w:sz="6" w:space="0" w:color="F5F5F5"/>
                                              </w:divBdr>
                                              <w:divsChild>
                                                <w:div w:id="468255537">
                                                  <w:marLeft w:val="0"/>
                                                  <w:marRight w:val="0"/>
                                                  <w:marTop w:val="0"/>
                                                  <w:marBottom w:val="0"/>
                                                  <w:divBdr>
                                                    <w:top w:val="none" w:sz="0" w:space="0" w:color="auto"/>
                                                    <w:left w:val="none" w:sz="0" w:space="0" w:color="auto"/>
                                                    <w:bottom w:val="none" w:sz="0" w:space="0" w:color="auto"/>
                                                    <w:right w:val="none" w:sz="0" w:space="0" w:color="auto"/>
                                                  </w:divBdr>
                                                  <w:divsChild>
                                                    <w:div w:id="1868447829">
                                                      <w:marLeft w:val="0"/>
                                                      <w:marRight w:val="0"/>
                                                      <w:marTop w:val="0"/>
                                                      <w:marBottom w:val="0"/>
                                                      <w:divBdr>
                                                        <w:top w:val="none" w:sz="0" w:space="0" w:color="auto"/>
                                                        <w:left w:val="none" w:sz="0" w:space="0" w:color="auto"/>
                                                        <w:bottom w:val="none" w:sz="0" w:space="0" w:color="auto"/>
                                                        <w:right w:val="none" w:sz="0" w:space="0" w:color="auto"/>
                                                      </w:divBdr>
                                                    </w:div>
                                                  </w:divsChild>
                                                </w:div>
                                                <w:div w:id="348409201">
                                                  <w:marLeft w:val="0"/>
                                                  <w:marRight w:val="0"/>
                                                  <w:marTop w:val="0"/>
                                                  <w:marBottom w:val="0"/>
                                                  <w:divBdr>
                                                    <w:top w:val="none" w:sz="0" w:space="0" w:color="auto"/>
                                                    <w:left w:val="none" w:sz="0" w:space="0" w:color="auto"/>
                                                    <w:bottom w:val="none" w:sz="0" w:space="0" w:color="auto"/>
                                                    <w:right w:val="none" w:sz="0" w:space="0" w:color="auto"/>
                                                  </w:divBdr>
                                                  <w:divsChild>
                                                    <w:div w:id="153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901518">
      <w:bodyDiv w:val="1"/>
      <w:marLeft w:val="0"/>
      <w:marRight w:val="0"/>
      <w:marTop w:val="0"/>
      <w:marBottom w:val="0"/>
      <w:divBdr>
        <w:top w:val="none" w:sz="0" w:space="0" w:color="auto"/>
        <w:left w:val="none" w:sz="0" w:space="0" w:color="auto"/>
        <w:bottom w:val="none" w:sz="0" w:space="0" w:color="auto"/>
        <w:right w:val="none" w:sz="0" w:space="0" w:color="auto"/>
      </w:divBdr>
      <w:divsChild>
        <w:div w:id="303779865">
          <w:marLeft w:val="0"/>
          <w:marRight w:val="0"/>
          <w:marTop w:val="0"/>
          <w:marBottom w:val="0"/>
          <w:divBdr>
            <w:top w:val="none" w:sz="0" w:space="0" w:color="auto"/>
            <w:left w:val="none" w:sz="0" w:space="0" w:color="auto"/>
            <w:bottom w:val="none" w:sz="0" w:space="0" w:color="auto"/>
            <w:right w:val="none" w:sz="0" w:space="0" w:color="auto"/>
          </w:divBdr>
          <w:divsChild>
            <w:div w:id="1031959857">
              <w:marLeft w:val="0"/>
              <w:marRight w:val="0"/>
              <w:marTop w:val="0"/>
              <w:marBottom w:val="0"/>
              <w:divBdr>
                <w:top w:val="none" w:sz="0" w:space="0" w:color="auto"/>
                <w:left w:val="none" w:sz="0" w:space="0" w:color="auto"/>
                <w:bottom w:val="none" w:sz="0" w:space="0" w:color="auto"/>
                <w:right w:val="none" w:sz="0" w:space="0" w:color="auto"/>
              </w:divBdr>
              <w:divsChild>
                <w:div w:id="2074572423">
                  <w:marLeft w:val="0"/>
                  <w:marRight w:val="0"/>
                  <w:marTop w:val="0"/>
                  <w:marBottom w:val="0"/>
                  <w:divBdr>
                    <w:top w:val="none" w:sz="0" w:space="0" w:color="auto"/>
                    <w:left w:val="none" w:sz="0" w:space="0" w:color="auto"/>
                    <w:bottom w:val="none" w:sz="0" w:space="0" w:color="auto"/>
                    <w:right w:val="none" w:sz="0" w:space="0" w:color="auto"/>
                  </w:divBdr>
                  <w:divsChild>
                    <w:div w:id="2065256353">
                      <w:marLeft w:val="0"/>
                      <w:marRight w:val="0"/>
                      <w:marTop w:val="0"/>
                      <w:marBottom w:val="0"/>
                      <w:divBdr>
                        <w:top w:val="none" w:sz="0" w:space="0" w:color="auto"/>
                        <w:left w:val="none" w:sz="0" w:space="0" w:color="auto"/>
                        <w:bottom w:val="none" w:sz="0" w:space="0" w:color="auto"/>
                        <w:right w:val="none" w:sz="0" w:space="0" w:color="auto"/>
                      </w:divBdr>
                      <w:divsChild>
                        <w:div w:id="675617567">
                          <w:marLeft w:val="0"/>
                          <w:marRight w:val="0"/>
                          <w:marTop w:val="0"/>
                          <w:marBottom w:val="0"/>
                          <w:divBdr>
                            <w:top w:val="none" w:sz="0" w:space="0" w:color="auto"/>
                            <w:left w:val="none" w:sz="0" w:space="0" w:color="auto"/>
                            <w:bottom w:val="none" w:sz="0" w:space="0" w:color="auto"/>
                            <w:right w:val="none" w:sz="0" w:space="0" w:color="auto"/>
                          </w:divBdr>
                          <w:divsChild>
                            <w:div w:id="298461288">
                              <w:marLeft w:val="0"/>
                              <w:marRight w:val="0"/>
                              <w:marTop w:val="0"/>
                              <w:marBottom w:val="0"/>
                              <w:divBdr>
                                <w:top w:val="none" w:sz="0" w:space="0" w:color="auto"/>
                                <w:left w:val="none" w:sz="0" w:space="0" w:color="auto"/>
                                <w:bottom w:val="none" w:sz="0" w:space="0" w:color="auto"/>
                                <w:right w:val="none" w:sz="0" w:space="0" w:color="auto"/>
                              </w:divBdr>
                              <w:divsChild>
                                <w:div w:id="706837233">
                                  <w:marLeft w:val="0"/>
                                  <w:marRight w:val="0"/>
                                  <w:marTop w:val="0"/>
                                  <w:marBottom w:val="0"/>
                                  <w:divBdr>
                                    <w:top w:val="none" w:sz="0" w:space="0" w:color="auto"/>
                                    <w:left w:val="none" w:sz="0" w:space="0" w:color="auto"/>
                                    <w:bottom w:val="none" w:sz="0" w:space="0" w:color="auto"/>
                                    <w:right w:val="none" w:sz="0" w:space="0" w:color="auto"/>
                                  </w:divBdr>
                                  <w:divsChild>
                                    <w:div w:id="1416436912">
                                      <w:marLeft w:val="60"/>
                                      <w:marRight w:val="0"/>
                                      <w:marTop w:val="0"/>
                                      <w:marBottom w:val="0"/>
                                      <w:divBdr>
                                        <w:top w:val="none" w:sz="0" w:space="0" w:color="auto"/>
                                        <w:left w:val="none" w:sz="0" w:space="0" w:color="auto"/>
                                        <w:bottom w:val="none" w:sz="0" w:space="0" w:color="auto"/>
                                        <w:right w:val="none" w:sz="0" w:space="0" w:color="auto"/>
                                      </w:divBdr>
                                      <w:divsChild>
                                        <w:div w:id="1056975136">
                                          <w:marLeft w:val="0"/>
                                          <w:marRight w:val="0"/>
                                          <w:marTop w:val="0"/>
                                          <w:marBottom w:val="0"/>
                                          <w:divBdr>
                                            <w:top w:val="none" w:sz="0" w:space="0" w:color="auto"/>
                                            <w:left w:val="none" w:sz="0" w:space="0" w:color="auto"/>
                                            <w:bottom w:val="none" w:sz="0" w:space="0" w:color="auto"/>
                                            <w:right w:val="none" w:sz="0" w:space="0" w:color="auto"/>
                                          </w:divBdr>
                                          <w:divsChild>
                                            <w:div w:id="1420634320">
                                              <w:marLeft w:val="0"/>
                                              <w:marRight w:val="0"/>
                                              <w:marTop w:val="0"/>
                                              <w:marBottom w:val="120"/>
                                              <w:divBdr>
                                                <w:top w:val="single" w:sz="6" w:space="0" w:color="F5F5F5"/>
                                                <w:left w:val="single" w:sz="6" w:space="0" w:color="F5F5F5"/>
                                                <w:bottom w:val="single" w:sz="6" w:space="0" w:color="F5F5F5"/>
                                                <w:right w:val="single" w:sz="6" w:space="0" w:color="F5F5F5"/>
                                              </w:divBdr>
                                              <w:divsChild>
                                                <w:div w:id="1440371944">
                                                  <w:marLeft w:val="0"/>
                                                  <w:marRight w:val="0"/>
                                                  <w:marTop w:val="0"/>
                                                  <w:marBottom w:val="0"/>
                                                  <w:divBdr>
                                                    <w:top w:val="none" w:sz="0" w:space="0" w:color="auto"/>
                                                    <w:left w:val="none" w:sz="0" w:space="0" w:color="auto"/>
                                                    <w:bottom w:val="none" w:sz="0" w:space="0" w:color="auto"/>
                                                    <w:right w:val="none" w:sz="0" w:space="0" w:color="auto"/>
                                                  </w:divBdr>
                                                  <w:divsChild>
                                                    <w:div w:id="267277220">
                                                      <w:marLeft w:val="0"/>
                                                      <w:marRight w:val="0"/>
                                                      <w:marTop w:val="0"/>
                                                      <w:marBottom w:val="0"/>
                                                      <w:divBdr>
                                                        <w:top w:val="none" w:sz="0" w:space="0" w:color="auto"/>
                                                        <w:left w:val="none" w:sz="0" w:space="0" w:color="auto"/>
                                                        <w:bottom w:val="none" w:sz="0" w:space="0" w:color="auto"/>
                                                        <w:right w:val="none" w:sz="0" w:space="0" w:color="auto"/>
                                                      </w:divBdr>
                                                    </w:div>
                                                  </w:divsChild>
                                                </w:div>
                                                <w:div w:id="1508982587">
                                                  <w:marLeft w:val="0"/>
                                                  <w:marRight w:val="0"/>
                                                  <w:marTop w:val="0"/>
                                                  <w:marBottom w:val="0"/>
                                                  <w:divBdr>
                                                    <w:top w:val="none" w:sz="0" w:space="0" w:color="auto"/>
                                                    <w:left w:val="none" w:sz="0" w:space="0" w:color="auto"/>
                                                    <w:bottom w:val="none" w:sz="0" w:space="0" w:color="auto"/>
                                                    <w:right w:val="none" w:sz="0" w:space="0" w:color="auto"/>
                                                  </w:divBdr>
                                                  <w:divsChild>
                                                    <w:div w:id="16194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9.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etails.jsp?meeting_id=35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8078-740C-490B-BBB7-4E196F9A5FE5}">
  <ds:schemaRefs>
    <ds:schemaRef ds:uri="http://schemas.openxmlformats.org/officeDocument/2006/bibliography"/>
  </ds:schemaRefs>
</ds:datastoreItem>
</file>

<file path=customXml/itemProps2.xml><?xml version="1.0" encoding="utf-8"?>
<ds:datastoreItem xmlns:ds="http://schemas.openxmlformats.org/officeDocument/2006/customXml" ds:itemID="{E43B1DEB-0CEE-4BFA-98F5-026BF6EABC6F}">
  <ds:schemaRefs>
    <ds:schemaRef ds:uri="http://schemas.openxmlformats.org/officeDocument/2006/bibliography"/>
  </ds:schemaRefs>
</ds:datastoreItem>
</file>

<file path=customXml/itemProps3.xml><?xml version="1.0" encoding="utf-8"?>
<ds:datastoreItem xmlns:ds="http://schemas.openxmlformats.org/officeDocument/2006/customXml" ds:itemID="{FADA6708-0EA5-42C0-97A9-8D569CAFB60D}">
  <ds:schemaRefs>
    <ds:schemaRef ds:uri="http://schemas.openxmlformats.org/officeDocument/2006/bibliography"/>
  </ds:schemaRefs>
</ds:datastoreItem>
</file>

<file path=customXml/itemProps4.xml><?xml version="1.0" encoding="utf-8"?>
<ds:datastoreItem xmlns:ds="http://schemas.openxmlformats.org/officeDocument/2006/customXml" ds:itemID="{C2C1F9CD-0F77-458C-9792-3FC9C8B9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20539</Words>
  <Characters>121673</Characters>
  <Application>Microsoft Office Word</Application>
  <DocSecurity>0</DocSecurity>
  <Lines>1013</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141929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AMP/ko</cp:keywords>
  <cp:lastModifiedBy>VINCENT Anouck</cp:lastModifiedBy>
  <cp:revision>5</cp:revision>
  <cp:lastPrinted>2015-03-04T13:59:00Z</cp:lastPrinted>
  <dcterms:created xsi:type="dcterms:W3CDTF">2015-03-04T13:55:00Z</dcterms:created>
  <dcterms:modified xsi:type="dcterms:W3CDTF">2015-03-04T14:06:00Z</dcterms:modified>
</cp:coreProperties>
</file>