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3652" w14:textId="77777777" w:rsidR="008B2CC1" w:rsidRPr="0040540C" w:rsidRDefault="0040540C" w:rsidP="00897816">
      <w:pPr>
        <w:pBdr>
          <w:bottom w:val="single" w:sz="4" w:space="11" w:color="auto"/>
        </w:pBdr>
        <w:spacing w:after="120"/>
        <w:jc w:val="right"/>
      </w:pPr>
      <w:r>
        <w:rPr>
          <w:noProof/>
          <w:lang w:eastAsia="fr-CH"/>
        </w:rPr>
        <w:drawing>
          <wp:inline distT="0" distB="0" distL="0" distR="0" wp14:anchorId="1BFDB2E1" wp14:editId="6EC41A1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7A59605" w14:textId="77777777" w:rsidR="00B1090C" w:rsidRDefault="00897816" w:rsidP="0040540C">
      <w:pPr>
        <w:jc w:val="right"/>
        <w:rPr>
          <w:rFonts w:ascii="Arial Black" w:hAnsi="Arial Black"/>
          <w:caps/>
          <w:sz w:val="15"/>
        </w:rPr>
      </w:pPr>
      <w:r>
        <w:rPr>
          <w:rFonts w:ascii="Arial Black" w:hAnsi="Arial Black"/>
          <w:caps/>
          <w:sz w:val="15"/>
        </w:rPr>
        <w:t>CDIP/3</w:t>
      </w:r>
      <w:r w:rsidR="006E1EC4">
        <w:rPr>
          <w:rFonts w:ascii="Arial Black" w:hAnsi="Arial Black"/>
          <w:caps/>
          <w:sz w:val="15"/>
        </w:rPr>
        <w:t>2</w:t>
      </w:r>
      <w:r>
        <w:rPr>
          <w:rFonts w:ascii="Arial Black" w:hAnsi="Arial Black"/>
          <w:caps/>
          <w:sz w:val="15"/>
        </w:rPr>
        <w:t>/</w:t>
      </w:r>
      <w:bookmarkStart w:id="0" w:name="Code"/>
      <w:bookmarkEnd w:id="0"/>
      <w:r w:rsidR="009B1999">
        <w:rPr>
          <w:rFonts w:ascii="Arial Black" w:hAnsi="Arial Black"/>
          <w:caps/>
          <w:sz w:val="15"/>
        </w:rPr>
        <w:t>10</w:t>
      </w:r>
    </w:p>
    <w:p w14:paraId="56791A6D" w14:textId="500D0D2A" w:rsidR="008B2CC1" w:rsidRPr="0040540C" w:rsidRDefault="00B1090C" w:rsidP="0040540C">
      <w:pPr>
        <w:jc w:val="right"/>
      </w:pPr>
      <w:r w:rsidRPr="0090731E">
        <w:rPr>
          <w:rFonts w:ascii="Arial Black" w:hAnsi="Arial Black"/>
          <w:caps/>
          <w:sz w:val="15"/>
        </w:rPr>
        <w:t>ORIGINAL</w:t>
      </w:r>
      <w:r w:rsidR="007B4A5D">
        <w:rPr>
          <w:rFonts w:ascii="Arial Black" w:hAnsi="Arial Black"/>
          <w:caps/>
          <w:sz w:val="15"/>
        </w:rPr>
        <w:t> :</w:t>
      </w:r>
      <w:r w:rsidR="002956DE">
        <w:rPr>
          <w:rFonts w:ascii="Arial Black" w:hAnsi="Arial Black"/>
          <w:caps/>
          <w:sz w:val="15"/>
        </w:rPr>
        <w:t xml:space="preserve"> </w:t>
      </w:r>
      <w:bookmarkStart w:id="1" w:name="Original"/>
      <w:r w:rsidR="009B1999">
        <w:rPr>
          <w:rFonts w:ascii="Arial Black" w:hAnsi="Arial Black"/>
          <w:caps/>
          <w:sz w:val="15"/>
        </w:rPr>
        <w:t>anglais</w:t>
      </w:r>
    </w:p>
    <w:bookmarkEnd w:id="1"/>
    <w:p w14:paraId="7EF7B4EA" w14:textId="5671F038" w:rsidR="008B2CC1" w:rsidRPr="0040540C" w:rsidRDefault="00B1090C" w:rsidP="00B1090C">
      <w:pPr>
        <w:spacing w:after="1200"/>
        <w:jc w:val="right"/>
      </w:pPr>
      <w:r w:rsidRPr="0090731E">
        <w:rPr>
          <w:rFonts w:ascii="Arial Black" w:hAnsi="Arial Black"/>
          <w:caps/>
          <w:sz w:val="15"/>
        </w:rPr>
        <w:t>DATE</w:t>
      </w:r>
      <w:r w:rsidR="007B4A5D">
        <w:rPr>
          <w:rFonts w:ascii="Arial Black" w:hAnsi="Arial Black"/>
          <w:caps/>
          <w:sz w:val="15"/>
        </w:rPr>
        <w:t> :</w:t>
      </w:r>
      <w:r w:rsidR="002956DE">
        <w:rPr>
          <w:rFonts w:ascii="Arial Black" w:hAnsi="Arial Black"/>
          <w:caps/>
          <w:sz w:val="15"/>
        </w:rPr>
        <w:t xml:space="preserve"> </w:t>
      </w:r>
      <w:bookmarkStart w:id="2" w:name="Date"/>
      <w:r w:rsidR="009B1999">
        <w:rPr>
          <w:rFonts w:ascii="Arial Black" w:hAnsi="Arial Black"/>
          <w:caps/>
          <w:sz w:val="15"/>
        </w:rPr>
        <w:t>1</w:t>
      </w:r>
      <w:r w:rsidR="007B4A5D">
        <w:rPr>
          <w:rFonts w:ascii="Arial Black" w:hAnsi="Arial Black"/>
          <w:caps/>
          <w:sz w:val="15"/>
        </w:rPr>
        <w:t>5 mars 20</w:t>
      </w:r>
      <w:r w:rsidR="009B1999">
        <w:rPr>
          <w:rFonts w:ascii="Arial Black" w:hAnsi="Arial Black"/>
          <w:caps/>
          <w:sz w:val="15"/>
        </w:rPr>
        <w:t>24</w:t>
      </w:r>
    </w:p>
    <w:bookmarkEnd w:id="2"/>
    <w:p w14:paraId="7FE475BB" w14:textId="77777777" w:rsidR="003845C1" w:rsidRPr="005D4872" w:rsidRDefault="001060FF" w:rsidP="005D4872">
      <w:pPr>
        <w:pStyle w:val="Heading1"/>
        <w:spacing w:after="600"/>
        <w:rPr>
          <w:sz w:val="24"/>
          <w:szCs w:val="24"/>
        </w:rPr>
      </w:pPr>
      <w:r w:rsidRPr="005D4872">
        <w:rPr>
          <w:sz w:val="24"/>
          <w:szCs w:val="24"/>
        </w:rPr>
        <w:t>Comité d</w:t>
      </w:r>
      <w:r w:rsidR="00897816" w:rsidRPr="005D4872">
        <w:rPr>
          <w:sz w:val="24"/>
          <w:szCs w:val="24"/>
        </w:rPr>
        <w:t>u développement et de la propriété intellectuelle</w:t>
      </w:r>
      <w:r w:rsidR="003637BB" w:rsidRPr="005D4872">
        <w:rPr>
          <w:sz w:val="24"/>
          <w:szCs w:val="24"/>
        </w:rPr>
        <w:t> </w:t>
      </w:r>
      <w:r w:rsidR="00897816" w:rsidRPr="005D4872">
        <w:rPr>
          <w:sz w:val="24"/>
          <w:szCs w:val="24"/>
        </w:rPr>
        <w:t>(CDIP)</w:t>
      </w:r>
    </w:p>
    <w:p w14:paraId="7A858988" w14:textId="40D1F1CB" w:rsidR="00FE19E9" w:rsidRDefault="000760CD" w:rsidP="00FE19E9">
      <w:pPr>
        <w:outlineLvl w:val="1"/>
        <w:rPr>
          <w:b/>
          <w:sz w:val="24"/>
          <w:szCs w:val="24"/>
        </w:rPr>
      </w:pPr>
      <w:r w:rsidRPr="000760CD">
        <w:rPr>
          <w:b/>
          <w:sz w:val="24"/>
          <w:szCs w:val="24"/>
        </w:rPr>
        <w:t>Trente</w:t>
      </w:r>
      <w:r w:rsidR="00F72A1A">
        <w:rPr>
          <w:b/>
          <w:sz w:val="24"/>
          <w:szCs w:val="24"/>
        </w:rPr>
        <w:noBreakHyphen/>
      </w:r>
      <w:r w:rsidR="006E1EC4">
        <w:rPr>
          <w:b/>
          <w:sz w:val="24"/>
          <w:szCs w:val="24"/>
        </w:rPr>
        <w:t>deux</w:t>
      </w:r>
      <w:r w:rsidR="007B4A5D">
        <w:rPr>
          <w:b/>
          <w:sz w:val="24"/>
          <w:szCs w:val="24"/>
        </w:rPr>
        <w:t>ième session</w:t>
      </w:r>
    </w:p>
    <w:p w14:paraId="6FFA1752" w14:textId="09CE7A95" w:rsidR="008B2CC1" w:rsidRPr="003845C1" w:rsidRDefault="000760CD" w:rsidP="001060FF">
      <w:pPr>
        <w:spacing w:after="720"/>
        <w:outlineLvl w:val="1"/>
        <w:rPr>
          <w:b/>
          <w:sz w:val="24"/>
          <w:szCs w:val="24"/>
        </w:rPr>
      </w:pPr>
      <w:r w:rsidRPr="000760CD">
        <w:rPr>
          <w:b/>
          <w:sz w:val="24"/>
          <w:szCs w:val="24"/>
        </w:rPr>
        <w:t xml:space="preserve">Genève, </w:t>
      </w:r>
      <w:r w:rsidR="006E1EC4" w:rsidRPr="006E1EC4">
        <w:rPr>
          <w:b/>
          <w:sz w:val="24"/>
          <w:szCs w:val="24"/>
        </w:rPr>
        <w:t>2</w:t>
      </w:r>
      <w:r w:rsidR="007B4A5D" w:rsidRPr="006E1EC4">
        <w:rPr>
          <w:b/>
          <w:sz w:val="24"/>
          <w:szCs w:val="24"/>
        </w:rPr>
        <w:t>9</w:t>
      </w:r>
      <w:r w:rsidR="007B4A5D">
        <w:rPr>
          <w:b/>
          <w:sz w:val="24"/>
          <w:szCs w:val="24"/>
        </w:rPr>
        <w:t> </w:t>
      </w:r>
      <w:r w:rsidR="007B4A5D" w:rsidRPr="006E1EC4">
        <w:rPr>
          <w:b/>
          <w:sz w:val="24"/>
          <w:szCs w:val="24"/>
        </w:rPr>
        <w:t>avril</w:t>
      </w:r>
      <w:r w:rsidR="006E1EC4" w:rsidRPr="006E1EC4">
        <w:rPr>
          <w:b/>
          <w:sz w:val="24"/>
          <w:szCs w:val="24"/>
        </w:rPr>
        <w:t xml:space="preserve"> – </w:t>
      </w:r>
      <w:r w:rsidR="007B4A5D" w:rsidRPr="006E1EC4">
        <w:rPr>
          <w:b/>
          <w:sz w:val="24"/>
          <w:szCs w:val="24"/>
        </w:rPr>
        <w:t>3</w:t>
      </w:r>
      <w:r w:rsidR="007B4A5D">
        <w:rPr>
          <w:b/>
          <w:sz w:val="24"/>
          <w:szCs w:val="24"/>
        </w:rPr>
        <w:t> </w:t>
      </w:r>
      <w:r w:rsidR="007B4A5D" w:rsidRPr="006E1EC4">
        <w:rPr>
          <w:b/>
          <w:sz w:val="24"/>
          <w:szCs w:val="24"/>
        </w:rPr>
        <w:t>mai</w:t>
      </w:r>
      <w:r w:rsidR="007B4A5D">
        <w:rPr>
          <w:b/>
          <w:sz w:val="24"/>
          <w:szCs w:val="24"/>
        </w:rPr>
        <w:t> </w:t>
      </w:r>
      <w:r w:rsidR="007B4A5D" w:rsidRPr="006E1EC4">
        <w:rPr>
          <w:b/>
          <w:sz w:val="24"/>
          <w:szCs w:val="24"/>
        </w:rPr>
        <w:t>20</w:t>
      </w:r>
      <w:r w:rsidR="006E1EC4" w:rsidRPr="006E1EC4">
        <w:rPr>
          <w:b/>
          <w:sz w:val="24"/>
          <w:szCs w:val="24"/>
        </w:rPr>
        <w:t>24</w:t>
      </w:r>
    </w:p>
    <w:p w14:paraId="4DAFC68B" w14:textId="03DB27DC" w:rsidR="009B1999" w:rsidRPr="005110F2" w:rsidRDefault="009B1999" w:rsidP="005110F2">
      <w:pPr>
        <w:pStyle w:val="Heading2"/>
        <w:spacing w:after="360"/>
        <w:rPr>
          <w:sz w:val="24"/>
          <w:szCs w:val="24"/>
        </w:rPr>
      </w:pPr>
      <w:bookmarkStart w:id="3" w:name="TitleOfDoc"/>
      <w:r w:rsidRPr="005110F2">
        <w:rPr>
          <w:sz w:val="24"/>
          <w:szCs w:val="24"/>
        </w:rPr>
        <w:t>Rapport d</w:t>
      </w:r>
      <w:r w:rsidR="007B4A5D">
        <w:rPr>
          <w:sz w:val="24"/>
          <w:szCs w:val="24"/>
        </w:rPr>
        <w:t>’</w:t>
      </w:r>
      <w:r w:rsidRPr="005110F2">
        <w:rPr>
          <w:sz w:val="24"/>
          <w:szCs w:val="24"/>
        </w:rPr>
        <w:t>achèvement du projet relatif à l</w:t>
      </w:r>
      <w:r w:rsidR="007B4A5D">
        <w:rPr>
          <w:sz w:val="24"/>
          <w:szCs w:val="24"/>
        </w:rPr>
        <w:t>’</w:t>
      </w:r>
      <w:r w:rsidRPr="005110F2">
        <w:rPr>
          <w:sz w:val="24"/>
          <w:szCs w:val="24"/>
        </w:rPr>
        <w:t>enregistrement des marques collectives des entreprises locales en tant qu</w:t>
      </w:r>
      <w:r w:rsidR="007B4A5D">
        <w:rPr>
          <w:sz w:val="24"/>
          <w:szCs w:val="24"/>
        </w:rPr>
        <w:t>’</w:t>
      </w:r>
      <w:r w:rsidRPr="005110F2">
        <w:rPr>
          <w:sz w:val="24"/>
          <w:szCs w:val="24"/>
        </w:rPr>
        <w:t>axe transversal du développement économique</w:t>
      </w:r>
    </w:p>
    <w:p w14:paraId="6A08879B" w14:textId="3CC52E12" w:rsidR="008B2CC1" w:rsidRPr="008B2CC1" w:rsidRDefault="009B1999" w:rsidP="00020C7E">
      <w:pPr>
        <w:spacing w:after="960"/>
        <w:rPr>
          <w:i/>
        </w:rPr>
      </w:pPr>
      <w:bookmarkStart w:id="4" w:name="Prepared"/>
      <w:bookmarkEnd w:id="3"/>
      <w:bookmarkEnd w:id="4"/>
      <w:proofErr w:type="gramStart"/>
      <w:r>
        <w:rPr>
          <w:i/>
        </w:rPr>
        <w:t>établi</w:t>
      </w:r>
      <w:proofErr w:type="gramEnd"/>
      <w:r>
        <w:rPr>
          <w:i/>
        </w:rPr>
        <w:t xml:space="preserve"> par le Secrétariat</w:t>
      </w:r>
    </w:p>
    <w:p w14:paraId="2923C75F" w14:textId="408CB208" w:rsidR="009B1999" w:rsidRPr="009B1999" w:rsidRDefault="009B1999" w:rsidP="009B1999">
      <w:pPr>
        <w:pStyle w:val="ONUMFS"/>
        <w:rPr>
          <w:rStyle w:val="Hyperlink"/>
          <w:color w:val="auto"/>
          <w:u w:val="none"/>
        </w:rPr>
      </w:pPr>
      <w:r>
        <w:t>Les annexes du présent document contiennent le rapport d</w:t>
      </w:r>
      <w:r w:rsidR="007B4A5D">
        <w:t>’</w:t>
      </w:r>
      <w:r>
        <w:t>achèvement du projet relatif à l</w:t>
      </w:r>
      <w:r w:rsidR="007B4A5D">
        <w:t>’</w:t>
      </w:r>
      <w:r>
        <w:t>enregistrement des marques collectives des entreprises locales en tant qu</w:t>
      </w:r>
      <w:r w:rsidR="007B4A5D">
        <w:t>’</w:t>
      </w:r>
      <w:r>
        <w:t>axe transversal du développement économiq</w:t>
      </w:r>
      <w:r w:rsidR="005D4872">
        <w:t>ue.  Le</w:t>
      </w:r>
      <w:r>
        <w:t xml:space="preserve"> rapport couvre l</w:t>
      </w:r>
      <w:r w:rsidR="007B4A5D">
        <w:t>’</w:t>
      </w:r>
      <w:r>
        <w:t>intégralité de la période de mise en œuvre du projet, qui s</w:t>
      </w:r>
      <w:r w:rsidR="007B4A5D">
        <w:t>’</w:t>
      </w:r>
      <w:r>
        <w:t xml:space="preserve">est étendue de </w:t>
      </w:r>
      <w:r w:rsidR="007B4A5D">
        <w:t>janvier 20</w:t>
      </w:r>
      <w:r>
        <w:t xml:space="preserve">21 à </w:t>
      </w:r>
      <w:r w:rsidR="007B4A5D">
        <w:t>février 20</w:t>
      </w:r>
      <w:r>
        <w:t>24.</w:t>
      </w:r>
    </w:p>
    <w:p w14:paraId="5CA45104" w14:textId="3A80947F" w:rsidR="009B1999" w:rsidRPr="009B1999" w:rsidRDefault="009B1999" w:rsidP="009B1999">
      <w:pPr>
        <w:pStyle w:val="ONUMFS"/>
        <w:ind w:left="5533"/>
        <w:rPr>
          <w:i/>
          <w:iCs/>
          <w:szCs w:val="22"/>
          <w:lang w:val="fr-FR"/>
        </w:rPr>
      </w:pPr>
      <w:r w:rsidRPr="009B1999">
        <w:rPr>
          <w:i/>
          <w:lang w:val="fr-FR"/>
        </w:rPr>
        <w:t>Le CDIP est invité à prendre note des informations qui figurent dans les annexes du présent document.</w:t>
      </w:r>
    </w:p>
    <w:p w14:paraId="496B27DE" w14:textId="77777777" w:rsidR="009B1999" w:rsidRPr="009F12CB" w:rsidRDefault="009B1999" w:rsidP="009F12CB">
      <w:pPr>
        <w:spacing w:before="720" w:after="220"/>
        <w:ind w:left="5533"/>
        <w:rPr>
          <w:rStyle w:val="Endofdocument-AnnexChar"/>
        </w:rPr>
        <w:sectPr w:rsidR="009B1999" w:rsidRPr="009F12CB" w:rsidSect="00F72A1A">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709" w:footer="709" w:gutter="0"/>
          <w:pgNumType w:start="1"/>
          <w:cols w:space="720"/>
          <w:titlePg/>
          <w:docGrid w:linePitch="299"/>
        </w:sectPr>
      </w:pPr>
      <w:r w:rsidRPr="009F12CB">
        <w:rPr>
          <w:rStyle w:val="Endofdocument-AnnexChar"/>
        </w:rPr>
        <w:t>[Les annexes suivent]</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ésumé du projet"/>
      </w:tblPr>
      <w:tblGrid>
        <w:gridCol w:w="2279"/>
        <w:gridCol w:w="7011"/>
      </w:tblGrid>
      <w:tr w:rsidR="009B1999" w:rsidRPr="000A4281" w14:paraId="431AD9F2" w14:textId="77777777" w:rsidTr="00A7001E">
        <w:trPr>
          <w:trHeight w:val="50"/>
        </w:trPr>
        <w:tc>
          <w:tcPr>
            <w:tcW w:w="9290" w:type="dxa"/>
            <w:gridSpan w:val="2"/>
          </w:tcPr>
          <w:p w14:paraId="38D449AA" w14:textId="45C10002" w:rsidR="009B1999" w:rsidRPr="009703ED" w:rsidRDefault="009703ED" w:rsidP="00A7001E">
            <w:pPr>
              <w:pStyle w:val="TableParagraph"/>
              <w:spacing w:before="120" w:after="120"/>
              <w:ind w:left="110"/>
              <w:rPr>
                <w:caps/>
                <w:sz w:val="20"/>
                <w:szCs w:val="20"/>
              </w:rPr>
            </w:pPr>
            <w:r w:rsidRPr="009703ED">
              <w:rPr>
                <w:caps/>
                <w:sz w:val="20"/>
              </w:rPr>
              <w:lastRenderedPageBreak/>
              <w:t>Résumé du projet</w:t>
            </w:r>
          </w:p>
        </w:tc>
      </w:tr>
      <w:tr w:rsidR="009B1999" w:rsidRPr="000A4281" w14:paraId="0C63A251" w14:textId="77777777" w:rsidTr="00A7001E">
        <w:trPr>
          <w:trHeight w:val="50"/>
        </w:trPr>
        <w:tc>
          <w:tcPr>
            <w:tcW w:w="2279" w:type="dxa"/>
            <w:shd w:val="clear" w:color="auto" w:fill="8DB3E2" w:themeFill="text2" w:themeFillTint="66"/>
          </w:tcPr>
          <w:p w14:paraId="7827F4EC" w14:textId="77777777" w:rsidR="009B1999" w:rsidRPr="00B46D4E" w:rsidRDefault="009B1999" w:rsidP="00A7001E">
            <w:pPr>
              <w:pStyle w:val="TableParagraph"/>
              <w:spacing w:before="120" w:after="120"/>
              <w:ind w:left="110"/>
            </w:pPr>
            <w:r>
              <w:rPr>
                <w:u w:val="single"/>
              </w:rPr>
              <w:t>Code du projet</w:t>
            </w:r>
          </w:p>
        </w:tc>
        <w:tc>
          <w:tcPr>
            <w:tcW w:w="7011" w:type="dxa"/>
            <w:vAlign w:val="center"/>
          </w:tcPr>
          <w:p w14:paraId="2FEC0409" w14:textId="77777777" w:rsidR="009B1999" w:rsidRPr="00B46D4E" w:rsidRDefault="009B1999" w:rsidP="00A7001E">
            <w:pPr>
              <w:tabs>
                <w:tab w:val="left" w:pos="6841"/>
              </w:tabs>
              <w:spacing w:before="120" w:after="120"/>
              <w:ind w:right="166"/>
            </w:pPr>
            <w:r>
              <w:t xml:space="preserve"> DA_1_4_10_01</w:t>
            </w:r>
          </w:p>
        </w:tc>
      </w:tr>
      <w:tr w:rsidR="009B1999" w:rsidRPr="000A4281" w14:paraId="27AD522C" w14:textId="77777777" w:rsidTr="00A7001E">
        <w:trPr>
          <w:trHeight w:val="627"/>
        </w:trPr>
        <w:tc>
          <w:tcPr>
            <w:tcW w:w="2279" w:type="dxa"/>
            <w:shd w:val="clear" w:color="auto" w:fill="8DB3E2" w:themeFill="text2" w:themeFillTint="66"/>
          </w:tcPr>
          <w:p w14:paraId="6556B71E" w14:textId="77777777" w:rsidR="009B1999" w:rsidRPr="00B46D4E" w:rsidRDefault="009B1999" w:rsidP="00A7001E">
            <w:pPr>
              <w:pStyle w:val="TableParagraph"/>
              <w:spacing w:before="120" w:after="120"/>
              <w:ind w:left="110"/>
            </w:pPr>
            <w:r>
              <w:rPr>
                <w:u w:val="single"/>
              </w:rPr>
              <w:t>Intitulé</w:t>
            </w:r>
          </w:p>
        </w:tc>
        <w:tc>
          <w:tcPr>
            <w:tcW w:w="7011" w:type="dxa"/>
            <w:vAlign w:val="center"/>
          </w:tcPr>
          <w:p w14:paraId="4ABBF4DB" w14:textId="1CD5BD6B" w:rsidR="009B1999" w:rsidRPr="00AE6BA4" w:rsidRDefault="00E565DD" w:rsidP="00A7001E">
            <w:pPr>
              <w:tabs>
                <w:tab w:val="left" w:pos="6841"/>
              </w:tabs>
              <w:spacing w:before="120" w:after="120"/>
              <w:ind w:left="81" w:right="166"/>
              <w:rPr>
                <w:i/>
              </w:rPr>
            </w:pPr>
            <w:hyperlink r:id="rId15" w:history="1">
              <w:r w:rsidR="009B1999">
                <w:rPr>
                  <w:rStyle w:val="Hyperlink"/>
                  <w:i/>
                </w:rPr>
                <w:t>L</w:t>
              </w:r>
              <w:r w:rsidR="007B4A5D">
                <w:rPr>
                  <w:rStyle w:val="Hyperlink"/>
                  <w:i/>
                </w:rPr>
                <w:t>’</w:t>
              </w:r>
              <w:r w:rsidR="009B1999">
                <w:rPr>
                  <w:rStyle w:val="Hyperlink"/>
                  <w:i/>
                </w:rPr>
                <w:t>enregistrement des marques collectives des entreprises locales en tant qu</w:t>
              </w:r>
              <w:r w:rsidR="007B4A5D">
                <w:rPr>
                  <w:rStyle w:val="Hyperlink"/>
                  <w:i/>
                </w:rPr>
                <w:t>’</w:t>
              </w:r>
              <w:r w:rsidR="009B1999">
                <w:rPr>
                  <w:rStyle w:val="Hyperlink"/>
                  <w:i/>
                </w:rPr>
                <w:t>axe transversal du développement économique</w:t>
              </w:r>
            </w:hyperlink>
          </w:p>
        </w:tc>
      </w:tr>
      <w:tr w:rsidR="009B1999" w:rsidRPr="000A4281" w14:paraId="35B11018" w14:textId="77777777" w:rsidTr="00A7001E">
        <w:trPr>
          <w:trHeight w:val="531"/>
        </w:trPr>
        <w:tc>
          <w:tcPr>
            <w:tcW w:w="2279" w:type="dxa"/>
            <w:shd w:val="clear" w:color="auto" w:fill="8DB3E2" w:themeFill="text2" w:themeFillTint="66"/>
          </w:tcPr>
          <w:p w14:paraId="3F3628F1" w14:textId="2D9024B3" w:rsidR="009B1999" w:rsidRPr="00B46D4E" w:rsidRDefault="00E565DD" w:rsidP="00A7001E">
            <w:pPr>
              <w:pStyle w:val="TableParagraph"/>
              <w:spacing w:before="120" w:after="120"/>
              <w:ind w:left="110" w:right="121"/>
            </w:pPr>
            <w:hyperlink r:id="rId16" w:history="1">
              <w:r w:rsidR="009B1999">
                <w:rPr>
                  <w:rStyle w:val="Hyperlink"/>
                </w:rPr>
                <w:t>Recommandations du Plan d</w:t>
              </w:r>
              <w:r w:rsidR="007B4A5D">
                <w:rPr>
                  <w:rStyle w:val="Hyperlink"/>
                </w:rPr>
                <w:t>’</w:t>
              </w:r>
              <w:r w:rsidR="009B1999">
                <w:rPr>
                  <w:rStyle w:val="Hyperlink"/>
                </w:rPr>
                <w:t>action pour le développement</w:t>
              </w:r>
            </w:hyperlink>
          </w:p>
        </w:tc>
        <w:tc>
          <w:tcPr>
            <w:tcW w:w="7011" w:type="dxa"/>
            <w:vAlign w:val="center"/>
          </w:tcPr>
          <w:p w14:paraId="1BCD7FEB" w14:textId="2CDB2E5D" w:rsidR="009B1999" w:rsidRPr="00AE6BA4" w:rsidRDefault="009B1999" w:rsidP="00A7001E">
            <w:pPr>
              <w:pStyle w:val="TableParagraph"/>
              <w:tabs>
                <w:tab w:val="left" w:pos="6841"/>
              </w:tabs>
              <w:spacing w:before="120" w:after="120"/>
              <w:ind w:left="109" w:right="166"/>
            </w:pPr>
            <w:r>
              <w:t>Recommandations n</w:t>
            </w:r>
            <w:r>
              <w:rPr>
                <w:vertAlign w:val="superscript"/>
              </w:rPr>
              <w:t>os</w:t>
            </w:r>
            <w:r>
              <w:t xml:space="preserve"> 1, 4 et 10 </w:t>
            </w:r>
          </w:p>
        </w:tc>
      </w:tr>
      <w:tr w:rsidR="009B1999" w:rsidRPr="000A4281" w14:paraId="2E406EEC" w14:textId="77777777" w:rsidTr="00A7001E">
        <w:trPr>
          <w:trHeight w:val="528"/>
        </w:trPr>
        <w:tc>
          <w:tcPr>
            <w:tcW w:w="2279" w:type="dxa"/>
            <w:shd w:val="clear" w:color="auto" w:fill="8DB3E2" w:themeFill="text2" w:themeFillTint="66"/>
          </w:tcPr>
          <w:p w14:paraId="64C34B9F" w14:textId="77777777" w:rsidR="009B1999" w:rsidRPr="00B46D4E" w:rsidRDefault="009B1999" w:rsidP="00A7001E">
            <w:pPr>
              <w:pStyle w:val="TableParagraph"/>
              <w:spacing w:before="120" w:after="120"/>
              <w:ind w:left="110"/>
            </w:pPr>
            <w:r>
              <w:rPr>
                <w:u w:val="single"/>
              </w:rPr>
              <w:t>Budget du projet</w:t>
            </w:r>
          </w:p>
        </w:tc>
        <w:tc>
          <w:tcPr>
            <w:tcW w:w="7011" w:type="dxa"/>
            <w:vAlign w:val="center"/>
          </w:tcPr>
          <w:p w14:paraId="333909F9" w14:textId="6F8E7B20" w:rsidR="009B1999" w:rsidRPr="00B46D4E" w:rsidRDefault="009B1999" w:rsidP="00A7001E">
            <w:pPr>
              <w:pStyle w:val="TableParagraph"/>
              <w:tabs>
                <w:tab w:val="left" w:pos="6841"/>
              </w:tabs>
              <w:spacing w:before="120" w:after="120"/>
              <w:ind w:left="109" w:right="166"/>
            </w:pPr>
            <w:r>
              <w:t>Budget total du projet</w:t>
            </w:r>
            <w:r w:rsidR="007B4A5D">
              <w:t> :</w:t>
            </w:r>
            <w:r>
              <w:t xml:space="preserve"> 450 000 francs suisses, dont 125 000 francs suisses pour les dépenses de personnel et 325 000 francs suisses pour les dépenses autres que les dépenses de personnel. </w:t>
            </w:r>
            <w:r w:rsidR="00FA77D8">
              <w:t xml:space="preserve"> </w:t>
            </w:r>
          </w:p>
        </w:tc>
      </w:tr>
      <w:tr w:rsidR="009B1999" w:rsidRPr="000A4281" w14:paraId="4F893712" w14:textId="77777777" w:rsidTr="00A7001E">
        <w:trPr>
          <w:trHeight w:val="50"/>
        </w:trPr>
        <w:tc>
          <w:tcPr>
            <w:tcW w:w="2279" w:type="dxa"/>
            <w:shd w:val="clear" w:color="auto" w:fill="8DB3E2" w:themeFill="text2" w:themeFillTint="66"/>
          </w:tcPr>
          <w:p w14:paraId="78EC28ED" w14:textId="77777777" w:rsidR="009B1999" w:rsidRPr="00B46D4E" w:rsidRDefault="009B1999" w:rsidP="00A7001E">
            <w:pPr>
              <w:pStyle w:val="TableParagraph"/>
              <w:spacing w:before="120" w:after="120"/>
              <w:ind w:left="110"/>
            </w:pPr>
            <w:r>
              <w:rPr>
                <w:u w:val="single"/>
              </w:rPr>
              <w:t>Durée du projet</w:t>
            </w:r>
          </w:p>
        </w:tc>
        <w:tc>
          <w:tcPr>
            <w:tcW w:w="7011" w:type="dxa"/>
            <w:vAlign w:val="center"/>
          </w:tcPr>
          <w:p w14:paraId="16EAFA18" w14:textId="77777777" w:rsidR="009B1999" w:rsidRPr="00B46D4E" w:rsidRDefault="009B1999" w:rsidP="00A7001E">
            <w:pPr>
              <w:pStyle w:val="TableParagraph"/>
              <w:tabs>
                <w:tab w:val="left" w:pos="6841"/>
              </w:tabs>
              <w:spacing w:before="120" w:after="120"/>
              <w:ind w:left="109" w:right="166"/>
            </w:pPr>
            <w:r>
              <w:t>38 mois</w:t>
            </w:r>
          </w:p>
        </w:tc>
      </w:tr>
      <w:tr w:rsidR="009B1999" w:rsidRPr="000A4281" w14:paraId="62436206" w14:textId="77777777" w:rsidTr="00A7001E">
        <w:trPr>
          <w:trHeight w:val="801"/>
        </w:trPr>
        <w:tc>
          <w:tcPr>
            <w:tcW w:w="2279" w:type="dxa"/>
            <w:shd w:val="clear" w:color="auto" w:fill="8DB3E2" w:themeFill="text2" w:themeFillTint="66"/>
          </w:tcPr>
          <w:p w14:paraId="5E128AE6" w14:textId="4BA06EB9" w:rsidR="009B1999" w:rsidRPr="00CD53AE" w:rsidRDefault="009B1999" w:rsidP="00A7001E">
            <w:pPr>
              <w:pStyle w:val="TableParagraph"/>
              <w:spacing w:before="120" w:after="120"/>
              <w:ind w:left="110"/>
              <w:rPr>
                <w:spacing w:val="-59"/>
              </w:rPr>
            </w:pPr>
            <w:r>
              <w:rPr>
                <w:u w:val="single"/>
              </w:rPr>
              <w:t>Principaux secteurs/domaines de l</w:t>
            </w:r>
            <w:r w:rsidR="007B4A5D">
              <w:rPr>
                <w:u w:val="single"/>
              </w:rPr>
              <w:t>’</w:t>
            </w:r>
            <w:r>
              <w:rPr>
                <w:u w:val="single"/>
              </w:rPr>
              <w:t>OMPI concernés</w:t>
            </w:r>
          </w:p>
        </w:tc>
        <w:tc>
          <w:tcPr>
            <w:tcW w:w="7011" w:type="dxa"/>
            <w:vAlign w:val="center"/>
          </w:tcPr>
          <w:p w14:paraId="08677FD6" w14:textId="4816768E" w:rsidR="009B1999" w:rsidRPr="008B7F76" w:rsidRDefault="009B1999" w:rsidP="00A7001E">
            <w:pPr>
              <w:pStyle w:val="TableParagraph"/>
              <w:tabs>
                <w:tab w:val="left" w:pos="6841"/>
              </w:tabs>
              <w:spacing w:before="120" w:after="120"/>
              <w:ind w:left="109" w:right="166"/>
            </w:pPr>
            <w:r>
              <w:t>Secteur de mise en œuvre</w:t>
            </w:r>
            <w:r w:rsidR="007B4A5D">
              <w:t> :</w:t>
            </w:r>
            <w:r>
              <w:t xml:space="preserve"> développement régional et national</w:t>
            </w:r>
          </w:p>
          <w:p w14:paraId="059FE5E6" w14:textId="20CF1036" w:rsidR="009B1999" w:rsidRPr="00B46D4E" w:rsidRDefault="009B1999" w:rsidP="00A7001E">
            <w:pPr>
              <w:pStyle w:val="TableParagraph"/>
              <w:tabs>
                <w:tab w:val="left" w:pos="6841"/>
              </w:tabs>
              <w:spacing w:before="120" w:after="120"/>
              <w:ind w:left="109" w:right="166"/>
            </w:pPr>
            <w:r>
              <w:t>Autres secteurs concernés</w:t>
            </w:r>
            <w:r w:rsidR="007B4A5D">
              <w:t> :</w:t>
            </w:r>
            <w:r>
              <w:t xml:space="preserve"> Secteur des marques et des dessins et </w:t>
            </w:r>
            <w:proofErr w:type="gramStart"/>
            <w:r>
              <w:t xml:space="preserve">modèles; </w:t>
            </w:r>
            <w:r w:rsidR="00FA77D8">
              <w:t xml:space="preserve"> </w:t>
            </w:r>
            <w:r>
              <w:t>Secteur</w:t>
            </w:r>
            <w:proofErr w:type="gramEnd"/>
            <w:r>
              <w:t xml:space="preserve"> des écosystèmes de propriété intellectuelle et d</w:t>
            </w:r>
            <w:r w:rsidR="007B4A5D">
              <w:t>’</w:t>
            </w:r>
            <w:r>
              <w:t>innovation</w:t>
            </w:r>
          </w:p>
        </w:tc>
      </w:tr>
      <w:tr w:rsidR="009B1999" w:rsidRPr="000A4281" w14:paraId="02B2F0EE" w14:textId="77777777" w:rsidTr="00A7001E">
        <w:trPr>
          <w:trHeight w:val="408"/>
        </w:trPr>
        <w:tc>
          <w:tcPr>
            <w:tcW w:w="2279" w:type="dxa"/>
            <w:shd w:val="clear" w:color="auto" w:fill="8DB3E2" w:themeFill="text2" w:themeFillTint="66"/>
          </w:tcPr>
          <w:p w14:paraId="4E14663B" w14:textId="77777777" w:rsidR="009B1999" w:rsidRPr="00B46D4E" w:rsidRDefault="009B1999" w:rsidP="00A7001E">
            <w:pPr>
              <w:pStyle w:val="TableParagraph"/>
              <w:spacing w:before="120" w:after="120"/>
              <w:ind w:left="110" w:right="394"/>
            </w:pPr>
            <w:r>
              <w:rPr>
                <w:u w:val="single"/>
              </w:rPr>
              <w:t>Brève description du projet</w:t>
            </w:r>
          </w:p>
        </w:tc>
        <w:tc>
          <w:tcPr>
            <w:tcW w:w="7011" w:type="dxa"/>
            <w:vAlign w:val="center"/>
          </w:tcPr>
          <w:p w14:paraId="43C74424" w14:textId="6D9155E1" w:rsidR="007B4A5D" w:rsidRDefault="009B1999" w:rsidP="00A7001E">
            <w:pPr>
              <w:pStyle w:val="TableParagraph"/>
              <w:tabs>
                <w:tab w:val="left" w:pos="6841"/>
              </w:tabs>
              <w:spacing w:before="120" w:after="120"/>
              <w:ind w:left="109" w:right="166"/>
            </w:pPr>
            <w:r>
              <w:t>Le projet visait à transformer les offices nationaux de l</w:t>
            </w:r>
            <w:r w:rsidR="007B4A5D">
              <w:t>’</w:t>
            </w:r>
            <w:r>
              <w:t>État plurinational de Bolivie, du Brésil, de la Tunisie et des Philippines en entités associant enregistrement des marques collectives et développement local en fournissant un appui aux petites et moyennes entreprises (PME) qui privilégient des pratiques favorisant une image positive de leurs produits, une commercialisation à l</w:t>
            </w:r>
            <w:r w:rsidR="007B4A5D">
              <w:t>’</w:t>
            </w:r>
            <w:r>
              <w:t>échelle nationale, un lien avec les pratiques traditionnelles et une valeur ajoutée grâce à la priorité donnée à la viabilité.</w:t>
            </w:r>
          </w:p>
          <w:p w14:paraId="3E5FD222" w14:textId="2738F26C" w:rsidR="007B4A5D" w:rsidRDefault="009B1999" w:rsidP="00A7001E">
            <w:pPr>
              <w:pStyle w:val="TableParagraph"/>
              <w:tabs>
                <w:tab w:val="left" w:pos="6841"/>
              </w:tabs>
              <w:spacing w:before="120" w:after="120"/>
              <w:ind w:left="109" w:right="166"/>
            </w:pPr>
            <w:r>
              <w:t>Le projet visait notamment à créer une “pépinière de marques collectives”, avec la participation des entités publiques et privées associées, pour évaluer la viabilité technique, financière et commerciale des produits sélectionnés, proposer des services de conseil technique pour la protection des marques et faciliter l</w:t>
            </w:r>
            <w:r w:rsidR="007B4A5D">
              <w:t>’</w:t>
            </w:r>
            <w:r>
              <w:t>enregistrement des marques collectives.</w:t>
            </w:r>
          </w:p>
          <w:p w14:paraId="4A9CF6C0" w14:textId="56E81A9A" w:rsidR="009B1999" w:rsidRPr="00B46D4E" w:rsidRDefault="009B1999" w:rsidP="00A7001E">
            <w:pPr>
              <w:pStyle w:val="TableParagraph"/>
              <w:tabs>
                <w:tab w:val="left" w:pos="6841"/>
              </w:tabs>
              <w:spacing w:before="120" w:after="120"/>
              <w:ind w:left="109" w:right="166"/>
            </w:pPr>
            <w:r>
              <w:t>À cette fin, l</w:t>
            </w:r>
            <w:r w:rsidR="007B4A5D">
              <w:t>’</w:t>
            </w:r>
            <w:r>
              <w:t>assistance technique comportait trois</w:t>
            </w:r>
            <w:r w:rsidR="00FA77D8">
              <w:t> </w:t>
            </w:r>
            <w:r>
              <w:t>étapes</w:t>
            </w:r>
            <w:r w:rsidR="007B4A5D">
              <w:t> :</w:t>
            </w:r>
            <w:r>
              <w:t xml:space="preserve"> i)</w:t>
            </w:r>
            <w:r w:rsidR="00FA77D8">
              <w:t> </w:t>
            </w:r>
            <w:r>
              <w:t>l</w:t>
            </w:r>
            <w:r w:rsidR="007B4A5D">
              <w:t>’</w:t>
            </w:r>
            <w:r>
              <w:t>identification ou la création d</w:t>
            </w:r>
            <w:r w:rsidR="007B4A5D">
              <w:t>’</w:t>
            </w:r>
            <w:r>
              <w:t>une association dans chaque pays bénéficiaire qui pourrait bénéficier de l</w:t>
            </w:r>
            <w:r w:rsidR="007B4A5D">
              <w:t>’</w:t>
            </w:r>
            <w:r>
              <w:t>enregistrement d</w:t>
            </w:r>
            <w:r w:rsidR="007B4A5D">
              <w:t>’</w:t>
            </w:r>
            <w:r>
              <w:t xml:space="preserve">une marque </w:t>
            </w:r>
            <w:proofErr w:type="gramStart"/>
            <w:r>
              <w:t xml:space="preserve">collective; </w:t>
            </w:r>
            <w:r w:rsidR="00FA77D8">
              <w:t xml:space="preserve"> </w:t>
            </w:r>
            <w:r>
              <w:t>ii</w:t>
            </w:r>
            <w:proofErr w:type="gramEnd"/>
            <w:r>
              <w:t>)</w:t>
            </w:r>
            <w:r w:rsidR="00FA77D8">
              <w:t> </w:t>
            </w:r>
            <w:r>
              <w:t>le développement et l</w:t>
            </w:r>
            <w:r w:rsidR="007B4A5D">
              <w:t>’</w:t>
            </w:r>
            <w:r>
              <w:t xml:space="preserve">enregistrement de la marque collective; </w:t>
            </w:r>
            <w:r w:rsidR="00FA77D8">
              <w:t xml:space="preserve"> </w:t>
            </w:r>
            <w:r>
              <w:t>et iii)</w:t>
            </w:r>
            <w:r w:rsidR="00FA77D8">
              <w:t> </w:t>
            </w:r>
            <w:r>
              <w:t>la mise en place d</w:t>
            </w:r>
            <w:r w:rsidR="007B4A5D">
              <w:t>’</w:t>
            </w:r>
            <w:r>
              <w:t>activités de sensibilisation et de renforcement des capacités en vue d</w:t>
            </w:r>
            <w:r w:rsidR="007B4A5D">
              <w:t>’</w:t>
            </w:r>
            <w:r>
              <w:t>assurer sa viabilité.</w:t>
            </w:r>
          </w:p>
        </w:tc>
      </w:tr>
      <w:tr w:rsidR="009B1999" w:rsidRPr="000A4281" w14:paraId="23DE4C49" w14:textId="77777777" w:rsidTr="00A7001E">
        <w:trPr>
          <w:trHeight w:val="228"/>
        </w:trPr>
        <w:tc>
          <w:tcPr>
            <w:tcW w:w="2279" w:type="dxa"/>
            <w:shd w:val="clear" w:color="auto" w:fill="8DB3E2" w:themeFill="text2" w:themeFillTint="66"/>
          </w:tcPr>
          <w:p w14:paraId="25D19163" w14:textId="77777777" w:rsidR="009B1999" w:rsidRPr="00B46D4E" w:rsidRDefault="009B1999" w:rsidP="00A7001E">
            <w:pPr>
              <w:pStyle w:val="TableParagraph"/>
              <w:spacing w:before="120" w:after="120"/>
              <w:ind w:left="110"/>
            </w:pPr>
            <w:r>
              <w:rPr>
                <w:u w:val="single"/>
              </w:rPr>
              <w:t>Chef de projet</w:t>
            </w:r>
          </w:p>
        </w:tc>
        <w:tc>
          <w:tcPr>
            <w:tcW w:w="7011" w:type="dxa"/>
            <w:vAlign w:val="center"/>
          </w:tcPr>
          <w:p w14:paraId="73C33BE9" w14:textId="70859760" w:rsidR="009B1999" w:rsidRPr="00B46D4E" w:rsidRDefault="009B1999" w:rsidP="00A7001E">
            <w:pPr>
              <w:pStyle w:val="TableParagraph"/>
              <w:tabs>
                <w:tab w:val="left" w:pos="6841"/>
              </w:tabs>
              <w:spacing w:before="120" w:after="120"/>
              <w:ind w:left="109" w:right="166"/>
              <w:rPr>
                <w:iCs/>
              </w:rPr>
            </w:pPr>
            <w:r>
              <w:t xml:space="preserve">M. Georges </w:t>
            </w:r>
            <w:proofErr w:type="spellStart"/>
            <w:r>
              <w:t>Ghandour</w:t>
            </w:r>
            <w:proofErr w:type="spellEnd"/>
            <w:r>
              <w:t>, conseiller principal, Division de la coordination du Plan d</w:t>
            </w:r>
            <w:r w:rsidR="007B4A5D">
              <w:t>’</w:t>
            </w:r>
            <w:r>
              <w:t>action pour le développement, Secteur du développement régional et national</w:t>
            </w:r>
            <w:r w:rsidR="00686C1A">
              <w:t>.</w:t>
            </w:r>
          </w:p>
        </w:tc>
      </w:tr>
      <w:tr w:rsidR="009B1999" w:rsidRPr="000A4281" w14:paraId="1B9C0209" w14:textId="77777777" w:rsidTr="00A7001E">
        <w:trPr>
          <w:trHeight w:val="891"/>
        </w:trPr>
        <w:tc>
          <w:tcPr>
            <w:tcW w:w="2279" w:type="dxa"/>
            <w:shd w:val="clear" w:color="auto" w:fill="8DB3E2" w:themeFill="text2" w:themeFillTint="66"/>
          </w:tcPr>
          <w:p w14:paraId="22216310" w14:textId="6994EE2C" w:rsidR="009B1999" w:rsidRPr="00B46D4E" w:rsidRDefault="009B1999" w:rsidP="005110F2">
            <w:pPr>
              <w:pStyle w:val="TableParagraph"/>
              <w:keepNext/>
              <w:spacing w:before="120" w:after="120"/>
              <w:ind w:left="110" w:right="221"/>
            </w:pPr>
            <w:r>
              <w:rPr>
                <w:u w:val="single"/>
              </w:rPr>
              <w:lastRenderedPageBreak/>
              <w:t xml:space="preserve">Liens avec les résultats escomptés dans le </w:t>
            </w:r>
            <w:hyperlink r:id="rId17" w:history="1">
              <w:r>
                <w:rPr>
                  <w:rStyle w:val="Hyperlink"/>
                </w:rPr>
                <w:t>programme de travail et budget</w:t>
              </w:r>
            </w:hyperlink>
          </w:p>
        </w:tc>
        <w:tc>
          <w:tcPr>
            <w:tcW w:w="7011" w:type="dxa"/>
            <w:vAlign w:val="center"/>
          </w:tcPr>
          <w:p w14:paraId="75E22EC8" w14:textId="17C3C9FC" w:rsidR="009B1999" w:rsidRPr="007701FC" w:rsidRDefault="009B1999" w:rsidP="00A7001E">
            <w:pPr>
              <w:pStyle w:val="TableParagraph"/>
              <w:tabs>
                <w:tab w:val="left" w:pos="6841"/>
              </w:tabs>
              <w:spacing w:before="120" w:after="120"/>
              <w:ind w:left="109" w:right="166"/>
              <w:rPr>
                <w:u w:val="single"/>
              </w:rPr>
            </w:pPr>
            <w:r>
              <w:rPr>
                <w:u w:val="single"/>
              </w:rPr>
              <w:t>Programme et budget pour l</w:t>
            </w:r>
            <w:r w:rsidR="007B4A5D">
              <w:rPr>
                <w:u w:val="single"/>
              </w:rPr>
              <w:t>’</w:t>
            </w:r>
            <w:r>
              <w:rPr>
                <w:u w:val="single"/>
              </w:rPr>
              <w:t>exercice biennal 2020</w:t>
            </w:r>
            <w:r w:rsidR="00F72A1A">
              <w:rPr>
                <w:u w:val="single"/>
              </w:rPr>
              <w:noBreakHyphen/>
            </w:r>
            <w:r>
              <w:rPr>
                <w:u w:val="single"/>
              </w:rPr>
              <w:t>2021</w:t>
            </w:r>
            <w:r w:rsidR="007B4A5D" w:rsidRPr="005D4872">
              <w:t> :</w:t>
            </w:r>
          </w:p>
          <w:p w14:paraId="0129A3EC" w14:textId="2A40F0A6" w:rsidR="009B1999" w:rsidRDefault="009B1999" w:rsidP="00A7001E">
            <w:pPr>
              <w:pStyle w:val="TableParagraph"/>
              <w:tabs>
                <w:tab w:val="left" w:pos="6841"/>
              </w:tabs>
              <w:spacing w:before="120" w:after="120"/>
              <w:ind w:left="109" w:right="166"/>
            </w:pPr>
            <w:r>
              <w:rPr>
                <w:i/>
              </w:rPr>
              <w:t>Résultat escompté III.1</w:t>
            </w:r>
            <w:r w:rsidR="007B4A5D">
              <w:rPr>
                <w:i/>
              </w:rPr>
              <w:t> :</w:t>
            </w:r>
            <w:r>
              <w:t xml:space="preserve"> Stratégies et plans nationaux en matière d</w:t>
            </w:r>
            <w:r w:rsidR="007B4A5D">
              <w:t>’</w:t>
            </w:r>
            <w:r>
              <w:t>innovation et de propriété intellectuelle conformes aux objectifs de développement nationaux.</w:t>
            </w:r>
          </w:p>
          <w:p w14:paraId="3582528D" w14:textId="185CDC82" w:rsidR="009B1999" w:rsidRDefault="009B1999" w:rsidP="00A7001E">
            <w:pPr>
              <w:pStyle w:val="TableParagraph"/>
              <w:tabs>
                <w:tab w:val="left" w:pos="6841"/>
              </w:tabs>
              <w:spacing w:before="120" w:after="120"/>
              <w:ind w:left="109" w:right="166"/>
            </w:pPr>
            <w:r>
              <w:rPr>
                <w:i/>
              </w:rPr>
              <w:t>Résultat escompté III.2</w:t>
            </w:r>
            <w:r w:rsidR="007B4A5D">
              <w:rPr>
                <w:i/>
              </w:rPr>
              <w:t> :</w:t>
            </w:r>
            <w:r>
              <w:t xml:space="preserve"> Mise en valeur des ressources humaines pour répondre aux diverses exigences en matière d</w:t>
            </w:r>
            <w:r w:rsidR="007B4A5D">
              <w:t>’</w:t>
            </w:r>
            <w:r>
              <w:t>utilisation efficace de la propriété intellectuelle au service du développement dans les pays en développement, les pays les moins avancés et les pays en transition.</w:t>
            </w:r>
          </w:p>
          <w:p w14:paraId="63A5BF71" w14:textId="5A98C864" w:rsidR="009B1999" w:rsidRDefault="009B1999" w:rsidP="00A7001E">
            <w:pPr>
              <w:pStyle w:val="TableParagraph"/>
              <w:tabs>
                <w:tab w:val="left" w:pos="6841"/>
              </w:tabs>
              <w:spacing w:before="120" w:after="120"/>
              <w:ind w:left="109" w:right="166"/>
            </w:pPr>
            <w:r>
              <w:rPr>
                <w:i/>
              </w:rPr>
              <w:t>Résultat escompté III.6</w:t>
            </w:r>
            <w:r w:rsidR="007B4A5D">
              <w:rPr>
                <w:i/>
              </w:rPr>
              <w:t> :</w:t>
            </w:r>
            <w:r>
              <w:t xml:space="preserve"> Renforcement des capacités d</w:t>
            </w:r>
            <w:r w:rsidR="007B4A5D">
              <w:t>’</w:t>
            </w:r>
            <w:r>
              <w:t>utilisation de la propriété intellectuelle au service de l</w:t>
            </w:r>
            <w:r w:rsidR="007B4A5D">
              <w:t>’</w:t>
            </w:r>
            <w:r>
              <w:t>innovation dans</w:t>
            </w:r>
            <w:r w:rsidR="007B4A5D">
              <w:t xml:space="preserve"> les PME</w:t>
            </w:r>
            <w:r>
              <w:t>, les universités et les instituts de recherche.</w:t>
            </w:r>
          </w:p>
          <w:p w14:paraId="68AE3DA5" w14:textId="40EC2CB6" w:rsidR="009B1999" w:rsidRDefault="00E565DD" w:rsidP="00A7001E">
            <w:pPr>
              <w:pStyle w:val="TableParagraph"/>
              <w:tabs>
                <w:tab w:val="left" w:pos="6841"/>
              </w:tabs>
              <w:spacing w:before="120" w:after="120"/>
              <w:ind w:left="109" w:right="166"/>
            </w:pPr>
            <w:hyperlink r:id="rId18" w:history="1">
              <w:r w:rsidR="009B1999">
                <w:rPr>
                  <w:rStyle w:val="Hyperlink"/>
                </w:rPr>
                <w:t>Programme de travail et budget pour l</w:t>
              </w:r>
              <w:r w:rsidR="007B4A5D">
                <w:rPr>
                  <w:rStyle w:val="Hyperlink"/>
                </w:rPr>
                <w:t>’</w:t>
              </w:r>
              <w:r w:rsidR="009B1999">
                <w:rPr>
                  <w:rStyle w:val="Hyperlink"/>
                </w:rPr>
                <w:t>exercice biennal 2022</w:t>
              </w:r>
              <w:r w:rsidR="00F72A1A">
                <w:rPr>
                  <w:rStyle w:val="Hyperlink"/>
                </w:rPr>
                <w:noBreakHyphen/>
              </w:r>
              <w:r w:rsidR="009B1999">
                <w:rPr>
                  <w:rStyle w:val="Hyperlink"/>
                </w:rPr>
                <w:t>2023</w:t>
              </w:r>
            </w:hyperlink>
            <w:r w:rsidR="009703ED">
              <w:rPr>
                <w:rStyle w:val="Hyperlink"/>
              </w:rPr>
              <w:t> </w:t>
            </w:r>
            <w:r w:rsidR="005D4872">
              <w:rPr>
                <w:rStyle w:val="Hyperlink"/>
                <w:color w:val="auto"/>
                <w:u w:val="none"/>
              </w:rPr>
              <w:t>:</w:t>
            </w:r>
          </w:p>
          <w:p w14:paraId="7F7FDCD9" w14:textId="6C46A594" w:rsidR="009B1999" w:rsidRPr="00170E86" w:rsidRDefault="009B1999" w:rsidP="00A7001E">
            <w:pPr>
              <w:pStyle w:val="TableParagraph"/>
              <w:tabs>
                <w:tab w:val="left" w:pos="6841"/>
              </w:tabs>
              <w:spacing w:before="120" w:after="120"/>
              <w:ind w:left="109" w:right="166"/>
            </w:pPr>
            <w:r>
              <w:t>4.1</w:t>
            </w:r>
            <w:r w:rsidR="007B4A5D">
              <w:t> :</w:t>
            </w:r>
            <w:r>
              <w:t xml:space="preserve"> Utilisation plus efficace de la propriété intellectuelle au service de la croissance et du développement de l</w:t>
            </w:r>
            <w:r w:rsidR="007B4A5D">
              <w:t>’</w:t>
            </w:r>
            <w:r>
              <w:t>ensemble des États membres et de leurs régions et sous</w:t>
            </w:r>
            <w:r w:rsidR="00F72A1A">
              <w:noBreakHyphen/>
            </w:r>
            <w:r>
              <w:t>régions respectives, notamment grâce à l</w:t>
            </w:r>
            <w:r w:rsidR="007B4A5D">
              <w:t>’</w:t>
            </w:r>
            <w:r>
              <w:t>intégration des recommandations du Plan d</w:t>
            </w:r>
            <w:r w:rsidR="007B4A5D">
              <w:t>’</w:t>
            </w:r>
            <w:r>
              <w:t>action pour le développement.</w:t>
            </w:r>
          </w:p>
          <w:p w14:paraId="67485EF9" w14:textId="67E36287" w:rsidR="009B1999" w:rsidRPr="00170E86" w:rsidRDefault="009B1999" w:rsidP="00A7001E">
            <w:pPr>
              <w:pStyle w:val="TableParagraph"/>
              <w:tabs>
                <w:tab w:val="left" w:pos="6841"/>
              </w:tabs>
              <w:spacing w:before="120" w:after="120"/>
              <w:ind w:left="109" w:right="166"/>
            </w:pPr>
            <w:r>
              <w:t>4.3</w:t>
            </w:r>
            <w:r w:rsidR="007B4A5D">
              <w:t> :</w:t>
            </w:r>
            <w:r>
              <w:t xml:space="preserve"> Mise en valeur des connaissances et des compétences en matière de propriété intellectuelle dans tous les États membres</w:t>
            </w:r>
          </w:p>
          <w:p w14:paraId="5E707742" w14:textId="1947D027" w:rsidR="009B1999" w:rsidRPr="00B46D4E" w:rsidRDefault="009B1999" w:rsidP="00A7001E">
            <w:pPr>
              <w:pStyle w:val="TableParagraph"/>
              <w:tabs>
                <w:tab w:val="left" w:pos="6841"/>
              </w:tabs>
              <w:spacing w:before="120" w:after="120"/>
              <w:ind w:left="109" w:right="166"/>
            </w:pPr>
            <w:r>
              <w:t>4.4</w:t>
            </w:r>
            <w:r w:rsidR="007B4A5D">
              <w:t> :</w:t>
            </w:r>
            <w:r>
              <w:t xml:space="preserve"> Davantage d</w:t>
            </w:r>
            <w:r w:rsidR="007B4A5D">
              <w:t>’</w:t>
            </w:r>
            <w:r>
              <w:t>innovateurs, de créateurs, de PME, d</w:t>
            </w:r>
            <w:r w:rsidR="007B4A5D">
              <w:t>’</w:t>
            </w:r>
            <w:r>
              <w:t>universités, d</w:t>
            </w:r>
            <w:r w:rsidR="007B4A5D">
              <w:t>’</w:t>
            </w:r>
            <w:r>
              <w:t>instituts de recherche et de communautés tirent profit de la propriété intellectuelle.</w:t>
            </w:r>
          </w:p>
        </w:tc>
      </w:tr>
      <w:tr w:rsidR="009B1999" w:rsidRPr="00113DD4" w14:paraId="77C29310" w14:textId="77777777" w:rsidTr="00A7001E">
        <w:trPr>
          <w:trHeight w:val="408"/>
        </w:trPr>
        <w:tc>
          <w:tcPr>
            <w:tcW w:w="2279" w:type="dxa"/>
            <w:shd w:val="clear" w:color="auto" w:fill="8DB3E2" w:themeFill="text2" w:themeFillTint="66"/>
          </w:tcPr>
          <w:p w14:paraId="4B06CBB1" w14:textId="77777777" w:rsidR="009B1999" w:rsidRPr="00BF0679" w:rsidRDefault="009B1999" w:rsidP="00A7001E">
            <w:pPr>
              <w:pStyle w:val="TableParagraph"/>
              <w:spacing w:before="120" w:after="120"/>
              <w:ind w:left="109" w:right="97"/>
              <w:rPr>
                <w:u w:val="single"/>
              </w:rPr>
            </w:pPr>
            <w:r>
              <w:rPr>
                <w:u w:val="single"/>
              </w:rPr>
              <w:t>Aperçu de la mise en œuvre du projet</w:t>
            </w:r>
          </w:p>
        </w:tc>
        <w:tc>
          <w:tcPr>
            <w:tcW w:w="7011" w:type="dxa"/>
            <w:vAlign w:val="center"/>
          </w:tcPr>
          <w:p w14:paraId="3089E8A0" w14:textId="126C0FC6" w:rsidR="009B1999" w:rsidRPr="008B7F76" w:rsidRDefault="009B1999" w:rsidP="005110F2">
            <w:pPr>
              <w:pStyle w:val="TableParagraph"/>
              <w:tabs>
                <w:tab w:val="left" w:pos="6841"/>
              </w:tabs>
              <w:spacing w:before="120" w:after="120"/>
              <w:ind w:left="109" w:right="166"/>
            </w:pPr>
            <w:r>
              <w:t>On trouvera ci</w:t>
            </w:r>
            <w:r w:rsidR="00F72A1A">
              <w:noBreakHyphen/>
            </w:r>
            <w:r>
              <w:t>après un aperçu de la mise en œuvre du projet dans chaque pays bénéficiaire, reposant sur la réalisation des résultats décrits dans le descriptif de projet approuvé (</w:t>
            </w:r>
            <w:hyperlink r:id="rId19" w:history="1">
              <w:r>
                <w:rPr>
                  <w:rStyle w:val="Hyperlink"/>
                </w:rPr>
                <w:t>CDIP/24/9</w:t>
              </w:r>
            </w:hyperlink>
            <w:r>
              <w:t>).  On trouvera également un aperçu de l</w:t>
            </w:r>
            <w:r w:rsidR="007B4A5D">
              <w:t>’</w:t>
            </w:r>
            <w:r>
              <w:t>état d</w:t>
            </w:r>
            <w:r w:rsidR="007B4A5D">
              <w:t>’</w:t>
            </w:r>
            <w:r>
              <w:t>avancement du projet dans le catalogue répertoriant les projets du Plan d</w:t>
            </w:r>
            <w:r w:rsidR="007B4A5D">
              <w:t>’</w:t>
            </w:r>
            <w:r>
              <w:t>action pour le développement et les résultats à l</w:t>
            </w:r>
            <w:r w:rsidR="007B4A5D">
              <w:t>’</w:t>
            </w:r>
            <w:r>
              <w:t>adresse</w:t>
            </w:r>
            <w:r w:rsidR="009703ED">
              <w:t> </w:t>
            </w:r>
            <w:hyperlink r:id="rId20" w:history="1">
              <w:r>
                <w:rPr>
                  <w:rStyle w:val="Hyperlink"/>
                </w:rPr>
                <w:t>https://dacatalogue.wipo.int/projects/DA_1_4_10_01</w:t>
              </w:r>
            </w:hyperlink>
          </w:p>
          <w:p w14:paraId="35AE02B7" w14:textId="5FF0824C" w:rsidR="009B1999" w:rsidRPr="00170E86" w:rsidRDefault="009B1999" w:rsidP="005110F2">
            <w:pPr>
              <w:pStyle w:val="TableParagraph"/>
              <w:tabs>
                <w:tab w:val="left" w:pos="6841"/>
              </w:tabs>
              <w:spacing w:before="360" w:after="120"/>
              <w:ind w:left="109" w:right="166"/>
              <w:rPr>
                <w:u w:val="single"/>
              </w:rPr>
            </w:pPr>
            <w:r>
              <w:t xml:space="preserve">État plurinational de </w:t>
            </w:r>
            <w:r>
              <w:rPr>
                <w:u w:val="single"/>
              </w:rPr>
              <w:t>Bolivie</w:t>
            </w:r>
          </w:p>
          <w:p w14:paraId="344B8E76" w14:textId="49D5501E" w:rsidR="007B4A5D" w:rsidRDefault="009B1999" w:rsidP="009B1999">
            <w:pPr>
              <w:pStyle w:val="TableParagraph"/>
              <w:numPr>
                <w:ilvl w:val="0"/>
                <w:numId w:val="9"/>
              </w:numPr>
              <w:tabs>
                <w:tab w:val="left" w:pos="6841"/>
              </w:tabs>
              <w:spacing w:before="120" w:after="120"/>
              <w:ind w:left="541" w:right="166"/>
            </w:pPr>
            <w:r>
              <w:rPr>
                <w:u w:val="single"/>
              </w:rPr>
              <w:t>Composition de l</w:t>
            </w:r>
            <w:r w:rsidR="007B4A5D">
              <w:rPr>
                <w:u w:val="single"/>
              </w:rPr>
              <w:t>’</w:t>
            </w:r>
            <w:r>
              <w:rPr>
                <w:u w:val="single"/>
              </w:rPr>
              <w:t>équipe et plan de mise en œuvre à l</w:t>
            </w:r>
            <w:r w:rsidR="007B4A5D">
              <w:rPr>
                <w:u w:val="single"/>
              </w:rPr>
              <w:t>’</w:t>
            </w:r>
            <w:r>
              <w:rPr>
                <w:u w:val="single"/>
              </w:rPr>
              <w:t>échelle nationale</w:t>
            </w:r>
            <w:r w:rsidR="007B4A5D">
              <w:t> :</w:t>
            </w:r>
            <w:r>
              <w:t xml:space="preserve"> En </w:t>
            </w:r>
            <w:r w:rsidR="007B4A5D">
              <w:t>octobre 20</w:t>
            </w:r>
            <w:r>
              <w:t>21, le plan de mise en œuvre à l</w:t>
            </w:r>
            <w:r w:rsidR="007B4A5D">
              <w:t>’</w:t>
            </w:r>
            <w:r>
              <w:t>échelle nationale était rédigé et approuvé.  L</w:t>
            </w:r>
            <w:r w:rsidR="007B4A5D">
              <w:t>’</w:t>
            </w:r>
            <w:r>
              <w:t>État plurinational de Bolivie a désigné un coordonnateur de projet local au sein de l</w:t>
            </w:r>
            <w:r w:rsidR="007B4A5D">
              <w:t>’</w:t>
            </w:r>
            <w:r>
              <w:t>Office national de la propriété intellectuelle (SENAPI) pour diriger l</w:t>
            </w:r>
            <w:r w:rsidR="007B4A5D">
              <w:t>’</w:t>
            </w:r>
            <w:r>
              <w:t>équipe chargée de la mise en œuvre du projet à l</w:t>
            </w:r>
            <w:r w:rsidR="007B4A5D">
              <w:t>’</w:t>
            </w:r>
            <w:r>
              <w:t>échelle nationa</w:t>
            </w:r>
            <w:r w:rsidR="005D4872">
              <w:t>le.  De</w:t>
            </w:r>
            <w:r>
              <w:t>ux</w:t>
            </w:r>
            <w:r w:rsidR="00FA77D8">
              <w:t> </w:t>
            </w:r>
            <w:r>
              <w:t>consultants du projet ont par ailleurs été engagés en renfort.</w:t>
            </w:r>
          </w:p>
          <w:p w14:paraId="0BC577A8" w14:textId="176F6AEA" w:rsidR="009B1999" w:rsidRPr="008B7F76" w:rsidRDefault="009B1999" w:rsidP="009B1999">
            <w:pPr>
              <w:pStyle w:val="TableParagraph"/>
              <w:numPr>
                <w:ilvl w:val="0"/>
                <w:numId w:val="9"/>
              </w:numPr>
              <w:tabs>
                <w:tab w:val="left" w:pos="6841"/>
              </w:tabs>
              <w:spacing w:before="120" w:after="120"/>
              <w:ind w:left="541" w:right="166"/>
            </w:pPr>
            <w:r>
              <w:rPr>
                <w:u w:val="single"/>
              </w:rPr>
              <w:t>Étude exploratoire</w:t>
            </w:r>
            <w:r w:rsidR="007B4A5D">
              <w:t> :</w:t>
            </w:r>
            <w:r>
              <w:t xml:space="preserve"> L</w:t>
            </w:r>
            <w:r w:rsidR="007B4A5D">
              <w:t>’</w:t>
            </w:r>
            <w:r>
              <w:t>étude exploratoire sur les groupes potentiels de producteurs et leurs produits pouvant bénéficier de l</w:t>
            </w:r>
            <w:r w:rsidR="007B4A5D">
              <w:t>’</w:t>
            </w:r>
            <w:r>
              <w:t xml:space="preserve">utilisation de marques collectives a été réalisée en espagnol par le consultant du projet et achevée en </w:t>
            </w:r>
            <w:r w:rsidR="007B4A5D">
              <w:t>juillet 20</w:t>
            </w:r>
            <w:r>
              <w:t>22.  L</w:t>
            </w:r>
            <w:r w:rsidR="007B4A5D">
              <w:t>’</w:t>
            </w:r>
            <w:r>
              <w:t>étude exploratoire a également été mise à disposition en anglais.</w:t>
            </w:r>
          </w:p>
          <w:p w14:paraId="45392734" w14:textId="2B54E035" w:rsidR="007B4A5D" w:rsidRDefault="009B1999" w:rsidP="009703ED">
            <w:pPr>
              <w:pStyle w:val="TableParagraph"/>
              <w:keepNext/>
              <w:keepLines/>
              <w:numPr>
                <w:ilvl w:val="0"/>
                <w:numId w:val="9"/>
              </w:numPr>
              <w:tabs>
                <w:tab w:val="left" w:pos="6841"/>
              </w:tabs>
              <w:spacing w:before="120" w:after="120"/>
              <w:ind w:left="541" w:right="166"/>
            </w:pPr>
            <w:r>
              <w:rPr>
                <w:u w:val="single"/>
              </w:rPr>
              <w:lastRenderedPageBreak/>
              <w:t>Séance d</w:t>
            </w:r>
            <w:r w:rsidR="007B4A5D">
              <w:rPr>
                <w:u w:val="single"/>
              </w:rPr>
              <w:t>’</w:t>
            </w:r>
            <w:r>
              <w:rPr>
                <w:u w:val="single"/>
              </w:rPr>
              <w:t>information</w:t>
            </w:r>
            <w:r w:rsidR="007B4A5D">
              <w:t> :</w:t>
            </w:r>
            <w:r>
              <w:t xml:space="preserve"> Une séance d</w:t>
            </w:r>
            <w:r w:rsidR="007B4A5D">
              <w:t>’</w:t>
            </w:r>
            <w:r>
              <w:t>information portant sur les avantages potentiels de l</w:t>
            </w:r>
            <w:r w:rsidR="007B4A5D">
              <w:t>’</w:t>
            </w:r>
            <w:r>
              <w:t>utilisation des marques collectives par les entrepreneurs et les producteurs locaux s</w:t>
            </w:r>
            <w:r w:rsidR="007B4A5D">
              <w:t>’</w:t>
            </w:r>
            <w:r>
              <w:t>est tenue le 8 juillet 2022.  En raison de la pandémie de COVID</w:t>
            </w:r>
            <w:r w:rsidR="00F72A1A">
              <w:noBreakHyphen/>
            </w:r>
            <w:r>
              <w:t>19, la séance s</w:t>
            </w:r>
            <w:r w:rsidR="007B4A5D">
              <w:t>’</w:t>
            </w:r>
            <w:r>
              <w:t>est tenue sous forme virtuelle sur Zoom afin de permettre la participation de l</w:t>
            </w:r>
            <w:r w:rsidR="007B4A5D">
              <w:t>’</w:t>
            </w:r>
            <w:r>
              <w:t>OMPI et des consultants du proj</w:t>
            </w:r>
            <w:r w:rsidR="005D4872">
              <w:t>et.  Ce</w:t>
            </w:r>
            <w:r>
              <w:t>tte séance a permis la participation du programme EMPODERAR du Ministère du développement rural et des terres en tant que membre de l</w:t>
            </w:r>
            <w:r w:rsidR="007B4A5D">
              <w:t>’</w:t>
            </w:r>
            <w:r>
              <w:t>équipe chargée de la mise en œuvre du projet à l</w:t>
            </w:r>
            <w:r w:rsidR="007B4A5D">
              <w:t>’</w:t>
            </w:r>
            <w:r>
              <w:t>échelle nationale.</w:t>
            </w:r>
          </w:p>
          <w:p w14:paraId="695E00FF" w14:textId="649A052B" w:rsidR="009B1999" w:rsidRPr="008B7F76" w:rsidRDefault="009B1999" w:rsidP="009B1999">
            <w:pPr>
              <w:pStyle w:val="TableParagraph"/>
              <w:numPr>
                <w:ilvl w:val="0"/>
                <w:numId w:val="9"/>
              </w:numPr>
              <w:tabs>
                <w:tab w:val="left" w:pos="6841"/>
              </w:tabs>
              <w:spacing w:before="120" w:after="120"/>
              <w:ind w:left="541" w:right="166"/>
            </w:pPr>
            <w:r>
              <w:rPr>
                <w:u w:val="single"/>
              </w:rPr>
              <w:t>Sélection du produit et recensement/création de l</w:t>
            </w:r>
            <w:r w:rsidR="007B4A5D">
              <w:rPr>
                <w:u w:val="single"/>
              </w:rPr>
              <w:t>’</w:t>
            </w:r>
            <w:r>
              <w:rPr>
                <w:u w:val="single"/>
              </w:rPr>
              <w:t>association</w:t>
            </w:r>
            <w:r w:rsidR="007B4A5D">
              <w:t> :</w:t>
            </w:r>
            <w:r>
              <w:t xml:space="preserve"> L</w:t>
            </w:r>
            <w:r w:rsidR="007B4A5D">
              <w:t>’</w:t>
            </w:r>
            <w:proofErr w:type="spellStart"/>
            <w:r>
              <w:rPr>
                <w:i/>
              </w:rPr>
              <w:t>Asociación</w:t>
            </w:r>
            <w:proofErr w:type="spellEnd"/>
            <w:r>
              <w:rPr>
                <w:i/>
              </w:rPr>
              <w:t xml:space="preserve"> </w:t>
            </w:r>
            <w:proofErr w:type="spellStart"/>
            <w:r>
              <w:rPr>
                <w:i/>
              </w:rPr>
              <w:t>Regional</w:t>
            </w:r>
            <w:proofErr w:type="spellEnd"/>
            <w:r>
              <w:rPr>
                <w:i/>
              </w:rPr>
              <w:t xml:space="preserve"> de </w:t>
            </w:r>
            <w:proofErr w:type="spellStart"/>
            <w:r>
              <w:rPr>
                <w:i/>
              </w:rPr>
              <w:t>Apicultores</w:t>
            </w:r>
            <w:proofErr w:type="spellEnd"/>
            <w:r>
              <w:rPr>
                <w:i/>
              </w:rPr>
              <w:t xml:space="preserve"> </w:t>
            </w:r>
            <w:proofErr w:type="spellStart"/>
            <w:r>
              <w:rPr>
                <w:i/>
              </w:rPr>
              <w:t>del</w:t>
            </w:r>
            <w:proofErr w:type="spellEnd"/>
            <w:r>
              <w:rPr>
                <w:i/>
              </w:rPr>
              <w:t xml:space="preserve"> Chaco </w:t>
            </w:r>
            <w:proofErr w:type="spellStart"/>
            <w:r>
              <w:rPr>
                <w:i/>
              </w:rPr>
              <w:t>Chuquisaqueño</w:t>
            </w:r>
            <w:proofErr w:type="spellEnd"/>
            <w:r>
              <w:t xml:space="preserve"> (ARACH), une association faîtière regroupant au départ 25 organisations de producteurs de miel de la région du Chaco </w:t>
            </w:r>
            <w:proofErr w:type="spellStart"/>
            <w:r>
              <w:t>Chuquisaqueño</w:t>
            </w:r>
            <w:proofErr w:type="spellEnd"/>
            <w:r>
              <w:t>, a été sélectionnée en tant que bénéficiaire pour la création et l</w:t>
            </w:r>
            <w:r w:rsidR="007B4A5D">
              <w:t>’</w:t>
            </w:r>
            <w:r>
              <w:t>enregistrement d</w:t>
            </w:r>
            <w:r w:rsidR="007B4A5D">
              <w:t>’</w:t>
            </w:r>
            <w:r>
              <w:t>une marque collecti</w:t>
            </w:r>
            <w:r w:rsidR="005D4872">
              <w:t>ve.  L’u</w:t>
            </w:r>
            <w:r>
              <w:t>ne des retombées directes du projet a été l</w:t>
            </w:r>
            <w:r w:rsidR="007B4A5D">
              <w:t>’</w:t>
            </w:r>
            <w:r>
              <w:t>augmentation du nombre de membres de l</w:t>
            </w:r>
            <w:r w:rsidR="007B4A5D">
              <w:t>’</w:t>
            </w:r>
            <w:r>
              <w:t>ARACH, qui est passé de 25 à 42 organisations de producteurs de miel, couvrant cinq</w:t>
            </w:r>
            <w:r w:rsidR="00FA77D8">
              <w:t> </w:t>
            </w:r>
            <w:r>
              <w:t xml:space="preserve">municipalités de la région du Chaco </w:t>
            </w:r>
            <w:proofErr w:type="spellStart"/>
            <w:r>
              <w:t>Chuquisaqueño</w:t>
            </w:r>
            <w:proofErr w:type="spellEnd"/>
            <w:r>
              <w:t>.</w:t>
            </w:r>
          </w:p>
          <w:p w14:paraId="27350466" w14:textId="03C541B4" w:rsidR="007B4A5D" w:rsidRDefault="009B1999" w:rsidP="009B1999">
            <w:pPr>
              <w:pStyle w:val="TableParagraph"/>
              <w:numPr>
                <w:ilvl w:val="0"/>
                <w:numId w:val="9"/>
              </w:numPr>
              <w:tabs>
                <w:tab w:val="left" w:pos="6841"/>
              </w:tabs>
              <w:spacing w:before="120" w:after="120"/>
              <w:ind w:left="541" w:right="166"/>
            </w:pPr>
            <w:r>
              <w:rPr>
                <w:u w:val="single"/>
              </w:rPr>
              <w:t>Ateliers avec les membres de l</w:t>
            </w:r>
            <w:r w:rsidR="007B4A5D">
              <w:rPr>
                <w:u w:val="single"/>
              </w:rPr>
              <w:t>’</w:t>
            </w:r>
            <w:r>
              <w:rPr>
                <w:u w:val="single"/>
              </w:rPr>
              <w:t>ARACH</w:t>
            </w:r>
            <w:r w:rsidR="007B4A5D">
              <w:t> :</w:t>
            </w:r>
            <w:r>
              <w:t xml:space="preserve"> Un atelier et une visite sur le terrain ont eu lieu à </w:t>
            </w:r>
            <w:proofErr w:type="spellStart"/>
            <w:r>
              <w:t>Monteagudo</w:t>
            </w:r>
            <w:proofErr w:type="spellEnd"/>
            <w:r>
              <w:t xml:space="preserve"> du 25 au 27 </w:t>
            </w:r>
            <w:r w:rsidR="007B4A5D">
              <w:t>janvier 20</w:t>
            </w:r>
            <w:r>
              <w:t>23, à l</w:t>
            </w:r>
            <w:r w:rsidR="007B4A5D">
              <w:t>’</w:t>
            </w:r>
            <w:r>
              <w:t>issue desquels les membres de l</w:t>
            </w:r>
            <w:r w:rsidR="007B4A5D">
              <w:t>’</w:t>
            </w:r>
            <w:r>
              <w:t>ARACH se sont mis d</w:t>
            </w:r>
            <w:r w:rsidR="007B4A5D">
              <w:t>’</w:t>
            </w:r>
            <w:r>
              <w:t>accord sur la conception finale du logo de la marque collective.</w:t>
            </w:r>
          </w:p>
          <w:p w14:paraId="358E7F51" w14:textId="41764C44" w:rsidR="009B1999" w:rsidRPr="002178D5" w:rsidRDefault="009B1999" w:rsidP="009B1999">
            <w:pPr>
              <w:pStyle w:val="ListParagraph"/>
              <w:numPr>
                <w:ilvl w:val="0"/>
                <w:numId w:val="9"/>
              </w:numPr>
              <w:tabs>
                <w:tab w:val="left" w:pos="6841"/>
              </w:tabs>
              <w:spacing w:before="120" w:after="120"/>
              <w:ind w:left="541" w:right="166"/>
              <w:contextualSpacing w:val="0"/>
              <w:rPr>
                <w:rFonts w:eastAsia="Arial"/>
                <w:szCs w:val="22"/>
              </w:rPr>
            </w:pPr>
            <w:r>
              <w:rPr>
                <w:u w:val="single"/>
              </w:rPr>
              <w:t>Règlement d</w:t>
            </w:r>
            <w:r w:rsidR="007B4A5D">
              <w:rPr>
                <w:u w:val="single"/>
              </w:rPr>
              <w:t>’</w:t>
            </w:r>
            <w:r>
              <w:rPr>
                <w:u w:val="single"/>
              </w:rPr>
              <w:t>usage</w:t>
            </w:r>
            <w:r w:rsidR="007B4A5D">
              <w:t> :</w:t>
            </w:r>
            <w:r>
              <w:t xml:space="preserve"> Un consultant juridique local a été engagé pour rédiger en espagnol le règlement d</w:t>
            </w:r>
            <w:r w:rsidR="007B4A5D">
              <w:t>’</w:t>
            </w:r>
            <w:r>
              <w:t>usage de la marque collective, qui a ensuite été adopté par les membres de l</w:t>
            </w:r>
            <w:r w:rsidR="007B4A5D">
              <w:t>’</w:t>
            </w:r>
            <w:r>
              <w:t>AR</w:t>
            </w:r>
            <w:r w:rsidR="005D4872">
              <w:t>ACH.  Le</w:t>
            </w:r>
            <w:r>
              <w:t xml:space="preserve"> consultant juridique a également travaillé sur la mise à jour et l</w:t>
            </w:r>
            <w:r w:rsidR="007B4A5D">
              <w:t>’</w:t>
            </w:r>
            <w:r>
              <w:t>adaptation des statuts, de la liste des membres et du règlement intérieur de l</w:t>
            </w:r>
            <w:r w:rsidR="007B4A5D">
              <w:t>’</w:t>
            </w:r>
            <w:r>
              <w:t>association.</w:t>
            </w:r>
          </w:p>
          <w:p w14:paraId="36B70E95" w14:textId="7258972E" w:rsidR="009B1999" w:rsidRPr="008B7F76" w:rsidRDefault="009B1999" w:rsidP="009B1999">
            <w:pPr>
              <w:pStyle w:val="TableParagraph"/>
              <w:numPr>
                <w:ilvl w:val="0"/>
                <w:numId w:val="9"/>
              </w:numPr>
              <w:tabs>
                <w:tab w:val="left" w:pos="6841"/>
              </w:tabs>
              <w:spacing w:before="120" w:after="120"/>
              <w:ind w:left="541" w:right="166"/>
            </w:pPr>
            <w:r>
              <w:rPr>
                <w:u w:val="single"/>
              </w:rPr>
              <w:t>Conception du logo</w:t>
            </w:r>
            <w:r w:rsidR="007B4A5D">
              <w:t> :</w:t>
            </w:r>
            <w:r>
              <w:t xml:space="preserve"> Un prestataire local a été chargé de concevoir le logo de la marque collecti</w:t>
            </w:r>
            <w:r w:rsidR="005D4872">
              <w:t>ve.  Le</w:t>
            </w:r>
            <w:r>
              <w:t xml:space="preserve"> logo a été finalisé en </w:t>
            </w:r>
            <w:r w:rsidR="007B4A5D">
              <w:t>janvier 20</w:t>
            </w:r>
            <w:r>
              <w:t>23.  Un accord de cession du droit d</w:t>
            </w:r>
            <w:r w:rsidR="007B4A5D">
              <w:t>’</w:t>
            </w:r>
            <w:r>
              <w:t>auteur a été ensuite établi, puis signé par l</w:t>
            </w:r>
            <w:r w:rsidR="007B4A5D">
              <w:t>’</w:t>
            </w:r>
            <w:r>
              <w:t>OMPI et l</w:t>
            </w:r>
            <w:r w:rsidR="007B4A5D">
              <w:t>’</w:t>
            </w:r>
            <w:r>
              <w:t xml:space="preserve">ARACH en </w:t>
            </w:r>
            <w:r w:rsidR="007B4A5D">
              <w:t>novembre 20</w:t>
            </w:r>
            <w:r>
              <w:t>23, afin de céder officiellement le droit d</w:t>
            </w:r>
            <w:r w:rsidR="007B4A5D">
              <w:t>’</w:t>
            </w:r>
            <w:r>
              <w:t>auteur sur le logo à l</w:t>
            </w:r>
            <w:r w:rsidR="007B4A5D">
              <w:t>’</w:t>
            </w:r>
            <w:r>
              <w:t>association.</w:t>
            </w:r>
          </w:p>
          <w:p w14:paraId="27B740E6" w14:textId="4BACAEAE" w:rsidR="009B1999" w:rsidRDefault="009B1999" w:rsidP="009B1999">
            <w:pPr>
              <w:pStyle w:val="TableParagraph"/>
              <w:numPr>
                <w:ilvl w:val="0"/>
                <w:numId w:val="9"/>
              </w:numPr>
              <w:tabs>
                <w:tab w:val="left" w:pos="6841"/>
              </w:tabs>
              <w:spacing w:before="120" w:after="120"/>
              <w:ind w:left="541" w:right="166"/>
            </w:pPr>
            <w:r>
              <w:rPr>
                <w:u w:val="single"/>
              </w:rPr>
              <w:t>Formation à l</w:t>
            </w:r>
            <w:r w:rsidR="007B4A5D">
              <w:rPr>
                <w:u w:val="single"/>
              </w:rPr>
              <w:t>’</w:t>
            </w:r>
            <w:r>
              <w:rPr>
                <w:u w:val="single"/>
              </w:rPr>
              <w:t>intention des membres de l</w:t>
            </w:r>
            <w:r w:rsidR="007B4A5D">
              <w:rPr>
                <w:u w:val="single"/>
              </w:rPr>
              <w:t>’</w:t>
            </w:r>
            <w:r>
              <w:rPr>
                <w:u w:val="single"/>
              </w:rPr>
              <w:t>ARACH (et autres entreprises locales)</w:t>
            </w:r>
            <w:r w:rsidR="007B4A5D">
              <w:t> :</w:t>
            </w:r>
            <w:r>
              <w:t xml:space="preserve"> Une formation en ligne sur l</w:t>
            </w:r>
            <w:r w:rsidR="007B4A5D">
              <w:t>’</w:t>
            </w:r>
            <w:r>
              <w:t>utilisation de la marque collective a été organisée le 13 </w:t>
            </w:r>
            <w:r w:rsidR="007B4A5D">
              <w:t>novembre 20</w:t>
            </w:r>
            <w:r>
              <w:t>23 sur Zoom à l</w:t>
            </w:r>
            <w:r w:rsidR="007B4A5D">
              <w:t>’</w:t>
            </w:r>
            <w:r>
              <w:t>intention des membres de l</w:t>
            </w:r>
            <w:r w:rsidR="007B4A5D">
              <w:t>’</w:t>
            </w:r>
            <w:r>
              <w:t>AR</w:t>
            </w:r>
            <w:r w:rsidR="005D4872">
              <w:t>ACH.  Un</w:t>
            </w:r>
            <w:r>
              <w:t>e autre formation destinée aux membres de l</w:t>
            </w:r>
            <w:r w:rsidR="007B4A5D">
              <w:t>’</w:t>
            </w:r>
            <w:r>
              <w:t>ARACH et à d</w:t>
            </w:r>
            <w:r w:rsidR="007B4A5D">
              <w:t>’</w:t>
            </w:r>
            <w:r>
              <w:t>autres entrepreneurs et producteurs locaux a eu lieu à La Paz le 20 </w:t>
            </w:r>
            <w:r w:rsidR="007B4A5D">
              <w:t>février 20</w:t>
            </w:r>
            <w:r>
              <w:t>24.  Ces activités de formation visaient à renforcer les capacités des membres de l</w:t>
            </w:r>
            <w:r w:rsidR="007B4A5D">
              <w:t>’</w:t>
            </w:r>
            <w:r>
              <w:t>ARACH en matière de gestion et d</w:t>
            </w:r>
            <w:r w:rsidR="007B4A5D">
              <w:t>’</w:t>
            </w:r>
            <w:r>
              <w:t>utilisation de leurs marques collectives et portaient, entre autres, sur le règlement d</w:t>
            </w:r>
            <w:r w:rsidR="007B4A5D">
              <w:t>’</w:t>
            </w:r>
            <w:r>
              <w:t>usage, la gouvernance interne, les systèmes de contrôle de la qualité et les difficultés éventuelles liées à la gestion de la marque collective.</w:t>
            </w:r>
          </w:p>
          <w:p w14:paraId="3C417812" w14:textId="787CBA9E" w:rsidR="009B1999" w:rsidRDefault="009B1999" w:rsidP="009B1999">
            <w:pPr>
              <w:pStyle w:val="TableParagraph"/>
              <w:numPr>
                <w:ilvl w:val="0"/>
                <w:numId w:val="9"/>
              </w:numPr>
              <w:tabs>
                <w:tab w:val="left" w:pos="6841"/>
              </w:tabs>
              <w:spacing w:before="120" w:after="120"/>
              <w:ind w:left="541" w:right="166"/>
            </w:pPr>
            <w:r>
              <w:rPr>
                <w:u w:val="single"/>
              </w:rPr>
              <w:t>Formation à l</w:t>
            </w:r>
            <w:r w:rsidR="007B4A5D">
              <w:rPr>
                <w:u w:val="single"/>
              </w:rPr>
              <w:t>’</w:t>
            </w:r>
            <w:r>
              <w:rPr>
                <w:u w:val="single"/>
              </w:rPr>
              <w:t>intention du personnel</w:t>
            </w:r>
            <w:r w:rsidR="007B4A5D">
              <w:rPr>
                <w:u w:val="single"/>
              </w:rPr>
              <w:t xml:space="preserve"> du SEN</w:t>
            </w:r>
            <w:r>
              <w:rPr>
                <w:u w:val="single"/>
              </w:rPr>
              <w:t>API</w:t>
            </w:r>
            <w:r w:rsidR="007B4A5D">
              <w:t> :</w:t>
            </w:r>
            <w:r>
              <w:t xml:space="preserve"> Deux</w:t>
            </w:r>
            <w:r w:rsidR="00FA77D8">
              <w:t> </w:t>
            </w:r>
            <w:r>
              <w:t>activités de formation ont été organisées virtuellement sur Zoom, la première le 25 </w:t>
            </w:r>
            <w:r w:rsidR="007B4A5D">
              <w:t>juillet 20</w:t>
            </w:r>
            <w:r>
              <w:t>22 et la deuxième le 15 </w:t>
            </w:r>
            <w:r w:rsidR="007B4A5D">
              <w:t>décembre 20</w:t>
            </w:r>
            <w:r>
              <w:t>23.  Une troisième formation a été organisée en présentiel à La Paz le 21 </w:t>
            </w:r>
            <w:r w:rsidR="007B4A5D">
              <w:t>février 20</w:t>
            </w:r>
            <w:r>
              <w:t>24.  Ces activités de formation visaient à renforcer les capacités et les connaissances du personnel</w:t>
            </w:r>
            <w:r w:rsidR="007B4A5D">
              <w:t xml:space="preserve"> du SEN</w:t>
            </w:r>
            <w:r>
              <w:t>API et portaient, entre autres, sur le règlement d</w:t>
            </w:r>
            <w:r w:rsidR="007B4A5D">
              <w:t>’</w:t>
            </w:r>
            <w:r>
              <w:t>usage, le cadre juridique prévu par la décision n° 486 de la Communauté andine et les avantages des marques collectives pour les entreprises locales.</w:t>
            </w:r>
          </w:p>
          <w:p w14:paraId="36A80D14" w14:textId="6410266C" w:rsidR="009B1999" w:rsidRPr="002604E5" w:rsidRDefault="009B1999" w:rsidP="009B1999">
            <w:pPr>
              <w:pStyle w:val="ListParagraph"/>
              <w:numPr>
                <w:ilvl w:val="0"/>
                <w:numId w:val="9"/>
              </w:numPr>
              <w:tabs>
                <w:tab w:val="left" w:pos="6841"/>
              </w:tabs>
              <w:ind w:left="541" w:right="166"/>
              <w:rPr>
                <w:rFonts w:eastAsia="Arial"/>
                <w:szCs w:val="22"/>
              </w:rPr>
            </w:pPr>
            <w:r>
              <w:rPr>
                <w:u w:val="single"/>
              </w:rPr>
              <w:t>Enregistrement de la marque collective</w:t>
            </w:r>
            <w:r w:rsidR="007B4A5D">
              <w:t> :</w:t>
            </w:r>
            <w:r>
              <w:t xml:space="preserve"> Le certificat d</w:t>
            </w:r>
            <w:r w:rsidR="007B4A5D">
              <w:t>’</w:t>
            </w:r>
            <w:r>
              <w:t>enregistrement a été délivré par</w:t>
            </w:r>
            <w:r w:rsidR="007B4A5D">
              <w:t xml:space="preserve"> le SEN</w:t>
            </w:r>
            <w:r>
              <w:t>API le 31 juillet 2023.</w:t>
            </w:r>
          </w:p>
          <w:p w14:paraId="680A7721" w14:textId="55319B7F" w:rsidR="009B1999" w:rsidRPr="00BA6929" w:rsidRDefault="009B1999" w:rsidP="009B1999">
            <w:pPr>
              <w:pStyle w:val="ListParagraph"/>
              <w:numPr>
                <w:ilvl w:val="0"/>
                <w:numId w:val="9"/>
              </w:numPr>
              <w:tabs>
                <w:tab w:val="left" w:pos="6841"/>
              </w:tabs>
              <w:spacing w:before="120" w:after="120"/>
              <w:ind w:left="541" w:right="166"/>
              <w:contextualSpacing w:val="0"/>
              <w:rPr>
                <w:rFonts w:eastAsia="Arial"/>
                <w:szCs w:val="22"/>
              </w:rPr>
            </w:pPr>
            <w:r>
              <w:rPr>
                <w:u w:val="single"/>
              </w:rPr>
              <w:t>Cérémonie de lancement</w:t>
            </w:r>
            <w:r w:rsidR="007B4A5D">
              <w:t> :</w:t>
            </w:r>
            <w:r>
              <w:t xml:space="preserve"> La cérémonie de lancement de la marque collective s</w:t>
            </w:r>
            <w:r w:rsidR="007B4A5D">
              <w:t>’</w:t>
            </w:r>
            <w:r>
              <w:t>est déroulée à La Paz le 19 </w:t>
            </w:r>
            <w:r w:rsidR="007B4A5D">
              <w:t>février 20</w:t>
            </w:r>
            <w:r>
              <w:t>24.  Dix</w:t>
            </w:r>
            <w:r w:rsidR="00F72A1A">
              <w:noBreakHyphen/>
            </w:r>
            <w:r>
              <w:t>huit membres de l</w:t>
            </w:r>
            <w:r w:rsidR="007B4A5D">
              <w:t>’</w:t>
            </w:r>
            <w:r>
              <w:t>ARACH ont bénéficié d</w:t>
            </w:r>
            <w:r w:rsidR="007B4A5D">
              <w:t>’</w:t>
            </w:r>
            <w:r>
              <w:t>un financement pour pouvoir participer à la cérémonie de lanceme</w:t>
            </w:r>
            <w:r w:rsidR="005D4872">
              <w:t>nt.  La</w:t>
            </w:r>
            <w:r>
              <w:t xml:space="preserve"> cérémonie s</w:t>
            </w:r>
            <w:r w:rsidR="007B4A5D">
              <w:t>’</w:t>
            </w:r>
            <w:r>
              <w:t xml:space="preserve">est déroulée en présence de hauts représentants du </w:t>
            </w:r>
            <w:proofErr w:type="gramStart"/>
            <w:r>
              <w:t>Ministère des affaires</w:t>
            </w:r>
            <w:proofErr w:type="gramEnd"/>
            <w:r>
              <w:t xml:space="preserve"> étrangères,</w:t>
            </w:r>
            <w:r w:rsidR="007B4A5D">
              <w:t xml:space="preserve"> du SEN</w:t>
            </w:r>
            <w:r>
              <w:t>API et du programme EMPODERAR.</w:t>
            </w:r>
          </w:p>
          <w:p w14:paraId="4A1F4A6F" w14:textId="368DA307" w:rsidR="009B1999" w:rsidRPr="005110F2" w:rsidRDefault="009B1999" w:rsidP="005110F2">
            <w:pPr>
              <w:pStyle w:val="ListParagraph"/>
              <w:numPr>
                <w:ilvl w:val="0"/>
                <w:numId w:val="9"/>
              </w:numPr>
              <w:tabs>
                <w:tab w:val="left" w:pos="6841"/>
              </w:tabs>
              <w:spacing w:before="120" w:after="120"/>
              <w:ind w:left="541" w:right="166"/>
              <w:contextualSpacing w:val="0"/>
              <w:rPr>
                <w:rFonts w:eastAsia="Arial"/>
                <w:szCs w:val="22"/>
              </w:rPr>
            </w:pPr>
            <w:r>
              <w:rPr>
                <w:u w:val="single"/>
              </w:rPr>
              <w:t>Matériel de sensibilisation</w:t>
            </w:r>
            <w:r w:rsidR="007B4A5D">
              <w:t> :</w:t>
            </w:r>
            <w:r>
              <w:t xml:space="preserve"> Le matériel de sensibilisation élaboré dans le cadre de ce projet dans l</w:t>
            </w:r>
            <w:r w:rsidR="007B4A5D">
              <w:t>’</w:t>
            </w:r>
            <w:r>
              <w:t>État plurinational de Bolivie comprend un guide pratique, un dépliant promotionnel et une courte vidéo, en langue espagno</w:t>
            </w:r>
            <w:r w:rsidR="005D4872">
              <w:t>le.  La</w:t>
            </w:r>
            <w:r>
              <w:t xml:space="preserve"> courte vidéo est également sous</w:t>
            </w:r>
            <w:r w:rsidR="00F72A1A">
              <w:noBreakHyphen/>
            </w:r>
            <w:r>
              <w:t xml:space="preserve">titrée en anglais.  500 exemplaires imprimés du guide pratique et du dépliant promotionnel ont été distribués lors de la cérémonie de lancement et de la formation qui ont eu lieu en </w:t>
            </w:r>
            <w:r w:rsidR="007B4A5D">
              <w:t>février 20</w:t>
            </w:r>
            <w:r>
              <w:t>24.  La courte vidéo a également été présentée durant la cérémonie de lanceme</w:t>
            </w:r>
            <w:r w:rsidR="005D4872">
              <w:t>nt.  To</w:t>
            </w:r>
            <w:r>
              <w:t xml:space="preserve">ut le matériel de sensibilisation a été mis à disposition sur la </w:t>
            </w:r>
            <w:r w:rsidR="007B4A5D">
              <w:t>page W</w:t>
            </w:r>
            <w:r>
              <w:t>eb de l</w:t>
            </w:r>
            <w:r w:rsidR="007B4A5D">
              <w:t>’</w:t>
            </w:r>
            <w:r>
              <w:t xml:space="preserve">OMPI consacrée au projet pour </w:t>
            </w:r>
            <w:hyperlink r:id="rId21" w:history="1">
              <w:r>
                <w:rPr>
                  <w:rStyle w:val="Hyperlink"/>
                  <w:rFonts w:eastAsia="SimSun"/>
                </w:rPr>
                <w:t>l</w:t>
              </w:r>
              <w:r w:rsidR="007B4A5D">
                <w:rPr>
                  <w:rStyle w:val="Hyperlink"/>
                  <w:rFonts w:eastAsia="SimSun"/>
                </w:rPr>
                <w:t>’</w:t>
              </w:r>
              <w:r>
                <w:rPr>
                  <w:rStyle w:val="Hyperlink"/>
                  <w:rFonts w:eastAsia="SimSun"/>
                </w:rPr>
                <w:t>État plurinational de Bolivie</w:t>
              </w:r>
            </w:hyperlink>
            <w:r>
              <w:t>.</w:t>
            </w:r>
          </w:p>
          <w:p w14:paraId="2D776535" w14:textId="77777777" w:rsidR="009B1999" w:rsidRPr="00170E86" w:rsidRDefault="009B1999" w:rsidP="005110F2">
            <w:pPr>
              <w:pStyle w:val="TableParagraph"/>
              <w:tabs>
                <w:tab w:val="left" w:pos="6841"/>
              </w:tabs>
              <w:spacing w:before="360" w:after="120"/>
              <w:ind w:left="109" w:right="166"/>
              <w:rPr>
                <w:u w:val="single"/>
              </w:rPr>
            </w:pPr>
            <w:r>
              <w:rPr>
                <w:u w:val="single"/>
              </w:rPr>
              <w:t>Brésil</w:t>
            </w:r>
          </w:p>
          <w:p w14:paraId="587276C6" w14:textId="4430F561" w:rsidR="009B1999" w:rsidRPr="008B7F76" w:rsidRDefault="009B1999" w:rsidP="009B1999">
            <w:pPr>
              <w:pStyle w:val="TableParagraph"/>
              <w:numPr>
                <w:ilvl w:val="0"/>
                <w:numId w:val="9"/>
              </w:numPr>
              <w:tabs>
                <w:tab w:val="left" w:pos="6841"/>
              </w:tabs>
              <w:spacing w:before="120" w:after="120"/>
              <w:ind w:left="541" w:right="166"/>
            </w:pPr>
            <w:r>
              <w:rPr>
                <w:u w:val="single"/>
              </w:rPr>
              <w:t>Composition de l</w:t>
            </w:r>
            <w:r w:rsidR="007B4A5D">
              <w:rPr>
                <w:u w:val="single"/>
              </w:rPr>
              <w:t>’</w:t>
            </w:r>
            <w:r>
              <w:rPr>
                <w:u w:val="single"/>
              </w:rPr>
              <w:t>équipe et plan de mise en œuvre à l</w:t>
            </w:r>
            <w:r w:rsidR="007B4A5D">
              <w:rPr>
                <w:u w:val="single"/>
              </w:rPr>
              <w:t>’</w:t>
            </w:r>
            <w:r>
              <w:rPr>
                <w:u w:val="single"/>
              </w:rPr>
              <w:t>échelle nationale</w:t>
            </w:r>
            <w:r w:rsidR="007B4A5D">
              <w:t> :</w:t>
            </w:r>
            <w:r>
              <w:t xml:space="preserve"> En </w:t>
            </w:r>
            <w:r w:rsidR="007B4A5D">
              <w:t>janvier 20</w:t>
            </w:r>
            <w:r>
              <w:t>21, le plan de mise en œuvre à l</w:t>
            </w:r>
            <w:r w:rsidR="007B4A5D">
              <w:t>’</w:t>
            </w:r>
            <w:r>
              <w:t>échelle nationale pour le Brésil était rédigé et approu</w:t>
            </w:r>
            <w:r w:rsidR="005D4872">
              <w:t>vé.  Le</w:t>
            </w:r>
            <w:r>
              <w:t xml:space="preserve"> Brésil a désigné un coordonnateur de projet local au sein de la Division de la propriété intellectuelle du </w:t>
            </w:r>
            <w:proofErr w:type="gramStart"/>
            <w:r>
              <w:t>Ministère des affaires</w:t>
            </w:r>
            <w:proofErr w:type="gramEnd"/>
            <w:r>
              <w:t xml:space="preserve"> étrangèr</w:t>
            </w:r>
            <w:r w:rsidR="005D4872">
              <w:t>es.  Le</w:t>
            </w:r>
            <w:r>
              <w:t xml:space="preserve"> coordonnateur local a pris l</w:t>
            </w:r>
            <w:r w:rsidR="007B4A5D">
              <w:t>’</w:t>
            </w:r>
            <w:r>
              <w:t>initiative de constituer l</w:t>
            </w:r>
            <w:r w:rsidR="007B4A5D">
              <w:t>’</w:t>
            </w:r>
            <w:r>
              <w:t>équipe chargée de la mise en œuvre du projet à l</w:t>
            </w:r>
            <w:r w:rsidR="007B4A5D">
              <w:t>’</w:t>
            </w:r>
            <w:r>
              <w:t xml:space="preserve">échelle nationale, avec des représentants de la division de la propriété intellectuelle du </w:t>
            </w:r>
            <w:proofErr w:type="gramStart"/>
            <w:r w:rsidR="00FA77D8">
              <w:t>Ministère</w:t>
            </w:r>
            <w:r>
              <w:t xml:space="preserve"> des affaires</w:t>
            </w:r>
            <w:proofErr w:type="gramEnd"/>
            <w:r>
              <w:t xml:space="preserve"> étrangères, de l</w:t>
            </w:r>
            <w:r w:rsidR="007B4A5D">
              <w:t>’</w:t>
            </w:r>
            <w:r>
              <w:t>Institut national de la propriété industrielle (INPI) et du Service brésilien d</w:t>
            </w:r>
            <w:r w:rsidR="007B4A5D">
              <w:t>’</w:t>
            </w:r>
            <w:r>
              <w:t>aide aux microentreprises et petites entreprises (SEBRAE).  Deux</w:t>
            </w:r>
            <w:r w:rsidR="00FA77D8">
              <w:t> </w:t>
            </w:r>
            <w:r>
              <w:t>consultants nationaux ont par ailleurs été engagés en renfort pour le projet.</w:t>
            </w:r>
          </w:p>
          <w:p w14:paraId="3A435F93" w14:textId="25426D4C" w:rsidR="009B1999" w:rsidRPr="008B7F76" w:rsidRDefault="009B1999" w:rsidP="009B1999">
            <w:pPr>
              <w:pStyle w:val="TableParagraph"/>
              <w:numPr>
                <w:ilvl w:val="0"/>
                <w:numId w:val="9"/>
              </w:numPr>
              <w:tabs>
                <w:tab w:val="left" w:pos="6841"/>
              </w:tabs>
              <w:spacing w:before="120" w:after="120"/>
              <w:ind w:left="541" w:right="166"/>
            </w:pPr>
            <w:r w:rsidRPr="009703ED">
              <w:rPr>
                <w:spacing w:val="-4"/>
                <w:u w:val="single"/>
              </w:rPr>
              <w:t>Étude exploratoire</w:t>
            </w:r>
            <w:r w:rsidR="007B4A5D" w:rsidRPr="009703ED">
              <w:rPr>
                <w:spacing w:val="-4"/>
              </w:rPr>
              <w:t> :</w:t>
            </w:r>
            <w:r w:rsidRPr="009703ED">
              <w:rPr>
                <w:spacing w:val="-4"/>
              </w:rPr>
              <w:t xml:space="preserve"> L</w:t>
            </w:r>
            <w:r w:rsidR="007B4A5D" w:rsidRPr="009703ED">
              <w:rPr>
                <w:spacing w:val="-4"/>
              </w:rPr>
              <w:t>’</w:t>
            </w:r>
            <w:r w:rsidRPr="009703ED">
              <w:rPr>
                <w:spacing w:val="-4"/>
              </w:rPr>
              <w:t>étude exploratoire sur les groupes potentiels de producteurs et leurs produits pouvant bénéficier de l</w:t>
            </w:r>
            <w:r w:rsidR="007B4A5D" w:rsidRPr="009703ED">
              <w:rPr>
                <w:spacing w:val="-4"/>
              </w:rPr>
              <w:t>’</w:t>
            </w:r>
            <w:r w:rsidRPr="009703ED">
              <w:rPr>
                <w:spacing w:val="-4"/>
              </w:rPr>
              <w:t xml:space="preserve">utilisation de marques collectives a été réalisée en portugais par les consultants nationaux du projet et achevée en </w:t>
            </w:r>
            <w:r w:rsidR="007B4A5D" w:rsidRPr="009703ED">
              <w:rPr>
                <w:spacing w:val="-4"/>
              </w:rPr>
              <w:t>juin 20</w:t>
            </w:r>
            <w:r w:rsidRPr="009703ED">
              <w:rPr>
                <w:spacing w:val="-4"/>
              </w:rPr>
              <w:t>22.  L</w:t>
            </w:r>
            <w:r w:rsidR="007B4A5D" w:rsidRPr="009703ED">
              <w:rPr>
                <w:spacing w:val="-4"/>
              </w:rPr>
              <w:t>’</w:t>
            </w:r>
            <w:r w:rsidRPr="009703ED">
              <w:rPr>
                <w:spacing w:val="-4"/>
              </w:rPr>
              <w:t>étude exploratoire a également été mise à disposition en</w:t>
            </w:r>
            <w:r>
              <w:t xml:space="preserve"> anglais.</w:t>
            </w:r>
          </w:p>
          <w:p w14:paraId="45B6557B" w14:textId="570D4378" w:rsidR="009B1999" w:rsidRPr="009703ED" w:rsidRDefault="009B1999" w:rsidP="00CC55F3">
            <w:pPr>
              <w:pStyle w:val="TableParagraph"/>
              <w:keepNext/>
              <w:keepLines/>
              <w:numPr>
                <w:ilvl w:val="0"/>
                <w:numId w:val="9"/>
              </w:numPr>
              <w:tabs>
                <w:tab w:val="left" w:pos="6841"/>
              </w:tabs>
              <w:spacing w:before="120" w:after="120"/>
              <w:ind w:left="541" w:right="166"/>
              <w:rPr>
                <w:spacing w:val="-4"/>
              </w:rPr>
            </w:pPr>
            <w:r w:rsidRPr="009703ED">
              <w:rPr>
                <w:spacing w:val="-4"/>
                <w:u w:val="single"/>
              </w:rPr>
              <w:t>Séance d</w:t>
            </w:r>
            <w:r w:rsidR="007B4A5D" w:rsidRPr="009703ED">
              <w:rPr>
                <w:spacing w:val="-4"/>
                <w:u w:val="single"/>
              </w:rPr>
              <w:t>’</w:t>
            </w:r>
            <w:r w:rsidRPr="009703ED">
              <w:rPr>
                <w:spacing w:val="-4"/>
                <w:u w:val="single"/>
              </w:rPr>
              <w:t>information</w:t>
            </w:r>
            <w:r w:rsidR="007B4A5D" w:rsidRPr="009703ED">
              <w:rPr>
                <w:spacing w:val="-4"/>
              </w:rPr>
              <w:t> :</w:t>
            </w:r>
            <w:r w:rsidRPr="009703ED">
              <w:rPr>
                <w:spacing w:val="-4"/>
              </w:rPr>
              <w:t xml:space="preserve"> Une séance d</w:t>
            </w:r>
            <w:r w:rsidR="007B4A5D" w:rsidRPr="009703ED">
              <w:rPr>
                <w:spacing w:val="-4"/>
              </w:rPr>
              <w:t>’</w:t>
            </w:r>
            <w:r w:rsidRPr="009703ED">
              <w:rPr>
                <w:spacing w:val="-4"/>
              </w:rPr>
              <w:t>information portant sur les avantages potentiels de l</w:t>
            </w:r>
            <w:r w:rsidR="007B4A5D" w:rsidRPr="009703ED">
              <w:rPr>
                <w:spacing w:val="-4"/>
              </w:rPr>
              <w:t>’</w:t>
            </w:r>
            <w:r w:rsidRPr="009703ED">
              <w:rPr>
                <w:spacing w:val="-4"/>
              </w:rPr>
              <w:t>utilisation des marques collectives s</w:t>
            </w:r>
            <w:r w:rsidR="007B4A5D" w:rsidRPr="009703ED">
              <w:rPr>
                <w:spacing w:val="-4"/>
              </w:rPr>
              <w:t>’</w:t>
            </w:r>
            <w:r w:rsidRPr="009703ED">
              <w:rPr>
                <w:spacing w:val="-4"/>
              </w:rPr>
              <w:t xml:space="preserve">est tenue à </w:t>
            </w:r>
            <w:proofErr w:type="spellStart"/>
            <w:r w:rsidRPr="009703ED">
              <w:rPr>
                <w:spacing w:val="-4"/>
              </w:rPr>
              <w:t>Flona</w:t>
            </w:r>
            <w:proofErr w:type="spellEnd"/>
            <w:r w:rsidRPr="009703ED">
              <w:rPr>
                <w:spacing w:val="-4"/>
              </w:rPr>
              <w:t xml:space="preserve"> de Tefé les 5 et 6 juillet 2021.  En raison de la pandémie de COVID</w:t>
            </w:r>
            <w:r w:rsidR="00F72A1A">
              <w:rPr>
                <w:spacing w:val="-4"/>
              </w:rPr>
              <w:noBreakHyphen/>
            </w:r>
            <w:r w:rsidRPr="009703ED">
              <w:rPr>
                <w:spacing w:val="-4"/>
              </w:rPr>
              <w:t>19, la participation de l</w:t>
            </w:r>
            <w:r w:rsidR="007B4A5D" w:rsidRPr="009703ED">
              <w:rPr>
                <w:spacing w:val="-4"/>
              </w:rPr>
              <w:t>’</w:t>
            </w:r>
            <w:r w:rsidRPr="009703ED">
              <w:rPr>
                <w:spacing w:val="-4"/>
              </w:rPr>
              <w:t>OMPI a été couverte par les deux</w:t>
            </w:r>
            <w:r w:rsidR="00FA77D8" w:rsidRPr="009703ED">
              <w:rPr>
                <w:spacing w:val="-4"/>
              </w:rPr>
              <w:t> </w:t>
            </w:r>
            <w:r w:rsidRPr="009703ED">
              <w:rPr>
                <w:spacing w:val="-4"/>
              </w:rPr>
              <w:t>consultants nationaux du proj</w:t>
            </w:r>
            <w:r w:rsidR="005D4872" w:rsidRPr="009703ED">
              <w:rPr>
                <w:spacing w:val="-4"/>
              </w:rPr>
              <w:t>et.  La</w:t>
            </w:r>
            <w:r w:rsidRPr="009703ED">
              <w:rPr>
                <w:spacing w:val="-4"/>
              </w:rPr>
              <w:t xml:space="preserve"> séance s</w:t>
            </w:r>
            <w:r w:rsidR="007B4A5D" w:rsidRPr="009703ED">
              <w:rPr>
                <w:spacing w:val="-4"/>
              </w:rPr>
              <w:t>’</w:t>
            </w:r>
            <w:r w:rsidRPr="009703ED">
              <w:rPr>
                <w:spacing w:val="-4"/>
              </w:rPr>
              <w:t>est déroulée sur deux</w:t>
            </w:r>
            <w:r w:rsidR="00FA77D8" w:rsidRPr="009703ED">
              <w:rPr>
                <w:spacing w:val="-4"/>
              </w:rPr>
              <w:t> </w:t>
            </w:r>
            <w:r w:rsidRPr="009703ED">
              <w:rPr>
                <w:spacing w:val="-4"/>
              </w:rPr>
              <w:t>jours et comprenait une visite sur le terrain des sites de production de l</w:t>
            </w:r>
            <w:r w:rsidR="007B4A5D" w:rsidRPr="009703ED">
              <w:rPr>
                <w:spacing w:val="-4"/>
              </w:rPr>
              <w:t>’</w:t>
            </w:r>
            <w:r w:rsidRPr="009703ED">
              <w:rPr>
                <w:spacing w:val="-4"/>
              </w:rPr>
              <w:t>association sélectionnée.</w:t>
            </w:r>
          </w:p>
          <w:p w14:paraId="01FE5C21" w14:textId="5D9397CC" w:rsidR="007B4A5D" w:rsidRDefault="009B1999" w:rsidP="009B1999">
            <w:pPr>
              <w:pStyle w:val="TableParagraph"/>
              <w:numPr>
                <w:ilvl w:val="0"/>
                <w:numId w:val="9"/>
              </w:numPr>
              <w:tabs>
                <w:tab w:val="left" w:pos="6841"/>
              </w:tabs>
              <w:spacing w:before="120" w:after="120"/>
              <w:ind w:left="541" w:right="166"/>
            </w:pPr>
            <w:r>
              <w:rPr>
                <w:u w:val="single"/>
              </w:rPr>
              <w:t>Sélection du produit et recensement/création de l</w:t>
            </w:r>
            <w:r w:rsidR="007B4A5D">
              <w:rPr>
                <w:u w:val="single"/>
              </w:rPr>
              <w:t>’</w:t>
            </w:r>
            <w:r>
              <w:rPr>
                <w:u w:val="single"/>
              </w:rPr>
              <w:t>association</w:t>
            </w:r>
            <w:r w:rsidR="007B4A5D">
              <w:t> :</w:t>
            </w:r>
            <w:r>
              <w:t xml:space="preserve"> L</w:t>
            </w:r>
            <w:r w:rsidR="007B4A5D">
              <w:t>’</w:t>
            </w:r>
            <w:proofErr w:type="spellStart"/>
            <w:r>
              <w:rPr>
                <w:i/>
              </w:rPr>
              <w:t>Associação</w:t>
            </w:r>
            <w:proofErr w:type="spellEnd"/>
            <w:r>
              <w:rPr>
                <w:i/>
              </w:rPr>
              <w:t xml:space="preserve"> dos </w:t>
            </w:r>
            <w:proofErr w:type="spellStart"/>
            <w:r>
              <w:rPr>
                <w:i/>
              </w:rPr>
              <w:t>Produtores</w:t>
            </w:r>
            <w:proofErr w:type="spellEnd"/>
            <w:r>
              <w:rPr>
                <w:i/>
              </w:rPr>
              <w:t xml:space="preserve"> </w:t>
            </w:r>
            <w:proofErr w:type="spellStart"/>
            <w:r>
              <w:rPr>
                <w:i/>
              </w:rPr>
              <w:t>Agroextrativistas</w:t>
            </w:r>
            <w:proofErr w:type="spellEnd"/>
            <w:r>
              <w:rPr>
                <w:i/>
              </w:rPr>
              <w:t xml:space="preserve"> da </w:t>
            </w:r>
            <w:proofErr w:type="spellStart"/>
            <w:r>
              <w:rPr>
                <w:i/>
              </w:rPr>
              <w:t>Floresta</w:t>
            </w:r>
            <w:proofErr w:type="spellEnd"/>
            <w:r>
              <w:rPr>
                <w:i/>
              </w:rPr>
              <w:t xml:space="preserve"> </w:t>
            </w:r>
            <w:proofErr w:type="spellStart"/>
            <w:r>
              <w:rPr>
                <w:i/>
              </w:rPr>
              <w:t>Nacional</w:t>
            </w:r>
            <w:proofErr w:type="spellEnd"/>
            <w:r>
              <w:rPr>
                <w:i/>
              </w:rPr>
              <w:t xml:space="preserve"> de Tefé e </w:t>
            </w:r>
            <w:proofErr w:type="spellStart"/>
            <w:r>
              <w:rPr>
                <w:i/>
              </w:rPr>
              <w:t>Entorno</w:t>
            </w:r>
            <w:proofErr w:type="spellEnd"/>
            <w:r>
              <w:t xml:space="preserve"> (APAFE), située à Tefé et </w:t>
            </w:r>
            <w:proofErr w:type="spellStart"/>
            <w:r>
              <w:t>Alvãraes</w:t>
            </w:r>
            <w:proofErr w:type="spellEnd"/>
            <w:r>
              <w:t>, dans la région amazonienne, a été sélectionnée en tant que bénéficiaire pour la création et l</w:t>
            </w:r>
            <w:r w:rsidR="007B4A5D">
              <w:t>’</w:t>
            </w:r>
            <w:r>
              <w:t>enregistrement d</w:t>
            </w:r>
            <w:r w:rsidR="007B4A5D">
              <w:t>’</w:t>
            </w:r>
            <w:r>
              <w:t>une marque collecti</w:t>
            </w:r>
            <w:r w:rsidR="005D4872">
              <w:t>ve.  Se</w:t>
            </w:r>
            <w:r>
              <w:t>s membres produisent la fleur de manioc et des produits dérivés, miel, noix et huiles, etc.</w:t>
            </w:r>
          </w:p>
          <w:p w14:paraId="09106BFD" w14:textId="2984B35C" w:rsidR="007B4A5D" w:rsidRDefault="009B1999" w:rsidP="009B1999">
            <w:pPr>
              <w:pStyle w:val="TableParagraph"/>
              <w:numPr>
                <w:ilvl w:val="0"/>
                <w:numId w:val="9"/>
              </w:numPr>
              <w:tabs>
                <w:tab w:val="left" w:pos="6841"/>
              </w:tabs>
              <w:spacing w:before="120" w:after="120"/>
              <w:ind w:left="541" w:right="166"/>
            </w:pPr>
            <w:r>
              <w:rPr>
                <w:u w:val="single"/>
              </w:rPr>
              <w:t>Ateliers avec les membres de l</w:t>
            </w:r>
            <w:r w:rsidR="007B4A5D">
              <w:rPr>
                <w:u w:val="single"/>
              </w:rPr>
              <w:t>’</w:t>
            </w:r>
            <w:r>
              <w:rPr>
                <w:u w:val="single"/>
              </w:rPr>
              <w:t>APAFE</w:t>
            </w:r>
            <w:r w:rsidR="007B4A5D">
              <w:t> :</w:t>
            </w:r>
            <w:r>
              <w:t xml:space="preserve"> Deux</w:t>
            </w:r>
            <w:r w:rsidR="00FA77D8">
              <w:t> </w:t>
            </w:r>
            <w:r>
              <w:t>ateliers sur les marques collectives se sont tenus, le 13 septembre et le 8 novembre 2021.  Le premier atelier visait à définir la liste des produits couverts par la marque collective, le règlement d</w:t>
            </w:r>
            <w:r w:rsidR="007B4A5D">
              <w:t>’</w:t>
            </w:r>
            <w:r>
              <w:t>usage de la marque collective et le lo</w:t>
            </w:r>
            <w:r w:rsidR="005D4872">
              <w:t>go.  Le</w:t>
            </w:r>
            <w:r>
              <w:t xml:space="preserve"> second atelier visait à finaliser et à déposer la demande d</w:t>
            </w:r>
            <w:r w:rsidR="007B4A5D">
              <w:t>’</w:t>
            </w:r>
            <w:r>
              <w:t>enregistrement de la marque collecti</w:t>
            </w:r>
            <w:r w:rsidR="005D4872">
              <w:t>ve.  En</w:t>
            </w:r>
            <w:r>
              <w:t xml:space="preserve"> raison de la pandémie de COVID</w:t>
            </w:r>
            <w:r w:rsidR="00F72A1A">
              <w:noBreakHyphen/>
            </w:r>
            <w:r>
              <w:t>19, la participation de l</w:t>
            </w:r>
            <w:r w:rsidR="007B4A5D">
              <w:t>’</w:t>
            </w:r>
            <w:r>
              <w:t>OMPI aux deux</w:t>
            </w:r>
            <w:r w:rsidR="00FA77D8">
              <w:t> </w:t>
            </w:r>
            <w:r>
              <w:t>ateliers a été couverte par les deux</w:t>
            </w:r>
            <w:r w:rsidR="00FA77D8">
              <w:t> </w:t>
            </w:r>
            <w:r>
              <w:t>consultants nationaux du projet.</w:t>
            </w:r>
          </w:p>
          <w:p w14:paraId="2E6DE8DE" w14:textId="32D24A01" w:rsidR="009B1999" w:rsidRPr="008B7F76" w:rsidRDefault="009B1999" w:rsidP="009B1999">
            <w:pPr>
              <w:pStyle w:val="TableParagraph"/>
              <w:numPr>
                <w:ilvl w:val="0"/>
                <w:numId w:val="9"/>
              </w:numPr>
              <w:tabs>
                <w:tab w:val="left" w:pos="6841"/>
              </w:tabs>
              <w:spacing w:before="120" w:after="120"/>
              <w:ind w:left="541" w:right="166"/>
            </w:pPr>
            <w:r>
              <w:rPr>
                <w:u w:val="single"/>
              </w:rPr>
              <w:t>Règlement d</w:t>
            </w:r>
            <w:r w:rsidR="007B4A5D">
              <w:rPr>
                <w:u w:val="single"/>
              </w:rPr>
              <w:t>’</w:t>
            </w:r>
            <w:r>
              <w:rPr>
                <w:u w:val="single"/>
              </w:rPr>
              <w:t>usage</w:t>
            </w:r>
            <w:r w:rsidR="007B4A5D">
              <w:t> :</w:t>
            </w:r>
            <w:r>
              <w:t xml:space="preserve"> Le règlement d</w:t>
            </w:r>
            <w:r w:rsidR="007B4A5D">
              <w:t>’</w:t>
            </w:r>
            <w:r>
              <w:t>usage de la marque collective a été rédigé en portugais par les consultants nationaux du projet et adopté par la suite par les membres de l</w:t>
            </w:r>
            <w:r w:rsidR="007B4A5D">
              <w:t>’</w:t>
            </w:r>
            <w:r>
              <w:t>AP</w:t>
            </w:r>
            <w:r w:rsidR="005D4872">
              <w:t>AFE.  En</w:t>
            </w:r>
            <w:r>
              <w:t xml:space="preserve"> outre, un plan de contrôle de la marque collective a été élaboré.</w:t>
            </w:r>
          </w:p>
          <w:p w14:paraId="0D4BD80C" w14:textId="486DE978" w:rsidR="007B4A5D" w:rsidRPr="009703ED" w:rsidRDefault="009B1999" w:rsidP="009B1999">
            <w:pPr>
              <w:pStyle w:val="TableParagraph"/>
              <w:numPr>
                <w:ilvl w:val="0"/>
                <w:numId w:val="9"/>
              </w:numPr>
              <w:tabs>
                <w:tab w:val="left" w:pos="6841"/>
              </w:tabs>
              <w:spacing w:before="120" w:after="120"/>
              <w:ind w:left="541" w:right="166"/>
              <w:rPr>
                <w:spacing w:val="-4"/>
              </w:rPr>
            </w:pPr>
            <w:r w:rsidRPr="009703ED">
              <w:rPr>
                <w:spacing w:val="-4"/>
                <w:u w:val="single"/>
              </w:rPr>
              <w:t>Conception du logo</w:t>
            </w:r>
            <w:r w:rsidR="007B4A5D" w:rsidRPr="009703ED">
              <w:rPr>
                <w:spacing w:val="-4"/>
              </w:rPr>
              <w:t> :</w:t>
            </w:r>
            <w:r w:rsidRPr="009703ED">
              <w:rPr>
                <w:spacing w:val="-4"/>
              </w:rPr>
              <w:t xml:space="preserve"> Un prestataire local a été chargé de concevoir le logo de la marque collecti</w:t>
            </w:r>
            <w:r w:rsidR="005D4872" w:rsidRPr="009703ED">
              <w:rPr>
                <w:spacing w:val="-4"/>
              </w:rPr>
              <w:t>ve.  Le</w:t>
            </w:r>
            <w:r w:rsidRPr="009703ED">
              <w:rPr>
                <w:spacing w:val="-4"/>
              </w:rPr>
              <w:t xml:space="preserve"> logo a été finalisé en </w:t>
            </w:r>
            <w:r w:rsidR="007B4A5D" w:rsidRPr="009703ED">
              <w:rPr>
                <w:spacing w:val="-4"/>
              </w:rPr>
              <w:t>novembre 20</w:t>
            </w:r>
            <w:r w:rsidRPr="009703ED">
              <w:rPr>
                <w:spacing w:val="-4"/>
              </w:rPr>
              <w:t>21.  Un accord de cession du droit d</w:t>
            </w:r>
            <w:r w:rsidR="007B4A5D" w:rsidRPr="009703ED">
              <w:rPr>
                <w:spacing w:val="-4"/>
              </w:rPr>
              <w:t>’</w:t>
            </w:r>
            <w:r w:rsidRPr="009703ED">
              <w:rPr>
                <w:spacing w:val="-4"/>
              </w:rPr>
              <w:t>auteur a été ensuite établi, puis signé par l</w:t>
            </w:r>
            <w:r w:rsidR="007B4A5D" w:rsidRPr="009703ED">
              <w:rPr>
                <w:spacing w:val="-4"/>
              </w:rPr>
              <w:t>’</w:t>
            </w:r>
            <w:r w:rsidRPr="009703ED">
              <w:rPr>
                <w:spacing w:val="-4"/>
              </w:rPr>
              <w:t>OMPI et l</w:t>
            </w:r>
            <w:r w:rsidR="007B4A5D" w:rsidRPr="009703ED">
              <w:rPr>
                <w:spacing w:val="-4"/>
              </w:rPr>
              <w:t>’</w:t>
            </w:r>
            <w:r w:rsidRPr="009703ED">
              <w:rPr>
                <w:spacing w:val="-4"/>
              </w:rPr>
              <w:t xml:space="preserve">APAFE en </w:t>
            </w:r>
            <w:r w:rsidR="007B4A5D" w:rsidRPr="009703ED">
              <w:rPr>
                <w:spacing w:val="-4"/>
              </w:rPr>
              <w:t>mars 20</w:t>
            </w:r>
            <w:r w:rsidRPr="009703ED">
              <w:rPr>
                <w:spacing w:val="-4"/>
              </w:rPr>
              <w:t>22, afin de céder officiellement le droit d</w:t>
            </w:r>
            <w:r w:rsidR="007B4A5D" w:rsidRPr="009703ED">
              <w:rPr>
                <w:spacing w:val="-4"/>
              </w:rPr>
              <w:t>’</w:t>
            </w:r>
            <w:r w:rsidRPr="009703ED">
              <w:rPr>
                <w:spacing w:val="-4"/>
              </w:rPr>
              <w:t>auteur sur le logo à l</w:t>
            </w:r>
            <w:r w:rsidR="007B4A5D" w:rsidRPr="009703ED">
              <w:rPr>
                <w:spacing w:val="-4"/>
              </w:rPr>
              <w:t>’</w:t>
            </w:r>
            <w:r w:rsidRPr="009703ED">
              <w:rPr>
                <w:spacing w:val="-4"/>
              </w:rPr>
              <w:t>association.</w:t>
            </w:r>
          </w:p>
          <w:p w14:paraId="0246CDD7" w14:textId="050BAC80" w:rsidR="009B1999" w:rsidRPr="008B7F76" w:rsidRDefault="009B1999" w:rsidP="009B1999">
            <w:pPr>
              <w:pStyle w:val="TableParagraph"/>
              <w:numPr>
                <w:ilvl w:val="0"/>
                <w:numId w:val="9"/>
              </w:numPr>
              <w:tabs>
                <w:tab w:val="left" w:pos="6841"/>
              </w:tabs>
              <w:spacing w:before="120" w:after="120"/>
              <w:ind w:left="541" w:right="166"/>
            </w:pPr>
            <w:r>
              <w:rPr>
                <w:u w:val="single"/>
              </w:rPr>
              <w:t>Formation sur les marques collectives</w:t>
            </w:r>
            <w:r w:rsidR="007B4A5D">
              <w:t> :</w:t>
            </w:r>
            <w:r>
              <w:t xml:space="preserve"> Une formation sur l</w:t>
            </w:r>
            <w:r w:rsidR="007B4A5D">
              <w:t>’</w:t>
            </w:r>
            <w:r>
              <w:t>utilisation de la marque collective a été organisée le 4 </w:t>
            </w:r>
            <w:r w:rsidR="007B4A5D">
              <w:t>avril 20</w:t>
            </w:r>
            <w:r>
              <w:t>22 à Tefé à l</w:t>
            </w:r>
            <w:r w:rsidR="007B4A5D">
              <w:t>’</w:t>
            </w:r>
            <w:r>
              <w:t>intention des membres de l</w:t>
            </w:r>
            <w:r w:rsidR="007B4A5D">
              <w:t>’</w:t>
            </w:r>
            <w:r>
              <w:t>AP</w:t>
            </w:r>
            <w:r w:rsidR="005D4872">
              <w:t>AFE.  En</w:t>
            </w:r>
            <w:r>
              <w:t xml:space="preserve"> raison de la pandémie de COVID</w:t>
            </w:r>
            <w:r w:rsidR="00F72A1A">
              <w:noBreakHyphen/>
            </w:r>
            <w:r>
              <w:t>19, la participation de l</w:t>
            </w:r>
            <w:r w:rsidR="007B4A5D">
              <w:t>’</w:t>
            </w:r>
            <w:r>
              <w:t>OMPI a été couverte par les deux</w:t>
            </w:r>
            <w:r w:rsidR="00FA77D8">
              <w:t> </w:t>
            </w:r>
            <w:r>
              <w:t>consultants nationaux du proj</w:t>
            </w:r>
            <w:r w:rsidR="005D4872">
              <w:t>et.  Ce</w:t>
            </w:r>
            <w:r>
              <w:t>tte formation visait à renforcer les capacités des membres de l</w:t>
            </w:r>
            <w:r w:rsidR="007B4A5D">
              <w:t>’</w:t>
            </w:r>
            <w:r>
              <w:t>APAFE en matière de gestion et d</w:t>
            </w:r>
            <w:r w:rsidR="007B4A5D">
              <w:t>’</w:t>
            </w:r>
            <w:r>
              <w:t>utilisation de leurs marques collectives et portait, entre autres, sur le règlement d</w:t>
            </w:r>
            <w:r w:rsidR="007B4A5D">
              <w:t>’</w:t>
            </w:r>
            <w:r>
              <w:t>usage et les systèmes de contrôle de la qualité.</w:t>
            </w:r>
          </w:p>
          <w:p w14:paraId="715353DF" w14:textId="39D1AA49" w:rsidR="009B1999" w:rsidRDefault="009B1999" w:rsidP="009B1999">
            <w:pPr>
              <w:pStyle w:val="TableParagraph"/>
              <w:numPr>
                <w:ilvl w:val="0"/>
                <w:numId w:val="9"/>
              </w:numPr>
              <w:tabs>
                <w:tab w:val="left" w:pos="6841"/>
              </w:tabs>
              <w:spacing w:before="120" w:after="120"/>
              <w:ind w:left="541" w:right="166"/>
            </w:pPr>
            <w:r>
              <w:rPr>
                <w:u w:val="single"/>
              </w:rPr>
              <w:t>Enregistrement de la marque collective</w:t>
            </w:r>
            <w:r w:rsidR="007B4A5D">
              <w:t> :</w:t>
            </w:r>
            <w:r>
              <w:t xml:space="preserve"> Le certificat d</w:t>
            </w:r>
            <w:r w:rsidR="007B4A5D">
              <w:t>’</w:t>
            </w:r>
            <w:r>
              <w:t>enregistrement a été délivré le 17 janvier 2023.</w:t>
            </w:r>
          </w:p>
          <w:p w14:paraId="24C576A5" w14:textId="3B7E81F2" w:rsidR="009B1999" w:rsidRPr="006A498D" w:rsidRDefault="009B1999" w:rsidP="009B1999">
            <w:pPr>
              <w:pStyle w:val="TableParagraph"/>
              <w:numPr>
                <w:ilvl w:val="0"/>
                <w:numId w:val="9"/>
              </w:numPr>
              <w:tabs>
                <w:tab w:val="left" w:pos="6841"/>
              </w:tabs>
              <w:spacing w:before="120" w:after="120"/>
              <w:ind w:left="541" w:right="166"/>
            </w:pPr>
            <w:r>
              <w:rPr>
                <w:u w:val="single"/>
              </w:rPr>
              <w:t>Cérémonie de lancement</w:t>
            </w:r>
            <w:r w:rsidR="007B4A5D">
              <w:t> :</w:t>
            </w:r>
            <w:r>
              <w:t xml:space="preserve"> La cérémonie de lancement de la marque collective s</w:t>
            </w:r>
            <w:r w:rsidR="007B4A5D">
              <w:t>’</w:t>
            </w:r>
            <w:r>
              <w:t>est déroulée à Manaus le 30 </w:t>
            </w:r>
            <w:r w:rsidR="007B4A5D">
              <w:t>mars 20</w:t>
            </w:r>
            <w:r>
              <w:t>23.  Une visite de terrain à Tefé a également été organisée pour discuter avec les producteurs de l</w:t>
            </w:r>
            <w:r w:rsidR="007B4A5D">
              <w:t>’</w:t>
            </w:r>
            <w:r>
              <w:t>APAFE de l</w:t>
            </w:r>
            <w:r w:rsidR="007B4A5D">
              <w:t>’</w:t>
            </w:r>
            <w:r>
              <w:t>utilisation future de leur marque collective.</w:t>
            </w:r>
          </w:p>
          <w:p w14:paraId="12FD24A3" w14:textId="196FD034" w:rsidR="007B4A5D" w:rsidRPr="00686C1A" w:rsidRDefault="009B1999" w:rsidP="009B1999">
            <w:pPr>
              <w:pStyle w:val="TableParagraph"/>
              <w:numPr>
                <w:ilvl w:val="0"/>
                <w:numId w:val="9"/>
              </w:numPr>
              <w:tabs>
                <w:tab w:val="left" w:pos="6841"/>
              </w:tabs>
              <w:spacing w:before="120" w:after="120"/>
              <w:ind w:left="541" w:right="166"/>
              <w:rPr>
                <w:spacing w:val="-4"/>
              </w:rPr>
            </w:pPr>
            <w:r w:rsidRPr="00686C1A">
              <w:rPr>
                <w:spacing w:val="-4"/>
                <w:u w:val="single"/>
              </w:rPr>
              <w:t>Matériel de sensibilisation</w:t>
            </w:r>
            <w:r w:rsidR="007B4A5D" w:rsidRPr="00686C1A">
              <w:rPr>
                <w:spacing w:val="-4"/>
              </w:rPr>
              <w:t> :</w:t>
            </w:r>
            <w:r w:rsidRPr="00686C1A">
              <w:rPr>
                <w:spacing w:val="-4"/>
              </w:rPr>
              <w:t xml:space="preserve"> Le matériel de sensibilisation élaboré dans le cadre de ce projet au Brésil comprend un guide pratique, un dépliant promotionnel et une courte vidéo, en langue portugai</w:t>
            </w:r>
            <w:r w:rsidR="005D4872" w:rsidRPr="00686C1A">
              <w:rPr>
                <w:spacing w:val="-4"/>
              </w:rPr>
              <w:t>se.  La</w:t>
            </w:r>
            <w:r w:rsidRPr="00686C1A">
              <w:rPr>
                <w:spacing w:val="-4"/>
              </w:rPr>
              <w:t xml:space="preserve"> courte vidéo est également sous</w:t>
            </w:r>
            <w:r w:rsidR="00F72A1A" w:rsidRPr="00686C1A">
              <w:rPr>
                <w:spacing w:val="-4"/>
              </w:rPr>
              <w:noBreakHyphen/>
            </w:r>
            <w:r w:rsidRPr="00686C1A">
              <w:rPr>
                <w:spacing w:val="-4"/>
              </w:rPr>
              <w:t>titrée en anglais.</w:t>
            </w:r>
          </w:p>
          <w:p w14:paraId="25C1590E" w14:textId="3329C15F" w:rsidR="007B4A5D" w:rsidRDefault="009B1999" w:rsidP="00A7001E">
            <w:pPr>
              <w:pStyle w:val="TableParagraph"/>
              <w:tabs>
                <w:tab w:val="left" w:pos="6841"/>
              </w:tabs>
              <w:spacing w:before="120" w:after="120"/>
              <w:ind w:left="541" w:right="166"/>
            </w:pPr>
            <w:r>
              <w:t>Le guide pratique est disponible à l</w:t>
            </w:r>
            <w:r w:rsidR="007B4A5D">
              <w:t>’</w:t>
            </w:r>
            <w:r>
              <w:t>adresse suivante</w:t>
            </w:r>
            <w:r w:rsidR="007B4A5D">
              <w:t> :</w:t>
            </w:r>
          </w:p>
          <w:p w14:paraId="0056C07E" w14:textId="7F88106C" w:rsidR="009B1999" w:rsidRDefault="00E565DD" w:rsidP="00A7001E">
            <w:pPr>
              <w:pStyle w:val="TableParagraph"/>
              <w:tabs>
                <w:tab w:val="left" w:pos="6841"/>
              </w:tabs>
              <w:spacing w:before="120" w:after="120"/>
              <w:ind w:left="541" w:right="166"/>
            </w:pPr>
            <w:hyperlink r:id="rId22" w:history="1">
              <w:r w:rsidR="009B1999">
                <w:rPr>
                  <w:rStyle w:val="Hyperlink"/>
                </w:rPr>
                <w:t>www.gov.br/inpi/pt</w:t>
              </w:r>
              <w:r w:rsidR="00F72A1A">
                <w:rPr>
                  <w:rStyle w:val="Hyperlink"/>
                </w:rPr>
                <w:noBreakHyphen/>
              </w:r>
              <w:r w:rsidR="009B1999">
                <w:rPr>
                  <w:rStyle w:val="Hyperlink"/>
                </w:rPr>
                <w:t>br/central</w:t>
              </w:r>
              <w:r w:rsidR="00F72A1A">
                <w:rPr>
                  <w:rStyle w:val="Hyperlink"/>
                </w:rPr>
                <w:noBreakHyphen/>
              </w:r>
              <w:r w:rsidR="009B1999">
                <w:rPr>
                  <w:rStyle w:val="Hyperlink"/>
                </w:rPr>
                <w:t>de</w:t>
              </w:r>
              <w:r w:rsidR="00F72A1A">
                <w:rPr>
                  <w:rStyle w:val="Hyperlink"/>
                </w:rPr>
                <w:noBreakHyphen/>
              </w:r>
              <w:r w:rsidR="009B1999">
                <w:rPr>
                  <w:rStyle w:val="Hyperlink"/>
                </w:rPr>
                <w:t>conteudo/publicacoes/CartilhaMarcasColetivas_SebraeNacional_Ajustado_30623.pdf</w:t>
              </w:r>
            </w:hyperlink>
          </w:p>
          <w:p w14:paraId="71F721CD" w14:textId="739B21FB" w:rsidR="007B4A5D" w:rsidRDefault="009B1999" w:rsidP="00A7001E">
            <w:pPr>
              <w:pStyle w:val="TableParagraph"/>
              <w:tabs>
                <w:tab w:val="left" w:pos="6841"/>
              </w:tabs>
              <w:spacing w:before="120" w:after="120"/>
              <w:ind w:left="541" w:right="166"/>
            </w:pPr>
            <w:r>
              <w:t>Le dépliant promotionnel est disponible à l</w:t>
            </w:r>
            <w:r w:rsidR="007B4A5D">
              <w:t>’</w:t>
            </w:r>
            <w:r>
              <w:t>adresse suivante</w:t>
            </w:r>
            <w:r w:rsidR="007B4A5D">
              <w:t> :</w:t>
            </w:r>
          </w:p>
          <w:p w14:paraId="37E8CEA3" w14:textId="4D7ED2A5" w:rsidR="009B1999" w:rsidRDefault="00E565DD" w:rsidP="00A7001E">
            <w:pPr>
              <w:pStyle w:val="TableParagraph"/>
              <w:tabs>
                <w:tab w:val="left" w:pos="6841"/>
              </w:tabs>
              <w:spacing w:before="120" w:after="120"/>
              <w:ind w:left="541" w:right="166"/>
            </w:pPr>
            <w:hyperlink r:id="rId23" w:history="1">
              <w:r w:rsidR="009B1999">
                <w:rPr>
                  <w:rStyle w:val="Hyperlink"/>
                </w:rPr>
                <w:t>www.gov.br/inpi/pt</w:t>
              </w:r>
              <w:r w:rsidR="00F72A1A">
                <w:rPr>
                  <w:rStyle w:val="Hyperlink"/>
                </w:rPr>
                <w:noBreakHyphen/>
              </w:r>
              <w:r w:rsidR="009B1999">
                <w:rPr>
                  <w:rStyle w:val="Hyperlink"/>
                </w:rPr>
                <w:t>br/central</w:t>
              </w:r>
              <w:r w:rsidR="00F72A1A">
                <w:rPr>
                  <w:rStyle w:val="Hyperlink"/>
                </w:rPr>
                <w:noBreakHyphen/>
              </w:r>
              <w:r w:rsidR="009B1999">
                <w:rPr>
                  <w:rStyle w:val="Hyperlink"/>
                </w:rPr>
                <w:t>de</w:t>
              </w:r>
              <w:r w:rsidR="00F72A1A">
                <w:rPr>
                  <w:rStyle w:val="Hyperlink"/>
                </w:rPr>
                <w:noBreakHyphen/>
              </w:r>
              <w:r w:rsidR="009B1999">
                <w:rPr>
                  <w:rStyle w:val="Hyperlink"/>
                </w:rPr>
                <w:t>conteudo/publicacoes/marcascoletivasA4mar2023.pdf</w:t>
              </w:r>
            </w:hyperlink>
          </w:p>
          <w:p w14:paraId="2D74FCBC" w14:textId="6B3E7667" w:rsidR="007B4A5D" w:rsidRDefault="009B1999" w:rsidP="00A7001E">
            <w:pPr>
              <w:pStyle w:val="TableParagraph"/>
              <w:tabs>
                <w:tab w:val="left" w:pos="6841"/>
              </w:tabs>
              <w:spacing w:before="120" w:after="120"/>
              <w:ind w:left="541" w:right="166"/>
            </w:pPr>
            <w:r>
              <w:t>Les vidéos promotionnelles sont disponibles à l</w:t>
            </w:r>
            <w:r w:rsidR="007B4A5D">
              <w:t>’</w:t>
            </w:r>
            <w:r>
              <w:t>adresse suivante</w:t>
            </w:r>
            <w:r w:rsidR="007B4A5D">
              <w:t> :</w:t>
            </w:r>
          </w:p>
          <w:p w14:paraId="206A556B" w14:textId="3414AA5C" w:rsidR="007B4A5D" w:rsidRDefault="00E565DD" w:rsidP="005110F2">
            <w:pPr>
              <w:pStyle w:val="TableParagraph"/>
              <w:tabs>
                <w:tab w:val="left" w:pos="6841"/>
              </w:tabs>
              <w:spacing w:before="120" w:after="120"/>
              <w:ind w:left="541" w:right="166"/>
            </w:pPr>
            <w:hyperlink r:id="rId24" w:history="1">
              <w:r w:rsidR="009B1999">
                <w:rPr>
                  <w:rStyle w:val="Hyperlink"/>
                </w:rPr>
                <w:t>www.youtube.com/watch?v=JBpaJ7ppMJQ</w:t>
              </w:r>
            </w:hyperlink>
            <w:r w:rsidR="009B1999">
              <w:t xml:space="preserve">; </w:t>
            </w:r>
            <w:r w:rsidR="00FA77D8">
              <w:t xml:space="preserve"> </w:t>
            </w:r>
            <w:hyperlink r:id="rId25" w:history="1">
              <w:r w:rsidR="009B1999">
                <w:rPr>
                  <w:rStyle w:val="Hyperlink"/>
                </w:rPr>
                <w:t>www.youtube.com/watch?v=ARInRNbfeE8</w:t>
              </w:r>
            </w:hyperlink>
            <w:r w:rsidR="009B1999">
              <w:t>;</w:t>
            </w:r>
            <w:r w:rsidR="00FA77D8">
              <w:t xml:space="preserve"> </w:t>
            </w:r>
            <w:r w:rsidR="009B1999">
              <w:t xml:space="preserve"> et </w:t>
            </w:r>
            <w:hyperlink r:id="rId26" w:history="1">
              <w:r w:rsidR="009B1999">
                <w:rPr>
                  <w:rStyle w:val="Hyperlink"/>
                </w:rPr>
                <w:t>www.youtube.com/watch?v=V1kOz1B1_UU</w:t>
              </w:r>
            </w:hyperlink>
          </w:p>
          <w:p w14:paraId="46B50D64" w14:textId="7C108279" w:rsidR="009B1999" w:rsidRPr="00170E86" w:rsidRDefault="009B1999" w:rsidP="00686C1A">
            <w:pPr>
              <w:pStyle w:val="TableParagraph"/>
              <w:tabs>
                <w:tab w:val="left" w:pos="6841"/>
              </w:tabs>
              <w:spacing w:before="240" w:after="120"/>
              <w:ind w:left="109" w:right="166"/>
              <w:rPr>
                <w:u w:val="single"/>
              </w:rPr>
            </w:pPr>
            <w:r>
              <w:rPr>
                <w:u w:val="single"/>
              </w:rPr>
              <w:t>Philippines</w:t>
            </w:r>
          </w:p>
          <w:p w14:paraId="03DE49B0" w14:textId="3025F5F7" w:rsidR="007B4A5D" w:rsidRDefault="009B1999" w:rsidP="009B1999">
            <w:pPr>
              <w:pStyle w:val="ListParagraph"/>
              <w:numPr>
                <w:ilvl w:val="0"/>
                <w:numId w:val="9"/>
              </w:numPr>
              <w:tabs>
                <w:tab w:val="left" w:pos="6841"/>
              </w:tabs>
              <w:ind w:left="541" w:right="166"/>
            </w:pPr>
            <w:r>
              <w:rPr>
                <w:u w:val="single"/>
              </w:rPr>
              <w:t>Composition de l</w:t>
            </w:r>
            <w:r w:rsidR="007B4A5D">
              <w:rPr>
                <w:u w:val="single"/>
              </w:rPr>
              <w:t>’</w:t>
            </w:r>
            <w:r>
              <w:rPr>
                <w:u w:val="single"/>
              </w:rPr>
              <w:t>équipe et plan de mise en œuvre à l</w:t>
            </w:r>
            <w:r w:rsidR="007B4A5D">
              <w:rPr>
                <w:u w:val="single"/>
              </w:rPr>
              <w:t>’</w:t>
            </w:r>
            <w:r>
              <w:rPr>
                <w:u w:val="single"/>
              </w:rPr>
              <w:t>échelle nationale</w:t>
            </w:r>
            <w:r w:rsidR="007B4A5D">
              <w:t> :</w:t>
            </w:r>
            <w:r>
              <w:t xml:space="preserve"> En </w:t>
            </w:r>
            <w:r w:rsidR="007B4A5D">
              <w:t>décembre 20</w:t>
            </w:r>
            <w:r>
              <w:t>20, le plan de mise en œuvre à l</w:t>
            </w:r>
            <w:r w:rsidR="007B4A5D">
              <w:t>’</w:t>
            </w:r>
            <w:r>
              <w:t>échelle nationale pour les Philippines était rédigé et approu</w:t>
            </w:r>
            <w:r w:rsidR="005D4872">
              <w:t>vé.  Le</w:t>
            </w:r>
            <w:r>
              <w:t>s Philippines ont désigné un coordonnateur de projet local au sein de l</w:t>
            </w:r>
            <w:r w:rsidR="007B4A5D">
              <w:t>’</w:t>
            </w:r>
            <w:r>
              <w:t>Office de la propriété intellectuelle des Philippines (IPOPHL).  Un consultant national a par ailleurs été engagé en renfort pour le projet.</w:t>
            </w:r>
          </w:p>
          <w:p w14:paraId="77583A6E" w14:textId="3B59C82B" w:rsidR="009B1999" w:rsidRPr="008B7F76" w:rsidRDefault="009B1999" w:rsidP="009B1999">
            <w:pPr>
              <w:pStyle w:val="TableParagraph"/>
              <w:numPr>
                <w:ilvl w:val="0"/>
                <w:numId w:val="9"/>
              </w:numPr>
              <w:tabs>
                <w:tab w:val="left" w:pos="6841"/>
              </w:tabs>
              <w:spacing w:before="120" w:after="120"/>
              <w:ind w:left="541" w:right="166"/>
            </w:pPr>
            <w:r>
              <w:rPr>
                <w:u w:val="single"/>
              </w:rPr>
              <w:t>Étude exploratoire</w:t>
            </w:r>
            <w:r w:rsidR="007B4A5D">
              <w:t> :</w:t>
            </w:r>
            <w:r>
              <w:t xml:space="preserve"> L</w:t>
            </w:r>
            <w:r w:rsidR="007B4A5D">
              <w:t>’</w:t>
            </w:r>
            <w:r>
              <w:t>étude exploratoire sur les groupes potentiels de producteurs et leurs produits pouvant bénéficier de l</w:t>
            </w:r>
            <w:r w:rsidR="007B4A5D">
              <w:t>’</w:t>
            </w:r>
            <w:r>
              <w:t xml:space="preserve">utilisation de marques collectives a été réalisée en anglais par le consultant national du projet et achevée en </w:t>
            </w:r>
            <w:r w:rsidR="007B4A5D">
              <w:t>mai 20</w:t>
            </w:r>
            <w:r>
              <w:t>21.</w:t>
            </w:r>
          </w:p>
          <w:p w14:paraId="1A39D3C7" w14:textId="5B95E0EE" w:rsidR="007B4A5D" w:rsidRPr="00686C1A" w:rsidRDefault="009B1999" w:rsidP="009B1999">
            <w:pPr>
              <w:pStyle w:val="TableParagraph"/>
              <w:numPr>
                <w:ilvl w:val="0"/>
                <w:numId w:val="9"/>
              </w:numPr>
              <w:tabs>
                <w:tab w:val="left" w:pos="6841"/>
              </w:tabs>
              <w:spacing w:before="120" w:after="120"/>
              <w:ind w:left="541" w:right="166"/>
              <w:rPr>
                <w:spacing w:val="-4"/>
              </w:rPr>
            </w:pPr>
            <w:r w:rsidRPr="00686C1A">
              <w:rPr>
                <w:spacing w:val="-4"/>
                <w:u w:val="single"/>
              </w:rPr>
              <w:t>Séance d</w:t>
            </w:r>
            <w:r w:rsidR="007B4A5D" w:rsidRPr="00686C1A">
              <w:rPr>
                <w:spacing w:val="-4"/>
                <w:u w:val="single"/>
              </w:rPr>
              <w:t>’</w:t>
            </w:r>
            <w:r w:rsidRPr="00686C1A">
              <w:rPr>
                <w:spacing w:val="-4"/>
                <w:u w:val="single"/>
              </w:rPr>
              <w:t>information</w:t>
            </w:r>
            <w:r w:rsidR="007B4A5D" w:rsidRPr="00686C1A">
              <w:rPr>
                <w:spacing w:val="-4"/>
              </w:rPr>
              <w:t> :</w:t>
            </w:r>
            <w:r w:rsidRPr="00686C1A">
              <w:rPr>
                <w:spacing w:val="-4"/>
              </w:rPr>
              <w:t xml:space="preserve"> Une séance d</w:t>
            </w:r>
            <w:r w:rsidR="007B4A5D" w:rsidRPr="00686C1A">
              <w:rPr>
                <w:spacing w:val="-4"/>
              </w:rPr>
              <w:t>’</w:t>
            </w:r>
            <w:r w:rsidRPr="00686C1A">
              <w:rPr>
                <w:spacing w:val="-4"/>
              </w:rPr>
              <w:t>information portant sur les avantages potentiels de l</w:t>
            </w:r>
            <w:r w:rsidR="007B4A5D" w:rsidRPr="00686C1A">
              <w:rPr>
                <w:spacing w:val="-4"/>
              </w:rPr>
              <w:t>’</w:t>
            </w:r>
            <w:r w:rsidRPr="00686C1A">
              <w:rPr>
                <w:spacing w:val="-4"/>
              </w:rPr>
              <w:t>utilisation des marques collectives s</w:t>
            </w:r>
            <w:r w:rsidR="007B4A5D" w:rsidRPr="00686C1A">
              <w:rPr>
                <w:spacing w:val="-4"/>
              </w:rPr>
              <w:t>’</w:t>
            </w:r>
            <w:r w:rsidRPr="00686C1A">
              <w:rPr>
                <w:spacing w:val="-4"/>
              </w:rPr>
              <w:t>est tenue sous une forme hybride du 14 au 16 avril 2021.  En raison de la pandémie de COVID</w:t>
            </w:r>
            <w:r w:rsidR="00F72A1A" w:rsidRPr="00686C1A">
              <w:rPr>
                <w:spacing w:val="-4"/>
              </w:rPr>
              <w:noBreakHyphen/>
            </w:r>
            <w:r w:rsidRPr="00686C1A">
              <w:rPr>
                <w:spacing w:val="-4"/>
              </w:rPr>
              <w:t>19, la séance d</w:t>
            </w:r>
            <w:r w:rsidR="007B4A5D" w:rsidRPr="00686C1A">
              <w:rPr>
                <w:spacing w:val="-4"/>
              </w:rPr>
              <w:t>’</w:t>
            </w:r>
            <w:r w:rsidRPr="00686C1A">
              <w:rPr>
                <w:spacing w:val="-4"/>
              </w:rPr>
              <w:t>information s</w:t>
            </w:r>
            <w:r w:rsidR="007B4A5D" w:rsidRPr="00686C1A">
              <w:rPr>
                <w:spacing w:val="-4"/>
              </w:rPr>
              <w:t>’</w:t>
            </w:r>
            <w:r w:rsidRPr="00686C1A">
              <w:rPr>
                <w:spacing w:val="-4"/>
              </w:rPr>
              <w:t>est déroulée sur trois</w:t>
            </w:r>
            <w:r w:rsidR="00FA77D8" w:rsidRPr="00686C1A">
              <w:rPr>
                <w:spacing w:val="-4"/>
              </w:rPr>
              <w:t> </w:t>
            </w:r>
            <w:r w:rsidRPr="00686C1A">
              <w:rPr>
                <w:spacing w:val="-4"/>
              </w:rPr>
              <w:t>jours pour trois</w:t>
            </w:r>
            <w:r w:rsidR="00FA77D8" w:rsidRPr="00686C1A">
              <w:rPr>
                <w:spacing w:val="-4"/>
              </w:rPr>
              <w:t> </w:t>
            </w:r>
            <w:r w:rsidRPr="00686C1A">
              <w:rPr>
                <w:spacing w:val="-4"/>
              </w:rPr>
              <w:t>groupes de producteurs, de négociants et de transformateurs de pili, provenant chacun d</w:t>
            </w:r>
            <w:r w:rsidR="007B4A5D" w:rsidRPr="00686C1A">
              <w:rPr>
                <w:spacing w:val="-4"/>
              </w:rPr>
              <w:t>’</w:t>
            </w:r>
            <w:r w:rsidRPr="00686C1A">
              <w:rPr>
                <w:spacing w:val="-4"/>
              </w:rPr>
              <w:t>une province différente.</w:t>
            </w:r>
          </w:p>
          <w:p w14:paraId="029EA42B" w14:textId="4AA9F64E" w:rsidR="007B4A5D" w:rsidRPr="00686C1A" w:rsidRDefault="009B1999" w:rsidP="009B1999">
            <w:pPr>
              <w:pStyle w:val="TableParagraph"/>
              <w:numPr>
                <w:ilvl w:val="0"/>
                <w:numId w:val="9"/>
              </w:numPr>
              <w:tabs>
                <w:tab w:val="left" w:pos="6841"/>
              </w:tabs>
              <w:spacing w:before="120" w:after="120"/>
              <w:ind w:left="541" w:right="166"/>
              <w:rPr>
                <w:spacing w:val="-4"/>
              </w:rPr>
            </w:pPr>
            <w:r w:rsidRPr="00686C1A">
              <w:rPr>
                <w:spacing w:val="-4"/>
                <w:u w:val="single"/>
              </w:rPr>
              <w:t>Sélection du produit et recensement/création de l</w:t>
            </w:r>
            <w:r w:rsidR="007B4A5D" w:rsidRPr="00686C1A">
              <w:rPr>
                <w:spacing w:val="-4"/>
                <w:u w:val="single"/>
              </w:rPr>
              <w:t>’</w:t>
            </w:r>
            <w:r w:rsidRPr="00686C1A">
              <w:rPr>
                <w:spacing w:val="-4"/>
                <w:u w:val="single"/>
              </w:rPr>
              <w:t>association</w:t>
            </w:r>
            <w:r w:rsidR="007B4A5D" w:rsidRPr="00686C1A">
              <w:rPr>
                <w:spacing w:val="-4"/>
              </w:rPr>
              <w:t> :</w:t>
            </w:r>
            <w:r w:rsidRPr="00686C1A">
              <w:rPr>
                <w:spacing w:val="-4"/>
              </w:rPr>
              <w:t xml:space="preserve"> L</w:t>
            </w:r>
            <w:r w:rsidR="007B4A5D" w:rsidRPr="00686C1A">
              <w:rPr>
                <w:spacing w:val="-4"/>
              </w:rPr>
              <w:t>’</w:t>
            </w:r>
            <w:r w:rsidRPr="00686C1A">
              <w:rPr>
                <w:spacing w:val="-4"/>
              </w:rPr>
              <w:t xml:space="preserve">association </w:t>
            </w:r>
            <w:proofErr w:type="spellStart"/>
            <w:r w:rsidRPr="00686C1A">
              <w:rPr>
                <w:spacing w:val="-4"/>
              </w:rPr>
              <w:t>Orgullo</w:t>
            </w:r>
            <w:proofErr w:type="spellEnd"/>
            <w:r w:rsidRPr="00686C1A">
              <w:rPr>
                <w:spacing w:val="-4"/>
              </w:rPr>
              <w:t xml:space="preserve"> Kan Bicol (OKB) a été sélectionnée en tant que bénéficiaire pour la création et l</w:t>
            </w:r>
            <w:r w:rsidR="007B4A5D" w:rsidRPr="00686C1A">
              <w:rPr>
                <w:spacing w:val="-4"/>
              </w:rPr>
              <w:t>’</w:t>
            </w:r>
            <w:r w:rsidRPr="00686C1A">
              <w:rPr>
                <w:spacing w:val="-4"/>
              </w:rPr>
              <w:t>enregistrement d</w:t>
            </w:r>
            <w:r w:rsidR="007B4A5D" w:rsidRPr="00686C1A">
              <w:rPr>
                <w:spacing w:val="-4"/>
              </w:rPr>
              <w:t>’</w:t>
            </w:r>
            <w:r w:rsidRPr="00686C1A">
              <w:rPr>
                <w:spacing w:val="-4"/>
              </w:rPr>
              <w:t>une marque collecti</w:t>
            </w:r>
            <w:r w:rsidR="005D4872" w:rsidRPr="00686C1A">
              <w:rPr>
                <w:spacing w:val="-4"/>
              </w:rPr>
              <w:t>ve.  Se</w:t>
            </w:r>
            <w:r w:rsidRPr="00686C1A">
              <w:rPr>
                <w:spacing w:val="-4"/>
              </w:rPr>
              <w:t>s membres produisent divers types de produits dérivés de l</w:t>
            </w:r>
            <w:r w:rsidR="007B4A5D" w:rsidRPr="00686C1A">
              <w:rPr>
                <w:spacing w:val="-4"/>
              </w:rPr>
              <w:t>’</w:t>
            </w:r>
            <w:r w:rsidRPr="00686C1A">
              <w:rPr>
                <w:spacing w:val="-4"/>
              </w:rPr>
              <w:t>arbre tropical “Pili”, notamment des noix, des pâtisseries, de l</w:t>
            </w:r>
            <w:r w:rsidR="007B4A5D" w:rsidRPr="00686C1A">
              <w:rPr>
                <w:spacing w:val="-4"/>
              </w:rPr>
              <w:t>’</w:t>
            </w:r>
            <w:r w:rsidRPr="00686C1A">
              <w:rPr>
                <w:spacing w:val="-4"/>
              </w:rPr>
              <w:t>artisanat à partir de la coquille et des produits cosmétiques à partir de l</w:t>
            </w:r>
            <w:r w:rsidR="007B4A5D" w:rsidRPr="00686C1A">
              <w:rPr>
                <w:spacing w:val="-4"/>
              </w:rPr>
              <w:t>’</w:t>
            </w:r>
            <w:r w:rsidRPr="00686C1A">
              <w:rPr>
                <w:spacing w:val="-4"/>
              </w:rPr>
              <w:t>huile.</w:t>
            </w:r>
          </w:p>
          <w:p w14:paraId="5EF4EA0D" w14:textId="60FAF183" w:rsidR="007B4A5D" w:rsidRDefault="009B1999" w:rsidP="009B1999">
            <w:pPr>
              <w:pStyle w:val="TableParagraph"/>
              <w:numPr>
                <w:ilvl w:val="0"/>
                <w:numId w:val="9"/>
              </w:numPr>
              <w:tabs>
                <w:tab w:val="left" w:pos="6841"/>
              </w:tabs>
              <w:spacing w:before="120" w:after="120"/>
              <w:ind w:left="541" w:right="166"/>
            </w:pPr>
            <w:r w:rsidRPr="00686C1A">
              <w:rPr>
                <w:spacing w:val="-4"/>
                <w:u w:val="single"/>
              </w:rPr>
              <w:t>Ateliers avec les membres de l</w:t>
            </w:r>
            <w:r w:rsidR="007B4A5D" w:rsidRPr="00686C1A">
              <w:rPr>
                <w:spacing w:val="-4"/>
                <w:u w:val="single"/>
              </w:rPr>
              <w:t>’</w:t>
            </w:r>
            <w:r w:rsidRPr="00686C1A">
              <w:rPr>
                <w:spacing w:val="-4"/>
                <w:u w:val="single"/>
              </w:rPr>
              <w:t>OKB</w:t>
            </w:r>
            <w:r w:rsidR="007B4A5D" w:rsidRPr="00686C1A">
              <w:rPr>
                <w:spacing w:val="-4"/>
              </w:rPr>
              <w:t> :</w:t>
            </w:r>
            <w:r w:rsidRPr="00686C1A">
              <w:rPr>
                <w:spacing w:val="-4"/>
              </w:rPr>
              <w:t xml:space="preserve"> En raison de la pandémie de COVID</w:t>
            </w:r>
            <w:r w:rsidR="00F72A1A" w:rsidRPr="00686C1A">
              <w:rPr>
                <w:spacing w:val="-4"/>
              </w:rPr>
              <w:noBreakHyphen/>
            </w:r>
            <w:r w:rsidRPr="00686C1A">
              <w:rPr>
                <w:spacing w:val="-4"/>
              </w:rPr>
              <w:t>19, les ateliers sur les principaux éléments de leur marque collective se sont tenus virtuellement sur Zoom les 11 et 12 août, et les 7 et 16 </w:t>
            </w:r>
            <w:r w:rsidR="007B4A5D" w:rsidRPr="00686C1A">
              <w:rPr>
                <w:spacing w:val="-4"/>
              </w:rPr>
              <w:t>septembre 20</w:t>
            </w:r>
            <w:r w:rsidRPr="00686C1A">
              <w:rPr>
                <w:spacing w:val="-4"/>
              </w:rPr>
              <w:t>21.  Ces ateliers ont porté sur le règlement d</w:t>
            </w:r>
            <w:r w:rsidR="007B4A5D" w:rsidRPr="00686C1A">
              <w:rPr>
                <w:spacing w:val="-4"/>
              </w:rPr>
              <w:t>’</w:t>
            </w:r>
            <w:r w:rsidRPr="00686C1A">
              <w:rPr>
                <w:spacing w:val="-4"/>
              </w:rPr>
              <w:t>usage, la liste des produits à couvrir et la</w:t>
            </w:r>
            <w:r>
              <w:t xml:space="preserve"> conception du logo.</w:t>
            </w:r>
          </w:p>
          <w:p w14:paraId="085F20B4" w14:textId="3BA696BA" w:rsidR="009B1999" w:rsidRPr="008B7F76" w:rsidRDefault="009B1999" w:rsidP="009B1999">
            <w:pPr>
              <w:pStyle w:val="TableParagraph"/>
              <w:numPr>
                <w:ilvl w:val="0"/>
                <w:numId w:val="9"/>
              </w:numPr>
              <w:tabs>
                <w:tab w:val="left" w:pos="6841"/>
              </w:tabs>
              <w:spacing w:before="120" w:after="120"/>
              <w:ind w:left="541" w:right="166"/>
            </w:pPr>
            <w:r>
              <w:rPr>
                <w:u w:val="single"/>
              </w:rPr>
              <w:t>Règlement d</w:t>
            </w:r>
            <w:r w:rsidR="007B4A5D">
              <w:rPr>
                <w:u w:val="single"/>
              </w:rPr>
              <w:t>’</w:t>
            </w:r>
            <w:r>
              <w:rPr>
                <w:u w:val="single"/>
              </w:rPr>
              <w:t>usage</w:t>
            </w:r>
            <w:r w:rsidR="007B4A5D">
              <w:t> :</w:t>
            </w:r>
            <w:r>
              <w:t xml:space="preserve"> Le règlement d</w:t>
            </w:r>
            <w:r w:rsidR="007B4A5D">
              <w:t>’</w:t>
            </w:r>
            <w:r>
              <w:t>usage de la marque collective a été rédigé en anglais par le consultant national du projet et adopté par la suite par les membres de l</w:t>
            </w:r>
            <w:r w:rsidR="007B4A5D">
              <w:t>’</w:t>
            </w:r>
            <w:r>
              <w:t>OKB.</w:t>
            </w:r>
          </w:p>
          <w:p w14:paraId="517F0D42" w14:textId="00F1341E" w:rsidR="007B4A5D" w:rsidRDefault="009B1999" w:rsidP="009B1999">
            <w:pPr>
              <w:pStyle w:val="ListParagraph"/>
              <w:numPr>
                <w:ilvl w:val="0"/>
                <w:numId w:val="9"/>
              </w:numPr>
              <w:tabs>
                <w:tab w:val="left" w:pos="6841"/>
              </w:tabs>
              <w:ind w:left="541" w:right="166"/>
            </w:pPr>
            <w:r>
              <w:rPr>
                <w:u w:val="single"/>
              </w:rPr>
              <w:t>Conception du logo</w:t>
            </w:r>
            <w:r w:rsidR="007B4A5D">
              <w:t> :</w:t>
            </w:r>
            <w:r>
              <w:t xml:space="preserve"> Un prestataire local a été chargé de concevoir le logo de la marque collecti</w:t>
            </w:r>
            <w:r w:rsidR="005D4872">
              <w:t>ve.  Le</w:t>
            </w:r>
            <w:r>
              <w:t xml:space="preserve"> logo a été finalisé en </w:t>
            </w:r>
            <w:r w:rsidR="007B4A5D">
              <w:t>décembre 20</w:t>
            </w:r>
            <w:r>
              <w:t>21.  Un accord de cession du droit d</w:t>
            </w:r>
            <w:r w:rsidR="007B4A5D">
              <w:t>’</w:t>
            </w:r>
            <w:r>
              <w:t>auteur a été ensuite établi, puis signé par l</w:t>
            </w:r>
            <w:r w:rsidR="007B4A5D">
              <w:t>’</w:t>
            </w:r>
            <w:r>
              <w:t>OMPI et l</w:t>
            </w:r>
            <w:r w:rsidR="007B4A5D">
              <w:t>’</w:t>
            </w:r>
            <w:r>
              <w:t xml:space="preserve">OKB en </w:t>
            </w:r>
            <w:r w:rsidR="007B4A5D">
              <w:t>mars 20</w:t>
            </w:r>
            <w:r>
              <w:t>22, afin de céder officiellement le droit d</w:t>
            </w:r>
            <w:r w:rsidR="007B4A5D">
              <w:t>’</w:t>
            </w:r>
            <w:r>
              <w:t>auteur sur le logo à l</w:t>
            </w:r>
            <w:r w:rsidR="007B4A5D">
              <w:t>’</w:t>
            </w:r>
            <w:r>
              <w:t>association.</w:t>
            </w:r>
          </w:p>
          <w:p w14:paraId="4DCBADA0" w14:textId="40690E82" w:rsidR="007B4A5D" w:rsidRDefault="009B1999" w:rsidP="009B1999">
            <w:pPr>
              <w:pStyle w:val="TableParagraph"/>
              <w:numPr>
                <w:ilvl w:val="0"/>
                <w:numId w:val="9"/>
              </w:numPr>
              <w:tabs>
                <w:tab w:val="left" w:pos="6841"/>
              </w:tabs>
              <w:spacing w:before="120" w:after="120"/>
              <w:ind w:left="541" w:right="166"/>
            </w:pPr>
            <w:r>
              <w:rPr>
                <w:u w:val="single"/>
              </w:rPr>
              <w:t>Enregistrement de la marque collective</w:t>
            </w:r>
            <w:r w:rsidR="007B4A5D">
              <w:t> :</w:t>
            </w:r>
            <w:r>
              <w:t xml:space="preserve"> Le certificat d</w:t>
            </w:r>
            <w:r w:rsidR="007B4A5D">
              <w:t>’</w:t>
            </w:r>
            <w:r>
              <w:t>enregistrement a été délivré le 25 avril 2022.</w:t>
            </w:r>
          </w:p>
          <w:p w14:paraId="331C9FD8" w14:textId="195E6021" w:rsidR="009B1999" w:rsidRDefault="009B1999" w:rsidP="009B1999">
            <w:pPr>
              <w:pStyle w:val="TableParagraph"/>
              <w:numPr>
                <w:ilvl w:val="0"/>
                <w:numId w:val="9"/>
              </w:numPr>
              <w:tabs>
                <w:tab w:val="left" w:pos="6841"/>
              </w:tabs>
              <w:spacing w:before="120" w:after="120"/>
              <w:ind w:left="541" w:right="166"/>
            </w:pPr>
            <w:r>
              <w:rPr>
                <w:u w:val="single"/>
              </w:rPr>
              <w:t>Cérémonie de lancement</w:t>
            </w:r>
            <w:r w:rsidR="007B4A5D">
              <w:t> :</w:t>
            </w:r>
            <w:r>
              <w:t xml:space="preserve"> La cérémonie de lancement de la marque collective s</w:t>
            </w:r>
            <w:r w:rsidR="007B4A5D">
              <w:t>’</w:t>
            </w:r>
            <w:r>
              <w:t>est déroulée à Legazpi City, le 14 </w:t>
            </w:r>
            <w:r w:rsidR="007B4A5D">
              <w:t>juin 20</w:t>
            </w:r>
            <w:r>
              <w:t>22.  Une visite de terrain a également été organisée pour discuter avec les producteurs de l</w:t>
            </w:r>
            <w:r w:rsidR="007B4A5D">
              <w:t>’</w:t>
            </w:r>
            <w:r>
              <w:t>OKB de l</w:t>
            </w:r>
            <w:r w:rsidR="007B4A5D">
              <w:t>’</w:t>
            </w:r>
            <w:r>
              <w:t>utilisation future de la marque collective.</w:t>
            </w:r>
          </w:p>
          <w:p w14:paraId="6C2CF59C" w14:textId="7FE3D858" w:rsidR="009B1999" w:rsidRDefault="009B1999" w:rsidP="009B1999">
            <w:pPr>
              <w:pStyle w:val="TableParagraph"/>
              <w:numPr>
                <w:ilvl w:val="0"/>
                <w:numId w:val="9"/>
              </w:numPr>
              <w:tabs>
                <w:tab w:val="left" w:pos="6841"/>
              </w:tabs>
              <w:spacing w:before="120" w:after="120"/>
              <w:ind w:left="541" w:right="166"/>
            </w:pPr>
            <w:r>
              <w:rPr>
                <w:u w:val="single"/>
              </w:rPr>
              <w:t>Formation sur les marques collectives</w:t>
            </w:r>
            <w:r w:rsidR="007B4A5D">
              <w:t> :</w:t>
            </w:r>
            <w:r>
              <w:t xml:space="preserve"> En raison de la pandémie de COVID</w:t>
            </w:r>
            <w:r w:rsidR="00F72A1A">
              <w:noBreakHyphen/>
            </w:r>
            <w:r>
              <w:t>19, une formation de trois</w:t>
            </w:r>
            <w:r w:rsidR="00FA77D8">
              <w:t> </w:t>
            </w:r>
            <w:r>
              <w:t>jours a été organisée sur Zoom les 3, 4 et 11 </w:t>
            </w:r>
            <w:r w:rsidR="007B4A5D">
              <w:t>octobre 20</w:t>
            </w:r>
            <w:r>
              <w:t>22 à l</w:t>
            </w:r>
            <w:r w:rsidR="007B4A5D">
              <w:t>’</w:t>
            </w:r>
            <w:r>
              <w:t>intention du personnel de l</w:t>
            </w:r>
            <w:r w:rsidR="007B4A5D">
              <w:t>’</w:t>
            </w:r>
            <w:r>
              <w:t>IPO</w:t>
            </w:r>
            <w:r w:rsidR="005D4872">
              <w:t>PHL.  Ce</w:t>
            </w:r>
            <w:r>
              <w:t>tte formation visait à renforcer les capacités et les connaissances du personnel de l</w:t>
            </w:r>
            <w:r w:rsidR="007B4A5D">
              <w:t>’</w:t>
            </w:r>
            <w:r>
              <w:t>IPOPHL et portait sur les avantages des marques collectives, les identificateurs d</w:t>
            </w:r>
            <w:r w:rsidR="007B4A5D">
              <w:t>’</w:t>
            </w:r>
            <w:r>
              <w:t>origine, les normes et les exigences, l</w:t>
            </w:r>
            <w:r w:rsidR="007B4A5D">
              <w:t>’</w:t>
            </w:r>
            <w:r>
              <w:t>engagement des parties prenantes, ainsi que sur la gouvernance et la gestion des associations.</w:t>
            </w:r>
          </w:p>
          <w:p w14:paraId="13D76134" w14:textId="06FEA9BB" w:rsidR="009B1999" w:rsidRPr="00965048" w:rsidRDefault="009B1999" w:rsidP="009B1999">
            <w:pPr>
              <w:pStyle w:val="TableParagraph"/>
              <w:numPr>
                <w:ilvl w:val="0"/>
                <w:numId w:val="9"/>
              </w:numPr>
              <w:tabs>
                <w:tab w:val="left" w:pos="6841"/>
              </w:tabs>
              <w:spacing w:before="120" w:after="120"/>
              <w:ind w:left="541" w:right="166"/>
            </w:pPr>
            <w:r>
              <w:rPr>
                <w:u w:val="single"/>
              </w:rPr>
              <w:t>Ateliers sur demande avec les membres de l</w:t>
            </w:r>
            <w:r w:rsidR="007B4A5D">
              <w:rPr>
                <w:u w:val="single"/>
              </w:rPr>
              <w:t>’</w:t>
            </w:r>
            <w:r>
              <w:rPr>
                <w:u w:val="single"/>
              </w:rPr>
              <w:t>OKB</w:t>
            </w:r>
            <w:r w:rsidR="007B4A5D">
              <w:t> :</w:t>
            </w:r>
            <w:r>
              <w:t xml:space="preserve"> Cinq</w:t>
            </w:r>
            <w:r w:rsidR="00FA77D8">
              <w:t> </w:t>
            </w:r>
            <w:r>
              <w:t xml:space="preserve">ateliers ont été organisés en mars et </w:t>
            </w:r>
            <w:r w:rsidR="007B4A5D">
              <w:t>avril 20</w:t>
            </w:r>
            <w:r>
              <w:t>23 à la demande des membres de l</w:t>
            </w:r>
            <w:r w:rsidR="007B4A5D">
              <w:t>’</w:t>
            </w:r>
            <w:r>
              <w:t>OKB, afin de renforcer les capacités de ces derniers en matière de gestion et d</w:t>
            </w:r>
            <w:r w:rsidR="007B4A5D">
              <w:t>’</w:t>
            </w:r>
            <w:r>
              <w:t>utilisation de la marque collecti</w:t>
            </w:r>
            <w:r w:rsidR="005D4872">
              <w:t>ve.  Ce</w:t>
            </w:r>
            <w:r>
              <w:t>s ateliers ont abordé, entre autres, les opportunités et les défis liés aux marques collectives, le règlement d</w:t>
            </w:r>
            <w:r w:rsidR="007B4A5D">
              <w:t>’</w:t>
            </w:r>
            <w:r>
              <w:t>usage, les normes et les exigences, ainsi que la gouvernance interne.</w:t>
            </w:r>
          </w:p>
          <w:p w14:paraId="48B8C15C" w14:textId="72C21EDB" w:rsidR="009B1999" w:rsidRDefault="009B1999" w:rsidP="009B1999">
            <w:pPr>
              <w:pStyle w:val="TableParagraph"/>
              <w:numPr>
                <w:ilvl w:val="0"/>
                <w:numId w:val="9"/>
              </w:numPr>
              <w:tabs>
                <w:tab w:val="left" w:pos="6841"/>
              </w:tabs>
              <w:spacing w:before="120" w:after="120"/>
              <w:ind w:left="541" w:right="166"/>
            </w:pPr>
            <w:r>
              <w:rPr>
                <w:u w:val="single"/>
              </w:rPr>
              <w:t>Matériel de sensibilisation</w:t>
            </w:r>
            <w:r w:rsidR="007B4A5D">
              <w:t> :</w:t>
            </w:r>
            <w:r>
              <w:t xml:space="preserve"> Le matériel de sensibilisation élaboré dans le cadre de ce projet aux Philippines comprend un guide pratique et une courte vidéo, en langue anglai</w:t>
            </w:r>
            <w:r w:rsidR="005D4872">
              <w:t>se.  Un</w:t>
            </w:r>
            <w:r>
              <w:t xml:space="preserve"> dépliant et une brochure ont également été élaborés, décrivant l</w:t>
            </w:r>
            <w:r w:rsidR="007B4A5D">
              <w:t>’</w:t>
            </w:r>
            <w:r>
              <w:t>association OKB et la marque collective nouvellement créée.</w:t>
            </w:r>
          </w:p>
          <w:p w14:paraId="72DECC79" w14:textId="62E57631" w:rsidR="009B1999" w:rsidRDefault="009B1999" w:rsidP="00A7001E">
            <w:pPr>
              <w:pStyle w:val="TableParagraph"/>
              <w:tabs>
                <w:tab w:val="left" w:pos="6841"/>
              </w:tabs>
              <w:spacing w:before="120" w:after="120"/>
              <w:ind w:left="541" w:right="166"/>
            </w:pPr>
            <w:r>
              <w:t>Le guide pratique est disponible sur le site</w:t>
            </w:r>
            <w:r w:rsidR="00FA77D8">
              <w:t> </w:t>
            </w:r>
            <w:r>
              <w:t>Web de l</w:t>
            </w:r>
            <w:r w:rsidR="007B4A5D">
              <w:t>’</w:t>
            </w:r>
            <w:r>
              <w:t>IPOPHIL, à l</w:t>
            </w:r>
            <w:r w:rsidR="007B4A5D">
              <w:t>’</w:t>
            </w:r>
            <w:r>
              <w:t>adresse suivante</w:t>
            </w:r>
            <w:r w:rsidR="007B4A5D">
              <w:t> :</w:t>
            </w:r>
            <w:r>
              <w:t xml:space="preserve"> </w:t>
            </w:r>
            <w:hyperlink r:id="rId27" w:history="1">
              <w:r>
                <w:rPr>
                  <w:rStyle w:val="Hyperlink"/>
                </w:rPr>
                <w:t>www.ipophil.gov.ph/trademark/</w:t>
              </w:r>
            </w:hyperlink>
          </w:p>
          <w:p w14:paraId="727D64BB" w14:textId="0C924F84" w:rsidR="009B1999" w:rsidRPr="005110F2" w:rsidRDefault="009B1999" w:rsidP="005110F2">
            <w:pPr>
              <w:pStyle w:val="TableParagraph"/>
              <w:tabs>
                <w:tab w:val="left" w:pos="6841"/>
              </w:tabs>
              <w:spacing w:before="120" w:after="120"/>
              <w:ind w:left="541" w:right="166"/>
            </w:pPr>
            <w:r>
              <w:t xml:space="preserve">La courte vidéo est disponible sur la </w:t>
            </w:r>
            <w:r w:rsidR="007B4A5D">
              <w:t>page W</w:t>
            </w:r>
            <w:r>
              <w:t>eb de l</w:t>
            </w:r>
            <w:r w:rsidR="007B4A5D">
              <w:t>’</w:t>
            </w:r>
            <w:r>
              <w:t xml:space="preserve">OMPI consacrée au projet pour </w:t>
            </w:r>
            <w:hyperlink r:id="rId28" w:history="1">
              <w:r>
                <w:rPr>
                  <w:rStyle w:val="Hyperlink"/>
                </w:rPr>
                <w:t>les Philippines</w:t>
              </w:r>
            </w:hyperlink>
            <w:r>
              <w:t>.</w:t>
            </w:r>
          </w:p>
          <w:p w14:paraId="4F8E45D4" w14:textId="77777777" w:rsidR="009B1999" w:rsidRPr="00170E86" w:rsidRDefault="009B1999" w:rsidP="009703ED">
            <w:pPr>
              <w:pStyle w:val="TableParagraph"/>
              <w:keepNext/>
              <w:tabs>
                <w:tab w:val="left" w:pos="6841"/>
              </w:tabs>
              <w:spacing w:before="360" w:after="120"/>
              <w:ind w:left="109" w:right="166"/>
              <w:rPr>
                <w:u w:val="single"/>
              </w:rPr>
            </w:pPr>
            <w:r>
              <w:rPr>
                <w:u w:val="single"/>
              </w:rPr>
              <w:t>Tunisie</w:t>
            </w:r>
          </w:p>
          <w:p w14:paraId="2019C570" w14:textId="4C0EBCDE" w:rsidR="009B1999" w:rsidRPr="004147F2" w:rsidRDefault="009B1999" w:rsidP="009703ED">
            <w:pPr>
              <w:pStyle w:val="ListParagraph"/>
              <w:keepNext/>
              <w:numPr>
                <w:ilvl w:val="0"/>
                <w:numId w:val="9"/>
              </w:numPr>
              <w:tabs>
                <w:tab w:val="left" w:pos="6841"/>
              </w:tabs>
              <w:ind w:left="541" w:right="166"/>
              <w:rPr>
                <w:rFonts w:eastAsia="Arial"/>
                <w:szCs w:val="22"/>
              </w:rPr>
            </w:pPr>
            <w:r>
              <w:rPr>
                <w:u w:val="single"/>
              </w:rPr>
              <w:t>Composition de l</w:t>
            </w:r>
            <w:r w:rsidR="007B4A5D">
              <w:rPr>
                <w:u w:val="single"/>
              </w:rPr>
              <w:t>’</w:t>
            </w:r>
            <w:r>
              <w:rPr>
                <w:u w:val="single"/>
              </w:rPr>
              <w:t>équipe et plan de mise en œuvre à l</w:t>
            </w:r>
            <w:r w:rsidR="007B4A5D">
              <w:rPr>
                <w:u w:val="single"/>
              </w:rPr>
              <w:t>’</w:t>
            </w:r>
            <w:r>
              <w:rPr>
                <w:u w:val="single"/>
              </w:rPr>
              <w:t>échelle nationale</w:t>
            </w:r>
            <w:r w:rsidR="007B4A5D">
              <w:t> :</w:t>
            </w:r>
            <w:r>
              <w:t xml:space="preserve"> En </w:t>
            </w:r>
            <w:r w:rsidR="007B4A5D">
              <w:t>mars 20</w:t>
            </w:r>
            <w:r>
              <w:t>21, le plan de mise en œuvre à l</w:t>
            </w:r>
            <w:r w:rsidR="007B4A5D">
              <w:t>’</w:t>
            </w:r>
            <w:r>
              <w:t>échelle nationale pour la Tunisie était rédigé et approu</w:t>
            </w:r>
            <w:r w:rsidR="005D4872">
              <w:t>vé.  La</w:t>
            </w:r>
            <w:r>
              <w:t xml:space="preserve"> Tunisie a désigné un coordonnateur de projet local au sein de l</w:t>
            </w:r>
            <w:r w:rsidR="007B4A5D">
              <w:t>’</w:t>
            </w:r>
            <w:r>
              <w:t>Office national de la propriété intellectuelle (INNORPI).  Deux</w:t>
            </w:r>
            <w:r w:rsidR="00FA77D8">
              <w:t> </w:t>
            </w:r>
            <w:r>
              <w:t>consultants nationaux ont par ailleurs été engagés en renfort pour le projet.</w:t>
            </w:r>
          </w:p>
          <w:p w14:paraId="17B810FD" w14:textId="6C706DA2" w:rsidR="009B1999" w:rsidRPr="008B7F76" w:rsidRDefault="009B1999" w:rsidP="009B1999">
            <w:pPr>
              <w:pStyle w:val="TableParagraph"/>
              <w:numPr>
                <w:ilvl w:val="0"/>
                <w:numId w:val="9"/>
              </w:numPr>
              <w:tabs>
                <w:tab w:val="left" w:pos="6841"/>
              </w:tabs>
              <w:spacing w:before="120" w:after="120"/>
              <w:ind w:left="541" w:right="166"/>
            </w:pPr>
            <w:r>
              <w:rPr>
                <w:u w:val="single"/>
              </w:rPr>
              <w:t>Étude exploratoire</w:t>
            </w:r>
            <w:r w:rsidR="007B4A5D">
              <w:t> :</w:t>
            </w:r>
            <w:r>
              <w:t xml:space="preserve"> L</w:t>
            </w:r>
            <w:r w:rsidR="007B4A5D">
              <w:t>’</w:t>
            </w:r>
            <w:r>
              <w:t>étude exploratoire sur les groupes potentiels de producteurs et leurs produits pouvant bénéficier de l</w:t>
            </w:r>
            <w:r w:rsidR="007B4A5D">
              <w:t>’</w:t>
            </w:r>
            <w:r>
              <w:t xml:space="preserve">utilisation de marques collectives a été réalisée en français par les consultants nationaux du projet et achevée en </w:t>
            </w:r>
            <w:r w:rsidR="007B4A5D">
              <w:t>mai 20</w:t>
            </w:r>
            <w:r>
              <w:t>21.</w:t>
            </w:r>
          </w:p>
          <w:p w14:paraId="7568B2D2" w14:textId="7486D16C" w:rsidR="007B4A5D" w:rsidRDefault="009B1999" w:rsidP="009B1999">
            <w:pPr>
              <w:pStyle w:val="TableParagraph"/>
              <w:numPr>
                <w:ilvl w:val="0"/>
                <w:numId w:val="9"/>
              </w:numPr>
              <w:tabs>
                <w:tab w:val="left" w:pos="6841"/>
              </w:tabs>
              <w:spacing w:before="120" w:after="120"/>
              <w:ind w:left="541" w:right="166"/>
            </w:pPr>
            <w:r>
              <w:rPr>
                <w:u w:val="single"/>
              </w:rPr>
              <w:t>Séance d</w:t>
            </w:r>
            <w:r w:rsidR="007B4A5D">
              <w:rPr>
                <w:u w:val="single"/>
              </w:rPr>
              <w:t>’</w:t>
            </w:r>
            <w:r>
              <w:rPr>
                <w:u w:val="single"/>
              </w:rPr>
              <w:t>information</w:t>
            </w:r>
            <w:r w:rsidR="007B4A5D">
              <w:t> :</w:t>
            </w:r>
            <w:r>
              <w:t xml:space="preserve"> Une séance d</w:t>
            </w:r>
            <w:r w:rsidR="007B4A5D">
              <w:t>’</w:t>
            </w:r>
            <w:r>
              <w:t>information portant sur les avantages potentiels de l</w:t>
            </w:r>
            <w:r w:rsidR="007B4A5D">
              <w:t>’</w:t>
            </w:r>
            <w:r>
              <w:t>utilisation des marques collectives s</w:t>
            </w:r>
            <w:r w:rsidR="007B4A5D">
              <w:t>’</w:t>
            </w:r>
            <w:r>
              <w:t>est tenue sous une forme hybride le 25 juin 2021.  L</w:t>
            </w:r>
            <w:r w:rsidR="007B4A5D">
              <w:t>’</w:t>
            </w:r>
            <w:r>
              <w:t>OMPI a participé virtuellement à l</w:t>
            </w:r>
            <w:r w:rsidR="007B4A5D">
              <w:t>’</w:t>
            </w:r>
            <w:r>
              <w:t>événement sur Zoom, et les deux</w:t>
            </w:r>
            <w:r w:rsidR="00FA77D8">
              <w:t> </w:t>
            </w:r>
            <w:r>
              <w:t>consultants nationaux du projet y ont assisté en personne.</w:t>
            </w:r>
          </w:p>
          <w:p w14:paraId="5DAF2258" w14:textId="731D208E" w:rsidR="007B4A5D" w:rsidRDefault="009B1999" w:rsidP="009B1999">
            <w:pPr>
              <w:pStyle w:val="TableParagraph"/>
              <w:numPr>
                <w:ilvl w:val="0"/>
                <w:numId w:val="9"/>
              </w:numPr>
              <w:tabs>
                <w:tab w:val="left" w:pos="6841"/>
              </w:tabs>
              <w:spacing w:before="120" w:after="120"/>
              <w:ind w:left="541" w:right="166"/>
            </w:pPr>
            <w:r>
              <w:rPr>
                <w:u w:val="single"/>
              </w:rPr>
              <w:t>Sélection du produit et recensement/création de l</w:t>
            </w:r>
            <w:r w:rsidR="007B4A5D">
              <w:rPr>
                <w:u w:val="single"/>
              </w:rPr>
              <w:t>’</w:t>
            </w:r>
            <w:r>
              <w:rPr>
                <w:u w:val="single"/>
              </w:rPr>
              <w:t>association</w:t>
            </w:r>
            <w:r w:rsidR="007B4A5D">
              <w:t> :</w:t>
            </w:r>
            <w:r>
              <w:t xml:space="preserve"> Un groupe de producteurs de miel et de produits dérivés du miel, d</w:t>
            </w:r>
            <w:r w:rsidR="007B4A5D">
              <w:t>’</w:t>
            </w:r>
            <w:r>
              <w:t>huile essentielle et d</w:t>
            </w:r>
            <w:r w:rsidR="007B4A5D">
              <w:t>’</w:t>
            </w:r>
            <w:r>
              <w:t>autres produits locaux de la région de </w:t>
            </w:r>
            <w:proofErr w:type="spellStart"/>
            <w:r>
              <w:t>Ghardimaou</w:t>
            </w:r>
            <w:proofErr w:type="spellEnd"/>
            <w:r>
              <w:t>, Jendouba, a été sélection</w:t>
            </w:r>
            <w:r w:rsidR="005D4872">
              <w:t>né.  Da</w:t>
            </w:r>
            <w:r>
              <w:t>ns le cadre de ce projet, l</w:t>
            </w:r>
            <w:r w:rsidR="007B4A5D">
              <w:t>’</w:t>
            </w:r>
            <w:r>
              <w:t>OMPI a aidé les producteurs à créer l</w:t>
            </w:r>
            <w:r w:rsidR="007B4A5D">
              <w:t>’</w:t>
            </w:r>
            <w:r>
              <w:t xml:space="preserve">Association des producteurs pour la promotion des produits de </w:t>
            </w:r>
            <w:proofErr w:type="spellStart"/>
            <w:r>
              <w:t>Ghardimaou</w:t>
            </w:r>
            <w:proofErr w:type="spellEnd"/>
            <w:r>
              <w:t xml:space="preserve"> (APROG) pour permettre le développement et l</w:t>
            </w:r>
            <w:r w:rsidR="007B4A5D">
              <w:t>’</w:t>
            </w:r>
            <w:r>
              <w:t>enregistrement de leur marque collective.</w:t>
            </w:r>
          </w:p>
          <w:p w14:paraId="1B75BDD6" w14:textId="207AC17E" w:rsidR="007B4A5D" w:rsidRDefault="009B1999" w:rsidP="009B1999">
            <w:pPr>
              <w:pStyle w:val="TableParagraph"/>
              <w:numPr>
                <w:ilvl w:val="0"/>
                <w:numId w:val="9"/>
              </w:numPr>
              <w:tabs>
                <w:tab w:val="left" w:pos="6841"/>
              </w:tabs>
              <w:spacing w:before="120" w:after="120"/>
              <w:ind w:left="541" w:right="166"/>
            </w:pPr>
            <w:r>
              <w:rPr>
                <w:u w:val="single"/>
              </w:rPr>
              <w:t>Ateliers avec les membres de l</w:t>
            </w:r>
            <w:r w:rsidR="007B4A5D">
              <w:rPr>
                <w:u w:val="single"/>
              </w:rPr>
              <w:t>’</w:t>
            </w:r>
            <w:r>
              <w:rPr>
                <w:u w:val="single"/>
              </w:rPr>
              <w:t>APROG</w:t>
            </w:r>
            <w:r w:rsidR="007B4A5D">
              <w:t> :</w:t>
            </w:r>
            <w:r>
              <w:t xml:space="preserve"> Une première table ronde sur les principaux éléments de la marque collective s</w:t>
            </w:r>
            <w:r w:rsidR="007B4A5D">
              <w:t>’</w:t>
            </w:r>
            <w:r>
              <w:t>est tenue le 6 </w:t>
            </w:r>
            <w:r w:rsidR="007B4A5D">
              <w:t>septembre 20</w:t>
            </w:r>
            <w:r>
              <w:t>21.  Celle</w:t>
            </w:r>
            <w:r w:rsidR="00F72A1A">
              <w:noBreakHyphen/>
            </w:r>
            <w:r>
              <w:t>ci a été suivie d</w:t>
            </w:r>
            <w:r w:rsidR="007B4A5D">
              <w:t>’</w:t>
            </w:r>
            <w:r>
              <w:t>un atelier qui s</w:t>
            </w:r>
            <w:r w:rsidR="007B4A5D">
              <w:t>’</w:t>
            </w:r>
            <w:r>
              <w:t>est tenu sous une forme hybride le 18 </w:t>
            </w:r>
            <w:r w:rsidR="007B4A5D">
              <w:t>novembre 20</w:t>
            </w:r>
            <w:r>
              <w:t>21.  L</w:t>
            </w:r>
            <w:r w:rsidR="007B4A5D">
              <w:t>’</w:t>
            </w:r>
            <w:r>
              <w:t>atelier visait à guider le groupe de producteurs sélectionné dans le développement de leur marque collective et dans la création de l</w:t>
            </w:r>
            <w:r w:rsidR="007B4A5D">
              <w:t>’</w:t>
            </w:r>
            <w:r>
              <w:t>association.  L</w:t>
            </w:r>
            <w:r w:rsidR="007B4A5D">
              <w:t>’</w:t>
            </w:r>
            <w:r>
              <w:t>OMPI a participé à cet atelier virtuellement sur Zoom, et un consultant national y a assisté en person</w:t>
            </w:r>
            <w:r w:rsidR="005D4872">
              <w:t>ne.  Un</w:t>
            </w:r>
            <w:r>
              <w:t xml:space="preserve"> deuxième atelier, également organisé sous une forme hybride, a eu lieu le 28 </w:t>
            </w:r>
            <w:r w:rsidR="007B4A5D">
              <w:t>mars 20</w:t>
            </w:r>
            <w:r>
              <w:t>22.  Cet atelier portait sur les règles régissant l</w:t>
            </w:r>
            <w:r w:rsidR="007B4A5D">
              <w:t>’</w:t>
            </w:r>
            <w:r>
              <w:t>utilisation de la marque collecti</w:t>
            </w:r>
            <w:r w:rsidR="005D4872">
              <w:t>ve.  Co</w:t>
            </w:r>
            <w:r>
              <w:t>mme pour le premier atelier, l</w:t>
            </w:r>
            <w:r w:rsidR="007B4A5D">
              <w:t>’</w:t>
            </w:r>
            <w:r>
              <w:t>OMPI a participé à cet atelier virtuellement sur Zoom, et un consultant national y a assisté en person</w:t>
            </w:r>
            <w:r w:rsidR="005D4872">
              <w:t>ne.  Un</w:t>
            </w:r>
            <w:r>
              <w:t xml:space="preserve"> troisième atelier a été organisé à </w:t>
            </w:r>
            <w:proofErr w:type="spellStart"/>
            <w:r>
              <w:t>Ghardimaou</w:t>
            </w:r>
            <w:proofErr w:type="spellEnd"/>
            <w:r>
              <w:t>, Jendouba, les 23 et 24 </w:t>
            </w:r>
            <w:r w:rsidR="007B4A5D">
              <w:t>janvier 20</w:t>
            </w:r>
            <w:r>
              <w:t>23, afin de renforcer la capacité des membres de l</w:t>
            </w:r>
            <w:r w:rsidR="007B4A5D">
              <w:t>’</w:t>
            </w:r>
            <w:r>
              <w:t>APROG à utiliser efficacement leur marque collective après l</w:t>
            </w:r>
            <w:r w:rsidR="007B4A5D">
              <w:t>’</w:t>
            </w:r>
            <w:r>
              <w:t>enregistrement.</w:t>
            </w:r>
          </w:p>
          <w:p w14:paraId="072DDBE2" w14:textId="4E65109D" w:rsidR="009B1999" w:rsidRDefault="009B1999" w:rsidP="009B1999">
            <w:pPr>
              <w:pStyle w:val="TableParagraph"/>
              <w:numPr>
                <w:ilvl w:val="0"/>
                <w:numId w:val="9"/>
              </w:numPr>
              <w:tabs>
                <w:tab w:val="left" w:pos="6841"/>
              </w:tabs>
              <w:spacing w:before="120" w:after="120"/>
              <w:ind w:left="541" w:right="166"/>
            </w:pPr>
            <w:r>
              <w:rPr>
                <w:u w:val="single"/>
              </w:rPr>
              <w:t>Règlement d</w:t>
            </w:r>
            <w:r w:rsidR="007B4A5D">
              <w:rPr>
                <w:u w:val="single"/>
              </w:rPr>
              <w:t>’</w:t>
            </w:r>
            <w:r>
              <w:rPr>
                <w:u w:val="single"/>
              </w:rPr>
              <w:t>usage</w:t>
            </w:r>
            <w:r w:rsidR="007B4A5D">
              <w:t> :</w:t>
            </w:r>
            <w:r>
              <w:t xml:space="preserve"> Le règlement d</w:t>
            </w:r>
            <w:r w:rsidR="007B4A5D">
              <w:t>’</w:t>
            </w:r>
            <w:r>
              <w:t>usage de la marque collective a été rédigé en français par les consultants nationaux du projet et adopté par la suite par les membres de l</w:t>
            </w:r>
            <w:r w:rsidR="007B4A5D">
              <w:t>’</w:t>
            </w:r>
            <w:r>
              <w:t>AP</w:t>
            </w:r>
            <w:r w:rsidR="005D4872">
              <w:t>ROG.  Ou</w:t>
            </w:r>
            <w:r>
              <w:t>tre le règlement d</w:t>
            </w:r>
            <w:r w:rsidR="007B4A5D">
              <w:t>’</w:t>
            </w:r>
            <w:r>
              <w:t>usage, un cahier des charges a été élaboré.</w:t>
            </w:r>
          </w:p>
          <w:p w14:paraId="055930FE" w14:textId="163B3898" w:rsidR="009B1999" w:rsidRPr="00A849D7" w:rsidRDefault="009B1999" w:rsidP="009B1999">
            <w:pPr>
              <w:pStyle w:val="TableParagraph"/>
              <w:numPr>
                <w:ilvl w:val="0"/>
                <w:numId w:val="9"/>
              </w:numPr>
              <w:tabs>
                <w:tab w:val="left" w:pos="6841"/>
              </w:tabs>
              <w:spacing w:before="120" w:after="120"/>
              <w:ind w:left="541" w:right="166"/>
            </w:pPr>
            <w:r>
              <w:rPr>
                <w:u w:val="single"/>
              </w:rPr>
              <w:t>Conception du logo</w:t>
            </w:r>
            <w:r w:rsidR="007B4A5D">
              <w:t> :</w:t>
            </w:r>
            <w:r>
              <w:t xml:space="preserve"> Un prestataire local a été chargé de concevoir le logo de la marque collecti</w:t>
            </w:r>
            <w:r w:rsidR="005D4872">
              <w:t>ve.  Le</w:t>
            </w:r>
            <w:r>
              <w:t xml:space="preserve"> logo a été finalisé en </w:t>
            </w:r>
            <w:r w:rsidR="007B4A5D">
              <w:t>mai 20</w:t>
            </w:r>
            <w:r>
              <w:t>22.  Un accord de cession du droit d</w:t>
            </w:r>
            <w:r w:rsidR="007B4A5D">
              <w:t>’</w:t>
            </w:r>
            <w:r>
              <w:t>auteur a été ensuite établi, puis signé par l</w:t>
            </w:r>
            <w:r w:rsidR="007B4A5D">
              <w:t>’</w:t>
            </w:r>
            <w:r>
              <w:t>OMPI et l</w:t>
            </w:r>
            <w:r w:rsidR="007B4A5D">
              <w:t>’</w:t>
            </w:r>
            <w:r>
              <w:t xml:space="preserve">APROG en </w:t>
            </w:r>
            <w:r w:rsidR="007B4A5D">
              <w:t>novembre 20</w:t>
            </w:r>
            <w:r>
              <w:t>22, afin de céder officiellement le droit d</w:t>
            </w:r>
            <w:r w:rsidR="007B4A5D">
              <w:t>’</w:t>
            </w:r>
            <w:r>
              <w:t>auteur sur le logo à l</w:t>
            </w:r>
            <w:r w:rsidR="007B4A5D">
              <w:t>’</w:t>
            </w:r>
            <w:r>
              <w:t>association.</w:t>
            </w:r>
          </w:p>
          <w:p w14:paraId="49B9231D" w14:textId="32D7E77D" w:rsidR="009B1999" w:rsidRPr="00A849D7" w:rsidRDefault="009B1999" w:rsidP="009B1999">
            <w:pPr>
              <w:pStyle w:val="TableParagraph"/>
              <w:numPr>
                <w:ilvl w:val="0"/>
                <w:numId w:val="9"/>
              </w:numPr>
              <w:tabs>
                <w:tab w:val="left" w:pos="6841"/>
              </w:tabs>
              <w:spacing w:before="120" w:after="120"/>
              <w:ind w:left="541" w:right="166"/>
            </w:pPr>
            <w:r>
              <w:rPr>
                <w:u w:val="single"/>
              </w:rPr>
              <w:t>Formation sur les marques collectives</w:t>
            </w:r>
            <w:r w:rsidR="007B4A5D">
              <w:t> :</w:t>
            </w:r>
            <w:r>
              <w:t xml:space="preserve"> Une formation de deux</w:t>
            </w:r>
            <w:r w:rsidR="00FA77D8">
              <w:t> </w:t>
            </w:r>
            <w:r>
              <w:t xml:space="preserve">jours a été organisée à Tunis et à Jendouba </w:t>
            </w:r>
            <w:proofErr w:type="gramStart"/>
            <w:r>
              <w:t>les</w:t>
            </w:r>
            <w:r w:rsidR="007B4A5D">
              <w:t xml:space="preserve"> 1</w:t>
            </w:r>
            <w:r w:rsidR="007B4A5D" w:rsidRPr="007B4A5D">
              <w:rPr>
                <w:vertAlign w:val="superscript"/>
              </w:rPr>
              <w:t>er</w:t>
            </w:r>
            <w:proofErr w:type="gramEnd"/>
            <w:r w:rsidR="007B4A5D">
              <w:t> </w:t>
            </w:r>
            <w:r>
              <w:t>et 2 </w:t>
            </w:r>
            <w:r w:rsidR="007B4A5D">
              <w:t>juin 20</w:t>
            </w:r>
            <w:r>
              <w:t>22.  La première journée de formation visait à renforcer les capacités et les connaissances du personnel de l</w:t>
            </w:r>
            <w:r w:rsidR="007B4A5D">
              <w:t>’</w:t>
            </w:r>
            <w:r>
              <w:t>INNORPI en matière de développement et d</w:t>
            </w:r>
            <w:r w:rsidR="007B4A5D">
              <w:t>’</w:t>
            </w:r>
            <w:r>
              <w:t>enregistrement des marques collectiv</w:t>
            </w:r>
            <w:r w:rsidR="005D4872">
              <w:t>es.  La</w:t>
            </w:r>
            <w:r>
              <w:t xml:space="preserve"> deuxième journée de formation a permis de finaliser et d</w:t>
            </w:r>
            <w:r w:rsidR="007B4A5D">
              <w:t>’</w:t>
            </w:r>
            <w:r>
              <w:t>adopter le règlement d</w:t>
            </w:r>
            <w:r w:rsidR="007B4A5D">
              <w:t>’</w:t>
            </w:r>
            <w:r>
              <w:t>usage et le cadre juridique interne de l</w:t>
            </w:r>
            <w:r w:rsidR="007B4A5D">
              <w:t>’</w:t>
            </w:r>
            <w:r>
              <w:t>association APROG.</w:t>
            </w:r>
          </w:p>
          <w:p w14:paraId="5E84FB21" w14:textId="1FD874DD" w:rsidR="009B1999" w:rsidRPr="00A849D7" w:rsidRDefault="009B1999" w:rsidP="009B1999">
            <w:pPr>
              <w:pStyle w:val="TableParagraph"/>
              <w:numPr>
                <w:ilvl w:val="0"/>
                <w:numId w:val="9"/>
              </w:numPr>
              <w:tabs>
                <w:tab w:val="left" w:pos="6841"/>
              </w:tabs>
              <w:spacing w:before="120" w:after="120"/>
              <w:ind w:left="541" w:right="166"/>
            </w:pPr>
            <w:r>
              <w:rPr>
                <w:u w:val="single"/>
              </w:rPr>
              <w:t>Enregistrement de la marque collective</w:t>
            </w:r>
            <w:r w:rsidR="007B4A5D">
              <w:t> :</w:t>
            </w:r>
            <w:r>
              <w:t xml:space="preserve"> Le certificat d</w:t>
            </w:r>
            <w:r w:rsidR="007B4A5D">
              <w:t>’</w:t>
            </w:r>
            <w:r>
              <w:t>enregistrement a été délivré le 27 octobre 2022.</w:t>
            </w:r>
          </w:p>
          <w:p w14:paraId="2EA31AE6" w14:textId="4E07FC94" w:rsidR="009B1999" w:rsidRDefault="009B1999" w:rsidP="009B1999">
            <w:pPr>
              <w:pStyle w:val="TableParagraph"/>
              <w:numPr>
                <w:ilvl w:val="0"/>
                <w:numId w:val="9"/>
              </w:numPr>
              <w:tabs>
                <w:tab w:val="left" w:pos="6841"/>
              </w:tabs>
              <w:spacing w:before="120" w:after="120"/>
              <w:ind w:left="541" w:right="166"/>
            </w:pPr>
            <w:r>
              <w:rPr>
                <w:u w:val="single"/>
              </w:rPr>
              <w:t>Cérémonie de lancement</w:t>
            </w:r>
            <w:r w:rsidR="007B4A5D">
              <w:t> :</w:t>
            </w:r>
            <w:r>
              <w:t xml:space="preserve"> La cérémonie de lancement de la marque collective s</w:t>
            </w:r>
            <w:r w:rsidR="007B4A5D">
              <w:t>’</w:t>
            </w:r>
            <w:r>
              <w:t xml:space="preserve">est déroulée à </w:t>
            </w:r>
            <w:proofErr w:type="spellStart"/>
            <w:r>
              <w:t>Ghardimaou</w:t>
            </w:r>
            <w:proofErr w:type="spellEnd"/>
            <w:r>
              <w:t>, Jendouba, le 27 </w:t>
            </w:r>
            <w:r w:rsidR="007B4A5D">
              <w:t>juillet 20</w:t>
            </w:r>
            <w:r>
              <w:t>23.  Une visite de terrain à une foire commerciale a été organisée après le lancement, ce qui a permis aux membres de l</w:t>
            </w:r>
            <w:r w:rsidR="007B4A5D">
              <w:t>’</w:t>
            </w:r>
            <w:r>
              <w:t>APROG de présenter et de promouvoir leurs produits associés à la marque collective et d</w:t>
            </w:r>
            <w:r w:rsidR="007B4A5D">
              <w:t>’</w:t>
            </w:r>
            <w:r>
              <w:t>entrer en relation avec des consommateurs potentiels, favorisant ainsi le développement économique de la région.</w:t>
            </w:r>
          </w:p>
          <w:p w14:paraId="2206842F" w14:textId="23719FBF" w:rsidR="007B4A5D" w:rsidRDefault="009B1999" w:rsidP="009B1999">
            <w:pPr>
              <w:pStyle w:val="ListParagraph"/>
              <w:numPr>
                <w:ilvl w:val="0"/>
                <w:numId w:val="9"/>
              </w:numPr>
              <w:tabs>
                <w:tab w:val="left" w:pos="6841"/>
              </w:tabs>
              <w:ind w:left="541" w:right="166"/>
            </w:pPr>
            <w:r>
              <w:rPr>
                <w:u w:val="single"/>
              </w:rPr>
              <w:t>Matériel de sensibilisation</w:t>
            </w:r>
            <w:r w:rsidR="007B4A5D">
              <w:t> :</w:t>
            </w:r>
            <w:r>
              <w:t xml:space="preserve"> Le matériel de sensibilisation élaboré dans le cadre de ce projet en Tunisie comprend un guide pratique, un dépliant promotionnel et une courte vidéo, en langue française.</w:t>
            </w:r>
          </w:p>
          <w:p w14:paraId="6743A125" w14:textId="12443F3C" w:rsidR="007B4A5D" w:rsidRDefault="009B1999" w:rsidP="00A7001E">
            <w:pPr>
              <w:pStyle w:val="TableParagraph"/>
              <w:tabs>
                <w:tab w:val="left" w:pos="6841"/>
              </w:tabs>
              <w:spacing w:before="120" w:after="120"/>
              <w:ind w:left="541" w:right="166"/>
            </w:pPr>
            <w:r>
              <w:t>Le guide pratique est disponible à l</w:t>
            </w:r>
            <w:r w:rsidR="007B4A5D">
              <w:t>’</w:t>
            </w:r>
            <w:r>
              <w:t>adresse suivante</w:t>
            </w:r>
            <w:r w:rsidR="007B4A5D">
              <w:t> :</w:t>
            </w:r>
          </w:p>
          <w:p w14:paraId="099B6D7D" w14:textId="1D3C59AD" w:rsidR="007B4A5D" w:rsidRDefault="00E565DD" w:rsidP="00A7001E">
            <w:pPr>
              <w:pStyle w:val="TableParagraph"/>
              <w:tabs>
                <w:tab w:val="left" w:pos="6841"/>
              </w:tabs>
              <w:spacing w:before="120" w:after="120"/>
              <w:ind w:left="541" w:right="166"/>
            </w:pPr>
            <w:hyperlink r:id="rId29" w:history="1">
              <w:r w:rsidR="009B1999">
                <w:rPr>
                  <w:rStyle w:val="Hyperlink"/>
                </w:rPr>
                <w:t>www.innorpi.tn/sites/default/files/inline</w:t>
              </w:r>
              <w:r w:rsidR="00F72A1A">
                <w:rPr>
                  <w:rStyle w:val="Hyperlink"/>
                </w:rPr>
                <w:noBreakHyphen/>
              </w:r>
              <w:r w:rsidR="009B1999">
                <w:rPr>
                  <w:rStyle w:val="Hyperlink"/>
                </w:rPr>
                <w:t>files/Guide%20de%20la%20marque%20collective%20fr.pdf</w:t>
              </w:r>
            </w:hyperlink>
          </w:p>
          <w:p w14:paraId="4ECB9E08" w14:textId="64881C69" w:rsidR="007B4A5D" w:rsidRDefault="009B1999" w:rsidP="00A7001E">
            <w:pPr>
              <w:pStyle w:val="TableParagraph"/>
              <w:tabs>
                <w:tab w:val="left" w:pos="6841"/>
              </w:tabs>
              <w:spacing w:before="120" w:after="120"/>
              <w:ind w:left="541" w:right="166"/>
            </w:pPr>
            <w:r>
              <w:t>Le dépliant promotionnel est disponible à l</w:t>
            </w:r>
            <w:r w:rsidR="007B4A5D">
              <w:t>’</w:t>
            </w:r>
            <w:r>
              <w:t>adresse suivante</w:t>
            </w:r>
            <w:r w:rsidR="007B4A5D">
              <w:t> :</w:t>
            </w:r>
          </w:p>
          <w:p w14:paraId="3B83D741" w14:textId="2117335D" w:rsidR="007B4A5D" w:rsidRDefault="00E565DD" w:rsidP="00A7001E">
            <w:pPr>
              <w:pStyle w:val="TableParagraph"/>
              <w:tabs>
                <w:tab w:val="left" w:pos="6841"/>
              </w:tabs>
              <w:spacing w:before="120" w:after="120"/>
              <w:ind w:left="541" w:right="166"/>
            </w:pPr>
            <w:hyperlink r:id="rId30" w:history="1">
              <w:r w:rsidR="009B1999">
                <w:rPr>
                  <w:rStyle w:val="Hyperlink"/>
                </w:rPr>
                <w:t>www.innorpi.tn/sites/default/files/inline</w:t>
              </w:r>
              <w:r w:rsidR="00F72A1A">
                <w:rPr>
                  <w:rStyle w:val="Hyperlink"/>
                </w:rPr>
                <w:noBreakHyphen/>
              </w:r>
              <w:r w:rsidR="009B1999">
                <w:rPr>
                  <w:rStyle w:val="Hyperlink"/>
                </w:rPr>
                <w:t>files/depliant%20fr.pdf</w:t>
              </w:r>
            </w:hyperlink>
          </w:p>
          <w:p w14:paraId="54F107A0" w14:textId="1412D8A4" w:rsidR="009B1999" w:rsidRPr="005110F2" w:rsidRDefault="009B1999" w:rsidP="005110F2">
            <w:pPr>
              <w:pStyle w:val="ListParagraph"/>
              <w:tabs>
                <w:tab w:val="left" w:pos="6841"/>
              </w:tabs>
              <w:ind w:left="541" w:right="166"/>
              <w:rPr>
                <w:rFonts w:eastAsia="Arial"/>
                <w:szCs w:val="22"/>
              </w:rPr>
            </w:pPr>
            <w:r>
              <w:t xml:space="preserve">La courte vidéo est disponible sur la </w:t>
            </w:r>
            <w:r w:rsidR="007B4A5D">
              <w:t>page W</w:t>
            </w:r>
            <w:r>
              <w:t>eb de l</w:t>
            </w:r>
            <w:r w:rsidR="007B4A5D">
              <w:t>’</w:t>
            </w:r>
            <w:r>
              <w:t xml:space="preserve">OMPI consacrée au projet pour la </w:t>
            </w:r>
            <w:hyperlink r:id="rId31" w:history="1">
              <w:r>
                <w:rPr>
                  <w:rStyle w:val="Hyperlink"/>
                  <w:rFonts w:eastAsia="SimSun"/>
                </w:rPr>
                <w:t>Tunisie</w:t>
              </w:r>
            </w:hyperlink>
            <w:r>
              <w:t>.</w:t>
            </w:r>
          </w:p>
          <w:p w14:paraId="3DBE6901" w14:textId="244DBA36" w:rsidR="009B1999" w:rsidRDefault="009B1999" w:rsidP="005110F2">
            <w:pPr>
              <w:tabs>
                <w:tab w:val="left" w:pos="6841"/>
              </w:tabs>
              <w:spacing w:before="360" w:after="120"/>
              <w:ind w:left="109" w:right="166"/>
            </w:pPr>
            <w:r>
              <w:t>Activités horizontales</w:t>
            </w:r>
            <w:r w:rsidR="007B4A5D">
              <w:t> :</w:t>
            </w:r>
          </w:p>
          <w:p w14:paraId="19D88C51" w14:textId="5413F182" w:rsidR="007B4A5D" w:rsidRDefault="009B1999" w:rsidP="009B1999">
            <w:pPr>
              <w:pStyle w:val="ListParagraph"/>
              <w:numPr>
                <w:ilvl w:val="0"/>
                <w:numId w:val="12"/>
              </w:numPr>
              <w:tabs>
                <w:tab w:val="left" w:pos="6841"/>
              </w:tabs>
              <w:spacing w:before="120" w:after="120"/>
              <w:ind w:left="541" w:right="166"/>
            </w:pPr>
            <w:r>
              <w:t xml:space="preserve">Le </w:t>
            </w:r>
            <w:hyperlink r:id="rId32" w:history="1">
              <w:r>
                <w:rPr>
                  <w:rStyle w:val="Hyperlink"/>
                  <w:rFonts w:eastAsia="SimSun"/>
                </w:rPr>
                <w:t>site Web</w:t>
              </w:r>
            </w:hyperlink>
            <w:r>
              <w:t xml:space="preserve"> de l</w:t>
            </w:r>
            <w:r w:rsidR="007B4A5D">
              <w:t>’</w:t>
            </w:r>
            <w:r>
              <w:t>OMPI comporte une page spécialement consacrée à ce projet, disponible dans les six</w:t>
            </w:r>
            <w:r w:rsidR="00FA77D8">
              <w:t> </w:t>
            </w:r>
            <w:r>
              <w:t>langues officielles de l</w:t>
            </w:r>
            <w:r w:rsidR="007B4A5D">
              <w:t>’</w:t>
            </w:r>
            <w:r>
              <w:t>ONU et également en portuga</w:t>
            </w:r>
            <w:r w:rsidR="005D4872">
              <w:t>is.  Su</w:t>
            </w:r>
            <w:r>
              <w:t>r la page principale, une vidéo de sensibilisation générale sur les marques collectives est diffusée en anglais, français, espagnol, arabe et portugais.</w:t>
            </w:r>
          </w:p>
          <w:p w14:paraId="428DE528" w14:textId="3F537E63" w:rsidR="009B1999" w:rsidRDefault="009B1999" w:rsidP="009B1999">
            <w:pPr>
              <w:pStyle w:val="ListParagraph"/>
              <w:numPr>
                <w:ilvl w:val="0"/>
                <w:numId w:val="12"/>
              </w:numPr>
              <w:tabs>
                <w:tab w:val="left" w:pos="6841"/>
              </w:tabs>
              <w:spacing w:before="120" w:after="120"/>
              <w:ind w:left="541" w:right="166"/>
            </w:pPr>
            <w:r>
              <w:t>Des vidéos d</w:t>
            </w:r>
            <w:r w:rsidR="007B4A5D">
              <w:t>’</w:t>
            </w:r>
            <w:r>
              <w:t>une minute ont été produites à des fins de sensibilisation et de promotion de l</w:t>
            </w:r>
            <w:r w:rsidR="007B4A5D">
              <w:t>’</w:t>
            </w:r>
            <w:r>
              <w:t>OMPI sur les médias sociaux, sur la base des courtes vidéos élaborées pour chaque pays bénéficiaire.</w:t>
            </w:r>
          </w:p>
          <w:p w14:paraId="589D0998" w14:textId="742EE2DC" w:rsidR="009B1999" w:rsidRDefault="009B1999" w:rsidP="009B1999">
            <w:pPr>
              <w:pStyle w:val="ListParagraph"/>
              <w:numPr>
                <w:ilvl w:val="0"/>
                <w:numId w:val="12"/>
              </w:numPr>
              <w:tabs>
                <w:tab w:val="left" w:pos="6841"/>
              </w:tabs>
              <w:spacing w:before="120" w:after="120"/>
              <w:ind w:left="541" w:right="166"/>
            </w:pPr>
            <w:r>
              <w:t>Une manifestation sera organisée en marge de la 32e session</w:t>
            </w:r>
            <w:r w:rsidR="007B4A5D">
              <w:t xml:space="preserve"> du CDI</w:t>
            </w:r>
            <w:r>
              <w:t>P, au cours de laquelle les quatre</w:t>
            </w:r>
            <w:r w:rsidR="00FA77D8">
              <w:t> </w:t>
            </w:r>
            <w:r>
              <w:t>pays bénéficiaires présenteront les résultats du projet aux États membres.</w:t>
            </w:r>
          </w:p>
          <w:p w14:paraId="424A285C" w14:textId="77777777" w:rsidR="007B4A5D" w:rsidRDefault="009B1999" w:rsidP="009B1999">
            <w:pPr>
              <w:pStyle w:val="ListParagraph"/>
              <w:numPr>
                <w:ilvl w:val="0"/>
                <w:numId w:val="12"/>
              </w:numPr>
              <w:tabs>
                <w:tab w:val="left" w:pos="6841"/>
              </w:tabs>
              <w:spacing w:before="120" w:after="120"/>
              <w:ind w:left="541" w:right="166"/>
            </w:pPr>
            <w:r>
              <w:t>Une exposition sera également organisée pour présenter les résultats du projet dans chaque pays bénéficiaire.</w:t>
            </w:r>
          </w:p>
          <w:p w14:paraId="7CC04922" w14:textId="631D17EE" w:rsidR="009B1999" w:rsidRPr="00113DD4" w:rsidRDefault="009B1999" w:rsidP="009B1999">
            <w:pPr>
              <w:pStyle w:val="ListParagraph"/>
              <w:numPr>
                <w:ilvl w:val="0"/>
                <w:numId w:val="12"/>
              </w:numPr>
              <w:tabs>
                <w:tab w:val="left" w:pos="6841"/>
              </w:tabs>
              <w:spacing w:before="120" w:after="120"/>
              <w:ind w:left="541" w:right="166"/>
            </w:pPr>
            <w:r>
              <w:t>Un témoignage vidéo de chaque pays bénéficiaire a été réalisé et sera diffusé lors de la 32</w:t>
            </w:r>
            <w:r>
              <w:rPr>
                <w:vertAlign w:val="superscript"/>
              </w:rPr>
              <w:t>e</w:t>
            </w:r>
            <w:r>
              <w:t> session</w:t>
            </w:r>
            <w:r w:rsidR="007B4A5D">
              <w:t xml:space="preserve"> du CDI</w:t>
            </w:r>
            <w:r>
              <w:t>P.</w:t>
            </w:r>
          </w:p>
        </w:tc>
      </w:tr>
      <w:tr w:rsidR="009B1999" w:rsidRPr="000A4281" w14:paraId="7E0F353F" w14:textId="77777777" w:rsidTr="00A7001E">
        <w:trPr>
          <w:trHeight w:val="399"/>
        </w:trPr>
        <w:tc>
          <w:tcPr>
            <w:tcW w:w="2279" w:type="dxa"/>
            <w:shd w:val="clear" w:color="auto" w:fill="8DB3E2" w:themeFill="text2" w:themeFillTint="66"/>
          </w:tcPr>
          <w:p w14:paraId="7E90B46F" w14:textId="77777777" w:rsidR="009B1999" w:rsidRPr="00B46D4E" w:rsidRDefault="009B1999" w:rsidP="00A7001E">
            <w:pPr>
              <w:pStyle w:val="TableParagraph"/>
              <w:spacing w:before="120" w:after="120"/>
              <w:ind w:left="110" w:right="187"/>
            </w:pPr>
            <w:r>
              <w:rPr>
                <w:u w:val="single"/>
              </w:rPr>
              <w:lastRenderedPageBreak/>
              <w:t>Principaux résultats et effets du projet</w:t>
            </w:r>
          </w:p>
        </w:tc>
        <w:tc>
          <w:tcPr>
            <w:tcW w:w="7011" w:type="dxa"/>
            <w:vAlign w:val="center"/>
          </w:tcPr>
          <w:p w14:paraId="10670E9F" w14:textId="367455B4" w:rsidR="009B1999" w:rsidRDefault="009B1999" w:rsidP="00A7001E">
            <w:pPr>
              <w:pStyle w:val="TableParagraph"/>
              <w:keepNext/>
              <w:widowControl/>
              <w:tabs>
                <w:tab w:val="left" w:pos="6841"/>
              </w:tabs>
              <w:spacing w:before="120" w:after="120"/>
              <w:ind w:left="180" w:right="173"/>
            </w:pPr>
            <w:r>
              <w:t>Principaux résultats</w:t>
            </w:r>
            <w:r w:rsidR="007B4A5D">
              <w:t> :</w:t>
            </w:r>
          </w:p>
          <w:p w14:paraId="459F6872" w14:textId="4856A5E8" w:rsidR="007B4A5D" w:rsidRDefault="009B1999" w:rsidP="009B1999">
            <w:pPr>
              <w:pStyle w:val="TableParagraph"/>
              <w:keepNext/>
              <w:widowControl/>
              <w:numPr>
                <w:ilvl w:val="0"/>
                <w:numId w:val="10"/>
              </w:numPr>
              <w:tabs>
                <w:tab w:val="left" w:pos="6841"/>
              </w:tabs>
              <w:spacing w:before="120" w:after="120"/>
              <w:ind w:left="541" w:right="173"/>
            </w:pPr>
            <w:r>
              <w:t>Le projet a guidé les membres de l</w:t>
            </w:r>
            <w:r w:rsidR="007B4A5D">
              <w:t>’</w:t>
            </w:r>
            <w:r>
              <w:t>association sélectionnée dans chaque pays bénéficiaire tout au long de la procédure de développement d</w:t>
            </w:r>
            <w:r w:rsidR="007B4A5D">
              <w:t>’</w:t>
            </w:r>
            <w:r>
              <w:t>une marque collective, depuis la conception du logo de la marque collective jusqu</w:t>
            </w:r>
            <w:r w:rsidR="007B4A5D">
              <w:t>’</w:t>
            </w:r>
            <w:r>
              <w:t>à l</w:t>
            </w:r>
            <w:r w:rsidR="007B4A5D">
              <w:t>’</w:t>
            </w:r>
            <w:r>
              <w:t>enregistrement de la marque collective, et les a formés à la gestion et à l</w:t>
            </w:r>
            <w:r w:rsidR="007B4A5D">
              <w:t>’</w:t>
            </w:r>
            <w:r>
              <w:t>utilisation de la marque collective.</w:t>
            </w:r>
          </w:p>
          <w:p w14:paraId="0D9D4529" w14:textId="5E12BB33" w:rsidR="007B4A5D" w:rsidRDefault="009B1999" w:rsidP="009B1999">
            <w:pPr>
              <w:pStyle w:val="TableParagraph"/>
              <w:keepNext/>
              <w:widowControl/>
              <w:numPr>
                <w:ilvl w:val="0"/>
                <w:numId w:val="10"/>
              </w:numPr>
              <w:tabs>
                <w:tab w:val="left" w:pos="6841"/>
              </w:tabs>
              <w:spacing w:before="120" w:after="120"/>
              <w:ind w:left="541" w:right="173"/>
            </w:pPr>
            <w:r>
              <w:t>L</w:t>
            </w:r>
            <w:r w:rsidR="007B4A5D">
              <w:t>’</w:t>
            </w:r>
            <w:r>
              <w:t>élaboration de matériel de sensibilisation dans la langue locale s</w:t>
            </w:r>
            <w:r w:rsidR="007B4A5D">
              <w:t>’</w:t>
            </w:r>
            <w:r>
              <w:t>est avérée fondamentale pour renforcer les capacités et les connaissances des membres des associations sélectionnées et pour atteindre d</w:t>
            </w:r>
            <w:r w:rsidR="007B4A5D">
              <w:t>’</w:t>
            </w:r>
            <w:r>
              <w:t>autres parties prenantes au niveau local.</w:t>
            </w:r>
          </w:p>
          <w:p w14:paraId="2D071407" w14:textId="31FB37ED" w:rsidR="009B1999" w:rsidRDefault="009B1999" w:rsidP="009B1999">
            <w:pPr>
              <w:pStyle w:val="TableParagraph"/>
              <w:keepNext/>
              <w:widowControl/>
              <w:numPr>
                <w:ilvl w:val="0"/>
                <w:numId w:val="10"/>
              </w:numPr>
              <w:tabs>
                <w:tab w:val="left" w:pos="6841"/>
              </w:tabs>
              <w:spacing w:before="120" w:after="120"/>
              <w:ind w:left="541" w:right="173"/>
            </w:pPr>
            <w:r>
              <w:t>Les membres des associations de producteurs sélectionnées connaissent mieux les marques collectives grâce aux activités et aux consultations menées durant la phase de mise en œuvre du projet.</w:t>
            </w:r>
          </w:p>
          <w:p w14:paraId="03981FF9" w14:textId="77777777" w:rsidR="009B1999" w:rsidRPr="0072010C" w:rsidRDefault="009B1999" w:rsidP="009B1999">
            <w:pPr>
              <w:pStyle w:val="TableParagraph"/>
              <w:numPr>
                <w:ilvl w:val="0"/>
                <w:numId w:val="10"/>
              </w:numPr>
              <w:tabs>
                <w:tab w:val="left" w:pos="6841"/>
              </w:tabs>
              <w:spacing w:before="120" w:after="120"/>
              <w:ind w:left="541" w:right="166"/>
            </w:pPr>
            <w:r>
              <w:t>La gouvernance ainsi que la coopération entre les membres des associations sélectionnées semblent renforcées grâce aux activités menées en faveur du développement de la marque collective.</w:t>
            </w:r>
          </w:p>
        </w:tc>
      </w:tr>
      <w:tr w:rsidR="009B1999" w:rsidRPr="000A4281" w14:paraId="39FC22EA" w14:textId="77777777" w:rsidTr="00A7001E">
        <w:trPr>
          <w:trHeight w:val="703"/>
        </w:trPr>
        <w:tc>
          <w:tcPr>
            <w:tcW w:w="2279" w:type="dxa"/>
            <w:shd w:val="clear" w:color="auto" w:fill="8DB3E2" w:themeFill="text2" w:themeFillTint="66"/>
          </w:tcPr>
          <w:p w14:paraId="287AAF05" w14:textId="77777777" w:rsidR="009B1999" w:rsidRPr="00B46D4E" w:rsidRDefault="009B1999" w:rsidP="00A7001E">
            <w:pPr>
              <w:pStyle w:val="TableParagraph"/>
              <w:spacing w:before="120" w:after="120"/>
              <w:ind w:left="110" w:right="279"/>
            </w:pPr>
            <w:r>
              <w:rPr>
                <w:u w:val="single"/>
              </w:rPr>
              <w:t>Expérience acquise et enseignements tirés</w:t>
            </w:r>
          </w:p>
        </w:tc>
        <w:tc>
          <w:tcPr>
            <w:tcW w:w="7011" w:type="dxa"/>
            <w:vAlign w:val="center"/>
          </w:tcPr>
          <w:p w14:paraId="0599137C" w14:textId="6F843DC9" w:rsidR="009B1999" w:rsidRDefault="009B1999" w:rsidP="00A7001E">
            <w:pPr>
              <w:pStyle w:val="TableParagraph"/>
              <w:tabs>
                <w:tab w:val="left" w:pos="6841"/>
              </w:tabs>
              <w:spacing w:before="120" w:after="120"/>
              <w:ind w:left="180" w:right="166"/>
            </w:pPr>
            <w:r>
              <w:t>Enseignements tirés</w:t>
            </w:r>
            <w:r w:rsidR="007B4A5D">
              <w:t> :</w:t>
            </w:r>
          </w:p>
          <w:p w14:paraId="037B5E2E" w14:textId="3BFE386A" w:rsidR="007B4A5D" w:rsidRDefault="009B1999" w:rsidP="009B1999">
            <w:pPr>
              <w:pStyle w:val="TableParagraph"/>
              <w:numPr>
                <w:ilvl w:val="0"/>
                <w:numId w:val="8"/>
              </w:numPr>
              <w:tabs>
                <w:tab w:val="left" w:pos="6841"/>
              </w:tabs>
              <w:spacing w:before="120" w:after="120"/>
              <w:ind w:left="541" w:right="166"/>
            </w:pPr>
            <w:r>
              <w:t>La collaboration avec un vaste ensemble d</w:t>
            </w:r>
            <w:r w:rsidR="007B4A5D">
              <w:t>’</w:t>
            </w:r>
            <w:r>
              <w:t>institutions nationales et locales a été essentielle à la réussite du proj</w:t>
            </w:r>
            <w:r w:rsidR="005D4872">
              <w:t>et.  En</w:t>
            </w:r>
            <w:r>
              <w:t xml:space="preserve"> particulier, les institutions apportant leur appui aux entreprises et producteurs locaux ont facilité la communication avec les associations choisies et joueront un rôle crucial dans la phase postérieure à la mise en œuvre.</w:t>
            </w:r>
          </w:p>
          <w:p w14:paraId="2DFDA985" w14:textId="42FDF096" w:rsidR="009B1999" w:rsidRDefault="009B1999" w:rsidP="009B1999">
            <w:pPr>
              <w:pStyle w:val="TableParagraph"/>
              <w:numPr>
                <w:ilvl w:val="0"/>
                <w:numId w:val="8"/>
              </w:numPr>
              <w:tabs>
                <w:tab w:val="left" w:pos="6841"/>
              </w:tabs>
              <w:spacing w:before="120" w:after="120"/>
              <w:ind w:left="541" w:right="166"/>
            </w:pPr>
            <w:r>
              <w:t>Dans ce type de projet, la sélection des associations/groupes de producteurs pilotes est l</w:t>
            </w:r>
            <w:r w:rsidR="007B4A5D">
              <w:t>’</w:t>
            </w:r>
            <w:r>
              <w:t>une des étapes les plus important</w:t>
            </w:r>
            <w:r w:rsidR="005D4872">
              <w:t>es.  Pl</w:t>
            </w:r>
            <w:r>
              <w:t>us on consacre de temps et d</w:t>
            </w:r>
            <w:r w:rsidR="007B4A5D">
              <w:t>’</w:t>
            </w:r>
            <w:r>
              <w:t>efforts à l</w:t>
            </w:r>
            <w:r w:rsidR="007B4A5D">
              <w:t>’</w:t>
            </w:r>
            <w:r>
              <w:t>analyse minutieuse des associations pilotes, plus la mise en œuvre du projet sera réussie, harmonieuse et facile.</w:t>
            </w:r>
          </w:p>
          <w:p w14:paraId="4CB46138" w14:textId="77777777" w:rsidR="007B4A5D" w:rsidRDefault="009B1999" w:rsidP="009B1999">
            <w:pPr>
              <w:pStyle w:val="TableParagraph"/>
              <w:numPr>
                <w:ilvl w:val="0"/>
                <w:numId w:val="8"/>
              </w:numPr>
              <w:tabs>
                <w:tab w:val="left" w:pos="6841"/>
              </w:tabs>
              <w:spacing w:before="120" w:after="120"/>
              <w:ind w:left="541" w:right="166"/>
            </w:pPr>
            <w:r>
              <w:t>Lorsque les associations/groupes de producteurs avaient été créés avant le début du projet, il a été plus facile pour ces groupes de travailler ensemble pour développer et enregistrer leur marque collective.</w:t>
            </w:r>
          </w:p>
          <w:p w14:paraId="493EAFDF" w14:textId="5B24D521" w:rsidR="009B1999" w:rsidRDefault="009B1999" w:rsidP="009B1999">
            <w:pPr>
              <w:pStyle w:val="TableParagraph"/>
              <w:numPr>
                <w:ilvl w:val="0"/>
                <w:numId w:val="8"/>
              </w:numPr>
              <w:tabs>
                <w:tab w:val="left" w:pos="6841"/>
              </w:tabs>
              <w:spacing w:before="120" w:after="120"/>
              <w:ind w:left="541" w:right="166"/>
            </w:pPr>
            <w:r>
              <w:t>Les membres des associations sélectionnées pourraient avoir besoin d</w:t>
            </w:r>
            <w:r w:rsidR="007B4A5D">
              <w:t>’</w:t>
            </w:r>
            <w:r>
              <w:t>une aide supplémentaire pour la gestion, l</w:t>
            </w:r>
            <w:r w:rsidR="007B4A5D">
              <w:t>’</w:t>
            </w:r>
            <w:r>
              <w:t>utilisation et le contrôle de la marque collective après l</w:t>
            </w:r>
            <w:r w:rsidR="007B4A5D">
              <w:t>’</w:t>
            </w:r>
            <w:r>
              <w:t>enregistrement.</w:t>
            </w:r>
          </w:p>
          <w:p w14:paraId="5FBD8EE8" w14:textId="3525FC67" w:rsidR="007B4A5D" w:rsidRDefault="009B1999" w:rsidP="009B1999">
            <w:pPr>
              <w:pStyle w:val="TableParagraph"/>
              <w:numPr>
                <w:ilvl w:val="0"/>
                <w:numId w:val="8"/>
              </w:numPr>
              <w:tabs>
                <w:tab w:val="left" w:pos="6841"/>
              </w:tabs>
              <w:spacing w:before="120" w:after="120"/>
              <w:ind w:left="541" w:right="166"/>
            </w:pPr>
            <w:r>
              <w:t>La souplesse dans la gestion du projet a été un élément essentiel pour répondre aux défis posés par la pandémie de COVID</w:t>
            </w:r>
            <w:r w:rsidR="00F72A1A">
              <w:noBreakHyphen/>
            </w:r>
            <w:r>
              <w:t>19 et s</w:t>
            </w:r>
            <w:r w:rsidR="007B4A5D">
              <w:t>’</w:t>
            </w:r>
            <w:r>
              <w:t>adapter aux besoins et à la situation de chaque pays bénéficiaire.</w:t>
            </w:r>
          </w:p>
          <w:p w14:paraId="341F90A0" w14:textId="20374C00" w:rsidR="009B1999" w:rsidRPr="00060B2D" w:rsidRDefault="009B1999" w:rsidP="009B1999">
            <w:pPr>
              <w:pStyle w:val="TableParagraph"/>
              <w:numPr>
                <w:ilvl w:val="0"/>
                <w:numId w:val="8"/>
              </w:numPr>
              <w:tabs>
                <w:tab w:val="left" w:pos="6841"/>
              </w:tabs>
              <w:spacing w:before="120" w:after="120"/>
              <w:ind w:left="541" w:right="166"/>
            </w:pPr>
            <w:r>
              <w:t>Bien que la grande majorité des activités du projet aient été menées sous des formes virtuelles ou hybrides, les activités en personne demeurent très importantes dans certains cas, par exemple pour l</w:t>
            </w:r>
            <w:r w:rsidR="007B4A5D">
              <w:t>’</w:t>
            </w:r>
            <w:r>
              <w:t>interaction avec les associations de producteurs, souvent situées dans des zones rurales et isolées.</w:t>
            </w:r>
          </w:p>
        </w:tc>
      </w:tr>
      <w:tr w:rsidR="009B1999" w:rsidRPr="000A4281" w14:paraId="48A34EA2" w14:textId="77777777" w:rsidTr="00A7001E">
        <w:trPr>
          <w:trHeight w:val="228"/>
        </w:trPr>
        <w:tc>
          <w:tcPr>
            <w:tcW w:w="2279" w:type="dxa"/>
            <w:shd w:val="clear" w:color="auto" w:fill="8DB3E2" w:themeFill="text2" w:themeFillTint="66"/>
          </w:tcPr>
          <w:p w14:paraId="18D44E37" w14:textId="28585901" w:rsidR="009B1999" w:rsidRPr="00B46D4E" w:rsidRDefault="009B1999" w:rsidP="00A7001E">
            <w:pPr>
              <w:pStyle w:val="TableParagraph"/>
              <w:spacing w:before="120" w:after="120"/>
              <w:ind w:left="110"/>
            </w:pPr>
            <w:r>
              <w:rPr>
                <w:u w:val="single"/>
              </w:rPr>
              <w:t>Risques et mesures d</w:t>
            </w:r>
            <w:r w:rsidR="007B4A5D">
              <w:rPr>
                <w:u w:val="single"/>
              </w:rPr>
              <w:t>’</w:t>
            </w:r>
            <w:r>
              <w:rPr>
                <w:u w:val="single"/>
              </w:rPr>
              <w:t>atténuation</w:t>
            </w:r>
          </w:p>
        </w:tc>
        <w:tc>
          <w:tcPr>
            <w:tcW w:w="7011" w:type="dxa"/>
            <w:vAlign w:val="center"/>
          </w:tcPr>
          <w:p w14:paraId="23C95A57" w14:textId="72346995" w:rsidR="009B1999" w:rsidRPr="00B82EE9" w:rsidRDefault="009B1999" w:rsidP="00A7001E">
            <w:pPr>
              <w:pStyle w:val="TableParagraph"/>
              <w:tabs>
                <w:tab w:val="left" w:pos="6841"/>
              </w:tabs>
              <w:spacing w:before="120" w:after="120"/>
              <w:ind w:left="109" w:right="166"/>
            </w:pPr>
            <w:r>
              <w:t>Les risques ci</w:t>
            </w:r>
            <w:r w:rsidR="00F72A1A">
              <w:noBreakHyphen/>
            </w:r>
            <w:r>
              <w:t>après ont été recensés et se sont concrétisés au cours de la mise en œuvre du proj</w:t>
            </w:r>
            <w:r w:rsidR="005D4872">
              <w:t>et.  Le</w:t>
            </w:r>
            <w:r>
              <w:t>s stratégies d</w:t>
            </w:r>
            <w:r w:rsidR="007B4A5D">
              <w:t>’</w:t>
            </w:r>
            <w:r>
              <w:t>atténuation ont également été celles qui ont été recensées et mises en œuvre.</w:t>
            </w:r>
          </w:p>
          <w:p w14:paraId="59583F29" w14:textId="69DE9A84" w:rsidR="007B4A5D" w:rsidRDefault="009B1999" w:rsidP="00A7001E">
            <w:pPr>
              <w:pStyle w:val="TableParagraph"/>
              <w:tabs>
                <w:tab w:val="left" w:pos="6841"/>
              </w:tabs>
              <w:spacing w:before="120" w:after="120"/>
              <w:ind w:left="109" w:right="166"/>
            </w:pPr>
            <w:r>
              <w:rPr>
                <w:u w:val="single"/>
              </w:rPr>
              <w:t>Risque n° 1</w:t>
            </w:r>
            <w:r w:rsidR="007B4A5D" w:rsidRPr="005D4872">
              <w:t> :</w:t>
            </w:r>
            <w:r>
              <w:t xml:space="preserve"> Possible récurrence de</w:t>
            </w:r>
            <w:r w:rsidR="007B4A5D">
              <w:t xml:space="preserve"> la COV</w:t>
            </w:r>
            <w:r>
              <w:t>ID</w:t>
            </w:r>
            <w:r w:rsidR="00F72A1A">
              <w:noBreakHyphen/>
            </w:r>
            <w:r>
              <w:t>19 ou d</w:t>
            </w:r>
            <w:r w:rsidR="007B4A5D">
              <w:t>’</w:t>
            </w:r>
            <w:r>
              <w:t>une crise similaire et donc de confinements et d</w:t>
            </w:r>
            <w:r w:rsidR="007B4A5D">
              <w:t>’</w:t>
            </w:r>
            <w:r>
              <w:t>autres mesures restrictives empêchant la mise en œuvre du projet.</w:t>
            </w:r>
          </w:p>
          <w:p w14:paraId="2F3A4530" w14:textId="3D19772B" w:rsidR="009B1999" w:rsidRDefault="009B1999" w:rsidP="00A7001E">
            <w:pPr>
              <w:pStyle w:val="TableParagraph"/>
              <w:tabs>
                <w:tab w:val="left" w:pos="6841"/>
              </w:tabs>
              <w:spacing w:before="120" w:after="120"/>
              <w:ind w:left="109" w:right="166"/>
            </w:pPr>
            <w:r>
              <w:rPr>
                <w:u w:val="single"/>
              </w:rPr>
              <w:t>Stratégie d</w:t>
            </w:r>
            <w:r w:rsidR="007B4A5D">
              <w:rPr>
                <w:u w:val="single"/>
              </w:rPr>
              <w:t>’</w:t>
            </w:r>
            <w:r>
              <w:rPr>
                <w:u w:val="single"/>
              </w:rPr>
              <w:t>atténuation n° 1</w:t>
            </w:r>
            <w:r w:rsidR="007B4A5D" w:rsidRPr="005D4872">
              <w:t> :</w:t>
            </w:r>
            <w:r>
              <w:t xml:space="preserve"> Suivi de la situation dans les pays bénéficiaires et échanges réguliers avec les coordonnateurs loca</w:t>
            </w:r>
            <w:r w:rsidR="005D4872">
              <w:t>ux.  Si</w:t>
            </w:r>
            <w:r>
              <w:t xml:space="preserve"> nécessaire, une prolongation de la durée du projet sera demandée au C</w:t>
            </w:r>
            <w:r w:rsidR="005D4872">
              <w:t>DIP.  Ad</w:t>
            </w:r>
            <w:r>
              <w:t>aptation des modalités de mise en œuvre des activités (réunions virtuelles en priorité, minimum de déplacements) si possible.</w:t>
            </w:r>
          </w:p>
          <w:p w14:paraId="14DF894F" w14:textId="14FD8617" w:rsidR="007B4A5D" w:rsidRDefault="009B1999" w:rsidP="00A7001E">
            <w:pPr>
              <w:pStyle w:val="TableParagraph"/>
              <w:tabs>
                <w:tab w:val="left" w:pos="6841"/>
              </w:tabs>
              <w:spacing w:before="120" w:after="120"/>
              <w:ind w:left="109" w:right="166"/>
            </w:pPr>
            <w:r>
              <w:rPr>
                <w:u w:val="single"/>
              </w:rPr>
              <w:t>Risque n° 2</w:t>
            </w:r>
            <w:r w:rsidR="007B4A5D" w:rsidRPr="005D4872">
              <w:t> :</w:t>
            </w:r>
            <w:r>
              <w:t xml:space="preserve"> Les associations de producteurs pourraient avoir besoin d</w:t>
            </w:r>
            <w:r w:rsidR="007B4A5D">
              <w:t>’</w:t>
            </w:r>
            <w:r>
              <w:t>une assistance supplémentaire pour utiliser efficacement la marque collective une fois le projet achevé.</w:t>
            </w:r>
          </w:p>
          <w:p w14:paraId="7ADE9912" w14:textId="5D0DCF2F" w:rsidR="009B1999" w:rsidRPr="00B46D4E" w:rsidRDefault="009B1999" w:rsidP="00A7001E">
            <w:pPr>
              <w:pStyle w:val="TableParagraph"/>
              <w:tabs>
                <w:tab w:val="left" w:pos="6841"/>
              </w:tabs>
              <w:spacing w:before="120" w:after="120"/>
              <w:ind w:left="109" w:right="166"/>
            </w:pPr>
            <w:r>
              <w:rPr>
                <w:u w:val="single"/>
              </w:rPr>
              <w:t>Stratégie d</w:t>
            </w:r>
            <w:r w:rsidR="007B4A5D">
              <w:rPr>
                <w:u w:val="single"/>
              </w:rPr>
              <w:t>’</w:t>
            </w:r>
            <w:r>
              <w:rPr>
                <w:u w:val="single"/>
              </w:rPr>
              <w:t>atténuation n° 2</w:t>
            </w:r>
            <w:r w:rsidR="007B4A5D" w:rsidRPr="005D4872">
              <w:t> :</w:t>
            </w:r>
            <w:r>
              <w:t xml:space="preserve"> Sur demande, l</w:t>
            </w:r>
            <w:r w:rsidR="007B4A5D">
              <w:t>’</w:t>
            </w:r>
            <w:r>
              <w:t>équipe chargée du projet fournira un appui aux associations sélectionnées concernant l</w:t>
            </w:r>
            <w:r w:rsidR="007B4A5D">
              <w:t>’</w:t>
            </w:r>
            <w:r>
              <w:t xml:space="preserve">utilisation et le contrôle de la marque collective, sous réserve du calendrier du projet et du budget prévu.  </w:t>
            </w:r>
          </w:p>
        </w:tc>
      </w:tr>
      <w:tr w:rsidR="009B1999" w:rsidRPr="000A4281" w14:paraId="2B5908F8" w14:textId="77777777" w:rsidTr="00A7001E">
        <w:trPr>
          <w:trHeight w:val="687"/>
        </w:trPr>
        <w:tc>
          <w:tcPr>
            <w:tcW w:w="2279" w:type="dxa"/>
            <w:shd w:val="clear" w:color="auto" w:fill="8DB3E2" w:themeFill="text2" w:themeFillTint="66"/>
          </w:tcPr>
          <w:p w14:paraId="3C0C89DF" w14:textId="77777777" w:rsidR="009B1999" w:rsidRPr="00B46D4E" w:rsidRDefault="009B1999" w:rsidP="00A7001E">
            <w:pPr>
              <w:pStyle w:val="TableParagraph"/>
              <w:spacing w:before="120" w:after="120"/>
              <w:ind w:left="110"/>
              <w:rPr>
                <w:u w:val="single"/>
              </w:rPr>
            </w:pPr>
            <w:r>
              <w:rPr>
                <w:u w:val="single"/>
              </w:rPr>
              <w:t>Taux de réalisation du projet</w:t>
            </w:r>
          </w:p>
        </w:tc>
        <w:tc>
          <w:tcPr>
            <w:tcW w:w="7011" w:type="dxa"/>
            <w:vAlign w:val="center"/>
          </w:tcPr>
          <w:p w14:paraId="1CAD38BD" w14:textId="75D22C11" w:rsidR="007B4A5D" w:rsidRDefault="009B1999" w:rsidP="00A7001E">
            <w:pPr>
              <w:pStyle w:val="TableParagraph"/>
              <w:tabs>
                <w:tab w:val="left" w:pos="6841"/>
              </w:tabs>
              <w:spacing w:before="120" w:after="120"/>
              <w:ind w:left="109" w:right="166"/>
            </w:pPr>
            <w:r>
              <w:t>Le taux d</w:t>
            </w:r>
            <w:r w:rsidR="007B4A5D">
              <w:t>’</w:t>
            </w:r>
            <w:r>
              <w:t xml:space="preserve">exécution du budget à la fin du mois de février 2024, par rapport au budget total alloué aux dépenses autres que les dépenses de personnel </w:t>
            </w:r>
            <w:proofErr w:type="gramStart"/>
            <w:r>
              <w:t>était</w:t>
            </w:r>
            <w:proofErr w:type="gramEnd"/>
            <w:r>
              <w:t xml:space="preserve"> de</w:t>
            </w:r>
            <w:r w:rsidR="007B4A5D">
              <w:t> :</w:t>
            </w:r>
            <w:r>
              <w:t xml:space="preserve"> 85%.  Le budget du projet pour les dépenses de personnel n</w:t>
            </w:r>
            <w:r w:rsidR="007B4A5D">
              <w:t>’</w:t>
            </w:r>
            <w:r>
              <w:t>a pas été utilisé, car la mise en œuvre a été effectuée par le personnel de la Division de la coordination du Plan d</w:t>
            </w:r>
            <w:r w:rsidR="007B4A5D">
              <w:t>’</w:t>
            </w:r>
            <w:r>
              <w:t>action pour le développement.</w:t>
            </w:r>
          </w:p>
          <w:p w14:paraId="78B74EDA" w14:textId="2CEE1B1B" w:rsidR="009B1999" w:rsidRPr="0039262D" w:rsidRDefault="009B1999" w:rsidP="00A7001E">
            <w:pPr>
              <w:pStyle w:val="TableParagraph"/>
              <w:tabs>
                <w:tab w:val="left" w:pos="6841"/>
              </w:tabs>
              <w:spacing w:before="120" w:after="120"/>
              <w:ind w:left="109" w:right="166"/>
            </w:pPr>
            <w:r>
              <w:t>Des informations plus détaillées figurent à l</w:t>
            </w:r>
            <w:r w:rsidR="007B4A5D">
              <w:t>’</w:t>
            </w:r>
            <w:r>
              <w:t>annexe II du présent document.</w:t>
            </w:r>
          </w:p>
        </w:tc>
      </w:tr>
      <w:tr w:rsidR="009B1999" w:rsidRPr="000A4281" w14:paraId="45758DFC" w14:textId="77777777" w:rsidTr="00A7001E">
        <w:trPr>
          <w:trHeight w:val="41"/>
        </w:trPr>
        <w:tc>
          <w:tcPr>
            <w:tcW w:w="2279" w:type="dxa"/>
            <w:shd w:val="clear" w:color="auto" w:fill="8DB3E2" w:themeFill="text2" w:themeFillTint="66"/>
          </w:tcPr>
          <w:p w14:paraId="11B9CAAB" w14:textId="77777777" w:rsidR="009B1999" w:rsidRPr="00B46D4E" w:rsidRDefault="009B1999" w:rsidP="00A7001E">
            <w:pPr>
              <w:pStyle w:val="TableParagraph"/>
              <w:spacing w:before="120" w:after="120"/>
              <w:ind w:left="110"/>
              <w:rPr>
                <w:u w:val="single"/>
              </w:rPr>
            </w:pPr>
            <w:r>
              <w:rPr>
                <w:u w:val="single"/>
              </w:rPr>
              <w:t>Rapports précédents</w:t>
            </w:r>
          </w:p>
        </w:tc>
        <w:tc>
          <w:tcPr>
            <w:tcW w:w="7011" w:type="dxa"/>
            <w:vAlign w:val="center"/>
          </w:tcPr>
          <w:p w14:paraId="1FA0BAEB" w14:textId="4E99D0FE" w:rsidR="009B1999" w:rsidRPr="00292290" w:rsidRDefault="009B1999" w:rsidP="009B1999">
            <w:pPr>
              <w:pStyle w:val="TableParagraph"/>
              <w:numPr>
                <w:ilvl w:val="0"/>
                <w:numId w:val="11"/>
              </w:numPr>
              <w:tabs>
                <w:tab w:val="left" w:pos="6841"/>
              </w:tabs>
              <w:spacing w:before="120" w:after="120"/>
              <w:ind w:right="166"/>
            </w:pPr>
            <w:r>
              <w:t>Le premier rapport sur l</w:t>
            </w:r>
            <w:r w:rsidR="007B4A5D">
              <w:t>’</w:t>
            </w:r>
            <w:r>
              <w:t>état d</w:t>
            </w:r>
            <w:r w:rsidR="007B4A5D">
              <w:t>’</w:t>
            </w:r>
            <w:r>
              <w:t>avancement du projet était contenu dans l</w:t>
            </w:r>
            <w:r w:rsidR="007B4A5D">
              <w:t>’</w:t>
            </w:r>
            <w:r>
              <w:t>annexe II du document </w:t>
            </w:r>
            <w:hyperlink r:id="rId33" w:history="1">
              <w:r>
                <w:rPr>
                  <w:rStyle w:val="Hyperlink"/>
                </w:rPr>
                <w:t>CDIP/26/2</w:t>
              </w:r>
            </w:hyperlink>
            <w:r>
              <w:t>.</w:t>
            </w:r>
          </w:p>
          <w:p w14:paraId="742F9712" w14:textId="025288AF" w:rsidR="009B1999" w:rsidRPr="00292290" w:rsidRDefault="009B1999" w:rsidP="009B1999">
            <w:pPr>
              <w:pStyle w:val="TableParagraph"/>
              <w:numPr>
                <w:ilvl w:val="0"/>
                <w:numId w:val="11"/>
              </w:numPr>
              <w:tabs>
                <w:tab w:val="left" w:pos="6841"/>
              </w:tabs>
              <w:spacing w:before="120" w:after="120"/>
              <w:ind w:right="166"/>
            </w:pPr>
            <w:r>
              <w:t>Le deuxième rapport sur l</w:t>
            </w:r>
            <w:r w:rsidR="007B4A5D">
              <w:t>’</w:t>
            </w:r>
            <w:r>
              <w:t>état d</w:t>
            </w:r>
            <w:r w:rsidR="007B4A5D">
              <w:t>’</w:t>
            </w:r>
            <w:r>
              <w:t>avancement du projet était contenu dans l</w:t>
            </w:r>
            <w:r w:rsidR="007B4A5D">
              <w:t>’</w:t>
            </w:r>
            <w:r>
              <w:t>annexe II du document </w:t>
            </w:r>
            <w:hyperlink r:id="rId34" w:history="1">
              <w:r>
                <w:rPr>
                  <w:rStyle w:val="Hyperlink"/>
                </w:rPr>
                <w:t>CDIP/26/2</w:t>
              </w:r>
            </w:hyperlink>
            <w:r>
              <w:t>.</w:t>
            </w:r>
          </w:p>
          <w:p w14:paraId="60C3753D" w14:textId="774274A7" w:rsidR="009B1999" w:rsidRDefault="009B1999" w:rsidP="009B1999">
            <w:pPr>
              <w:pStyle w:val="TableParagraph"/>
              <w:numPr>
                <w:ilvl w:val="0"/>
                <w:numId w:val="11"/>
              </w:numPr>
              <w:tabs>
                <w:tab w:val="left" w:pos="6841"/>
              </w:tabs>
              <w:spacing w:before="120" w:after="120"/>
              <w:ind w:right="166"/>
            </w:pPr>
            <w:r>
              <w:t>Le troisième rapport sur l</w:t>
            </w:r>
            <w:r w:rsidR="007B4A5D">
              <w:t>’</w:t>
            </w:r>
            <w:r>
              <w:t>état d</w:t>
            </w:r>
            <w:r w:rsidR="007B4A5D">
              <w:t>’</w:t>
            </w:r>
            <w:r>
              <w:t>avancement du projet était contenu dans l</w:t>
            </w:r>
            <w:r w:rsidR="007B4A5D">
              <w:t>’annexe I</w:t>
            </w:r>
            <w:r>
              <w:t xml:space="preserve"> du document </w:t>
            </w:r>
            <w:hyperlink r:id="rId35" w:history="1">
              <w:r>
                <w:rPr>
                  <w:rStyle w:val="Hyperlink"/>
                </w:rPr>
                <w:t>CDIP/31/3</w:t>
              </w:r>
            </w:hyperlink>
            <w:r>
              <w:t xml:space="preserve">.  </w:t>
            </w:r>
          </w:p>
        </w:tc>
      </w:tr>
      <w:tr w:rsidR="009B1999" w:rsidRPr="000A4281" w14:paraId="6981CB02" w14:textId="77777777" w:rsidTr="00A7001E">
        <w:trPr>
          <w:trHeight w:val="469"/>
        </w:trPr>
        <w:tc>
          <w:tcPr>
            <w:tcW w:w="2279" w:type="dxa"/>
            <w:shd w:val="clear" w:color="auto" w:fill="8DB3E2" w:themeFill="text2" w:themeFillTint="66"/>
          </w:tcPr>
          <w:p w14:paraId="49D4DACE" w14:textId="77777777" w:rsidR="009B1999" w:rsidRPr="00B46D4E" w:rsidRDefault="009B1999" w:rsidP="00A7001E">
            <w:pPr>
              <w:pStyle w:val="TableParagraph"/>
              <w:spacing w:before="120" w:after="120"/>
              <w:ind w:left="110"/>
            </w:pPr>
            <w:r>
              <w:rPr>
                <w:u w:val="single"/>
              </w:rPr>
              <w:t>Suivi et diffusion</w:t>
            </w:r>
          </w:p>
        </w:tc>
        <w:tc>
          <w:tcPr>
            <w:tcW w:w="7011" w:type="dxa"/>
            <w:vAlign w:val="center"/>
          </w:tcPr>
          <w:p w14:paraId="05DAFE03" w14:textId="77777777" w:rsidR="009B1999" w:rsidRDefault="009B1999" w:rsidP="00A7001E">
            <w:pPr>
              <w:pStyle w:val="TableParagraph"/>
              <w:tabs>
                <w:tab w:val="left" w:pos="6841"/>
              </w:tabs>
              <w:spacing w:before="120" w:after="120"/>
              <w:ind w:left="109" w:right="166"/>
            </w:pPr>
            <w:r>
              <w:t>Suivi</w:t>
            </w:r>
          </w:p>
          <w:p w14:paraId="3F24CBA7" w14:textId="10FE022C" w:rsidR="007B4A5D" w:rsidRDefault="009B1999" w:rsidP="00A7001E">
            <w:pPr>
              <w:pStyle w:val="TableParagraph"/>
              <w:tabs>
                <w:tab w:val="left" w:pos="6841"/>
              </w:tabs>
              <w:spacing w:before="120" w:after="120"/>
              <w:ind w:left="109" w:right="166"/>
            </w:pPr>
            <w:r>
              <w:t>Chaque pays bénéficiaire est encouragé à utiliser l</w:t>
            </w:r>
            <w:r w:rsidR="007B4A5D">
              <w:t>’</w:t>
            </w:r>
            <w:r>
              <w:t>expérience, les connaissances et le matériel de sensibilisation générés par ce projet pour aider d</w:t>
            </w:r>
            <w:r w:rsidR="007B4A5D">
              <w:t>’</w:t>
            </w:r>
            <w:r>
              <w:t>autres entreprises locales à développer et à enregistrer leur propre marque collecti</w:t>
            </w:r>
            <w:r w:rsidR="005D4872">
              <w:t>ve.  Pa</w:t>
            </w:r>
            <w:r>
              <w:t>rmi les actions possibles, citons l</w:t>
            </w:r>
            <w:r w:rsidR="007B4A5D">
              <w:t>’</w:t>
            </w:r>
            <w:r>
              <w:t>organisation d</w:t>
            </w:r>
            <w:r w:rsidR="007B4A5D">
              <w:t>’</w:t>
            </w:r>
            <w:r>
              <w:t>ateliers de formation fondés sur le guide pratique et la réalisation d</w:t>
            </w:r>
            <w:r w:rsidR="007B4A5D">
              <w:t>’</w:t>
            </w:r>
            <w:r>
              <w:t>activités de sensibilisation à l</w:t>
            </w:r>
            <w:r w:rsidR="007B4A5D">
              <w:t>’</w:t>
            </w:r>
            <w:r>
              <w:t>aide du dépliant promotionnel et de la courte vidéo.</w:t>
            </w:r>
          </w:p>
          <w:p w14:paraId="564ACD4B" w14:textId="369B66BA" w:rsidR="009B1999" w:rsidRDefault="009B1999" w:rsidP="009F12CB">
            <w:pPr>
              <w:pStyle w:val="TableParagraph"/>
              <w:tabs>
                <w:tab w:val="left" w:pos="6841"/>
              </w:tabs>
              <w:spacing w:before="360" w:after="120"/>
              <w:ind w:left="109" w:right="166"/>
            </w:pPr>
            <w:r>
              <w:t>Diffusion</w:t>
            </w:r>
            <w:r w:rsidR="007B4A5D">
              <w:t> :</w:t>
            </w:r>
          </w:p>
          <w:p w14:paraId="4A4F6B1D" w14:textId="5D378D5F" w:rsidR="007B4A5D" w:rsidRDefault="009B1999" w:rsidP="00A7001E">
            <w:pPr>
              <w:pStyle w:val="TableParagraph"/>
              <w:tabs>
                <w:tab w:val="left" w:pos="6841"/>
              </w:tabs>
              <w:spacing w:before="120" w:after="120"/>
              <w:ind w:left="109" w:right="166"/>
            </w:pPr>
            <w:r>
              <w:t xml:space="preserve">La </w:t>
            </w:r>
            <w:hyperlink r:id="rId36" w:history="1">
              <w:r w:rsidR="007B4A5D">
                <w:rPr>
                  <w:rStyle w:val="Hyperlink"/>
                </w:rPr>
                <w:t>page W</w:t>
              </w:r>
              <w:r>
                <w:rPr>
                  <w:rStyle w:val="Hyperlink"/>
                </w:rPr>
                <w:t>eb de l</w:t>
              </w:r>
              <w:r w:rsidR="007B4A5D">
                <w:rPr>
                  <w:rStyle w:val="Hyperlink"/>
                </w:rPr>
                <w:t>’</w:t>
              </w:r>
              <w:r>
                <w:rPr>
                  <w:rStyle w:val="Hyperlink"/>
                </w:rPr>
                <w:t>OMPI</w:t>
              </w:r>
            </w:hyperlink>
            <w:r>
              <w:t xml:space="preserve"> consacrée à ce projet comprend l</w:t>
            </w:r>
            <w:r w:rsidR="007B4A5D">
              <w:t>’</w:t>
            </w:r>
            <w:r>
              <w:t>ensemble de la documentation et du matériel de sensibilisation élaborés dans le cadre du proj</w:t>
            </w:r>
            <w:r w:rsidR="005D4872">
              <w:t>et.  La</w:t>
            </w:r>
            <w:r>
              <w:t xml:space="preserve"> </w:t>
            </w:r>
            <w:r w:rsidR="007B4A5D">
              <w:t>page W</w:t>
            </w:r>
            <w:r>
              <w:t>eb est disponible dans les six</w:t>
            </w:r>
            <w:r w:rsidR="00FA77D8">
              <w:t> </w:t>
            </w:r>
            <w:r>
              <w:t>langues officielles de l</w:t>
            </w:r>
            <w:r w:rsidR="007B4A5D">
              <w:t>’</w:t>
            </w:r>
            <w:r>
              <w:t>ONU et en portuga</w:t>
            </w:r>
            <w:r w:rsidR="005D4872">
              <w:t>is.  El</w:t>
            </w:r>
            <w:r>
              <w:t>le restera accessible sur le site</w:t>
            </w:r>
            <w:r w:rsidR="00FA77D8">
              <w:t> </w:t>
            </w:r>
            <w:r>
              <w:t>Web de l</w:t>
            </w:r>
            <w:r w:rsidR="007B4A5D">
              <w:t>’</w:t>
            </w:r>
            <w:r>
              <w:t>OMPI et sera mise à jour, selon que de besoin.</w:t>
            </w:r>
          </w:p>
          <w:p w14:paraId="4D348C1B" w14:textId="64CE691C" w:rsidR="007B4A5D" w:rsidRDefault="009B1999" w:rsidP="009F12CB">
            <w:pPr>
              <w:pStyle w:val="TableParagraph"/>
              <w:tabs>
                <w:tab w:val="left" w:pos="6841"/>
              </w:tabs>
              <w:spacing w:before="360" w:after="120"/>
              <w:ind w:left="109" w:right="166"/>
            </w:pPr>
            <w:r>
              <w:t>Toutes les informations pertinentes concernant les projets sont également disponibles dans le catalogue répertoriant les projets du Plan d</w:t>
            </w:r>
            <w:r w:rsidR="007B4A5D">
              <w:t>’</w:t>
            </w:r>
            <w:r>
              <w:t>action pour le développement et les résultats, à l</w:t>
            </w:r>
            <w:r w:rsidR="007B4A5D">
              <w:t>’</w:t>
            </w:r>
            <w:r>
              <w:t>adresse</w:t>
            </w:r>
            <w:r w:rsidR="007B4A5D">
              <w:t> :</w:t>
            </w:r>
            <w:r>
              <w:t xml:space="preserve"> </w:t>
            </w:r>
            <w:hyperlink r:id="rId37" w:history="1">
              <w:r>
                <w:rPr>
                  <w:rStyle w:val="Hyperlink"/>
                </w:rPr>
                <w:t>https://dacatalogue.wipo.int/projects/DA_1_4_10_01</w:t>
              </w:r>
            </w:hyperlink>
          </w:p>
          <w:p w14:paraId="149D16D6" w14:textId="63CD11E6" w:rsidR="009B1999" w:rsidRPr="00B46D4E" w:rsidRDefault="009B1999" w:rsidP="00A7001E">
            <w:pPr>
              <w:pStyle w:val="TableParagraph"/>
              <w:tabs>
                <w:tab w:val="left" w:pos="6841"/>
              </w:tabs>
              <w:spacing w:before="120" w:after="120"/>
              <w:ind w:left="109" w:right="166"/>
            </w:pPr>
          </w:p>
        </w:tc>
      </w:tr>
    </w:tbl>
    <w:p w14:paraId="3355FF91" w14:textId="77777777" w:rsidR="009B1999" w:rsidRDefault="009B1999" w:rsidP="009B1999">
      <w:r>
        <w:br w:type="page"/>
      </w:r>
    </w:p>
    <w:p w14:paraId="246260C9" w14:textId="2F8F1470" w:rsidR="009B1999" w:rsidRPr="000A4281" w:rsidRDefault="009B1999" w:rsidP="009F12CB">
      <w:pPr>
        <w:pStyle w:val="BodyText"/>
        <w:spacing w:before="240"/>
        <w:ind w:left="136"/>
      </w:pPr>
      <w:r>
        <w:t>AUTO</w:t>
      </w:r>
      <w:r w:rsidR="00F72A1A">
        <w:noBreakHyphen/>
      </w:r>
      <w:r>
        <w:t>ÉVALUATION DU PROJET</w:t>
      </w:r>
    </w:p>
    <w:p w14:paraId="6D27B5CA" w14:textId="33B1FB59" w:rsidR="009B1999" w:rsidRPr="000A4281" w:rsidRDefault="009B1999" w:rsidP="009B1999">
      <w:pPr>
        <w:pStyle w:val="BodyText"/>
        <w:ind w:left="136"/>
      </w:pPr>
      <w:r>
        <w:t>Code d</w:t>
      </w:r>
      <w:r w:rsidR="007B4A5D">
        <w:t>’</w:t>
      </w:r>
      <w:r>
        <w:t>évaluation</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Auto-évaluation du projet"/>
        <w:tblDescription w:val="Code d’évaluation"/>
      </w:tblPr>
      <w:tblGrid>
        <w:gridCol w:w="1416"/>
        <w:gridCol w:w="1678"/>
        <w:gridCol w:w="1798"/>
        <w:gridCol w:w="1894"/>
        <w:gridCol w:w="2564"/>
      </w:tblGrid>
      <w:tr w:rsidR="009B1999" w:rsidRPr="000A4281" w14:paraId="17152FF7" w14:textId="77777777" w:rsidTr="00A7001E">
        <w:trPr>
          <w:trHeight w:val="55"/>
        </w:trPr>
        <w:tc>
          <w:tcPr>
            <w:tcW w:w="1416" w:type="dxa"/>
            <w:shd w:val="clear" w:color="auto" w:fill="7BBEDA"/>
            <w:vAlign w:val="center"/>
          </w:tcPr>
          <w:p w14:paraId="2775FE1F" w14:textId="77777777" w:rsidR="009B1999" w:rsidRPr="000A4281" w:rsidRDefault="009B1999" w:rsidP="00A7001E">
            <w:pPr>
              <w:pStyle w:val="TableParagraph"/>
              <w:spacing w:before="106"/>
              <w:ind w:left="110"/>
            </w:pPr>
            <w:r>
              <w:t>****</w:t>
            </w:r>
          </w:p>
        </w:tc>
        <w:tc>
          <w:tcPr>
            <w:tcW w:w="1678" w:type="dxa"/>
            <w:shd w:val="clear" w:color="auto" w:fill="7BBEDA"/>
            <w:vAlign w:val="center"/>
          </w:tcPr>
          <w:p w14:paraId="74A2A8ED" w14:textId="77777777" w:rsidR="009B1999" w:rsidRPr="000A4281" w:rsidRDefault="009B1999" w:rsidP="00A7001E">
            <w:pPr>
              <w:pStyle w:val="TableParagraph"/>
              <w:spacing w:before="106"/>
              <w:ind w:left="110"/>
            </w:pPr>
            <w:r>
              <w:t>***</w:t>
            </w:r>
          </w:p>
        </w:tc>
        <w:tc>
          <w:tcPr>
            <w:tcW w:w="1798" w:type="dxa"/>
            <w:shd w:val="clear" w:color="auto" w:fill="7BBEDA"/>
            <w:vAlign w:val="center"/>
          </w:tcPr>
          <w:p w14:paraId="1F3778BF" w14:textId="77777777" w:rsidR="009B1999" w:rsidRPr="000A4281" w:rsidRDefault="009B1999" w:rsidP="00A7001E">
            <w:pPr>
              <w:pStyle w:val="TableParagraph"/>
              <w:spacing w:before="106"/>
              <w:ind w:left="108"/>
            </w:pPr>
            <w:r>
              <w:t>**</w:t>
            </w:r>
          </w:p>
        </w:tc>
        <w:tc>
          <w:tcPr>
            <w:tcW w:w="1894" w:type="dxa"/>
            <w:shd w:val="clear" w:color="auto" w:fill="7BBEDA"/>
            <w:vAlign w:val="center"/>
          </w:tcPr>
          <w:p w14:paraId="2E1FF98D" w14:textId="77777777" w:rsidR="009B1999" w:rsidRPr="000A4281" w:rsidRDefault="009B1999" w:rsidP="00A7001E">
            <w:pPr>
              <w:pStyle w:val="TableParagraph"/>
              <w:spacing w:before="106"/>
              <w:ind w:left="108"/>
            </w:pPr>
            <w:r>
              <w:t>AP</w:t>
            </w:r>
          </w:p>
        </w:tc>
        <w:tc>
          <w:tcPr>
            <w:tcW w:w="2564" w:type="dxa"/>
            <w:shd w:val="clear" w:color="auto" w:fill="7BBEDA"/>
            <w:vAlign w:val="center"/>
          </w:tcPr>
          <w:p w14:paraId="1BB5589D" w14:textId="77777777" w:rsidR="009B1999" w:rsidRPr="000A4281" w:rsidRDefault="009B1999" w:rsidP="00A7001E">
            <w:pPr>
              <w:pStyle w:val="TableParagraph"/>
              <w:spacing w:before="106"/>
              <w:ind w:left="110"/>
            </w:pPr>
            <w:proofErr w:type="spellStart"/>
            <w:r>
              <w:t>s.o</w:t>
            </w:r>
            <w:proofErr w:type="spellEnd"/>
            <w:r>
              <w:t>.</w:t>
            </w:r>
          </w:p>
        </w:tc>
      </w:tr>
      <w:tr w:rsidR="009B1999" w:rsidRPr="000A4281" w14:paraId="6F3CE1C9" w14:textId="77777777" w:rsidTr="00A7001E">
        <w:trPr>
          <w:trHeight w:val="506"/>
        </w:trPr>
        <w:tc>
          <w:tcPr>
            <w:tcW w:w="1416" w:type="dxa"/>
            <w:shd w:val="clear" w:color="auto" w:fill="7BBEDA"/>
            <w:vAlign w:val="center"/>
          </w:tcPr>
          <w:p w14:paraId="22DDE1A9" w14:textId="77777777" w:rsidR="009B1999" w:rsidRPr="000A4281" w:rsidRDefault="009B1999" w:rsidP="00A7001E">
            <w:pPr>
              <w:pStyle w:val="TableParagraph"/>
              <w:spacing w:line="252" w:lineRule="exact"/>
              <w:ind w:left="110" w:right="408"/>
            </w:pPr>
            <w:r>
              <w:t>Objectifs pleinement atteints</w:t>
            </w:r>
          </w:p>
        </w:tc>
        <w:tc>
          <w:tcPr>
            <w:tcW w:w="1678" w:type="dxa"/>
            <w:shd w:val="clear" w:color="auto" w:fill="7BBEDA"/>
            <w:vAlign w:val="center"/>
          </w:tcPr>
          <w:p w14:paraId="3526DC73" w14:textId="77777777" w:rsidR="009B1999" w:rsidRPr="000A4281" w:rsidRDefault="009B1999" w:rsidP="00A7001E">
            <w:pPr>
              <w:pStyle w:val="TableParagraph"/>
              <w:spacing w:line="252" w:lineRule="exact"/>
              <w:ind w:left="110" w:right="687"/>
            </w:pPr>
            <w:r>
              <w:t>Progrès considérables</w:t>
            </w:r>
          </w:p>
        </w:tc>
        <w:tc>
          <w:tcPr>
            <w:tcW w:w="1798" w:type="dxa"/>
            <w:shd w:val="clear" w:color="auto" w:fill="7BBEDA"/>
            <w:vAlign w:val="center"/>
          </w:tcPr>
          <w:p w14:paraId="2EE3E944" w14:textId="77777777" w:rsidR="009B1999" w:rsidRPr="000A4281" w:rsidRDefault="009B1999" w:rsidP="00A7001E">
            <w:pPr>
              <w:pStyle w:val="TableParagraph"/>
              <w:spacing w:line="251" w:lineRule="exact"/>
              <w:ind w:left="108"/>
            </w:pPr>
            <w:r>
              <w:t>Quelques progrès</w:t>
            </w:r>
          </w:p>
        </w:tc>
        <w:tc>
          <w:tcPr>
            <w:tcW w:w="1894" w:type="dxa"/>
            <w:shd w:val="clear" w:color="auto" w:fill="7BBEDA"/>
            <w:vAlign w:val="center"/>
          </w:tcPr>
          <w:p w14:paraId="7878A619" w14:textId="77777777" w:rsidR="009B1999" w:rsidRPr="000A4281" w:rsidRDefault="009B1999" w:rsidP="00A7001E">
            <w:pPr>
              <w:pStyle w:val="TableParagraph"/>
              <w:spacing w:line="251" w:lineRule="exact"/>
              <w:ind w:left="108"/>
            </w:pPr>
            <w:r>
              <w:t>Aucun progrès</w:t>
            </w:r>
          </w:p>
        </w:tc>
        <w:tc>
          <w:tcPr>
            <w:tcW w:w="2564" w:type="dxa"/>
            <w:shd w:val="clear" w:color="auto" w:fill="7BBEDA"/>
            <w:vAlign w:val="center"/>
          </w:tcPr>
          <w:p w14:paraId="47890976" w14:textId="77777777" w:rsidR="009B1999" w:rsidRPr="000A4281" w:rsidRDefault="009B1999" w:rsidP="00A7001E">
            <w:pPr>
              <w:pStyle w:val="TableParagraph"/>
              <w:spacing w:line="252" w:lineRule="exact"/>
              <w:ind w:left="110" w:right="203"/>
            </w:pPr>
            <w:r>
              <w:t>Non évalué/abandonné</w:t>
            </w:r>
          </w:p>
        </w:tc>
      </w:tr>
    </w:tbl>
    <w:p w14:paraId="0DAEC7C5" w14:textId="77777777" w:rsidR="009B1999" w:rsidRPr="000A4281" w:rsidRDefault="009B1999" w:rsidP="009B1999">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2865"/>
        <w:gridCol w:w="1412"/>
      </w:tblGrid>
      <w:tr w:rsidR="009B1999" w:rsidRPr="00C6096E" w14:paraId="2863DF5A" w14:textId="77777777" w:rsidTr="00686C1A">
        <w:trPr>
          <w:trHeight w:val="611"/>
        </w:trPr>
        <w:tc>
          <w:tcPr>
            <w:tcW w:w="2410" w:type="dxa"/>
            <w:shd w:val="clear" w:color="auto" w:fill="8DB3E2" w:themeFill="text2" w:themeFillTint="66"/>
          </w:tcPr>
          <w:p w14:paraId="05328BD7" w14:textId="77777777" w:rsidR="009B1999" w:rsidRPr="00C6096E" w:rsidRDefault="009B1999" w:rsidP="00A7001E">
            <w:pPr>
              <w:pStyle w:val="TableParagraph"/>
              <w:ind w:left="110" w:right="624"/>
            </w:pPr>
            <w:r>
              <w:rPr>
                <w:u w:val="single"/>
              </w:rPr>
              <w:t>Résultats du projet</w:t>
            </w:r>
            <w:r>
              <w:t xml:space="preserve"> (Résultat escompté)</w:t>
            </w:r>
          </w:p>
        </w:tc>
        <w:tc>
          <w:tcPr>
            <w:tcW w:w="2695" w:type="dxa"/>
            <w:shd w:val="clear" w:color="auto" w:fill="8DB3E2" w:themeFill="text2" w:themeFillTint="66"/>
          </w:tcPr>
          <w:p w14:paraId="7F2B5E37" w14:textId="18201408" w:rsidR="009B1999" w:rsidRPr="00C6096E" w:rsidRDefault="009B1999" w:rsidP="00A7001E">
            <w:pPr>
              <w:pStyle w:val="TableParagraph"/>
              <w:ind w:left="110" w:right="236"/>
            </w:pPr>
            <w:r>
              <w:rPr>
                <w:u w:val="single"/>
              </w:rPr>
              <w:t>Indicateurs d</w:t>
            </w:r>
            <w:r w:rsidR="007B4A5D">
              <w:rPr>
                <w:u w:val="single"/>
              </w:rPr>
              <w:t>’</w:t>
            </w:r>
            <w:r>
              <w:rPr>
                <w:u w:val="single"/>
              </w:rPr>
              <w:t>exécution</w:t>
            </w:r>
          </w:p>
          <w:p w14:paraId="3DCA5D24" w14:textId="77777777" w:rsidR="009B1999" w:rsidRPr="00C6096E" w:rsidRDefault="009B1999" w:rsidP="00A7001E">
            <w:pPr>
              <w:pStyle w:val="TableParagraph"/>
              <w:spacing w:before="1"/>
              <w:ind w:left="110"/>
            </w:pPr>
            <w:r>
              <w:t>(</w:t>
            </w:r>
            <w:proofErr w:type="gramStart"/>
            <w:r>
              <w:t>indicateurs</w:t>
            </w:r>
            <w:proofErr w:type="gramEnd"/>
            <w:r>
              <w:t xml:space="preserve"> de résultats)</w:t>
            </w:r>
          </w:p>
        </w:tc>
        <w:tc>
          <w:tcPr>
            <w:tcW w:w="2865" w:type="dxa"/>
            <w:shd w:val="clear" w:color="auto" w:fill="8DB3E2" w:themeFill="text2" w:themeFillTint="66"/>
          </w:tcPr>
          <w:p w14:paraId="1763FCFB" w14:textId="0BE39BE8" w:rsidR="009B1999" w:rsidRPr="00C6096E" w:rsidRDefault="009B1999" w:rsidP="00A7001E">
            <w:pPr>
              <w:pStyle w:val="TableParagraph"/>
              <w:ind w:left="108"/>
            </w:pPr>
            <w:r>
              <w:rPr>
                <w:u w:val="single"/>
              </w:rPr>
              <w:t>Données relatives à l</w:t>
            </w:r>
            <w:r w:rsidR="007B4A5D">
              <w:rPr>
                <w:u w:val="single"/>
              </w:rPr>
              <w:t>’</w:t>
            </w:r>
            <w:r>
              <w:rPr>
                <w:u w:val="single"/>
              </w:rPr>
              <w:t>exécution</w:t>
            </w:r>
          </w:p>
        </w:tc>
        <w:tc>
          <w:tcPr>
            <w:tcW w:w="1412" w:type="dxa"/>
            <w:shd w:val="clear" w:color="auto" w:fill="8DB3E2" w:themeFill="text2" w:themeFillTint="66"/>
          </w:tcPr>
          <w:p w14:paraId="71ECE6EC" w14:textId="0A6F7B13" w:rsidR="009B1999" w:rsidRPr="00C6096E" w:rsidRDefault="009B1999" w:rsidP="00A7001E">
            <w:pPr>
              <w:pStyle w:val="TableParagraph"/>
              <w:ind w:left="111"/>
            </w:pPr>
            <w:r>
              <w:rPr>
                <w:u w:val="single"/>
              </w:rPr>
              <w:t>Code d</w:t>
            </w:r>
            <w:r w:rsidR="007B4A5D">
              <w:rPr>
                <w:u w:val="single"/>
              </w:rPr>
              <w:t>’</w:t>
            </w:r>
            <w:r>
              <w:rPr>
                <w:u w:val="single"/>
              </w:rPr>
              <w:t>évaluation</w:t>
            </w:r>
          </w:p>
        </w:tc>
      </w:tr>
      <w:tr w:rsidR="009B1999" w:rsidRPr="00C6096E" w14:paraId="73C69147" w14:textId="77777777" w:rsidTr="00686C1A">
        <w:trPr>
          <w:trHeight w:val="593"/>
        </w:trPr>
        <w:tc>
          <w:tcPr>
            <w:tcW w:w="2410" w:type="dxa"/>
            <w:vMerge w:val="restart"/>
            <w:tcBorders>
              <w:right w:val="single" w:sz="6" w:space="0" w:color="000000"/>
            </w:tcBorders>
          </w:tcPr>
          <w:p w14:paraId="1A7C3DAA" w14:textId="2001B2E4" w:rsidR="009B1999" w:rsidRPr="00C6096E" w:rsidRDefault="009B1999" w:rsidP="00A7001E">
            <w:pPr>
              <w:pStyle w:val="TableParagraph"/>
              <w:ind w:left="163"/>
            </w:pPr>
            <w:r>
              <w:t>Sélection de trois</w:t>
            </w:r>
            <w:r w:rsidR="00FA77D8">
              <w:t> </w:t>
            </w:r>
            <w:r>
              <w:t>pays bénéficiaires (en plus de l</w:t>
            </w:r>
            <w:r w:rsidR="007B4A5D">
              <w:t>’</w:t>
            </w:r>
            <w:r>
              <w:t>État plurinational de Bolivie)</w:t>
            </w:r>
          </w:p>
        </w:tc>
        <w:tc>
          <w:tcPr>
            <w:tcW w:w="2695" w:type="dxa"/>
            <w:tcBorders>
              <w:left w:val="single" w:sz="6" w:space="0" w:color="000000"/>
              <w:bottom w:val="single" w:sz="6" w:space="0" w:color="000000"/>
            </w:tcBorders>
          </w:tcPr>
          <w:p w14:paraId="2B565E8D" w14:textId="6CA9333E" w:rsidR="009B1999" w:rsidRPr="00C6096E" w:rsidRDefault="009B1999" w:rsidP="00A7001E">
            <w:pPr>
              <w:pStyle w:val="TableParagraph"/>
              <w:ind w:left="163"/>
            </w:pPr>
            <w:r>
              <w:t>Trois pays sont sélectionnés (sur la base des critères de sélection convenus</w:t>
            </w:r>
            <w:proofErr w:type="gramStart"/>
            <w:r>
              <w:t xml:space="preserve">); </w:t>
            </w:r>
            <w:r w:rsidR="00FA77D8">
              <w:t xml:space="preserve"> </w:t>
            </w:r>
            <w:r>
              <w:t>et</w:t>
            </w:r>
            <w:proofErr w:type="gramEnd"/>
            <w:r>
              <w:t xml:space="preserve"> </w:t>
            </w:r>
          </w:p>
        </w:tc>
        <w:tc>
          <w:tcPr>
            <w:tcW w:w="2865" w:type="dxa"/>
          </w:tcPr>
          <w:p w14:paraId="2B761F1D" w14:textId="7C388EBF" w:rsidR="009B1999" w:rsidRPr="00C6096E" w:rsidRDefault="009B1999" w:rsidP="00A7001E">
            <w:pPr>
              <w:pStyle w:val="TableParagraph"/>
              <w:ind w:left="163"/>
            </w:pPr>
            <w:r>
              <w:t>Entièrement atteint</w:t>
            </w:r>
            <w:r w:rsidR="007B4A5D">
              <w:t> :</w:t>
            </w:r>
            <w:r>
              <w:t xml:space="preserve"> Outre l</w:t>
            </w:r>
            <w:r w:rsidR="007B4A5D">
              <w:t>’</w:t>
            </w:r>
            <w:r>
              <w:t xml:space="preserve">État plurinational de Bolivie, les Philippines, le Brésil et la Tunisie ont été sélectionnés. </w:t>
            </w:r>
            <w:r w:rsidR="00FA77D8">
              <w:t xml:space="preserve"> </w:t>
            </w:r>
          </w:p>
        </w:tc>
        <w:tc>
          <w:tcPr>
            <w:tcW w:w="1412" w:type="dxa"/>
            <w:vMerge w:val="restart"/>
          </w:tcPr>
          <w:p w14:paraId="6D9477D8" w14:textId="77777777" w:rsidR="009B1999" w:rsidRPr="00C6096E" w:rsidRDefault="009B1999" w:rsidP="00A7001E">
            <w:pPr>
              <w:pStyle w:val="TableParagraph"/>
              <w:ind w:left="163"/>
            </w:pPr>
            <w:r>
              <w:t>****</w:t>
            </w:r>
          </w:p>
        </w:tc>
      </w:tr>
      <w:tr w:rsidR="009B1999" w:rsidRPr="00C6096E" w14:paraId="612A6B5D" w14:textId="77777777" w:rsidTr="00686C1A">
        <w:trPr>
          <w:trHeight w:val="655"/>
        </w:trPr>
        <w:tc>
          <w:tcPr>
            <w:tcW w:w="2410" w:type="dxa"/>
            <w:vMerge/>
            <w:tcBorders>
              <w:right w:val="single" w:sz="6" w:space="0" w:color="000000"/>
            </w:tcBorders>
          </w:tcPr>
          <w:p w14:paraId="23C03BB8" w14:textId="77777777" w:rsidR="009B1999" w:rsidRDefault="009B1999" w:rsidP="00A7001E">
            <w:pPr>
              <w:pStyle w:val="TableParagraph"/>
              <w:ind w:left="163"/>
            </w:pPr>
          </w:p>
        </w:tc>
        <w:tc>
          <w:tcPr>
            <w:tcW w:w="2695" w:type="dxa"/>
            <w:tcBorders>
              <w:left w:val="single" w:sz="6" w:space="0" w:color="000000"/>
              <w:bottom w:val="single" w:sz="6" w:space="0" w:color="000000"/>
            </w:tcBorders>
          </w:tcPr>
          <w:p w14:paraId="20BFBD1D" w14:textId="77777777" w:rsidR="009B1999" w:rsidRDefault="009B1999" w:rsidP="00A7001E">
            <w:pPr>
              <w:pStyle w:val="TableParagraph"/>
              <w:ind w:left="163"/>
            </w:pPr>
            <w:r>
              <w:t>Des coordonnateurs chargés de la mise en œuvre du projet dans les différents pays ont été désignés.</w:t>
            </w:r>
          </w:p>
        </w:tc>
        <w:tc>
          <w:tcPr>
            <w:tcW w:w="2865" w:type="dxa"/>
          </w:tcPr>
          <w:p w14:paraId="76C6CF02" w14:textId="20C91EE3" w:rsidR="009B1999" w:rsidRDefault="009B1999" w:rsidP="00A7001E">
            <w:pPr>
              <w:pStyle w:val="TableParagraph"/>
              <w:ind w:left="163"/>
            </w:pPr>
            <w:r>
              <w:t>Des coordonnateurs locaux ont été désignés dans chacun des quatre</w:t>
            </w:r>
            <w:r w:rsidR="00FA77D8">
              <w:t> </w:t>
            </w:r>
            <w:r>
              <w:t>pays bénéficiaires.</w:t>
            </w:r>
          </w:p>
        </w:tc>
        <w:tc>
          <w:tcPr>
            <w:tcW w:w="1412" w:type="dxa"/>
            <w:vMerge/>
          </w:tcPr>
          <w:p w14:paraId="440078E3" w14:textId="77777777" w:rsidR="009B1999" w:rsidRDefault="009B1999" w:rsidP="00A7001E">
            <w:pPr>
              <w:pStyle w:val="TableParagraph"/>
              <w:ind w:left="163"/>
            </w:pPr>
          </w:p>
        </w:tc>
      </w:tr>
      <w:tr w:rsidR="009B1999" w:rsidRPr="00C6096E" w14:paraId="6D3E9ADF" w14:textId="77777777" w:rsidTr="00686C1A">
        <w:trPr>
          <w:trHeight w:val="510"/>
        </w:trPr>
        <w:tc>
          <w:tcPr>
            <w:tcW w:w="2410" w:type="dxa"/>
            <w:tcBorders>
              <w:right w:val="single" w:sz="6" w:space="0" w:color="000000"/>
            </w:tcBorders>
          </w:tcPr>
          <w:p w14:paraId="3365B2E4" w14:textId="77777777" w:rsidR="009B1999" w:rsidRPr="00C6096E" w:rsidRDefault="009B1999" w:rsidP="00A7001E">
            <w:pPr>
              <w:pStyle w:val="TableParagraph"/>
              <w:ind w:left="163"/>
            </w:pPr>
            <w:r>
              <w:t>Approbation des plans de mise en œuvre des projets au niveau national.</w:t>
            </w:r>
          </w:p>
        </w:tc>
        <w:tc>
          <w:tcPr>
            <w:tcW w:w="2695" w:type="dxa"/>
            <w:tcBorders>
              <w:top w:val="single" w:sz="6" w:space="0" w:color="000000"/>
              <w:left w:val="single" w:sz="6" w:space="0" w:color="000000"/>
              <w:bottom w:val="single" w:sz="6" w:space="0" w:color="000000"/>
            </w:tcBorders>
          </w:tcPr>
          <w:p w14:paraId="5F8CA214" w14:textId="77777777" w:rsidR="009B1999" w:rsidRPr="00C6096E" w:rsidRDefault="009B1999" w:rsidP="00A7001E">
            <w:pPr>
              <w:pStyle w:val="TableParagraph"/>
              <w:ind w:left="163"/>
            </w:pPr>
            <w:r>
              <w:t>Quatre plans de mise en œuvre des projets ont été élaborés et approuvés (un par pays bénéficiaire).</w:t>
            </w:r>
          </w:p>
        </w:tc>
        <w:tc>
          <w:tcPr>
            <w:tcW w:w="2865" w:type="dxa"/>
          </w:tcPr>
          <w:p w14:paraId="3132BD85" w14:textId="09B1C691" w:rsidR="009B1999" w:rsidRPr="00C6096E" w:rsidRDefault="009B1999" w:rsidP="00A7001E">
            <w:pPr>
              <w:pStyle w:val="TableParagraph"/>
              <w:ind w:left="163"/>
            </w:pPr>
            <w:r>
              <w:t>Entièrement atteint</w:t>
            </w:r>
            <w:r w:rsidR="007B4A5D">
              <w:t> :</w:t>
            </w:r>
            <w:r>
              <w:t xml:space="preserve"> des plans de mise en œuvre du projet au niveau national ont été élaborés et approuvés dans chacun des quatre</w:t>
            </w:r>
            <w:r w:rsidR="00FA77D8">
              <w:t> </w:t>
            </w:r>
            <w:r>
              <w:t>pays bénéficiaires.</w:t>
            </w:r>
          </w:p>
        </w:tc>
        <w:tc>
          <w:tcPr>
            <w:tcW w:w="1412" w:type="dxa"/>
          </w:tcPr>
          <w:p w14:paraId="029D7282" w14:textId="77777777" w:rsidR="009B1999" w:rsidRPr="00C6096E" w:rsidRDefault="009B1999" w:rsidP="00A7001E">
            <w:pPr>
              <w:pStyle w:val="TableParagraph"/>
              <w:ind w:left="163"/>
            </w:pPr>
            <w:r>
              <w:t>****</w:t>
            </w:r>
          </w:p>
        </w:tc>
      </w:tr>
      <w:tr w:rsidR="009B1999" w:rsidRPr="00C6096E" w14:paraId="1EE5462F" w14:textId="77777777" w:rsidTr="00686C1A">
        <w:trPr>
          <w:trHeight w:val="510"/>
        </w:trPr>
        <w:tc>
          <w:tcPr>
            <w:tcW w:w="2410" w:type="dxa"/>
            <w:tcBorders>
              <w:right w:val="single" w:sz="6" w:space="0" w:color="000000"/>
            </w:tcBorders>
          </w:tcPr>
          <w:p w14:paraId="15C85F51" w14:textId="041B521D" w:rsidR="009B1999" w:rsidRDefault="009B1999" w:rsidP="00A7001E">
            <w:pPr>
              <w:pStyle w:val="TableParagraph"/>
              <w:ind w:left="163"/>
            </w:pPr>
            <w:r>
              <w:t>Réalisation de quatre</w:t>
            </w:r>
            <w:r w:rsidR="00FA77D8">
              <w:t> </w:t>
            </w:r>
            <w:r>
              <w:t>études exploratoires sur des produits ou services pouvant bénéficier de l</w:t>
            </w:r>
            <w:r w:rsidR="007B4A5D">
              <w:t>’</w:t>
            </w:r>
            <w:r>
              <w:t>utilisation de marques collectives (une par pays bénéficiaire)</w:t>
            </w:r>
          </w:p>
        </w:tc>
        <w:tc>
          <w:tcPr>
            <w:tcW w:w="2695" w:type="dxa"/>
            <w:tcBorders>
              <w:top w:val="single" w:sz="6" w:space="0" w:color="000000"/>
              <w:left w:val="single" w:sz="6" w:space="0" w:color="000000"/>
              <w:bottom w:val="single" w:sz="6" w:space="0" w:color="000000"/>
            </w:tcBorders>
          </w:tcPr>
          <w:p w14:paraId="42FD6C09" w14:textId="5EE0B781" w:rsidR="009B1999" w:rsidRPr="00C6096E" w:rsidRDefault="009B1999" w:rsidP="00A7001E">
            <w:pPr>
              <w:pStyle w:val="TableParagraph"/>
              <w:ind w:left="163"/>
            </w:pPr>
            <w:r>
              <w:t>Études exploratoires finales validées par les coordonnateurs locaux des pays bénéficiaires et le Secrétariat de l</w:t>
            </w:r>
            <w:r w:rsidR="007B4A5D">
              <w:t>’</w:t>
            </w:r>
            <w:r>
              <w:t>OMPI</w:t>
            </w:r>
          </w:p>
        </w:tc>
        <w:tc>
          <w:tcPr>
            <w:tcW w:w="2865" w:type="dxa"/>
          </w:tcPr>
          <w:p w14:paraId="0F26654C" w14:textId="0D964526" w:rsidR="009B1999" w:rsidRPr="00C6096E" w:rsidRDefault="009B1999" w:rsidP="00A7001E">
            <w:pPr>
              <w:pStyle w:val="TableParagraph"/>
              <w:ind w:left="163"/>
            </w:pPr>
            <w:r>
              <w:t>Entièrement atteint</w:t>
            </w:r>
            <w:r w:rsidR="007B4A5D">
              <w:t> :</w:t>
            </w:r>
            <w:r>
              <w:t xml:space="preserve"> Quatre</w:t>
            </w:r>
            <w:r w:rsidR="00FA77D8">
              <w:t> </w:t>
            </w:r>
            <w:r>
              <w:t>études exploratoires achevées.</w:t>
            </w:r>
          </w:p>
        </w:tc>
        <w:tc>
          <w:tcPr>
            <w:tcW w:w="1412" w:type="dxa"/>
          </w:tcPr>
          <w:p w14:paraId="4F08C7C9" w14:textId="77777777" w:rsidR="009B1999" w:rsidRPr="00C6096E" w:rsidRDefault="009B1999" w:rsidP="00A7001E">
            <w:pPr>
              <w:pStyle w:val="TableParagraph"/>
              <w:ind w:left="163"/>
            </w:pPr>
            <w:r>
              <w:t>****</w:t>
            </w:r>
          </w:p>
        </w:tc>
      </w:tr>
      <w:tr w:rsidR="009B1999" w:rsidRPr="00C6096E" w14:paraId="155B71C7" w14:textId="77777777" w:rsidTr="00686C1A">
        <w:trPr>
          <w:trHeight w:val="510"/>
        </w:trPr>
        <w:tc>
          <w:tcPr>
            <w:tcW w:w="2410" w:type="dxa"/>
            <w:tcBorders>
              <w:right w:val="single" w:sz="6" w:space="0" w:color="000000"/>
            </w:tcBorders>
          </w:tcPr>
          <w:p w14:paraId="5CC23C95" w14:textId="3CB7175F" w:rsidR="009B1999" w:rsidRDefault="009B1999" w:rsidP="00A7001E">
            <w:pPr>
              <w:pStyle w:val="TableParagraph"/>
              <w:ind w:left="163"/>
            </w:pPr>
            <w:r>
              <w:t>Événements d</w:t>
            </w:r>
            <w:r w:rsidR="007B4A5D">
              <w:t>’</w:t>
            </w:r>
            <w:r>
              <w:t>information à l</w:t>
            </w:r>
            <w:r w:rsidR="007B4A5D">
              <w:t>’</w:t>
            </w:r>
            <w:r>
              <w:t>intention des autorités locales et des entrepreneurs locaux sur les avantages potentiels de l</w:t>
            </w:r>
            <w:r w:rsidR="007B4A5D">
              <w:t>’</w:t>
            </w:r>
            <w:r>
              <w:t>utilisation des marques collectives</w:t>
            </w:r>
          </w:p>
        </w:tc>
        <w:tc>
          <w:tcPr>
            <w:tcW w:w="2695" w:type="dxa"/>
            <w:tcBorders>
              <w:top w:val="single" w:sz="6" w:space="0" w:color="000000"/>
              <w:left w:val="single" w:sz="6" w:space="0" w:color="000000"/>
              <w:bottom w:val="single" w:sz="6" w:space="0" w:color="000000"/>
            </w:tcBorders>
          </w:tcPr>
          <w:p w14:paraId="229B1339" w14:textId="600A9B93" w:rsidR="009B1999" w:rsidRPr="00C6096E" w:rsidRDefault="009B1999" w:rsidP="00A7001E">
            <w:pPr>
              <w:pStyle w:val="TableParagraph"/>
              <w:ind w:left="163"/>
            </w:pPr>
            <w:r>
              <w:t>Un pourcentage important des participants à ces événements a fait état d</w:t>
            </w:r>
            <w:r w:rsidR="007B4A5D">
              <w:t>’</w:t>
            </w:r>
            <w:r>
              <w:t>une meilleure compréhension des avantages potentiels de l</w:t>
            </w:r>
            <w:r w:rsidR="007B4A5D">
              <w:t>’</w:t>
            </w:r>
            <w:r>
              <w:t>utilisation des marques collectives.</w:t>
            </w:r>
          </w:p>
        </w:tc>
        <w:tc>
          <w:tcPr>
            <w:tcW w:w="2865" w:type="dxa"/>
          </w:tcPr>
          <w:p w14:paraId="323D252F" w14:textId="6657E3A5" w:rsidR="009B1999" w:rsidRPr="00C6096E" w:rsidRDefault="009B1999" w:rsidP="00A7001E">
            <w:pPr>
              <w:pStyle w:val="TableParagraph"/>
              <w:ind w:left="163"/>
            </w:pPr>
            <w:r>
              <w:t>Entièrement atteint</w:t>
            </w:r>
            <w:r w:rsidR="007B4A5D">
              <w:t> :</w:t>
            </w:r>
            <w:r>
              <w:t xml:space="preserve"> Trois</w:t>
            </w:r>
            <w:r w:rsidR="00FA77D8">
              <w:t> </w:t>
            </w:r>
            <w:r>
              <w:t>séances d</w:t>
            </w:r>
            <w:r w:rsidR="007B4A5D">
              <w:t>’</w:t>
            </w:r>
            <w:r>
              <w:t>information ont été organisées, avec une moyenne de plus de 90% des participants dans les quatre</w:t>
            </w:r>
            <w:r w:rsidR="00FA77D8">
              <w:t> </w:t>
            </w:r>
            <w:r>
              <w:t xml:space="preserve">pays bénéficiaires indiquant que les séances avaient été utiles ou très utiles pour mieux comprendre les marques collectives.  </w:t>
            </w:r>
          </w:p>
        </w:tc>
        <w:tc>
          <w:tcPr>
            <w:tcW w:w="1412" w:type="dxa"/>
          </w:tcPr>
          <w:p w14:paraId="6EC84DBE" w14:textId="77777777" w:rsidR="009B1999" w:rsidRPr="00C6096E" w:rsidRDefault="009B1999" w:rsidP="00A7001E">
            <w:pPr>
              <w:pStyle w:val="TableParagraph"/>
              <w:ind w:left="163"/>
            </w:pPr>
            <w:r>
              <w:t>****</w:t>
            </w:r>
          </w:p>
        </w:tc>
      </w:tr>
      <w:tr w:rsidR="009B1999" w:rsidRPr="00C6096E" w14:paraId="7C8E92A0" w14:textId="77777777" w:rsidTr="00686C1A">
        <w:trPr>
          <w:trHeight w:val="510"/>
        </w:trPr>
        <w:tc>
          <w:tcPr>
            <w:tcW w:w="2410" w:type="dxa"/>
            <w:tcBorders>
              <w:right w:val="single" w:sz="6" w:space="0" w:color="000000"/>
            </w:tcBorders>
          </w:tcPr>
          <w:p w14:paraId="7028AD97" w14:textId="6D4A8CA5" w:rsidR="009B1999" w:rsidRDefault="009B1999" w:rsidP="00A7001E">
            <w:pPr>
              <w:pStyle w:val="TableParagraph"/>
              <w:ind w:left="163"/>
            </w:pPr>
            <w:r>
              <w:t>Sélection dans chaque pays bénéficiaire d</w:t>
            </w:r>
            <w:r w:rsidR="007B4A5D">
              <w:t>’</w:t>
            </w:r>
            <w:r>
              <w:t>un produit pour lequel une marque collective sera créée et enregistrée, et création d</w:t>
            </w:r>
            <w:r w:rsidR="007B4A5D">
              <w:t>’</w:t>
            </w:r>
            <w:r>
              <w:t>une association ou recensement d</w:t>
            </w:r>
            <w:r w:rsidR="007B4A5D">
              <w:t>’</w:t>
            </w:r>
            <w:r>
              <w:t>une association déjà existante</w:t>
            </w:r>
          </w:p>
        </w:tc>
        <w:tc>
          <w:tcPr>
            <w:tcW w:w="2695" w:type="dxa"/>
            <w:tcBorders>
              <w:top w:val="single" w:sz="6" w:space="0" w:color="000000"/>
              <w:left w:val="single" w:sz="6" w:space="0" w:color="000000"/>
              <w:bottom w:val="single" w:sz="6" w:space="0" w:color="000000"/>
            </w:tcBorders>
          </w:tcPr>
          <w:p w14:paraId="639872F0" w14:textId="77777777" w:rsidR="009B1999" w:rsidRPr="00C6096E" w:rsidRDefault="009B1999" w:rsidP="00A7001E">
            <w:pPr>
              <w:pStyle w:val="TableParagraph"/>
              <w:ind w:left="163"/>
            </w:pPr>
            <w:r>
              <w:t>Un produit a été sélectionné et une association créée/recensée dans chaque pays bénéficiaire.</w:t>
            </w:r>
          </w:p>
        </w:tc>
        <w:tc>
          <w:tcPr>
            <w:tcW w:w="2865" w:type="dxa"/>
          </w:tcPr>
          <w:p w14:paraId="6A7E4F68" w14:textId="1AEF580C" w:rsidR="009B1999" w:rsidRPr="00C6096E" w:rsidRDefault="009B1999" w:rsidP="00A7001E">
            <w:pPr>
              <w:pStyle w:val="TableParagraph"/>
              <w:ind w:left="163"/>
            </w:pPr>
            <w:r>
              <w:t>Entièrement atteint</w:t>
            </w:r>
            <w:r w:rsidR="007B4A5D">
              <w:t> :</w:t>
            </w:r>
            <w:r>
              <w:t xml:space="preserve"> Quatre</w:t>
            </w:r>
            <w:r w:rsidR="00FA77D8">
              <w:t> </w:t>
            </w:r>
            <w:r>
              <w:t>produits ont été sélectionnés et quatre</w:t>
            </w:r>
            <w:r w:rsidR="00FA77D8">
              <w:t> </w:t>
            </w:r>
            <w:r>
              <w:t xml:space="preserve">associations ont été créées/recensées. </w:t>
            </w:r>
            <w:r w:rsidR="00FA77D8">
              <w:t xml:space="preserve"> </w:t>
            </w:r>
          </w:p>
        </w:tc>
        <w:tc>
          <w:tcPr>
            <w:tcW w:w="1412" w:type="dxa"/>
          </w:tcPr>
          <w:p w14:paraId="0AB92A0B" w14:textId="77777777" w:rsidR="009B1999" w:rsidRPr="00C6096E" w:rsidRDefault="009B1999" w:rsidP="00A7001E">
            <w:pPr>
              <w:pStyle w:val="TableParagraph"/>
              <w:ind w:left="163"/>
            </w:pPr>
            <w:r>
              <w:t>****</w:t>
            </w:r>
          </w:p>
        </w:tc>
      </w:tr>
      <w:tr w:rsidR="009B1999" w:rsidRPr="00C6096E" w14:paraId="6DAFA8E1" w14:textId="77777777" w:rsidTr="00686C1A">
        <w:trPr>
          <w:trHeight w:val="510"/>
        </w:trPr>
        <w:tc>
          <w:tcPr>
            <w:tcW w:w="2410" w:type="dxa"/>
            <w:tcBorders>
              <w:right w:val="single" w:sz="6" w:space="0" w:color="000000"/>
            </w:tcBorders>
          </w:tcPr>
          <w:p w14:paraId="049C11E5" w14:textId="77777777" w:rsidR="009B1999" w:rsidRDefault="009B1999" w:rsidP="00A7001E">
            <w:pPr>
              <w:pStyle w:val="TableParagraph"/>
              <w:ind w:left="163"/>
            </w:pPr>
            <w:r>
              <w:t>Ateliers avec les membres des associations</w:t>
            </w:r>
          </w:p>
        </w:tc>
        <w:tc>
          <w:tcPr>
            <w:tcW w:w="2695" w:type="dxa"/>
            <w:tcBorders>
              <w:top w:val="single" w:sz="6" w:space="0" w:color="000000"/>
              <w:left w:val="single" w:sz="6" w:space="0" w:color="000000"/>
              <w:bottom w:val="single" w:sz="6" w:space="0" w:color="000000"/>
            </w:tcBorders>
          </w:tcPr>
          <w:p w14:paraId="726724C7" w14:textId="5CD6EBBE" w:rsidR="009B1999" w:rsidRPr="00C6096E" w:rsidRDefault="009B1999" w:rsidP="00A7001E">
            <w:pPr>
              <w:pStyle w:val="TableParagraph"/>
              <w:ind w:left="163"/>
            </w:pPr>
            <w:r>
              <w:t>Large consensus entre les membres des associations sur les principaux éléments du développement et de l</w:t>
            </w:r>
            <w:r w:rsidR="007B4A5D">
              <w:t>’</w:t>
            </w:r>
            <w:r>
              <w:t>enregistrement de la marque collective.</w:t>
            </w:r>
          </w:p>
        </w:tc>
        <w:tc>
          <w:tcPr>
            <w:tcW w:w="2865" w:type="dxa"/>
          </w:tcPr>
          <w:p w14:paraId="79FAD509" w14:textId="6AA7898C" w:rsidR="009B1999" w:rsidRPr="00C6096E" w:rsidRDefault="009B1999" w:rsidP="00A7001E">
            <w:pPr>
              <w:pStyle w:val="TableParagraph"/>
              <w:ind w:left="163"/>
            </w:pPr>
            <w:r>
              <w:t>Entièrement atteint</w:t>
            </w:r>
            <w:r w:rsidR="007B4A5D">
              <w:t> :</w:t>
            </w:r>
            <w:r>
              <w:t xml:space="preserve"> Au cours des ateliers organisés dans les quatre</w:t>
            </w:r>
            <w:r w:rsidR="00FA77D8">
              <w:t> </w:t>
            </w:r>
            <w:r>
              <w:t>pays bénéficiaires, il y a eu un large consensus entre les membres des associations sur les principaux éléments du développement et de l</w:t>
            </w:r>
            <w:r w:rsidR="007B4A5D">
              <w:t>’</w:t>
            </w:r>
            <w:r>
              <w:t>enregistrement de la marque collective</w:t>
            </w:r>
            <w:r w:rsidR="00FA77D8">
              <w:t>.</w:t>
            </w:r>
          </w:p>
        </w:tc>
        <w:tc>
          <w:tcPr>
            <w:tcW w:w="1412" w:type="dxa"/>
          </w:tcPr>
          <w:p w14:paraId="26CBA618" w14:textId="77777777" w:rsidR="009B1999" w:rsidRPr="00C6096E" w:rsidRDefault="009B1999" w:rsidP="00A7001E">
            <w:pPr>
              <w:pStyle w:val="TableParagraph"/>
              <w:ind w:left="163"/>
            </w:pPr>
            <w:r>
              <w:t>****</w:t>
            </w:r>
          </w:p>
        </w:tc>
      </w:tr>
      <w:tr w:rsidR="009B1999" w:rsidRPr="00C6096E" w14:paraId="530A475C" w14:textId="77777777" w:rsidTr="00686C1A">
        <w:trPr>
          <w:trHeight w:val="510"/>
        </w:trPr>
        <w:tc>
          <w:tcPr>
            <w:tcW w:w="2410" w:type="dxa"/>
            <w:tcBorders>
              <w:right w:val="single" w:sz="6" w:space="0" w:color="000000"/>
            </w:tcBorders>
          </w:tcPr>
          <w:p w14:paraId="06EEA87E" w14:textId="6BA9849A" w:rsidR="009B1999" w:rsidRDefault="009B1999" w:rsidP="00A7001E">
            <w:pPr>
              <w:pStyle w:val="TableParagraph"/>
              <w:ind w:left="163"/>
            </w:pPr>
            <w:r>
              <w:t>Rédaction et adoption du règlement d</w:t>
            </w:r>
            <w:r w:rsidR="007B4A5D">
              <w:t>’</w:t>
            </w:r>
            <w:r>
              <w:t>usage de la marque collective (dans chaque pays bénéficiaire)</w:t>
            </w:r>
          </w:p>
        </w:tc>
        <w:tc>
          <w:tcPr>
            <w:tcW w:w="2695" w:type="dxa"/>
            <w:tcBorders>
              <w:top w:val="single" w:sz="6" w:space="0" w:color="000000"/>
              <w:left w:val="single" w:sz="6" w:space="0" w:color="000000"/>
              <w:bottom w:val="single" w:sz="6" w:space="0" w:color="000000"/>
            </w:tcBorders>
          </w:tcPr>
          <w:p w14:paraId="0CC29ADB" w14:textId="7B6162BB" w:rsidR="009B1999" w:rsidRPr="00C6096E" w:rsidRDefault="009B1999" w:rsidP="00A7001E">
            <w:pPr>
              <w:pStyle w:val="TableParagraph"/>
              <w:ind w:left="163"/>
            </w:pPr>
            <w:r>
              <w:t>Un règlement d</w:t>
            </w:r>
            <w:r w:rsidR="007B4A5D">
              <w:t>’</w:t>
            </w:r>
            <w:r>
              <w:t>usage a été rédigé et adopté dans chaque pays bénéficiaire.</w:t>
            </w:r>
          </w:p>
        </w:tc>
        <w:tc>
          <w:tcPr>
            <w:tcW w:w="2865" w:type="dxa"/>
          </w:tcPr>
          <w:p w14:paraId="20BB7610" w14:textId="22C9C07C" w:rsidR="009B1999" w:rsidRPr="003550C1" w:rsidRDefault="009B1999" w:rsidP="00A7001E">
            <w:pPr>
              <w:pStyle w:val="TableParagraph"/>
              <w:ind w:left="163"/>
            </w:pPr>
            <w:r>
              <w:t>Entièrement atteint</w:t>
            </w:r>
            <w:r w:rsidR="007B4A5D">
              <w:t> :</w:t>
            </w:r>
            <w:r>
              <w:t xml:space="preserve"> Quatre</w:t>
            </w:r>
            <w:r w:rsidR="00FA77D8">
              <w:t> </w:t>
            </w:r>
            <w:r>
              <w:t>ensembles de règlements d</w:t>
            </w:r>
            <w:r w:rsidR="007B4A5D">
              <w:t>’</w:t>
            </w:r>
            <w:r>
              <w:t>usage rédigés et adoptés.</w:t>
            </w:r>
          </w:p>
        </w:tc>
        <w:tc>
          <w:tcPr>
            <w:tcW w:w="1412" w:type="dxa"/>
          </w:tcPr>
          <w:p w14:paraId="52AD079F" w14:textId="77777777" w:rsidR="009B1999" w:rsidRPr="003550C1" w:rsidRDefault="009B1999" w:rsidP="00A7001E">
            <w:pPr>
              <w:pStyle w:val="TableParagraph"/>
              <w:ind w:left="163"/>
            </w:pPr>
            <w:r>
              <w:t>****</w:t>
            </w:r>
          </w:p>
        </w:tc>
      </w:tr>
      <w:tr w:rsidR="009B1999" w:rsidRPr="00C6096E" w14:paraId="08C0F026" w14:textId="77777777" w:rsidTr="00686C1A">
        <w:trPr>
          <w:trHeight w:val="510"/>
        </w:trPr>
        <w:tc>
          <w:tcPr>
            <w:tcW w:w="2410" w:type="dxa"/>
            <w:tcBorders>
              <w:right w:val="single" w:sz="6" w:space="0" w:color="000000"/>
            </w:tcBorders>
          </w:tcPr>
          <w:p w14:paraId="4C608424" w14:textId="77777777" w:rsidR="009B1999" w:rsidRDefault="009B1999" w:rsidP="00A7001E">
            <w:pPr>
              <w:pStyle w:val="TableParagraph"/>
              <w:ind w:left="163"/>
            </w:pPr>
            <w:r>
              <w:t>Conception du logo de la marque collective (dans chaque pays bénéficiaire)</w:t>
            </w:r>
          </w:p>
        </w:tc>
        <w:tc>
          <w:tcPr>
            <w:tcW w:w="2695" w:type="dxa"/>
            <w:tcBorders>
              <w:top w:val="single" w:sz="6" w:space="0" w:color="000000"/>
              <w:left w:val="single" w:sz="6" w:space="0" w:color="000000"/>
              <w:bottom w:val="single" w:sz="6" w:space="0" w:color="000000"/>
            </w:tcBorders>
          </w:tcPr>
          <w:p w14:paraId="2DBA2C40" w14:textId="77777777" w:rsidR="009B1999" w:rsidRPr="00C6096E" w:rsidRDefault="009B1999" w:rsidP="00A7001E">
            <w:pPr>
              <w:pStyle w:val="TableParagraph"/>
              <w:ind w:left="163"/>
            </w:pPr>
            <w:r>
              <w:t>Conception du logo de la marque collective (dans chaque pays bénéficiaire)</w:t>
            </w:r>
          </w:p>
        </w:tc>
        <w:tc>
          <w:tcPr>
            <w:tcW w:w="2865" w:type="dxa"/>
          </w:tcPr>
          <w:p w14:paraId="5A405E8D" w14:textId="1D922BA3" w:rsidR="009B1999" w:rsidRPr="00C6096E" w:rsidRDefault="009B1999" w:rsidP="00A7001E">
            <w:pPr>
              <w:pStyle w:val="TableParagraph"/>
              <w:ind w:left="163"/>
            </w:pPr>
            <w:r>
              <w:t>Entièrement atteint</w:t>
            </w:r>
            <w:r w:rsidR="007B4A5D">
              <w:t> :</w:t>
            </w:r>
            <w:r>
              <w:t xml:space="preserve"> Quatre</w:t>
            </w:r>
            <w:r w:rsidR="00FA77D8">
              <w:t> </w:t>
            </w:r>
            <w:r>
              <w:t>logos conçus.</w:t>
            </w:r>
          </w:p>
        </w:tc>
        <w:tc>
          <w:tcPr>
            <w:tcW w:w="1412" w:type="dxa"/>
          </w:tcPr>
          <w:p w14:paraId="7278361D" w14:textId="77777777" w:rsidR="009B1999" w:rsidRPr="00C6096E" w:rsidRDefault="009B1999" w:rsidP="00A7001E">
            <w:pPr>
              <w:pStyle w:val="TableParagraph"/>
              <w:ind w:left="163"/>
            </w:pPr>
            <w:r>
              <w:t>****</w:t>
            </w:r>
          </w:p>
        </w:tc>
      </w:tr>
      <w:tr w:rsidR="009B1999" w:rsidRPr="00C6096E" w14:paraId="5EAFD95C" w14:textId="77777777" w:rsidTr="00686C1A">
        <w:trPr>
          <w:trHeight w:val="510"/>
        </w:trPr>
        <w:tc>
          <w:tcPr>
            <w:tcW w:w="2410" w:type="dxa"/>
            <w:tcBorders>
              <w:right w:val="single" w:sz="6" w:space="0" w:color="000000"/>
            </w:tcBorders>
          </w:tcPr>
          <w:p w14:paraId="6CC98DC9" w14:textId="77777777" w:rsidR="009B1999" w:rsidRDefault="009B1999" w:rsidP="00A7001E">
            <w:pPr>
              <w:pStyle w:val="TableParagraph"/>
              <w:ind w:left="163"/>
            </w:pPr>
            <w:r>
              <w:t>Enregistrement de la marque collective (dans chaque pays bénéficiaire)</w:t>
            </w:r>
          </w:p>
        </w:tc>
        <w:tc>
          <w:tcPr>
            <w:tcW w:w="2695" w:type="dxa"/>
            <w:tcBorders>
              <w:top w:val="single" w:sz="6" w:space="0" w:color="000000"/>
              <w:left w:val="single" w:sz="6" w:space="0" w:color="000000"/>
              <w:bottom w:val="single" w:sz="6" w:space="0" w:color="000000"/>
            </w:tcBorders>
          </w:tcPr>
          <w:p w14:paraId="0B5149C4" w14:textId="77777777" w:rsidR="009B1999" w:rsidRPr="00C6096E" w:rsidRDefault="009B1999" w:rsidP="00A7001E">
            <w:pPr>
              <w:pStyle w:val="TableParagraph"/>
              <w:ind w:left="163"/>
            </w:pPr>
            <w:r>
              <w:t>Une marque collective a été enregistrée dans chaque pays bénéficiaire.</w:t>
            </w:r>
          </w:p>
        </w:tc>
        <w:tc>
          <w:tcPr>
            <w:tcW w:w="2865" w:type="dxa"/>
          </w:tcPr>
          <w:p w14:paraId="48878D7D" w14:textId="351CAA7A" w:rsidR="009B1999" w:rsidRPr="00C6096E" w:rsidRDefault="009B1999" w:rsidP="00A7001E">
            <w:pPr>
              <w:pStyle w:val="TableParagraph"/>
              <w:ind w:left="163"/>
            </w:pPr>
            <w:r>
              <w:t>Entièrement atteint</w:t>
            </w:r>
            <w:r w:rsidR="007B4A5D">
              <w:t> :</w:t>
            </w:r>
            <w:r>
              <w:t xml:space="preserve"> Quatre</w:t>
            </w:r>
            <w:r w:rsidR="00FA77D8">
              <w:t> </w:t>
            </w:r>
            <w:r>
              <w:t>marques collectives enregistrées.</w:t>
            </w:r>
          </w:p>
        </w:tc>
        <w:tc>
          <w:tcPr>
            <w:tcW w:w="1412" w:type="dxa"/>
          </w:tcPr>
          <w:p w14:paraId="134BD179" w14:textId="77777777" w:rsidR="009B1999" w:rsidRPr="00C6096E" w:rsidRDefault="009B1999" w:rsidP="00A7001E">
            <w:pPr>
              <w:pStyle w:val="TableParagraph"/>
              <w:ind w:left="163"/>
            </w:pPr>
            <w:r>
              <w:t>****</w:t>
            </w:r>
          </w:p>
        </w:tc>
      </w:tr>
      <w:tr w:rsidR="009B1999" w:rsidRPr="00C6096E" w14:paraId="799032E0" w14:textId="77777777" w:rsidTr="00686C1A">
        <w:trPr>
          <w:trHeight w:val="510"/>
        </w:trPr>
        <w:tc>
          <w:tcPr>
            <w:tcW w:w="2410" w:type="dxa"/>
            <w:tcBorders>
              <w:right w:val="single" w:sz="6" w:space="0" w:color="000000"/>
            </w:tcBorders>
          </w:tcPr>
          <w:p w14:paraId="1B32866D" w14:textId="77777777" w:rsidR="009B1999" w:rsidRDefault="009B1999" w:rsidP="00A7001E">
            <w:pPr>
              <w:pStyle w:val="TableParagraph"/>
              <w:ind w:left="163"/>
            </w:pPr>
            <w:r>
              <w:t>Événements pour le lancement de la marque collective</w:t>
            </w:r>
          </w:p>
        </w:tc>
        <w:tc>
          <w:tcPr>
            <w:tcW w:w="2695" w:type="dxa"/>
            <w:tcBorders>
              <w:top w:val="single" w:sz="6" w:space="0" w:color="000000"/>
              <w:left w:val="single" w:sz="6" w:space="0" w:color="000000"/>
              <w:bottom w:val="single" w:sz="6" w:space="0" w:color="000000"/>
            </w:tcBorders>
          </w:tcPr>
          <w:p w14:paraId="7C5BBB91" w14:textId="6330248B" w:rsidR="009B1999" w:rsidRPr="00C6096E" w:rsidRDefault="009B1999" w:rsidP="00A7001E">
            <w:pPr>
              <w:pStyle w:val="TableParagraph"/>
              <w:ind w:left="163"/>
            </w:pPr>
            <w:r>
              <w:t>Organisation réussie d</w:t>
            </w:r>
            <w:r w:rsidR="007B4A5D">
              <w:t>’</w:t>
            </w:r>
            <w:r>
              <w:t>événements de lancement (un pour chaque marque collective/pays bénéficiaire)</w:t>
            </w:r>
          </w:p>
        </w:tc>
        <w:tc>
          <w:tcPr>
            <w:tcW w:w="2865" w:type="dxa"/>
          </w:tcPr>
          <w:p w14:paraId="66379DD0" w14:textId="45BFBE18" w:rsidR="009B1999" w:rsidRPr="003550C1" w:rsidRDefault="009B1999" w:rsidP="00A7001E">
            <w:pPr>
              <w:pStyle w:val="TableParagraph"/>
              <w:ind w:left="163"/>
            </w:pPr>
            <w:r>
              <w:t>Entièrement atteint</w:t>
            </w:r>
            <w:r w:rsidR="007B4A5D">
              <w:t> :</w:t>
            </w:r>
            <w:r>
              <w:t xml:space="preserve"> Les cérémonies de lancement ont été organisées avec succès dans chacun des quatre</w:t>
            </w:r>
            <w:r w:rsidR="00FA77D8">
              <w:t> </w:t>
            </w:r>
            <w:r>
              <w:t>pays bénéficiaires.</w:t>
            </w:r>
          </w:p>
        </w:tc>
        <w:tc>
          <w:tcPr>
            <w:tcW w:w="1412" w:type="dxa"/>
          </w:tcPr>
          <w:p w14:paraId="7EAE2361" w14:textId="77777777" w:rsidR="009B1999" w:rsidRPr="003550C1" w:rsidRDefault="009B1999" w:rsidP="00A7001E">
            <w:pPr>
              <w:pStyle w:val="TableParagraph"/>
              <w:ind w:left="163"/>
            </w:pPr>
            <w:r>
              <w:t>****</w:t>
            </w:r>
          </w:p>
        </w:tc>
      </w:tr>
      <w:tr w:rsidR="009B1999" w:rsidRPr="00C6096E" w14:paraId="35494A7E" w14:textId="77777777" w:rsidTr="00686C1A">
        <w:trPr>
          <w:trHeight w:val="510"/>
        </w:trPr>
        <w:tc>
          <w:tcPr>
            <w:tcW w:w="2410" w:type="dxa"/>
            <w:tcBorders>
              <w:right w:val="single" w:sz="6" w:space="0" w:color="000000"/>
            </w:tcBorders>
          </w:tcPr>
          <w:p w14:paraId="2BFCB848" w14:textId="06FDCF3F" w:rsidR="009B1999" w:rsidRDefault="009B1999" w:rsidP="00A7001E">
            <w:pPr>
              <w:pStyle w:val="TableParagraph"/>
              <w:ind w:left="163"/>
            </w:pPr>
            <w:r>
              <w:t>Élaboration d</w:t>
            </w:r>
            <w:r w:rsidR="007B4A5D">
              <w:t>’</w:t>
            </w:r>
            <w:r>
              <w:t>un guide pratique sur l</w:t>
            </w:r>
            <w:r w:rsidR="007B4A5D">
              <w:t>’</w:t>
            </w:r>
            <w:r>
              <w:t>élaboration et l</w:t>
            </w:r>
            <w:r w:rsidR="007B4A5D">
              <w:t>’</w:t>
            </w:r>
            <w:r>
              <w:t>enregistrement des marques collectives, aux fins de leur reproduction dans d</w:t>
            </w:r>
            <w:r w:rsidR="007B4A5D">
              <w:t>’</w:t>
            </w:r>
            <w:r>
              <w:t>autres contextes</w:t>
            </w:r>
          </w:p>
        </w:tc>
        <w:tc>
          <w:tcPr>
            <w:tcW w:w="2695" w:type="dxa"/>
            <w:tcBorders>
              <w:top w:val="single" w:sz="6" w:space="0" w:color="000000"/>
              <w:left w:val="single" w:sz="6" w:space="0" w:color="000000"/>
              <w:bottom w:val="single" w:sz="6" w:space="0" w:color="000000"/>
            </w:tcBorders>
          </w:tcPr>
          <w:p w14:paraId="19367435" w14:textId="77777777" w:rsidR="009B1999" w:rsidRPr="00C6096E" w:rsidRDefault="009B1999" w:rsidP="00A7001E">
            <w:pPr>
              <w:pStyle w:val="TableParagraph"/>
              <w:ind w:left="163"/>
            </w:pPr>
            <w:r>
              <w:t>Guide pratique élaboré pour chaque pays bénéficiaire</w:t>
            </w:r>
          </w:p>
        </w:tc>
        <w:tc>
          <w:tcPr>
            <w:tcW w:w="2865" w:type="dxa"/>
          </w:tcPr>
          <w:p w14:paraId="5914C4C2" w14:textId="770D69C8" w:rsidR="009B1999" w:rsidRPr="00C6096E" w:rsidRDefault="009B1999" w:rsidP="00A7001E">
            <w:pPr>
              <w:pStyle w:val="TableParagraph"/>
              <w:ind w:left="163"/>
            </w:pPr>
            <w:r>
              <w:t>Entièrement atteint</w:t>
            </w:r>
            <w:r w:rsidR="007B4A5D">
              <w:t> :</w:t>
            </w:r>
            <w:r>
              <w:t xml:space="preserve"> Quatre</w:t>
            </w:r>
            <w:r w:rsidR="00FA77D8">
              <w:t> </w:t>
            </w:r>
            <w:r>
              <w:t>guides pratiques ont été élaborés et validés par les coordonnateurs locaux.</w:t>
            </w:r>
          </w:p>
        </w:tc>
        <w:tc>
          <w:tcPr>
            <w:tcW w:w="1412" w:type="dxa"/>
          </w:tcPr>
          <w:p w14:paraId="0CCD2677" w14:textId="77777777" w:rsidR="009B1999" w:rsidRPr="00C6096E" w:rsidRDefault="009B1999" w:rsidP="00A7001E">
            <w:pPr>
              <w:pStyle w:val="TableParagraph"/>
              <w:ind w:left="163"/>
            </w:pPr>
            <w:r>
              <w:t>****</w:t>
            </w:r>
          </w:p>
        </w:tc>
      </w:tr>
      <w:tr w:rsidR="009B1999" w:rsidRPr="00C6096E" w14:paraId="58D78CD2" w14:textId="77777777" w:rsidTr="00686C1A">
        <w:trPr>
          <w:trHeight w:val="510"/>
        </w:trPr>
        <w:tc>
          <w:tcPr>
            <w:tcW w:w="2410" w:type="dxa"/>
            <w:tcBorders>
              <w:right w:val="single" w:sz="6" w:space="0" w:color="000000"/>
            </w:tcBorders>
          </w:tcPr>
          <w:p w14:paraId="57BBA481" w14:textId="2EDE4837" w:rsidR="009B1999" w:rsidRDefault="009B1999" w:rsidP="00A7001E">
            <w:pPr>
              <w:pStyle w:val="TableParagraph"/>
              <w:ind w:left="163"/>
            </w:pPr>
            <w:r>
              <w:t>Conduite d</w:t>
            </w:r>
            <w:r w:rsidR="007B4A5D">
              <w:t>’</w:t>
            </w:r>
            <w:r>
              <w:t>activités de formation pour les offices de propriété intellectuelle sur le développement et l</w:t>
            </w:r>
            <w:r w:rsidR="007B4A5D">
              <w:t>’</w:t>
            </w:r>
            <w:r>
              <w:t>enregistrement de marques collectives (dans chaque pays bénéficiaire)</w:t>
            </w:r>
          </w:p>
        </w:tc>
        <w:tc>
          <w:tcPr>
            <w:tcW w:w="2695" w:type="dxa"/>
            <w:tcBorders>
              <w:top w:val="single" w:sz="6" w:space="0" w:color="000000"/>
              <w:left w:val="single" w:sz="6" w:space="0" w:color="000000"/>
              <w:bottom w:val="single" w:sz="6" w:space="0" w:color="000000"/>
            </w:tcBorders>
          </w:tcPr>
          <w:p w14:paraId="54A2D5CF" w14:textId="3158EAB3" w:rsidR="009B1999" w:rsidRPr="00C6096E" w:rsidRDefault="009B1999" w:rsidP="00A7001E">
            <w:pPr>
              <w:pStyle w:val="TableParagraph"/>
              <w:ind w:left="163"/>
            </w:pPr>
            <w:r>
              <w:t>Un pourcentage important de participants a indiqué que les formations avaient amélioré leurs connaissances et leurs compétences concernant le développement et l</w:t>
            </w:r>
            <w:r w:rsidR="007B4A5D">
              <w:t>’</w:t>
            </w:r>
            <w:r>
              <w:t>enregistrement de marques collectives.</w:t>
            </w:r>
          </w:p>
        </w:tc>
        <w:tc>
          <w:tcPr>
            <w:tcW w:w="2865" w:type="dxa"/>
          </w:tcPr>
          <w:p w14:paraId="05F14417" w14:textId="0EBDD418" w:rsidR="009B1999" w:rsidRPr="00C6096E" w:rsidRDefault="009B1999" w:rsidP="00A7001E">
            <w:pPr>
              <w:pStyle w:val="TableParagraph"/>
              <w:ind w:left="163"/>
            </w:pPr>
            <w:r>
              <w:t>Entièrement atteint</w:t>
            </w:r>
            <w:r w:rsidR="007B4A5D">
              <w:t> :</w:t>
            </w:r>
            <w:r>
              <w:t xml:space="preserve"> Des activités de formation ont été organisées dans les quatre</w:t>
            </w:r>
            <w:r w:rsidR="00FA77D8">
              <w:t> </w:t>
            </w:r>
            <w:r>
              <w:t>pays bénéficiaires, avec une moyenne de 90% des participants indiquant que ces formations avaient été utiles ou très utiles pour mieux comprendre l</w:t>
            </w:r>
            <w:r w:rsidR="007B4A5D">
              <w:t>’</w:t>
            </w:r>
            <w:r>
              <w:t>élaboration, l</w:t>
            </w:r>
            <w:r w:rsidR="007B4A5D">
              <w:t>’</w:t>
            </w:r>
            <w:r>
              <w:t>enregistrement et l</w:t>
            </w:r>
            <w:r w:rsidR="007B4A5D">
              <w:t>’</w:t>
            </w:r>
            <w:r>
              <w:t xml:space="preserve">utilisation des marques collectives.  </w:t>
            </w:r>
          </w:p>
        </w:tc>
        <w:tc>
          <w:tcPr>
            <w:tcW w:w="1412" w:type="dxa"/>
          </w:tcPr>
          <w:p w14:paraId="13CDCA53" w14:textId="77777777" w:rsidR="009B1999" w:rsidRPr="00C6096E" w:rsidRDefault="009B1999" w:rsidP="00A7001E">
            <w:pPr>
              <w:pStyle w:val="TableParagraph"/>
              <w:ind w:left="163"/>
            </w:pPr>
            <w:r>
              <w:t>****</w:t>
            </w:r>
          </w:p>
        </w:tc>
      </w:tr>
      <w:tr w:rsidR="009B1999" w:rsidRPr="00C6096E" w14:paraId="3DCBFE13" w14:textId="77777777" w:rsidTr="00686C1A">
        <w:trPr>
          <w:trHeight w:val="510"/>
        </w:trPr>
        <w:tc>
          <w:tcPr>
            <w:tcW w:w="2410" w:type="dxa"/>
            <w:tcBorders>
              <w:right w:val="single" w:sz="6" w:space="0" w:color="000000"/>
            </w:tcBorders>
          </w:tcPr>
          <w:p w14:paraId="604236BE" w14:textId="77777777" w:rsidR="009B1999" w:rsidRDefault="009B1999" w:rsidP="00A7001E">
            <w:pPr>
              <w:pStyle w:val="TableParagraph"/>
              <w:ind w:left="163"/>
            </w:pPr>
            <w:r>
              <w:t>Production de matériel de sensibilisation (dans chaque pays bénéficiaire)</w:t>
            </w:r>
          </w:p>
        </w:tc>
        <w:tc>
          <w:tcPr>
            <w:tcW w:w="2695" w:type="dxa"/>
            <w:tcBorders>
              <w:top w:val="single" w:sz="6" w:space="0" w:color="000000"/>
              <w:left w:val="single" w:sz="6" w:space="0" w:color="000000"/>
              <w:bottom w:val="single" w:sz="6" w:space="0" w:color="000000"/>
            </w:tcBorders>
          </w:tcPr>
          <w:p w14:paraId="673B0AC9" w14:textId="77777777" w:rsidR="009B1999" w:rsidRPr="00C6096E" w:rsidRDefault="009B1999" w:rsidP="00A7001E">
            <w:pPr>
              <w:pStyle w:val="TableParagraph"/>
              <w:ind w:left="163"/>
            </w:pPr>
            <w:r>
              <w:t>Une brochure promotionnelle et une courte vidéo ont été produites (pour chaque pays bénéficiaire).</w:t>
            </w:r>
          </w:p>
        </w:tc>
        <w:tc>
          <w:tcPr>
            <w:tcW w:w="2865" w:type="dxa"/>
          </w:tcPr>
          <w:p w14:paraId="5F19B335" w14:textId="679778E8" w:rsidR="009B1999" w:rsidRPr="00C6096E" w:rsidRDefault="009B1999" w:rsidP="00A7001E">
            <w:pPr>
              <w:pStyle w:val="TableParagraph"/>
              <w:ind w:left="163"/>
            </w:pPr>
            <w:r>
              <w:t>Entièrement atteint</w:t>
            </w:r>
            <w:r w:rsidR="007B4A5D">
              <w:t> :</w:t>
            </w:r>
            <w:r>
              <w:t xml:space="preserve"> Quatre</w:t>
            </w:r>
            <w:r w:rsidR="00FA77D8">
              <w:t> </w:t>
            </w:r>
            <w:r>
              <w:t>dépliants promotionnelles et quatre</w:t>
            </w:r>
            <w:r w:rsidR="00FA77D8">
              <w:t> </w:t>
            </w:r>
            <w:r>
              <w:t xml:space="preserve">vidéos de sensibilisation ont été produits </w:t>
            </w:r>
          </w:p>
        </w:tc>
        <w:tc>
          <w:tcPr>
            <w:tcW w:w="1412" w:type="dxa"/>
          </w:tcPr>
          <w:p w14:paraId="77FCF18F" w14:textId="77777777" w:rsidR="009B1999" w:rsidRPr="00C6096E" w:rsidRDefault="009B1999" w:rsidP="00A7001E">
            <w:pPr>
              <w:pStyle w:val="TableParagraph"/>
              <w:ind w:left="163"/>
            </w:pPr>
            <w:r>
              <w:t>****</w:t>
            </w:r>
          </w:p>
        </w:tc>
      </w:tr>
    </w:tbl>
    <w:p w14:paraId="4F627A55" w14:textId="5B156EB8" w:rsidR="009B1999" w:rsidRPr="009F12CB" w:rsidRDefault="009B1999" w:rsidP="009F12CB">
      <w:pPr>
        <w:tabs>
          <w:tab w:val="left" w:pos="6521"/>
        </w:tabs>
        <w:spacing w:before="720"/>
        <w:ind w:left="5533"/>
        <w:rPr>
          <w:szCs w:val="22"/>
        </w:rPr>
        <w:sectPr w:rsidR="009B1999" w:rsidRPr="009F12CB" w:rsidSect="00686C1A">
          <w:headerReference w:type="default" r:id="rId38"/>
          <w:headerReference w:type="first" r:id="rId39"/>
          <w:pgSz w:w="11907" w:h="16840" w:code="9"/>
          <w:pgMar w:top="567" w:right="1134" w:bottom="1418" w:left="1418" w:header="709" w:footer="709" w:gutter="0"/>
          <w:pgNumType w:start="1"/>
          <w:cols w:space="720"/>
          <w:titlePg/>
          <w:docGrid w:linePitch="299"/>
        </w:sectPr>
      </w:pPr>
      <w:r w:rsidRPr="009F12CB">
        <w:rPr>
          <w:rStyle w:val="Endofdocument-AnnexChar"/>
        </w:rPr>
        <w:t>[</w:t>
      </w:r>
      <w:proofErr w:type="spellStart"/>
      <w:r w:rsidRPr="009F12CB">
        <w:rPr>
          <w:rStyle w:val="Endofdocument-AnnexChar"/>
        </w:rPr>
        <w:t>L</w:t>
      </w:r>
      <w:r w:rsidR="007B4A5D" w:rsidRPr="009F12CB">
        <w:rPr>
          <w:rStyle w:val="Endofdocument-AnnexChar"/>
        </w:rPr>
        <w:t>’</w:t>
      </w:r>
      <w:r w:rsidRPr="009F12CB">
        <w:rPr>
          <w:rStyle w:val="Endofdocument-AnnexChar"/>
        </w:rPr>
        <w:t>annexe</w:t>
      </w:r>
      <w:proofErr w:type="spellEnd"/>
      <w:r w:rsidRPr="009F12CB">
        <w:rPr>
          <w:rStyle w:val="Endofdocument-AnnexChar"/>
        </w:rPr>
        <w:t> II suit</w:t>
      </w:r>
      <w:r>
        <w:t>]</w:t>
      </w:r>
    </w:p>
    <w:tbl>
      <w:tblPr>
        <w:tblW w:w="5000" w:type="pct"/>
        <w:tblLook w:val="04A0" w:firstRow="1" w:lastRow="0" w:firstColumn="1" w:lastColumn="0" w:noHBand="0" w:noVBand="1"/>
      </w:tblPr>
      <w:tblGrid>
        <w:gridCol w:w="7113"/>
        <w:gridCol w:w="2841"/>
        <w:gridCol w:w="2047"/>
        <w:gridCol w:w="2854"/>
      </w:tblGrid>
      <w:tr w:rsidR="009B1999" w:rsidRPr="00A61F96" w14:paraId="15657B07" w14:textId="77777777" w:rsidTr="00CD707F">
        <w:trPr>
          <w:trHeight w:val="240"/>
        </w:trPr>
        <w:tc>
          <w:tcPr>
            <w:tcW w:w="2425" w:type="pct"/>
            <w:tcBorders>
              <w:top w:val="nil"/>
              <w:left w:val="nil"/>
              <w:bottom w:val="nil"/>
              <w:right w:val="nil"/>
            </w:tcBorders>
            <w:shd w:val="clear" w:color="auto" w:fill="auto"/>
            <w:noWrap/>
            <w:vAlign w:val="bottom"/>
            <w:hideMark/>
          </w:tcPr>
          <w:p w14:paraId="51070AE4" w14:textId="77777777" w:rsidR="009B1999" w:rsidRPr="00A61F96" w:rsidRDefault="009B1999" w:rsidP="00CD707F">
            <w:pPr>
              <w:spacing w:before="240"/>
              <w:rPr>
                <w:rFonts w:ascii="Times New Roman" w:hAnsi="Times New Roman" w:cs="Times New Roman"/>
                <w:sz w:val="20"/>
              </w:rPr>
            </w:pPr>
          </w:p>
        </w:tc>
        <w:tc>
          <w:tcPr>
            <w:tcW w:w="948" w:type="pct"/>
            <w:tcBorders>
              <w:top w:val="nil"/>
              <w:left w:val="nil"/>
              <w:bottom w:val="nil"/>
              <w:right w:val="nil"/>
            </w:tcBorders>
            <w:shd w:val="clear" w:color="auto" w:fill="auto"/>
            <w:noWrap/>
            <w:vAlign w:val="bottom"/>
            <w:hideMark/>
          </w:tcPr>
          <w:p w14:paraId="1639A8EB" w14:textId="77777777" w:rsidR="009B1999" w:rsidRPr="00A61F96" w:rsidRDefault="009B1999" w:rsidP="00A7001E">
            <w:pPr>
              <w:rPr>
                <w:rFonts w:ascii="Times New Roman" w:hAnsi="Times New Roman" w:cs="Times New Roman"/>
                <w:sz w:val="20"/>
              </w:rPr>
            </w:pPr>
          </w:p>
        </w:tc>
        <w:tc>
          <w:tcPr>
            <w:tcW w:w="674" w:type="pct"/>
            <w:tcBorders>
              <w:top w:val="nil"/>
              <w:left w:val="nil"/>
              <w:bottom w:val="nil"/>
              <w:right w:val="nil"/>
            </w:tcBorders>
            <w:shd w:val="clear" w:color="auto" w:fill="auto"/>
            <w:noWrap/>
            <w:vAlign w:val="bottom"/>
            <w:hideMark/>
          </w:tcPr>
          <w:p w14:paraId="3D11FBEA" w14:textId="77777777" w:rsidR="009B1999" w:rsidRPr="00A61F96" w:rsidRDefault="009B1999" w:rsidP="00A7001E">
            <w:pPr>
              <w:rPr>
                <w:rFonts w:ascii="Times New Roman" w:hAnsi="Times New Roman" w:cs="Times New Roman"/>
                <w:sz w:val="20"/>
              </w:rPr>
            </w:pPr>
          </w:p>
        </w:tc>
        <w:tc>
          <w:tcPr>
            <w:tcW w:w="953" w:type="pct"/>
            <w:tcBorders>
              <w:top w:val="nil"/>
              <w:left w:val="nil"/>
              <w:bottom w:val="nil"/>
              <w:right w:val="nil"/>
            </w:tcBorders>
            <w:shd w:val="clear" w:color="auto" w:fill="auto"/>
            <w:noWrap/>
            <w:vAlign w:val="bottom"/>
            <w:hideMark/>
          </w:tcPr>
          <w:p w14:paraId="75FA10DA" w14:textId="77777777" w:rsidR="009B1999" w:rsidRPr="00A61F96" w:rsidRDefault="009B1999" w:rsidP="00A7001E">
            <w:pPr>
              <w:rPr>
                <w:rFonts w:ascii="Times New Roman" w:hAnsi="Times New Roman" w:cs="Times New Roman"/>
                <w:sz w:val="20"/>
              </w:rPr>
            </w:pPr>
          </w:p>
        </w:tc>
      </w:tr>
      <w:tr w:rsidR="009B1999" w:rsidRPr="00A61F96" w14:paraId="78142E4A" w14:textId="77777777" w:rsidTr="00CD707F">
        <w:trPr>
          <w:trHeight w:val="240"/>
        </w:trPr>
        <w:tc>
          <w:tcPr>
            <w:tcW w:w="2425" w:type="pct"/>
            <w:tcBorders>
              <w:top w:val="nil"/>
              <w:left w:val="nil"/>
              <w:bottom w:val="nil"/>
              <w:right w:val="nil"/>
            </w:tcBorders>
            <w:shd w:val="clear" w:color="auto" w:fill="auto"/>
            <w:noWrap/>
            <w:vAlign w:val="bottom"/>
          </w:tcPr>
          <w:p w14:paraId="712D6A85" w14:textId="77777777" w:rsidR="009B1999" w:rsidRPr="00A61F96" w:rsidRDefault="009B1999" w:rsidP="00A7001E">
            <w:pPr>
              <w:rPr>
                <w:rFonts w:ascii="Times New Roman" w:hAnsi="Times New Roman" w:cs="Times New Roman"/>
                <w:sz w:val="20"/>
              </w:rPr>
            </w:pPr>
          </w:p>
        </w:tc>
        <w:tc>
          <w:tcPr>
            <w:tcW w:w="948" w:type="pct"/>
            <w:tcBorders>
              <w:top w:val="nil"/>
              <w:left w:val="nil"/>
              <w:bottom w:val="nil"/>
              <w:right w:val="nil"/>
            </w:tcBorders>
            <w:shd w:val="clear" w:color="auto" w:fill="auto"/>
            <w:noWrap/>
            <w:vAlign w:val="bottom"/>
          </w:tcPr>
          <w:p w14:paraId="765C6C3F" w14:textId="77777777" w:rsidR="009B1999" w:rsidRPr="00A61F96" w:rsidRDefault="009B1999" w:rsidP="00A7001E">
            <w:pPr>
              <w:rPr>
                <w:rFonts w:ascii="Times New Roman" w:hAnsi="Times New Roman" w:cs="Times New Roman"/>
                <w:sz w:val="20"/>
              </w:rPr>
            </w:pPr>
          </w:p>
        </w:tc>
        <w:tc>
          <w:tcPr>
            <w:tcW w:w="674" w:type="pct"/>
            <w:tcBorders>
              <w:top w:val="nil"/>
              <w:left w:val="nil"/>
              <w:bottom w:val="nil"/>
              <w:right w:val="nil"/>
            </w:tcBorders>
            <w:shd w:val="clear" w:color="auto" w:fill="auto"/>
            <w:noWrap/>
            <w:vAlign w:val="bottom"/>
          </w:tcPr>
          <w:p w14:paraId="52B19782" w14:textId="77777777" w:rsidR="009B1999" w:rsidRPr="00A61F96" w:rsidRDefault="009B1999" w:rsidP="00A7001E">
            <w:pPr>
              <w:rPr>
                <w:rFonts w:ascii="Times New Roman" w:hAnsi="Times New Roman" w:cs="Times New Roman"/>
                <w:sz w:val="20"/>
              </w:rPr>
            </w:pPr>
          </w:p>
        </w:tc>
        <w:tc>
          <w:tcPr>
            <w:tcW w:w="953" w:type="pct"/>
            <w:tcBorders>
              <w:top w:val="nil"/>
              <w:left w:val="nil"/>
              <w:bottom w:val="nil"/>
              <w:right w:val="nil"/>
            </w:tcBorders>
            <w:shd w:val="clear" w:color="auto" w:fill="auto"/>
            <w:noWrap/>
            <w:vAlign w:val="bottom"/>
          </w:tcPr>
          <w:p w14:paraId="020E425A" w14:textId="77777777" w:rsidR="009B1999" w:rsidRPr="00A61F96" w:rsidRDefault="009B1999" w:rsidP="00A7001E">
            <w:pPr>
              <w:rPr>
                <w:rFonts w:ascii="Times New Roman" w:hAnsi="Times New Roman" w:cs="Times New Roman"/>
                <w:sz w:val="20"/>
              </w:rPr>
            </w:pPr>
          </w:p>
        </w:tc>
      </w:tr>
      <w:tr w:rsidR="009B1999" w:rsidRPr="00A61F96" w14:paraId="04C0FC6A" w14:textId="77777777" w:rsidTr="00A7001E">
        <w:trPr>
          <w:trHeight w:val="677"/>
        </w:trPr>
        <w:tc>
          <w:tcPr>
            <w:tcW w:w="5000" w:type="pct"/>
            <w:gridSpan w:val="4"/>
            <w:tcBorders>
              <w:top w:val="nil"/>
              <w:left w:val="nil"/>
              <w:bottom w:val="nil"/>
              <w:right w:val="nil"/>
            </w:tcBorders>
            <w:shd w:val="clear" w:color="auto" w:fill="auto"/>
            <w:vAlign w:val="center"/>
            <w:hideMark/>
          </w:tcPr>
          <w:p w14:paraId="3940C48C" w14:textId="2FCE38D1" w:rsidR="009B1999" w:rsidRPr="00A61F96" w:rsidRDefault="009B1999" w:rsidP="00A7001E">
            <w:pPr>
              <w:rPr>
                <w:rFonts w:ascii="Arial Narrow" w:hAnsi="Arial Narrow"/>
                <w:b/>
                <w:bCs/>
                <w:color w:val="002839"/>
                <w:sz w:val="28"/>
                <w:szCs w:val="28"/>
              </w:rPr>
            </w:pPr>
            <w:r>
              <w:rPr>
                <w:rFonts w:ascii="Arial Narrow" w:hAnsi="Arial Narrow"/>
                <w:b/>
                <w:color w:val="002839"/>
                <w:sz w:val="28"/>
              </w:rPr>
              <w:t>Projet du Plan d</w:t>
            </w:r>
            <w:r w:rsidR="007B4A5D">
              <w:rPr>
                <w:rFonts w:ascii="Arial Narrow" w:hAnsi="Arial Narrow"/>
                <w:b/>
                <w:color w:val="002839"/>
                <w:sz w:val="28"/>
              </w:rPr>
              <w:t>’</w:t>
            </w:r>
            <w:r>
              <w:rPr>
                <w:rFonts w:ascii="Arial Narrow" w:hAnsi="Arial Narrow"/>
                <w:b/>
                <w:color w:val="002839"/>
                <w:sz w:val="28"/>
              </w:rPr>
              <w:t>action pour le développement relatif à l</w:t>
            </w:r>
            <w:r w:rsidR="007B4A5D">
              <w:rPr>
                <w:rFonts w:ascii="Arial Narrow" w:hAnsi="Arial Narrow"/>
                <w:b/>
                <w:color w:val="002839"/>
                <w:sz w:val="28"/>
              </w:rPr>
              <w:t>’</w:t>
            </w:r>
            <w:r>
              <w:rPr>
                <w:rFonts w:ascii="Arial Narrow" w:hAnsi="Arial Narrow"/>
                <w:b/>
                <w:color w:val="002839"/>
                <w:sz w:val="28"/>
              </w:rPr>
              <w:t>enregistrement des marques collectives des entreprises locales en tant qu</w:t>
            </w:r>
            <w:r w:rsidR="007B4A5D">
              <w:rPr>
                <w:rFonts w:ascii="Arial Narrow" w:hAnsi="Arial Narrow"/>
                <w:b/>
                <w:color w:val="002839"/>
                <w:sz w:val="28"/>
              </w:rPr>
              <w:t>’</w:t>
            </w:r>
            <w:r>
              <w:rPr>
                <w:rFonts w:ascii="Arial Narrow" w:hAnsi="Arial Narrow"/>
                <w:b/>
                <w:color w:val="002839"/>
                <w:sz w:val="28"/>
              </w:rPr>
              <w:t xml:space="preserve">axe transversal du développement économique </w:t>
            </w:r>
          </w:p>
        </w:tc>
      </w:tr>
      <w:tr w:rsidR="009B1999" w:rsidRPr="00A61F96" w14:paraId="6FE4E3D2" w14:textId="77777777" w:rsidTr="00CD707F">
        <w:trPr>
          <w:trHeight w:val="220"/>
        </w:trPr>
        <w:tc>
          <w:tcPr>
            <w:tcW w:w="2425" w:type="pct"/>
            <w:tcBorders>
              <w:top w:val="nil"/>
              <w:left w:val="nil"/>
              <w:bottom w:val="single" w:sz="4" w:space="0" w:color="005172"/>
              <w:right w:val="nil"/>
            </w:tcBorders>
            <w:shd w:val="clear" w:color="auto" w:fill="auto"/>
            <w:noWrap/>
            <w:vAlign w:val="bottom"/>
            <w:hideMark/>
          </w:tcPr>
          <w:p w14:paraId="7AA021E8" w14:textId="77777777" w:rsidR="009B1999" w:rsidRPr="00A61F96" w:rsidRDefault="009B1999" w:rsidP="00A7001E">
            <w:pPr>
              <w:rPr>
                <w:color w:val="000000"/>
                <w:sz w:val="20"/>
              </w:rPr>
            </w:pPr>
            <w:r>
              <w:rPr>
                <w:color w:val="000000"/>
                <w:sz w:val="20"/>
              </w:rPr>
              <w:t> </w:t>
            </w:r>
          </w:p>
        </w:tc>
        <w:tc>
          <w:tcPr>
            <w:tcW w:w="948" w:type="pct"/>
            <w:tcBorders>
              <w:top w:val="nil"/>
              <w:left w:val="nil"/>
              <w:bottom w:val="single" w:sz="4" w:space="0" w:color="005172"/>
              <w:right w:val="nil"/>
            </w:tcBorders>
            <w:shd w:val="clear" w:color="auto" w:fill="auto"/>
            <w:noWrap/>
            <w:vAlign w:val="bottom"/>
            <w:hideMark/>
          </w:tcPr>
          <w:p w14:paraId="6C41B258" w14:textId="77777777" w:rsidR="009B1999" w:rsidRPr="00A61F96" w:rsidRDefault="009B1999" w:rsidP="00A7001E">
            <w:pPr>
              <w:rPr>
                <w:color w:val="000000"/>
                <w:sz w:val="20"/>
              </w:rPr>
            </w:pPr>
            <w:r>
              <w:rPr>
                <w:color w:val="000000"/>
                <w:sz w:val="20"/>
              </w:rPr>
              <w:t> </w:t>
            </w:r>
          </w:p>
        </w:tc>
        <w:tc>
          <w:tcPr>
            <w:tcW w:w="674" w:type="pct"/>
            <w:tcBorders>
              <w:top w:val="nil"/>
              <w:left w:val="nil"/>
              <w:bottom w:val="single" w:sz="4" w:space="0" w:color="005172"/>
              <w:right w:val="nil"/>
            </w:tcBorders>
            <w:shd w:val="clear" w:color="auto" w:fill="auto"/>
            <w:noWrap/>
            <w:vAlign w:val="bottom"/>
            <w:hideMark/>
          </w:tcPr>
          <w:p w14:paraId="2F63DDEB" w14:textId="77777777" w:rsidR="009B1999" w:rsidRPr="00A61F96" w:rsidRDefault="009B1999" w:rsidP="00A7001E">
            <w:pPr>
              <w:rPr>
                <w:color w:val="000000"/>
                <w:sz w:val="20"/>
              </w:rPr>
            </w:pPr>
            <w:r>
              <w:rPr>
                <w:color w:val="000000"/>
                <w:sz w:val="20"/>
              </w:rPr>
              <w:t> </w:t>
            </w:r>
          </w:p>
        </w:tc>
        <w:tc>
          <w:tcPr>
            <w:tcW w:w="953" w:type="pct"/>
            <w:tcBorders>
              <w:top w:val="nil"/>
              <w:left w:val="nil"/>
              <w:bottom w:val="single" w:sz="4" w:space="0" w:color="005172"/>
              <w:right w:val="nil"/>
            </w:tcBorders>
            <w:shd w:val="clear" w:color="auto" w:fill="auto"/>
            <w:noWrap/>
            <w:vAlign w:val="bottom"/>
            <w:hideMark/>
          </w:tcPr>
          <w:p w14:paraId="25455544" w14:textId="77777777" w:rsidR="009B1999" w:rsidRPr="00A61F96" w:rsidRDefault="009B1999" w:rsidP="00A7001E">
            <w:pPr>
              <w:rPr>
                <w:color w:val="000000"/>
                <w:sz w:val="20"/>
              </w:rPr>
            </w:pPr>
            <w:r>
              <w:rPr>
                <w:color w:val="000000"/>
                <w:sz w:val="20"/>
              </w:rPr>
              <w:t> </w:t>
            </w:r>
          </w:p>
        </w:tc>
      </w:tr>
      <w:tr w:rsidR="009B1999" w:rsidRPr="00A61F96" w14:paraId="56E57D87" w14:textId="77777777" w:rsidTr="00CD707F">
        <w:trPr>
          <w:trHeight w:val="273"/>
        </w:trPr>
        <w:tc>
          <w:tcPr>
            <w:tcW w:w="2425" w:type="pct"/>
            <w:tcBorders>
              <w:top w:val="nil"/>
              <w:left w:val="nil"/>
              <w:bottom w:val="nil"/>
              <w:right w:val="nil"/>
            </w:tcBorders>
            <w:shd w:val="clear" w:color="auto" w:fill="auto"/>
            <w:noWrap/>
            <w:vAlign w:val="bottom"/>
            <w:hideMark/>
          </w:tcPr>
          <w:p w14:paraId="3B04F27D" w14:textId="77777777" w:rsidR="009B1999" w:rsidRPr="00A61F96" w:rsidRDefault="009B1999" w:rsidP="00A7001E">
            <w:pPr>
              <w:rPr>
                <w:rFonts w:ascii="Times New Roman" w:hAnsi="Times New Roman" w:cs="Times New Roman"/>
                <w:sz w:val="20"/>
              </w:rPr>
            </w:pPr>
          </w:p>
        </w:tc>
        <w:tc>
          <w:tcPr>
            <w:tcW w:w="948" w:type="pct"/>
            <w:tcBorders>
              <w:top w:val="nil"/>
              <w:left w:val="nil"/>
              <w:bottom w:val="nil"/>
              <w:right w:val="nil"/>
            </w:tcBorders>
            <w:shd w:val="clear" w:color="auto" w:fill="auto"/>
            <w:noWrap/>
            <w:vAlign w:val="bottom"/>
            <w:hideMark/>
          </w:tcPr>
          <w:p w14:paraId="47D78159" w14:textId="77777777" w:rsidR="009B1999" w:rsidRPr="00A61F96" w:rsidRDefault="009B1999" w:rsidP="00A7001E">
            <w:pPr>
              <w:rPr>
                <w:rFonts w:ascii="Times New Roman" w:hAnsi="Times New Roman" w:cs="Times New Roman"/>
                <w:sz w:val="20"/>
              </w:rPr>
            </w:pPr>
          </w:p>
        </w:tc>
        <w:tc>
          <w:tcPr>
            <w:tcW w:w="674" w:type="pct"/>
            <w:tcBorders>
              <w:top w:val="nil"/>
              <w:left w:val="nil"/>
              <w:bottom w:val="nil"/>
              <w:right w:val="nil"/>
            </w:tcBorders>
            <w:shd w:val="clear" w:color="auto" w:fill="auto"/>
            <w:noWrap/>
            <w:vAlign w:val="bottom"/>
            <w:hideMark/>
          </w:tcPr>
          <w:p w14:paraId="318A084D" w14:textId="77777777" w:rsidR="009B1999" w:rsidRPr="00A61F96" w:rsidRDefault="009B1999" w:rsidP="00A7001E">
            <w:pPr>
              <w:rPr>
                <w:rFonts w:ascii="Times New Roman" w:hAnsi="Times New Roman" w:cs="Times New Roman"/>
                <w:sz w:val="20"/>
              </w:rPr>
            </w:pPr>
          </w:p>
        </w:tc>
        <w:tc>
          <w:tcPr>
            <w:tcW w:w="953" w:type="pct"/>
            <w:tcBorders>
              <w:top w:val="nil"/>
              <w:left w:val="nil"/>
              <w:bottom w:val="nil"/>
              <w:right w:val="nil"/>
            </w:tcBorders>
            <w:shd w:val="clear" w:color="auto" w:fill="auto"/>
            <w:noWrap/>
            <w:vAlign w:val="bottom"/>
            <w:hideMark/>
          </w:tcPr>
          <w:p w14:paraId="176D4B11" w14:textId="77777777" w:rsidR="009B1999" w:rsidRPr="00A61F96" w:rsidRDefault="009B1999" w:rsidP="00A7001E">
            <w:pPr>
              <w:rPr>
                <w:rFonts w:ascii="Times New Roman" w:hAnsi="Times New Roman" w:cs="Times New Roman"/>
                <w:sz w:val="20"/>
              </w:rPr>
            </w:pPr>
          </w:p>
        </w:tc>
      </w:tr>
      <w:tr w:rsidR="009B1999" w:rsidRPr="00A61F96" w14:paraId="49FF14A2" w14:textId="77777777" w:rsidTr="00A7001E">
        <w:trPr>
          <w:trHeight w:val="331"/>
        </w:trPr>
        <w:tc>
          <w:tcPr>
            <w:tcW w:w="5000" w:type="pct"/>
            <w:gridSpan w:val="4"/>
            <w:tcBorders>
              <w:top w:val="nil"/>
              <w:left w:val="nil"/>
              <w:bottom w:val="nil"/>
              <w:right w:val="nil"/>
            </w:tcBorders>
            <w:shd w:val="clear" w:color="auto" w:fill="auto"/>
            <w:noWrap/>
            <w:vAlign w:val="bottom"/>
            <w:hideMark/>
          </w:tcPr>
          <w:p w14:paraId="3D0D8048" w14:textId="34156B35" w:rsidR="009B1999" w:rsidRPr="00A61F96" w:rsidRDefault="009B1999" w:rsidP="00A7001E">
            <w:pPr>
              <w:jc w:val="center"/>
              <w:rPr>
                <w:rFonts w:ascii="Arial Narrow" w:hAnsi="Arial Narrow"/>
                <w:b/>
                <w:bCs/>
                <w:color w:val="002839"/>
                <w:sz w:val="24"/>
                <w:szCs w:val="24"/>
              </w:rPr>
            </w:pPr>
            <w:r>
              <w:rPr>
                <w:rFonts w:ascii="Arial Narrow" w:hAnsi="Arial Narrow"/>
                <w:b/>
                <w:color w:val="002839"/>
                <w:sz w:val="24"/>
              </w:rPr>
              <w:t>Utilisation des ressources au 15 </w:t>
            </w:r>
            <w:r w:rsidR="007B4A5D">
              <w:rPr>
                <w:rFonts w:ascii="Arial Narrow" w:hAnsi="Arial Narrow"/>
                <w:b/>
                <w:color w:val="002839"/>
                <w:sz w:val="24"/>
              </w:rPr>
              <w:t>mars 20</w:t>
            </w:r>
            <w:r>
              <w:rPr>
                <w:rFonts w:ascii="Arial Narrow" w:hAnsi="Arial Narrow"/>
                <w:b/>
                <w:color w:val="002839"/>
                <w:sz w:val="24"/>
              </w:rPr>
              <w:t>24</w:t>
            </w:r>
          </w:p>
        </w:tc>
      </w:tr>
      <w:tr w:rsidR="009B1999" w:rsidRPr="00A61F96" w14:paraId="54994780" w14:textId="77777777" w:rsidTr="00A7001E">
        <w:trPr>
          <w:trHeight w:val="331"/>
        </w:trPr>
        <w:tc>
          <w:tcPr>
            <w:tcW w:w="5000" w:type="pct"/>
            <w:gridSpan w:val="4"/>
            <w:tcBorders>
              <w:top w:val="nil"/>
              <w:left w:val="nil"/>
              <w:bottom w:val="nil"/>
              <w:right w:val="nil"/>
            </w:tcBorders>
            <w:shd w:val="clear" w:color="auto" w:fill="auto"/>
            <w:noWrap/>
            <w:vAlign w:val="bottom"/>
            <w:hideMark/>
          </w:tcPr>
          <w:p w14:paraId="59C779D2" w14:textId="77777777" w:rsidR="009B1999" w:rsidRPr="00A61F96" w:rsidRDefault="009B1999" w:rsidP="00A7001E">
            <w:pPr>
              <w:jc w:val="center"/>
              <w:rPr>
                <w:rFonts w:ascii="Arial Narrow" w:hAnsi="Arial Narrow"/>
                <w:i/>
                <w:iCs/>
                <w:color w:val="002839"/>
                <w:sz w:val="20"/>
              </w:rPr>
            </w:pPr>
            <w:r>
              <w:rPr>
                <w:rFonts w:ascii="Arial Narrow" w:hAnsi="Arial Narrow"/>
                <w:i/>
                <w:color w:val="002839"/>
                <w:sz w:val="20"/>
              </w:rPr>
              <w:t>(</w:t>
            </w:r>
            <w:proofErr w:type="gramStart"/>
            <w:r>
              <w:rPr>
                <w:rFonts w:ascii="Arial Narrow" w:hAnsi="Arial Narrow"/>
                <w:i/>
                <w:color w:val="002839"/>
                <w:sz w:val="20"/>
              </w:rPr>
              <w:t>en</w:t>
            </w:r>
            <w:proofErr w:type="gramEnd"/>
            <w:r>
              <w:rPr>
                <w:rFonts w:ascii="Arial Narrow" w:hAnsi="Arial Narrow"/>
                <w:i/>
                <w:color w:val="002839"/>
                <w:sz w:val="20"/>
              </w:rPr>
              <w:t xml:space="preserve"> francs suisses)</w:t>
            </w:r>
          </w:p>
        </w:tc>
      </w:tr>
      <w:tr w:rsidR="009B1999" w:rsidRPr="00A61F96" w14:paraId="62EC5916" w14:textId="77777777" w:rsidTr="00CD707F">
        <w:trPr>
          <w:trHeight w:val="345"/>
        </w:trPr>
        <w:tc>
          <w:tcPr>
            <w:tcW w:w="2425" w:type="pct"/>
            <w:tcBorders>
              <w:top w:val="nil"/>
              <w:left w:val="nil"/>
              <w:bottom w:val="nil"/>
              <w:right w:val="nil"/>
            </w:tcBorders>
            <w:shd w:val="clear" w:color="auto" w:fill="auto"/>
            <w:noWrap/>
            <w:vAlign w:val="bottom"/>
            <w:hideMark/>
          </w:tcPr>
          <w:p w14:paraId="1758EE04" w14:textId="77777777" w:rsidR="009B1999" w:rsidRPr="00A61F96" w:rsidRDefault="009B1999" w:rsidP="00A7001E">
            <w:pPr>
              <w:rPr>
                <w:rFonts w:ascii="Times New Roman" w:hAnsi="Times New Roman" w:cs="Times New Roman"/>
                <w:sz w:val="20"/>
              </w:rPr>
            </w:pPr>
          </w:p>
        </w:tc>
        <w:tc>
          <w:tcPr>
            <w:tcW w:w="948" w:type="pct"/>
            <w:tcBorders>
              <w:top w:val="nil"/>
              <w:left w:val="nil"/>
              <w:bottom w:val="nil"/>
              <w:right w:val="nil"/>
            </w:tcBorders>
            <w:shd w:val="clear" w:color="auto" w:fill="auto"/>
            <w:noWrap/>
            <w:vAlign w:val="bottom"/>
            <w:hideMark/>
          </w:tcPr>
          <w:p w14:paraId="49AFD43D" w14:textId="77777777" w:rsidR="009B1999" w:rsidRPr="00A61F96" w:rsidRDefault="009B1999" w:rsidP="00A7001E">
            <w:pPr>
              <w:rPr>
                <w:rFonts w:ascii="Times New Roman" w:hAnsi="Times New Roman" w:cs="Times New Roman"/>
                <w:sz w:val="20"/>
              </w:rPr>
            </w:pPr>
          </w:p>
        </w:tc>
        <w:tc>
          <w:tcPr>
            <w:tcW w:w="674" w:type="pct"/>
            <w:tcBorders>
              <w:top w:val="nil"/>
              <w:left w:val="nil"/>
              <w:bottom w:val="nil"/>
              <w:right w:val="nil"/>
            </w:tcBorders>
            <w:shd w:val="clear" w:color="auto" w:fill="auto"/>
            <w:noWrap/>
            <w:vAlign w:val="bottom"/>
            <w:hideMark/>
          </w:tcPr>
          <w:p w14:paraId="796DF841" w14:textId="77777777" w:rsidR="009B1999" w:rsidRPr="00A61F96" w:rsidRDefault="009B1999" w:rsidP="00A7001E">
            <w:pPr>
              <w:rPr>
                <w:rFonts w:ascii="Times New Roman" w:hAnsi="Times New Roman" w:cs="Times New Roman"/>
                <w:sz w:val="20"/>
              </w:rPr>
            </w:pPr>
          </w:p>
        </w:tc>
        <w:tc>
          <w:tcPr>
            <w:tcW w:w="953" w:type="pct"/>
            <w:tcBorders>
              <w:top w:val="nil"/>
              <w:left w:val="nil"/>
              <w:bottom w:val="nil"/>
              <w:right w:val="nil"/>
            </w:tcBorders>
            <w:shd w:val="clear" w:color="auto" w:fill="auto"/>
            <w:noWrap/>
            <w:vAlign w:val="bottom"/>
            <w:hideMark/>
          </w:tcPr>
          <w:p w14:paraId="0AD9DC7D" w14:textId="77777777" w:rsidR="009B1999" w:rsidRPr="00A61F96" w:rsidRDefault="009B1999" w:rsidP="00A7001E">
            <w:pPr>
              <w:rPr>
                <w:rFonts w:ascii="Times New Roman" w:hAnsi="Times New Roman" w:cs="Times New Roman"/>
                <w:sz w:val="20"/>
              </w:rPr>
            </w:pPr>
          </w:p>
        </w:tc>
      </w:tr>
      <w:tr w:rsidR="009B1999" w:rsidRPr="00A61F96" w14:paraId="249E8768" w14:textId="77777777" w:rsidTr="00CD707F">
        <w:trPr>
          <w:trHeight w:val="619"/>
        </w:trPr>
        <w:tc>
          <w:tcPr>
            <w:tcW w:w="2425" w:type="pct"/>
            <w:tcBorders>
              <w:top w:val="nil"/>
              <w:left w:val="nil"/>
              <w:bottom w:val="nil"/>
              <w:right w:val="nil"/>
            </w:tcBorders>
            <w:shd w:val="clear" w:color="000000" w:fill="C7CFD8"/>
            <w:noWrap/>
            <w:vAlign w:val="center"/>
            <w:hideMark/>
          </w:tcPr>
          <w:p w14:paraId="20228B3E" w14:textId="77777777" w:rsidR="009B1999" w:rsidRPr="00A61F96" w:rsidRDefault="009B1999" w:rsidP="00A7001E">
            <w:pPr>
              <w:rPr>
                <w:rFonts w:ascii="Arial Narrow" w:hAnsi="Arial Narrow"/>
                <w:b/>
                <w:bCs/>
                <w:color w:val="002839"/>
              </w:rPr>
            </w:pPr>
            <w:r>
              <w:rPr>
                <w:rFonts w:ascii="Arial Narrow" w:hAnsi="Arial Narrow"/>
                <w:b/>
                <w:color w:val="002839"/>
              </w:rPr>
              <w:t xml:space="preserve">Catégorie de coûts </w:t>
            </w:r>
          </w:p>
        </w:tc>
        <w:tc>
          <w:tcPr>
            <w:tcW w:w="948" w:type="pct"/>
            <w:tcBorders>
              <w:top w:val="nil"/>
              <w:left w:val="nil"/>
              <w:bottom w:val="nil"/>
              <w:right w:val="nil"/>
            </w:tcBorders>
            <w:shd w:val="clear" w:color="000000" w:fill="C7CFD8"/>
            <w:vAlign w:val="center"/>
            <w:hideMark/>
          </w:tcPr>
          <w:p w14:paraId="684492BA" w14:textId="77777777" w:rsidR="009B1999" w:rsidRPr="00A61F96" w:rsidRDefault="009B1999" w:rsidP="00A7001E">
            <w:pPr>
              <w:jc w:val="center"/>
              <w:rPr>
                <w:rFonts w:ascii="Arial Narrow" w:hAnsi="Arial Narrow"/>
                <w:b/>
                <w:bCs/>
                <w:color w:val="002839"/>
              </w:rPr>
            </w:pPr>
            <w:r>
              <w:rPr>
                <w:rFonts w:ascii="Arial Narrow" w:hAnsi="Arial Narrow"/>
                <w:b/>
                <w:color w:val="002839"/>
              </w:rPr>
              <w:t>Budget du projet</w:t>
            </w:r>
          </w:p>
        </w:tc>
        <w:tc>
          <w:tcPr>
            <w:tcW w:w="674" w:type="pct"/>
            <w:tcBorders>
              <w:top w:val="nil"/>
              <w:left w:val="nil"/>
              <w:bottom w:val="nil"/>
              <w:right w:val="nil"/>
            </w:tcBorders>
            <w:shd w:val="clear" w:color="000000" w:fill="C7CFD8"/>
            <w:vAlign w:val="center"/>
            <w:hideMark/>
          </w:tcPr>
          <w:p w14:paraId="29BDD52B" w14:textId="77777777" w:rsidR="009B1999" w:rsidRPr="00A61F96" w:rsidRDefault="009B1999" w:rsidP="00A7001E">
            <w:pPr>
              <w:jc w:val="center"/>
              <w:rPr>
                <w:rFonts w:ascii="Arial Narrow" w:hAnsi="Arial Narrow"/>
                <w:b/>
                <w:bCs/>
                <w:color w:val="002839"/>
              </w:rPr>
            </w:pPr>
            <w:r>
              <w:rPr>
                <w:rFonts w:ascii="Arial Narrow" w:hAnsi="Arial Narrow"/>
                <w:b/>
                <w:color w:val="002839"/>
              </w:rPr>
              <w:t>Dépenses</w:t>
            </w:r>
            <w:r>
              <w:rPr>
                <w:rFonts w:ascii="Arial Narrow" w:hAnsi="Arial Narrow"/>
                <w:b/>
                <w:color w:val="002839"/>
                <w:vertAlign w:val="superscript"/>
              </w:rPr>
              <w:t>1</w:t>
            </w:r>
          </w:p>
        </w:tc>
        <w:tc>
          <w:tcPr>
            <w:tcW w:w="953" w:type="pct"/>
            <w:tcBorders>
              <w:top w:val="nil"/>
              <w:left w:val="nil"/>
              <w:bottom w:val="nil"/>
              <w:right w:val="nil"/>
            </w:tcBorders>
            <w:shd w:val="clear" w:color="000000" w:fill="C7CFD8"/>
            <w:vAlign w:val="center"/>
            <w:hideMark/>
          </w:tcPr>
          <w:p w14:paraId="72A7A62A" w14:textId="77777777" w:rsidR="009B1999" w:rsidRPr="00A61F96" w:rsidRDefault="009B1999" w:rsidP="00A7001E">
            <w:pPr>
              <w:jc w:val="center"/>
              <w:rPr>
                <w:rFonts w:ascii="Arial Narrow" w:hAnsi="Arial Narrow"/>
                <w:b/>
                <w:bCs/>
                <w:color w:val="002839"/>
              </w:rPr>
            </w:pPr>
            <w:r>
              <w:rPr>
                <w:rFonts w:ascii="Arial Narrow" w:hAnsi="Arial Narrow"/>
                <w:b/>
                <w:color w:val="002839"/>
              </w:rPr>
              <w:t>Utilisation du budget</w:t>
            </w:r>
          </w:p>
        </w:tc>
      </w:tr>
      <w:tr w:rsidR="009B1999" w:rsidRPr="00A61F96" w14:paraId="42A03550" w14:textId="77777777" w:rsidTr="00CD707F">
        <w:trPr>
          <w:trHeight w:val="547"/>
        </w:trPr>
        <w:tc>
          <w:tcPr>
            <w:tcW w:w="2425" w:type="pct"/>
            <w:tcBorders>
              <w:top w:val="nil"/>
              <w:left w:val="nil"/>
              <w:bottom w:val="nil"/>
              <w:right w:val="nil"/>
            </w:tcBorders>
            <w:shd w:val="clear" w:color="auto" w:fill="auto"/>
            <w:vAlign w:val="center"/>
            <w:hideMark/>
          </w:tcPr>
          <w:p w14:paraId="70BD54DB" w14:textId="77777777" w:rsidR="009B1999" w:rsidRPr="00A61F96" w:rsidRDefault="009B1999" w:rsidP="00A7001E">
            <w:pPr>
              <w:rPr>
                <w:rFonts w:ascii="Arial Narrow" w:hAnsi="Arial Narrow"/>
                <w:color w:val="002839"/>
              </w:rPr>
            </w:pPr>
            <w:r>
              <w:rPr>
                <w:rFonts w:ascii="Arial Narrow" w:hAnsi="Arial Narrow"/>
                <w:color w:val="002839"/>
              </w:rPr>
              <w:t>Ressources en personnel</w:t>
            </w:r>
          </w:p>
        </w:tc>
        <w:tc>
          <w:tcPr>
            <w:tcW w:w="948" w:type="pct"/>
            <w:tcBorders>
              <w:top w:val="nil"/>
              <w:left w:val="nil"/>
              <w:bottom w:val="nil"/>
              <w:right w:val="nil"/>
            </w:tcBorders>
            <w:shd w:val="clear" w:color="auto" w:fill="auto"/>
            <w:noWrap/>
            <w:vAlign w:val="center"/>
            <w:hideMark/>
          </w:tcPr>
          <w:p w14:paraId="2A6D389E" w14:textId="77777777" w:rsidR="009B1999" w:rsidRPr="00A61F96" w:rsidRDefault="009B1999" w:rsidP="00A7001E">
            <w:pPr>
              <w:jc w:val="center"/>
              <w:rPr>
                <w:rFonts w:ascii="Arial Narrow" w:hAnsi="Arial Narrow"/>
                <w:color w:val="002839"/>
              </w:rPr>
            </w:pPr>
            <w:r>
              <w:rPr>
                <w:rFonts w:ascii="Arial Narrow" w:hAnsi="Arial Narrow"/>
                <w:color w:val="002839"/>
              </w:rPr>
              <w:t>125 000</w:t>
            </w:r>
          </w:p>
        </w:tc>
        <w:tc>
          <w:tcPr>
            <w:tcW w:w="674" w:type="pct"/>
            <w:tcBorders>
              <w:top w:val="nil"/>
              <w:left w:val="nil"/>
              <w:bottom w:val="nil"/>
              <w:right w:val="nil"/>
            </w:tcBorders>
            <w:shd w:val="clear" w:color="auto" w:fill="auto"/>
            <w:vAlign w:val="center"/>
            <w:hideMark/>
          </w:tcPr>
          <w:p w14:paraId="3B21BDF8" w14:textId="77777777" w:rsidR="009B1999" w:rsidRPr="00A61F96" w:rsidRDefault="009B1999" w:rsidP="00A7001E">
            <w:pPr>
              <w:jc w:val="center"/>
              <w:rPr>
                <w:rFonts w:ascii="Arial Narrow" w:hAnsi="Arial Narrow"/>
                <w:color w:val="000000"/>
              </w:rPr>
            </w:pPr>
            <w:r>
              <w:rPr>
                <w:rFonts w:ascii="Arial Narrow" w:hAnsi="Arial Narrow"/>
                <w:color w:val="000000"/>
              </w:rPr>
              <w:t>–</w:t>
            </w:r>
          </w:p>
        </w:tc>
        <w:tc>
          <w:tcPr>
            <w:tcW w:w="953" w:type="pct"/>
            <w:tcBorders>
              <w:top w:val="nil"/>
              <w:left w:val="nil"/>
              <w:bottom w:val="nil"/>
              <w:right w:val="nil"/>
            </w:tcBorders>
            <w:shd w:val="clear" w:color="auto" w:fill="auto"/>
            <w:vAlign w:val="center"/>
            <w:hideMark/>
          </w:tcPr>
          <w:p w14:paraId="1881B241" w14:textId="77777777" w:rsidR="009B1999" w:rsidRPr="00A61F96" w:rsidRDefault="009B1999" w:rsidP="00A7001E">
            <w:pPr>
              <w:jc w:val="center"/>
              <w:rPr>
                <w:rFonts w:ascii="Arial Narrow" w:hAnsi="Arial Narrow"/>
                <w:color w:val="000000"/>
              </w:rPr>
            </w:pPr>
            <w:r>
              <w:rPr>
                <w:rFonts w:ascii="Arial Narrow" w:hAnsi="Arial Narrow"/>
                <w:color w:val="000000"/>
              </w:rPr>
              <w:t>0%</w:t>
            </w:r>
          </w:p>
        </w:tc>
      </w:tr>
      <w:tr w:rsidR="009B1999" w:rsidRPr="00A61F96" w14:paraId="5BEB668D" w14:textId="77777777" w:rsidTr="00CD707F">
        <w:trPr>
          <w:trHeight w:val="475"/>
        </w:trPr>
        <w:tc>
          <w:tcPr>
            <w:tcW w:w="2425" w:type="pct"/>
            <w:tcBorders>
              <w:top w:val="nil"/>
              <w:left w:val="nil"/>
              <w:bottom w:val="nil"/>
              <w:right w:val="nil"/>
            </w:tcBorders>
            <w:shd w:val="clear" w:color="auto" w:fill="auto"/>
            <w:vAlign w:val="center"/>
            <w:hideMark/>
          </w:tcPr>
          <w:p w14:paraId="172A25C4" w14:textId="77777777" w:rsidR="009B1999" w:rsidRPr="00A61F96" w:rsidRDefault="009B1999" w:rsidP="00A7001E">
            <w:pPr>
              <w:rPr>
                <w:rFonts w:ascii="Arial Narrow" w:hAnsi="Arial Narrow"/>
                <w:color w:val="002839"/>
              </w:rPr>
            </w:pPr>
            <w:r>
              <w:rPr>
                <w:rFonts w:ascii="Arial Narrow" w:hAnsi="Arial Narrow"/>
                <w:color w:val="002839"/>
              </w:rPr>
              <w:t>Autres ressources</w:t>
            </w:r>
          </w:p>
        </w:tc>
        <w:tc>
          <w:tcPr>
            <w:tcW w:w="948" w:type="pct"/>
            <w:tcBorders>
              <w:top w:val="nil"/>
              <w:left w:val="nil"/>
              <w:bottom w:val="nil"/>
              <w:right w:val="nil"/>
            </w:tcBorders>
            <w:shd w:val="clear" w:color="auto" w:fill="auto"/>
            <w:noWrap/>
            <w:vAlign w:val="center"/>
            <w:hideMark/>
          </w:tcPr>
          <w:p w14:paraId="46F792AA" w14:textId="77777777" w:rsidR="009B1999" w:rsidRPr="00A61F96" w:rsidRDefault="009B1999" w:rsidP="00A7001E">
            <w:pPr>
              <w:jc w:val="center"/>
              <w:rPr>
                <w:rFonts w:ascii="Arial Narrow" w:hAnsi="Arial Narrow"/>
                <w:color w:val="002839"/>
              </w:rPr>
            </w:pPr>
            <w:r>
              <w:rPr>
                <w:rFonts w:ascii="Arial Narrow" w:hAnsi="Arial Narrow"/>
                <w:color w:val="002839"/>
              </w:rPr>
              <w:t>325 000</w:t>
            </w:r>
          </w:p>
        </w:tc>
        <w:tc>
          <w:tcPr>
            <w:tcW w:w="674" w:type="pct"/>
            <w:tcBorders>
              <w:top w:val="nil"/>
              <w:left w:val="nil"/>
              <w:bottom w:val="nil"/>
              <w:right w:val="nil"/>
            </w:tcBorders>
            <w:shd w:val="clear" w:color="auto" w:fill="auto"/>
            <w:vAlign w:val="center"/>
            <w:hideMark/>
          </w:tcPr>
          <w:p w14:paraId="22C26205" w14:textId="77777777" w:rsidR="009B1999" w:rsidRPr="00A61F96" w:rsidRDefault="009B1999" w:rsidP="00A7001E">
            <w:pPr>
              <w:jc w:val="center"/>
              <w:rPr>
                <w:rFonts w:ascii="Arial Narrow" w:hAnsi="Arial Narrow"/>
                <w:color w:val="000000"/>
              </w:rPr>
            </w:pPr>
            <w:r>
              <w:rPr>
                <w:rFonts w:ascii="Arial Narrow" w:hAnsi="Arial Narrow"/>
                <w:color w:val="000000"/>
              </w:rPr>
              <w:t>277 008</w:t>
            </w:r>
          </w:p>
        </w:tc>
        <w:tc>
          <w:tcPr>
            <w:tcW w:w="953" w:type="pct"/>
            <w:tcBorders>
              <w:top w:val="nil"/>
              <w:left w:val="nil"/>
              <w:bottom w:val="nil"/>
              <w:right w:val="nil"/>
            </w:tcBorders>
            <w:shd w:val="clear" w:color="auto" w:fill="auto"/>
            <w:vAlign w:val="center"/>
            <w:hideMark/>
          </w:tcPr>
          <w:p w14:paraId="163720A0" w14:textId="77777777" w:rsidR="009B1999" w:rsidRPr="00A61F96" w:rsidRDefault="009B1999" w:rsidP="00A7001E">
            <w:pPr>
              <w:jc w:val="center"/>
              <w:rPr>
                <w:rFonts w:ascii="Arial Narrow" w:hAnsi="Arial Narrow"/>
                <w:color w:val="000000"/>
              </w:rPr>
            </w:pPr>
            <w:r>
              <w:rPr>
                <w:rFonts w:ascii="Arial Narrow" w:hAnsi="Arial Narrow"/>
                <w:color w:val="000000"/>
              </w:rPr>
              <w:t>85%</w:t>
            </w:r>
          </w:p>
        </w:tc>
      </w:tr>
      <w:tr w:rsidR="009B1999" w:rsidRPr="00A61F96" w14:paraId="256DC05A" w14:textId="77777777" w:rsidTr="00CD707F">
        <w:trPr>
          <w:trHeight w:val="403"/>
        </w:trPr>
        <w:tc>
          <w:tcPr>
            <w:tcW w:w="2425" w:type="pct"/>
            <w:tcBorders>
              <w:top w:val="single" w:sz="4" w:space="0" w:color="AAB8C4"/>
              <w:left w:val="nil"/>
              <w:bottom w:val="single" w:sz="8" w:space="0" w:color="AAB8C4"/>
              <w:right w:val="nil"/>
            </w:tcBorders>
            <w:shd w:val="clear" w:color="auto" w:fill="auto"/>
            <w:noWrap/>
            <w:vAlign w:val="center"/>
            <w:hideMark/>
          </w:tcPr>
          <w:p w14:paraId="70CA138D" w14:textId="77777777" w:rsidR="009B1999" w:rsidRPr="00A61F96" w:rsidRDefault="009B1999" w:rsidP="00A7001E">
            <w:pPr>
              <w:rPr>
                <w:rFonts w:ascii="Arial Narrow" w:hAnsi="Arial Narrow"/>
                <w:b/>
                <w:bCs/>
                <w:color w:val="002839"/>
              </w:rPr>
            </w:pPr>
            <w:r>
              <w:rPr>
                <w:rFonts w:ascii="Arial Narrow" w:hAnsi="Arial Narrow"/>
                <w:b/>
                <w:color w:val="002839"/>
              </w:rPr>
              <w:t>Total</w:t>
            </w:r>
          </w:p>
        </w:tc>
        <w:tc>
          <w:tcPr>
            <w:tcW w:w="948" w:type="pct"/>
            <w:tcBorders>
              <w:top w:val="single" w:sz="4" w:space="0" w:color="AAB8C4"/>
              <w:left w:val="nil"/>
              <w:bottom w:val="single" w:sz="8" w:space="0" w:color="AAB8C4"/>
              <w:right w:val="nil"/>
            </w:tcBorders>
            <w:shd w:val="clear" w:color="auto" w:fill="auto"/>
            <w:noWrap/>
            <w:vAlign w:val="center"/>
            <w:hideMark/>
          </w:tcPr>
          <w:p w14:paraId="135CEA62" w14:textId="77777777" w:rsidR="009B1999" w:rsidRPr="00A61F96" w:rsidRDefault="009B1999" w:rsidP="00A7001E">
            <w:pPr>
              <w:jc w:val="center"/>
              <w:rPr>
                <w:rFonts w:ascii="Arial Narrow" w:hAnsi="Arial Narrow"/>
                <w:b/>
                <w:bCs/>
                <w:color w:val="002839"/>
              </w:rPr>
            </w:pPr>
            <w:r>
              <w:rPr>
                <w:rFonts w:ascii="Arial Narrow" w:hAnsi="Arial Narrow"/>
                <w:b/>
                <w:color w:val="002839"/>
              </w:rPr>
              <w:t>450 000</w:t>
            </w:r>
          </w:p>
        </w:tc>
        <w:tc>
          <w:tcPr>
            <w:tcW w:w="674" w:type="pct"/>
            <w:tcBorders>
              <w:top w:val="single" w:sz="4" w:space="0" w:color="AAB8C4"/>
              <w:left w:val="nil"/>
              <w:bottom w:val="single" w:sz="8" w:space="0" w:color="AAB8C4"/>
              <w:right w:val="nil"/>
            </w:tcBorders>
            <w:shd w:val="clear" w:color="auto" w:fill="auto"/>
            <w:noWrap/>
            <w:vAlign w:val="center"/>
            <w:hideMark/>
          </w:tcPr>
          <w:p w14:paraId="6E986347" w14:textId="77777777" w:rsidR="009B1999" w:rsidRPr="00A61F96" w:rsidRDefault="009B1999" w:rsidP="00A7001E">
            <w:pPr>
              <w:jc w:val="center"/>
              <w:rPr>
                <w:rFonts w:ascii="Arial Narrow" w:hAnsi="Arial Narrow"/>
                <w:b/>
                <w:bCs/>
                <w:color w:val="002839"/>
              </w:rPr>
            </w:pPr>
            <w:r>
              <w:rPr>
                <w:rFonts w:ascii="Arial Narrow" w:hAnsi="Arial Narrow"/>
                <w:b/>
                <w:color w:val="002839"/>
              </w:rPr>
              <w:t>277 008</w:t>
            </w:r>
          </w:p>
        </w:tc>
        <w:tc>
          <w:tcPr>
            <w:tcW w:w="953" w:type="pct"/>
            <w:tcBorders>
              <w:top w:val="single" w:sz="4" w:space="0" w:color="AAB8C4"/>
              <w:left w:val="nil"/>
              <w:bottom w:val="single" w:sz="8" w:space="0" w:color="AAB8C4"/>
              <w:right w:val="nil"/>
            </w:tcBorders>
            <w:shd w:val="clear" w:color="auto" w:fill="auto"/>
            <w:noWrap/>
            <w:vAlign w:val="center"/>
            <w:hideMark/>
          </w:tcPr>
          <w:p w14:paraId="6725850A" w14:textId="77777777" w:rsidR="009B1999" w:rsidRPr="00A61F96" w:rsidRDefault="009B1999" w:rsidP="00A7001E">
            <w:pPr>
              <w:jc w:val="center"/>
              <w:rPr>
                <w:rFonts w:ascii="Arial Narrow" w:hAnsi="Arial Narrow"/>
                <w:b/>
                <w:bCs/>
                <w:color w:val="002839"/>
              </w:rPr>
            </w:pPr>
            <w:r>
              <w:rPr>
                <w:rFonts w:ascii="Arial Narrow" w:hAnsi="Arial Narrow"/>
                <w:color w:val="000000"/>
              </w:rPr>
              <w:t>62%</w:t>
            </w:r>
          </w:p>
        </w:tc>
      </w:tr>
      <w:tr w:rsidR="009B1999" w:rsidRPr="00A61F96" w14:paraId="056282F5" w14:textId="77777777" w:rsidTr="00A7001E">
        <w:trPr>
          <w:trHeight w:val="278"/>
        </w:trPr>
        <w:tc>
          <w:tcPr>
            <w:tcW w:w="5000" w:type="pct"/>
            <w:gridSpan w:val="4"/>
            <w:tcBorders>
              <w:top w:val="nil"/>
              <w:left w:val="nil"/>
              <w:bottom w:val="nil"/>
              <w:right w:val="nil"/>
            </w:tcBorders>
            <w:shd w:val="clear" w:color="auto" w:fill="auto"/>
            <w:noWrap/>
            <w:vAlign w:val="bottom"/>
            <w:hideMark/>
          </w:tcPr>
          <w:p w14:paraId="7E790FDD" w14:textId="2C830A88" w:rsidR="009B1999" w:rsidRPr="00A61F96" w:rsidRDefault="009B1999" w:rsidP="00A7001E">
            <w:pPr>
              <w:rPr>
                <w:rFonts w:ascii="Times New Roman" w:hAnsi="Times New Roman" w:cs="Times New Roman"/>
                <w:sz w:val="20"/>
              </w:rPr>
            </w:pPr>
            <w:r>
              <w:rPr>
                <w:color w:val="002839"/>
                <w:sz w:val="20"/>
                <w:vertAlign w:val="superscript"/>
              </w:rPr>
              <w:t>1</w:t>
            </w:r>
            <w:r>
              <w:rPr>
                <w:color w:val="002839"/>
                <w:sz w:val="20"/>
              </w:rPr>
              <w:t xml:space="preserve"> Exclut les dépenses relatives à l</w:t>
            </w:r>
            <w:r w:rsidR="007B4A5D">
              <w:rPr>
                <w:color w:val="002839"/>
                <w:sz w:val="20"/>
              </w:rPr>
              <w:t>’</w:t>
            </w:r>
            <w:r>
              <w:rPr>
                <w:color w:val="002839"/>
                <w:sz w:val="20"/>
              </w:rPr>
              <w:t>évaluation du projet et à la manifestation organisée en marge</w:t>
            </w:r>
            <w:r w:rsidR="007B4A5D">
              <w:rPr>
                <w:color w:val="002839"/>
                <w:sz w:val="20"/>
              </w:rPr>
              <w:t xml:space="preserve"> du C</w:t>
            </w:r>
            <w:r w:rsidR="005D4872">
              <w:rPr>
                <w:color w:val="002839"/>
                <w:sz w:val="20"/>
              </w:rPr>
              <w:t>DIP.  Le</w:t>
            </w:r>
            <w:r>
              <w:rPr>
                <w:color w:val="002839"/>
                <w:sz w:val="20"/>
              </w:rPr>
              <w:t xml:space="preserve"> budget alloué aux dépenses de personnel n</w:t>
            </w:r>
            <w:r w:rsidR="007B4A5D">
              <w:rPr>
                <w:color w:val="002839"/>
                <w:sz w:val="20"/>
              </w:rPr>
              <w:t>’</w:t>
            </w:r>
            <w:r>
              <w:rPr>
                <w:color w:val="002839"/>
                <w:sz w:val="20"/>
              </w:rPr>
              <w:t>a pas été utilisé, car la mise en œuvre a été effectuée par le personnel de la Division de la coordination du Plan d</w:t>
            </w:r>
            <w:r w:rsidR="007B4A5D">
              <w:rPr>
                <w:color w:val="002839"/>
                <w:sz w:val="20"/>
              </w:rPr>
              <w:t>’</w:t>
            </w:r>
            <w:r>
              <w:rPr>
                <w:color w:val="002839"/>
                <w:sz w:val="20"/>
              </w:rPr>
              <w:t>action pour le développement.</w:t>
            </w:r>
          </w:p>
        </w:tc>
      </w:tr>
      <w:tr w:rsidR="009B1999" w:rsidRPr="00A61F96" w14:paraId="058C9540" w14:textId="77777777" w:rsidTr="00CD707F">
        <w:trPr>
          <w:trHeight w:val="240"/>
        </w:trPr>
        <w:tc>
          <w:tcPr>
            <w:tcW w:w="2425" w:type="pct"/>
            <w:tcBorders>
              <w:top w:val="nil"/>
              <w:left w:val="nil"/>
              <w:bottom w:val="nil"/>
              <w:right w:val="nil"/>
            </w:tcBorders>
            <w:shd w:val="clear" w:color="auto" w:fill="auto"/>
            <w:noWrap/>
            <w:vAlign w:val="bottom"/>
            <w:hideMark/>
          </w:tcPr>
          <w:p w14:paraId="2F46933F" w14:textId="77777777" w:rsidR="009B1999" w:rsidRPr="00A61F96" w:rsidRDefault="009B1999" w:rsidP="00A7001E">
            <w:pPr>
              <w:rPr>
                <w:rFonts w:ascii="Times New Roman" w:hAnsi="Times New Roman" w:cs="Times New Roman"/>
                <w:sz w:val="20"/>
              </w:rPr>
            </w:pPr>
          </w:p>
        </w:tc>
        <w:tc>
          <w:tcPr>
            <w:tcW w:w="948" w:type="pct"/>
            <w:tcBorders>
              <w:top w:val="nil"/>
              <w:left w:val="nil"/>
              <w:bottom w:val="nil"/>
              <w:right w:val="nil"/>
            </w:tcBorders>
            <w:shd w:val="clear" w:color="auto" w:fill="auto"/>
            <w:noWrap/>
            <w:vAlign w:val="bottom"/>
            <w:hideMark/>
          </w:tcPr>
          <w:p w14:paraId="418BB21A" w14:textId="77777777" w:rsidR="009B1999" w:rsidRPr="00A61F96" w:rsidRDefault="009B1999" w:rsidP="00A7001E">
            <w:pPr>
              <w:rPr>
                <w:rFonts w:ascii="Times New Roman" w:hAnsi="Times New Roman" w:cs="Times New Roman"/>
                <w:sz w:val="20"/>
              </w:rPr>
            </w:pPr>
          </w:p>
        </w:tc>
        <w:tc>
          <w:tcPr>
            <w:tcW w:w="674" w:type="pct"/>
            <w:tcBorders>
              <w:top w:val="nil"/>
              <w:left w:val="nil"/>
              <w:bottom w:val="nil"/>
              <w:right w:val="nil"/>
            </w:tcBorders>
            <w:shd w:val="clear" w:color="auto" w:fill="auto"/>
            <w:noWrap/>
            <w:vAlign w:val="bottom"/>
            <w:hideMark/>
          </w:tcPr>
          <w:p w14:paraId="273C5D99" w14:textId="77777777" w:rsidR="009B1999" w:rsidRPr="00A61F96" w:rsidRDefault="009B1999" w:rsidP="00A7001E">
            <w:pPr>
              <w:rPr>
                <w:rFonts w:ascii="Times New Roman" w:hAnsi="Times New Roman" w:cs="Times New Roman"/>
                <w:sz w:val="20"/>
              </w:rPr>
            </w:pPr>
          </w:p>
        </w:tc>
        <w:tc>
          <w:tcPr>
            <w:tcW w:w="953" w:type="pct"/>
            <w:tcBorders>
              <w:top w:val="nil"/>
              <w:left w:val="nil"/>
              <w:bottom w:val="nil"/>
              <w:right w:val="nil"/>
            </w:tcBorders>
            <w:shd w:val="clear" w:color="auto" w:fill="auto"/>
            <w:noWrap/>
            <w:vAlign w:val="bottom"/>
            <w:hideMark/>
          </w:tcPr>
          <w:p w14:paraId="51DF7B5E" w14:textId="77777777" w:rsidR="009B1999" w:rsidRPr="00A61F96" w:rsidRDefault="009B1999" w:rsidP="00A7001E">
            <w:pPr>
              <w:rPr>
                <w:rFonts w:ascii="Times New Roman" w:hAnsi="Times New Roman" w:cs="Times New Roman"/>
                <w:sz w:val="20"/>
              </w:rPr>
            </w:pPr>
          </w:p>
        </w:tc>
      </w:tr>
    </w:tbl>
    <w:p w14:paraId="748F6826" w14:textId="0B29CA47" w:rsidR="009B1999" w:rsidRPr="00C03B46" w:rsidRDefault="009B1999" w:rsidP="009F12CB">
      <w:pPr>
        <w:tabs>
          <w:tab w:val="left" w:pos="6264"/>
          <w:tab w:val="left" w:pos="9180"/>
        </w:tabs>
        <w:spacing w:before="720"/>
        <w:jc w:val="center"/>
      </w:pPr>
      <w:r>
        <w:tab/>
        <w:t>[Fin de l</w:t>
      </w:r>
      <w:r w:rsidR="007B4A5D">
        <w:t>’</w:t>
      </w:r>
      <w:r>
        <w:t>annexe II et du document]</w:t>
      </w:r>
    </w:p>
    <w:sectPr w:rsidR="009B1999" w:rsidRPr="00C03B46" w:rsidSect="005110F2">
      <w:headerReference w:type="default" r:id="rId40"/>
      <w:headerReference w:type="first" r:id="rId4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1A5AF" w14:textId="77777777" w:rsidR="009B1999" w:rsidRDefault="009B1999">
      <w:r>
        <w:separator/>
      </w:r>
    </w:p>
    <w:p w14:paraId="036A50FF" w14:textId="77777777" w:rsidR="007B4A5D" w:rsidRDefault="007B4A5D"/>
  </w:endnote>
  <w:endnote w:type="continuationSeparator" w:id="0">
    <w:p w14:paraId="4D931697" w14:textId="77777777" w:rsidR="009B1999" w:rsidRPr="009D30E6" w:rsidRDefault="009B1999" w:rsidP="00D45252">
      <w:pPr>
        <w:rPr>
          <w:sz w:val="17"/>
          <w:szCs w:val="17"/>
        </w:rPr>
      </w:pPr>
      <w:r w:rsidRPr="009D30E6">
        <w:rPr>
          <w:sz w:val="17"/>
          <w:szCs w:val="17"/>
        </w:rPr>
        <w:separator/>
      </w:r>
    </w:p>
    <w:p w14:paraId="1ED6873C" w14:textId="77777777" w:rsidR="009B1999" w:rsidRPr="009D30E6" w:rsidRDefault="009B1999" w:rsidP="00D45252">
      <w:pPr>
        <w:spacing w:after="60"/>
        <w:rPr>
          <w:sz w:val="17"/>
          <w:szCs w:val="17"/>
        </w:rPr>
      </w:pPr>
      <w:r w:rsidRPr="009D30E6">
        <w:rPr>
          <w:sz w:val="17"/>
          <w:szCs w:val="17"/>
        </w:rPr>
        <w:t>[Suite de la note de la page précédente]</w:t>
      </w:r>
    </w:p>
    <w:p w14:paraId="4943459A" w14:textId="77777777" w:rsidR="007B4A5D" w:rsidRDefault="007B4A5D"/>
  </w:endnote>
  <w:endnote w:type="continuationNotice" w:id="1">
    <w:p w14:paraId="7DA6E096" w14:textId="77777777" w:rsidR="009B1999" w:rsidRPr="009D30E6" w:rsidRDefault="009B1999" w:rsidP="009D30E6">
      <w:pPr>
        <w:spacing w:before="60"/>
        <w:jc w:val="right"/>
        <w:rPr>
          <w:sz w:val="17"/>
          <w:szCs w:val="17"/>
        </w:rPr>
      </w:pPr>
      <w:r w:rsidRPr="009D30E6">
        <w:rPr>
          <w:sz w:val="17"/>
          <w:szCs w:val="17"/>
        </w:rPr>
        <w:t>[Suite de la note page suivante]</w:t>
      </w:r>
    </w:p>
    <w:p w14:paraId="67FF9F29" w14:textId="77777777" w:rsidR="007B4A5D" w:rsidRDefault="007B4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10D" w14:textId="77777777" w:rsidR="009703ED" w:rsidRDefault="00970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EE96" w14:textId="77777777" w:rsidR="009703ED" w:rsidRDefault="0097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9A82" w14:textId="77777777" w:rsidR="009703ED" w:rsidRDefault="00970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5402" w14:textId="77777777" w:rsidR="009B1999" w:rsidRDefault="009B1999">
      <w:r>
        <w:separator/>
      </w:r>
    </w:p>
    <w:p w14:paraId="18EC7755" w14:textId="77777777" w:rsidR="007B4A5D" w:rsidRDefault="007B4A5D"/>
  </w:footnote>
  <w:footnote w:type="continuationSeparator" w:id="0">
    <w:p w14:paraId="1F3804B9" w14:textId="77777777" w:rsidR="009B1999" w:rsidRDefault="009B1999" w:rsidP="007461F1">
      <w:r>
        <w:separator/>
      </w:r>
    </w:p>
    <w:p w14:paraId="4319F6A3" w14:textId="77777777" w:rsidR="009B1999" w:rsidRPr="009D30E6" w:rsidRDefault="009B1999" w:rsidP="007461F1">
      <w:pPr>
        <w:spacing w:after="60"/>
        <w:rPr>
          <w:sz w:val="17"/>
          <w:szCs w:val="17"/>
        </w:rPr>
      </w:pPr>
      <w:r w:rsidRPr="009D30E6">
        <w:rPr>
          <w:sz w:val="17"/>
          <w:szCs w:val="17"/>
        </w:rPr>
        <w:t>[Suite de la note de la page précédente]</w:t>
      </w:r>
    </w:p>
    <w:p w14:paraId="1F870567" w14:textId="77777777" w:rsidR="007B4A5D" w:rsidRDefault="007B4A5D"/>
  </w:footnote>
  <w:footnote w:type="continuationNotice" w:id="1">
    <w:p w14:paraId="642F5B3D" w14:textId="77777777" w:rsidR="009B1999" w:rsidRPr="009D30E6" w:rsidRDefault="009B1999" w:rsidP="007461F1">
      <w:pPr>
        <w:spacing w:before="60"/>
        <w:jc w:val="right"/>
        <w:rPr>
          <w:sz w:val="17"/>
          <w:szCs w:val="17"/>
        </w:rPr>
      </w:pPr>
      <w:r w:rsidRPr="009D30E6">
        <w:rPr>
          <w:sz w:val="17"/>
          <w:szCs w:val="17"/>
        </w:rPr>
        <w:t>[Suite de la note page suivante]</w:t>
      </w:r>
    </w:p>
    <w:p w14:paraId="1772572F" w14:textId="77777777" w:rsidR="007B4A5D" w:rsidRDefault="007B4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2093" w14:textId="77777777" w:rsidR="009703ED" w:rsidRDefault="00970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2585" w14:textId="77777777" w:rsidR="009B1999" w:rsidRDefault="009B1999" w:rsidP="009B1999">
    <w:pPr>
      <w:pStyle w:val="Header"/>
      <w:jc w:val="right"/>
      <w:rPr>
        <w:rStyle w:val="PageNumber"/>
      </w:rPr>
    </w:pPr>
    <w:r>
      <w:rPr>
        <w:rStyle w:val="PageNumber"/>
      </w:rPr>
      <w:t>CDIP/32/10</w:t>
    </w:r>
  </w:p>
  <w:p w14:paraId="022F5F99" w14:textId="77777777" w:rsidR="009B1999" w:rsidRDefault="009B1999" w:rsidP="009B1999">
    <w:pPr>
      <w:spacing w:after="480"/>
      <w:jc w:val="right"/>
    </w:pPr>
    <w:r>
      <w:t>Annexe I, page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DB27" w14:textId="7ACBDCC5" w:rsidR="009B1999" w:rsidRDefault="009B1999" w:rsidP="009B1999">
    <w:pPr>
      <w:pStyle w:val="Header"/>
      <w:spacing w:after="48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4373" w14:textId="77777777" w:rsidR="005110F2" w:rsidRDefault="005110F2" w:rsidP="009B1999">
    <w:pPr>
      <w:pStyle w:val="Header"/>
      <w:jc w:val="right"/>
      <w:rPr>
        <w:rStyle w:val="PageNumber"/>
      </w:rPr>
    </w:pPr>
    <w:r>
      <w:rPr>
        <w:rStyle w:val="PageNumber"/>
      </w:rPr>
      <w:t>CDIP/32/10</w:t>
    </w:r>
  </w:p>
  <w:p w14:paraId="2E05D62E" w14:textId="28ED4FC6" w:rsidR="005110F2" w:rsidRDefault="005110F2" w:rsidP="005110F2">
    <w:pPr>
      <w:spacing w:after="480"/>
      <w:jc w:val="right"/>
    </w:pPr>
    <w:r>
      <w:t>ANNEXE I, page </w:t>
    </w:r>
    <w:r>
      <w:fldChar w:fldCharType="begin"/>
    </w:r>
    <w:r>
      <w:instrText>PAGE   \* MERGEFORMAT</w:instrText>
    </w:r>
    <w:r>
      <w:fldChar w:fldCharType="separate"/>
    </w:r>
    <w:r>
      <w:rPr>
        <w:lang w:val="fr-FR"/>
      </w:rP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E988" w14:textId="77777777" w:rsidR="005110F2" w:rsidRDefault="005110F2" w:rsidP="0069332C">
    <w:pPr>
      <w:pStyle w:val="Header"/>
      <w:jc w:val="right"/>
      <w:rPr>
        <w:rStyle w:val="PageNumber"/>
      </w:rPr>
    </w:pPr>
    <w:r>
      <w:rPr>
        <w:rStyle w:val="PageNumber"/>
      </w:rPr>
      <w:t>CDIP/32/10</w:t>
    </w:r>
  </w:p>
  <w:p w14:paraId="03C1DF6D" w14:textId="77777777" w:rsidR="005110F2" w:rsidRDefault="005110F2" w:rsidP="009B1999">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D2AF" w14:textId="77777777" w:rsidR="00F16975" w:rsidRPr="00B45C15" w:rsidRDefault="009B1999" w:rsidP="00477D6B">
    <w:pPr>
      <w:jc w:val="right"/>
      <w:rPr>
        <w:caps/>
      </w:rPr>
    </w:pPr>
    <w:bookmarkStart w:id="5" w:name="Code2"/>
    <w:bookmarkEnd w:id="5"/>
    <w:r>
      <w:rPr>
        <w:caps/>
      </w:rPr>
      <w:t>CDIP/32/10</w:t>
    </w:r>
  </w:p>
  <w:p w14:paraId="7BAE643A" w14:textId="5D174FE9" w:rsidR="00F16975" w:rsidRDefault="00F16975" w:rsidP="00477D6B">
    <w:pPr>
      <w:jc w:val="right"/>
    </w:pPr>
    <w:proofErr w:type="gramStart"/>
    <w:r>
      <w:t>page</w:t>
    </w:r>
    <w:proofErr w:type="gramEnd"/>
    <w:r w:rsidR="009703ED">
      <w:t> </w:t>
    </w:r>
    <w:r>
      <w:fldChar w:fldCharType="begin"/>
    </w:r>
    <w:r>
      <w:instrText xml:space="preserve"> PAGE  \* MERGEFORMAT </w:instrText>
    </w:r>
    <w:r>
      <w:fldChar w:fldCharType="separate"/>
    </w:r>
    <w:r w:rsidR="00B45C15">
      <w:rPr>
        <w:noProof/>
      </w:rPr>
      <w:t>2</w:t>
    </w:r>
    <w:r>
      <w:fldChar w:fldCharType="end"/>
    </w:r>
  </w:p>
  <w:p w14:paraId="6C481169" w14:textId="77777777" w:rsidR="00F16975" w:rsidRDefault="00F16975" w:rsidP="00477D6B">
    <w:pPr>
      <w:jc w:val="right"/>
    </w:pPr>
  </w:p>
  <w:p w14:paraId="23D0CB3A" w14:textId="77777777" w:rsidR="00574036" w:rsidRDefault="00574036" w:rsidP="00477D6B">
    <w:pPr>
      <w:jc w:val="right"/>
    </w:pPr>
  </w:p>
  <w:p w14:paraId="1B94E851" w14:textId="77777777" w:rsidR="007B4A5D" w:rsidRDefault="007B4A5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15FE" w14:textId="77777777" w:rsidR="005110F2" w:rsidRDefault="005110F2" w:rsidP="0069332C">
    <w:pPr>
      <w:pStyle w:val="Header"/>
      <w:jc w:val="right"/>
      <w:rPr>
        <w:rStyle w:val="PageNumber"/>
      </w:rPr>
    </w:pPr>
    <w:r>
      <w:rPr>
        <w:rStyle w:val="PageNumber"/>
      </w:rPr>
      <w:t>CDIP/32/10</w:t>
    </w:r>
  </w:p>
  <w:p w14:paraId="3F52A2DD" w14:textId="603EE036" w:rsidR="005110F2" w:rsidRDefault="005110F2" w:rsidP="009B1999">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F74262"/>
    <w:multiLevelType w:val="hybridMultilevel"/>
    <w:tmpl w:val="EB3E6044"/>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8D1E62"/>
    <w:multiLevelType w:val="hybridMultilevel"/>
    <w:tmpl w:val="5C26BC1C"/>
    <w:lvl w:ilvl="0" w:tplc="0409000D">
      <w:start w:val="1"/>
      <w:numFmt w:val="bullet"/>
      <w:lvlText w:val=""/>
      <w:lvlJc w:val="left"/>
      <w:pPr>
        <w:ind w:left="280" w:hanging="360"/>
      </w:pPr>
      <w:rPr>
        <w:rFonts w:ascii="Wingdings" w:hAnsi="Wingdings" w:hint="default"/>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10"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C2B5B"/>
    <w:multiLevelType w:val="hybridMultilevel"/>
    <w:tmpl w:val="63C63E14"/>
    <w:lvl w:ilvl="0" w:tplc="12B05640">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num w:numId="1" w16cid:durableId="763647199">
    <w:abstractNumId w:val="4"/>
  </w:num>
  <w:num w:numId="2" w16cid:durableId="1514341178">
    <w:abstractNumId w:val="6"/>
  </w:num>
  <w:num w:numId="3" w16cid:durableId="1600137799">
    <w:abstractNumId w:val="0"/>
  </w:num>
  <w:num w:numId="4" w16cid:durableId="2007901379">
    <w:abstractNumId w:val="8"/>
  </w:num>
  <w:num w:numId="5" w16cid:durableId="1962764970">
    <w:abstractNumId w:val="2"/>
  </w:num>
  <w:num w:numId="6" w16cid:durableId="1856072525">
    <w:abstractNumId w:val="5"/>
  </w:num>
  <w:num w:numId="7" w16cid:durableId="787285730">
    <w:abstractNumId w:val="1"/>
  </w:num>
  <w:num w:numId="8" w16cid:durableId="738212216">
    <w:abstractNumId w:val="10"/>
  </w:num>
  <w:num w:numId="9" w16cid:durableId="1979607354">
    <w:abstractNumId w:val="3"/>
  </w:num>
  <w:num w:numId="10" w16cid:durableId="463087503">
    <w:abstractNumId w:val="9"/>
  </w:num>
  <w:num w:numId="11" w16cid:durableId="1544098807">
    <w:abstractNumId w:val="11"/>
  </w:num>
  <w:num w:numId="12" w16cid:durableId="620380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99"/>
    <w:rsid w:val="00011B7D"/>
    <w:rsid w:val="00020C7E"/>
    <w:rsid w:val="00075432"/>
    <w:rsid w:val="000760CD"/>
    <w:rsid w:val="0009458A"/>
    <w:rsid w:val="000F5E56"/>
    <w:rsid w:val="001060FF"/>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637BB"/>
    <w:rsid w:val="00381798"/>
    <w:rsid w:val="003845C1"/>
    <w:rsid w:val="003A67A3"/>
    <w:rsid w:val="004008A2"/>
    <w:rsid w:val="004025DF"/>
    <w:rsid w:val="0040540C"/>
    <w:rsid w:val="00423E3E"/>
    <w:rsid w:val="00427AF4"/>
    <w:rsid w:val="004553B7"/>
    <w:rsid w:val="004647DA"/>
    <w:rsid w:val="00477D6B"/>
    <w:rsid w:val="004D6471"/>
    <w:rsid w:val="005110F2"/>
    <w:rsid w:val="0051455D"/>
    <w:rsid w:val="00525B63"/>
    <w:rsid w:val="00525E59"/>
    <w:rsid w:val="00541348"/>
    <w:rsid w:val="005421DD"/>
    <w:rsid w:val="00554FA5"/>
    <w:rsid w:val="00567A4C"/>
    <w:rsid w:val="00574036"/>
    <w:rsid w:val="00595F07"/>
    <w:rsid w:val="005D4872"/>
    <w:rsid w:val="005E6516"/>
    <w:rsid w:val="00605827"/>
    <w:rsid w:val="00616671"/>
    <w:rsid w:val="00686C1A"/>
    <w:rsid w:val="006B0DB5"/>
    <w:rsid w:val="006E1EC4"/>
    <w:rsid w:val="007461F1"/>
    <w:rsid w:val="007B4A5D"/>
    <w:rsid w:val="007D6961"/>
    <w:rsid w:val="007F07CB"/>
    <w:rsid w:val="00807C77"/>
    <w:rsid w:val="00810CEF"/>
    <w:rsid w:val="0081208D"/>
    <w:rsid w:val="00897816"/>
    <w:rsid w:val="008B2CC1"/>
    <w:rsid w:val="008E7930"/>
    <w:rsid w:val="0090731E"/>
    <w:rsid w:val="00966A22"/>
    <w:rsid w:val="009703ED"/>
    <w:rsid w:val="00974CD6"/>
    <w:rsid w:val="009B1999"/>
    <w:rsid w:val="009D30E6"/>
    <w:rsid w:val="009E3F6F"/>
    <w:rsid w:val="009F12CB"/>
    <w:rsid w:val="009F499F"/>
    <w:rsid w:val="00A11D74"/>
    <w:rsid w:val="00AC0AE4"/>
    <w:rsid w:val="00AD61DB"/>
    <w:rsid w:val="00AE47C0"/>
    <w:rsid w:val="00B1090C"/>
    <w:rsid w:val="00B35AF5"/>
    <w:rsid w:val="00B45C15"/>
    <w:rsid w:val="00BE0BE0"/>
    <w:rsid w:val="00C664C8"/>
    <w:rsid w:val="00CC55F3"/>
    <w:rsid w:val="00CD707F"/>
    <w:rsid w:val="00CF0460"/>
    <w:rsid w:val="00D43E0F"/>
    <w:rsid w:val="00D45252"/>
    <w:rsid w:val="00D71B4D"/>
    <w:rsid w:val="00D732BF"/>
    <w:rsid w:val="00D75C1E"/>
    <w:rsid w:val="00D767B6"/>
    <w:rsid w:val="00D93D55"/>
    <w:rsid w:val="00DB1C48"/>
    <w:rsid w:val="00DD4917"/>
    <w:rsid w:val="00DD6A16"/>
    <w:rsid w:val="00E0091A"/>
    <w:rsid w:val="00E203AA"/>
    <w:rsid w:val="00E5217A"/>
    <w:rsid w:val="00E527A5"/>
    <w:rsid w:val="00E565DD"/>
    <w:rsid w:val="00E76456"/>
    <w:rsid w:val="00EE71CB"/>
    <w:rsid w:val="00F16975"/>
    <w:rsid w:val="00F66152"/>
    <w:rsid w:val="00F72A1A"/>
    <w:rsid w:val="00FA77D8"/>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C7F04"/>
  <w15:docId w15:val="{487ACADB-D12D-4D6A-A661-461343F32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link w:val="Heading2"/>
    <w:rsid w:val="009B1999"/>
    <w:rPr>
      <w:rFonts w:ascii="Arial" w:eastAsia="SimSun" w:hAnsi="Arial" w:cs="Arial"/>
      <w:bCs/>
      <w:iCs/>
      <w:caps/>
      <w:sz w:val="22"/>
      <w:szCs w:val="28"/>
      <w:lang w:eastAsia="zh-CN"/>
    </w:rPr>
  </w:style>
  <w:style w:type="character" w:styleId="Hyperlink">
    <w:name w:val="Hyperlink"/>
    <w:basedOn w:val="DefaultParagraphFont"/>
    <w:rsid w:val="009B1999"/>
    <w:rPr>
      <w:color w:val="0000FF" w:themeColor="hyperlink"/>
      <w:u w:val="single"/>
    </w:rPr>
  </w:style>
  <w:style w:type="character" w:customStyle="1" w:styleId="Endofdocument-AnnexChar">
    <w:name w:val="[End of document - Annex] Char"/>
    <w:link w:val="Endofdocument-Annex"/>
    <w:rsid w:val="009B1999"/>
    <w:rPr>
      <w:rFonts w:ascii="Arial" w:eastAsia="SimSun" w:hAnsi="Arial" w:cs="Arial"/>
      <w:sz w:val="22"/>
      <w:lang w:val="en-US" w:eastAsia="zh-CN"/>
    </w:rPr>
  </w:style>
  <w:style w:type="paragraph" w:styleId="ListParagraph">
    <w:name w:val="List Paragraph"/>
    <w:basedOn w:val="Normal"/>
    <w:uiPriority w:val="34"/>
    <w:qFormat/>
    <w:rsid w:val="009B1999"/>
    <w:pPr>
      <w:ind w:left="720"/>
      <w:contextualSpacing/>
    </w:pPr>
    <w:rPr>
      <w:rFonts w:eastAsia="Times New Roman"/>
      <w:lang w:val="fr-FR" w:eastAsia="en-US"/>
    </w:rPr>
  </w:style>
  <w:style w:type="character" w:customStyle="1" w:styleId="HeaderChar">
    <w:name w:val="Header Char"/>
    <w:basedOn w:val="DefaultParagraphFont"/>
    <w:link w:val="Header"/>
    <w:uiPriority w:val="99"/>
    <w:rsid w:val="009B1999"/>
    <w:rPr>
      <w:rFonts w:ascii="Arial" w:eastAsia="SimSun" w:hAnsi="Arial" w:cs="Arial"/>
      <w:sz w:val="22"/>
      <w:lang w:eastAsia="zh-CN"/>
    </w:rPr>
  </w:style>
  <w:style w:type="character" w:styleId="PageNumber">
    <w:name w:val="page number"/>
    <w:basedOn w:val="DefaultParagraphFont"/>
    <w:rsid w:val="009B1999"/>
  </w:style>
  <w:style w:type="paragraph" w:customStyle="1" w:styleId="TableParagraph">
    <w:name w:val="Table Paragraph"/>
    <w:basedOn w:val="Normal"/>
    <w:uiPriority w:val="1"/>
    <w:qFormat/>
    <w:rsid w:val="009B1999"/>
    <w:pPr>
      <w:widowControl w:val="0"/>
      <w:autoSpaceDE w:val="0"/>
      <w:autoSpaceDN w:val="0"/>
    </w:pPr>
    <w:rPr>
      <w:rFonts w:eastAsia="Arial"/>
      <w:szCs w:val="22"/>
      <w:lang w:val="fr-FR" w:eastAsia="en-US"/>
    </w:rPr>
  </w:style>
  <w:style w:type="character" w:customStyle="1" w:styleId="BodyTextChar">
    <w:name w:val="Body Text Char"/>
    <w:basedOn w:val="DefaultParagraphFont"/>
    <w:link w:val="BodyText"/>
    <w:uiPriority w:val="1"/>
    <w:rsid w:val="009B1999"/>
    <w:rPr>
      <w:rFonts w:ascii="Arial" w:eastAsia="SimSun" w:hAnsi="Arial" w:cs="Arial"/>
      <w:sz w:val="22"/>
      <w:lang w:eastAsia="zh-CN"/>
    </w:rPr>
  </w:style>
  <w:style w:type="paragraph" w:styleId="ListBullet">
    <w:name w:val="List Bullet"/>
    <w:basedOn w:val="Normal"/>
    <w:uiPriority w:val="99"/>
    <w:semiHidden/>
    <w:unhideWhenUsed/>
    <w:rsid w:val="009B1999"/>
    <w:pPr>
      <w:numPr>
        <w:numId w:val="7"/>
      </w:numPr>
      <w:spacing w:after="160" w:line="252" w:lineRule="auto"/>
      <w:contextualSpacing/>
    </w:pPr>
    <w:rPr>
      <w:rFonts w:ascii="Calibri" w:eastAsiaTheme="minorHAnsi" w:hAnsi="Calibri" w:cs="Calibri"/>
      <w:szCs w:val="22"/>
      <w:lang w:val="fr-FR" w:eastAsia="en-US"/>
    </w:rPr>
  </w:style>
  <w:style w:type="character" w:styleId="FollowedHyperlink">
    <w:name w:val="FollowedHyperlink"/>
    <w:basedOn w:val="DefaultParagraphFont"/>
    <w:semiHidden/>
    <w:unhideWhenUsed/>
    <w:rsid w:val="00511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export/sites/www/about-wipo/en/budget/pdf/strategy-house-w-sdgs-and-figures-pwb2022-23.pdf" TargetMode="External"/><Relationship Id="rId26" Type="http://schemas.openxmlformats.org/officeDocument/2006/relationships/hyperlink" Target="http://www.youtube.com/watch?v=V1kOz1B1_UU" TargetMode="External"/><Relationship Id="rId39" Type="http://schemas.openxmlformats.org/officeDocument/2006/relationships/header" Target="header5.xml"/><Relationship Id="rId21" Type="http://schemas.openxmlformats.org/officeDocument/2006/relationships/hyperlink" Target="https://www.wipo.int/collective-marks/en/bolivia.html" TargetMode="External"/><Relationship Id="rId34" Type="http://schemas.openxmlformats.org/officeDocument/2006/relationships/hyperlink" Target="https://www.wipo.int/meetings/fr/doc_details.jsp?doc_id=53865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ip-development/fr/agenda/recommendations.html" TargetMode="External"/><Relationship Id="rId20" Type="http://schemas.openxmlformats.org/officeDocument/2006/relationships/hyperlink" Target="https://dacatalogue.wipo.int/projects/DA_1_4_10_01" TargetMode="External"/><Relationship Id="rId29" Type="http://schemas.openxmlformats.org/officeDocument/2006/relationships/hyperlink" Target="http://www.innorpi.tn/sites/default/files/inline-files/Guide%20de%20la%20marque%20collective%20fr.pdf"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youtube.com/watch?v=JBpaJ7ppMJQ" TargetMode="External"/><Relationship Id="rId32" Type="http://schemas.openxmlformats.org/officeDocument/2006/relationships/hyperlink" Target="https://www.wipo.int/collective-marks/fr/index.html" TargetMode="External"/><Relationship Id="rId37" Type="http://schemas.openxmlformats.org/officeDocument/2006/relationships/hyperlink" Target="https://dacatalogue.wipo.int/projects/DA_1_4_10_01" TargetMode="Externa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meetings/fr/doc_details.jsp?doc_id=456923" TargetMode="External"/><Relationship Id="rId23" Type="http://schemas.openxmlformats.org/officeDocument/2006/relationships/hyperlink" Target="http://www.gov.br/inpi/pt-br/central-de-conteudo/publicacoes/marcascoletivasA4mar2023.pdf" TargetMode="External"/><Relationship Id="rId28" Type="http://schemas.openxmlformats.org/officeDocument/2006/relationships/hyperlink" Target="http://www.wipo.int/collective-marks/fr/philippines.html" TargetMode="External"/><Relationship Id="rId36" Type="http://schemas.openxmlformats.org/officeDocument/2006/relationships/hyperlink" Target="https://www.wipo.int/collective-marks/fr/index.html" TargetMode="External"/><Relationship Id="rId10" Type="http://schemas.openxmlformats.org/officeDocument/2006/relationships/header" Target="header2.xml"/><Relationship Id="rId19" Type="http://schemas.openxmlformats.org/officeDocument/2006/relationships/hyperlink" Target="https://www.wipo.int/meetings/fr/doc_details.jsp?doc_id=456923" TargetMode="External"/><Relationship Id="rId31" Type="http://schemas.openxmlformats.org/officeDocument/2006/relationships/hyperlink" Target="https://www.wipo.int/collective-marks/fr/tunisi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br/inpi/pt-br/central-de-conteudo/publicacoes/CartilhaMarcasColetivas_SebraeNacional_Ajustado_30623.pdf" TargetMode="External"/><Relationship Id="rId27" Type="http://schemas.openxmlformats.org/officeDocument/2006/relationships/hyperlink" Target="http://www.ipophil.gov.ph/trademark/" TargetMode="External"/><Relationship Id="rId30" Type="http://schemas.openxmlformats.org/officeDocument/2006/relationships/hyperlink" Target="http://www.innorpi.tn/sites/default/files/inline-files/depliant%20fr.pdf" TargetMode="External"/><Relationship Id="rId35" Type="http://schemas.openxmlformats.org/officeDocument/2006/relationships/hyperlink" Target="https://www.wipo.int/meetings/fr/doc_details.jsp?doc_id=619966"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wipo.int/export/sites/www/about-wipo/en/budget/pdf/strategy-house-w-sdgs-and-figures-pwb2022-23.pdf" TargetMode="External"/><Relationship Id="rId25" Type="http://schemas.openxmlformats.org/officeDocument/2006/relationships/hyperlink" Target="http://www.youtube.com/watch?v=ARInRNbfeE8" TargetMode="External"/><Relationship Id="rId33" Type="http://schemas.openxmlformats.org/officeDocument/2006/relationships/hyperlink" Target="https://www.wipo.int/meetings/fr/doc_details.jsp?doc_id=538652"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1</TotalTime>
  <Pages>17</Pages>
  <Words>5487</Words>
  <Characters>32740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CDIP/32/</vt:lpstr>
    </vt:vector>
  </TitlesOfParts>
  <Company>WIPO</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dc:title>
  <dc:creator>LE GUEN Haude</dc:creator>
  <cp:keywords>FOR OFFICIAL USE ONLY</cp:keywords>
  <cp:lastModifiedBy>PANAKAL Joseph Lazar</cp:lastModifiedBy>
  <cp:revision>2</cp:revision>
  <cp:lastPrinted>2024-03-21T08:55:00Z</cp:lastPrinted>
  <dcterms:created xsi:type="dcterms:W3CDTF">2024-03-21T08:56:00Z</dcterms:created>
  <dcterms:modified xsi:type="dcterms:W3CDTF">2024-03-21T08:56:00Z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