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78A6" w14:textId="77777777" w:rsidR="008B2CC1" w:rsidRPr="0040540C" w:rsidRDefault="0040540C" w:rsidP="00897816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7550490B" wp14:editId="240F322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55404" w14:textId="77777777" w:rsidR="00B1090C" w:rsidRDefault="00897816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CDIP/3</w:t>
      </w:r>
      <w:r w:rsidR="000760CD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7F4355">
        <w:rPr>
          <w:rFonts w:ascii="Arial Black" w:hAnsi="Arial Black"/>
          <w:caps/>
          <w:sz w:val="15"/>
        </w:rPr>
        <w:t>INF/5</w:t>
      </w:r>
    </w:p>
    <w:p w14:paraId="718503E1" w14:textId="77777777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B13A30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7F4355">
        <w:rPr>
          <w:rFonts w:ascii="Arial Black" w:hAnsi="Arial Black"/>
          <w:caps/>
          <w:sz w:val="15"/>
        </w:rPr>
        <w:t>anglais</w:t>
      </w:r>
    </w:p>
    <w:bookmarkEnd w:id="1"/>
    <w:p w14:paraId="16F2B445" w14:textId="77777777"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B13A30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7F4355">
        <w:rPr>
          <w:rFonts w:ascii="Arial Black" w:hAnsi="Arial Black"/>
          <w:caps/>
          <w:sz w:val="15"/>
        </w:rPr>
        <w:t>1</w:t>
      </w:r>
      <w:r w:rsidR="00B13A30">
        <w:rPr>
          <w:rFonts w:ascii="Arial Black" w:hAnsi="Arial Black"/>
          <w:caps/>
          <w:sz w:val="15"/>
        </w:rPr>
        <w:t>1 octobre 20</w:t>
      </w:r>
      <w:r w:rsidR="007F4355">
        <w:rPr>
          <w:rFonts w:ascii="Arial Black" w:hAnsi="Arial Black"/>
          <w:caps/>
          <w:sz w:val="15"/>
        </w:rPr>
        <w:t>23</w:t>
      </w:r>
    </w:p>
    <w:bookmarkEnd w:id="2"/>
    <w:p w14:paraId="77FA7356" w14:textId="77777777" w:rsidR="003845C1" w:rsidRPr="00B1090C" w:rsidRDefault="001060FF" w:rsidP="00020C7E">
      <w:pPr>
        <w:pStyle w:val="Heading1"/>
        <w:spacing w:before="0" w:after="600"/>
      </w:pPr>
      <w:r>
        <w:rPr>
          <w:caps w:val="0"/>
          <w:sz w:val="28"/>
        </w:rPr>
        <w:t>Comité d</w:t>
      </w:r>
      <w:r w:rsidR="00897816" w:rsidRPr="00897816">
        <w:rPr>
          <w:caps w:val="0"/>
          <w:sz w:val="28"/>
        </w:rPr>
        <w:t xml:space="preserve">u </w:t>
      </w:r>
      <w:r w:rsidR="00897816">
        <w:rPr>
          <w:caps w:val="0"/>
          <w:sz w:val="28"/>
        </w:rPr>
        <w:t>d</w:t>
      </w:r>
      <w:r w:rsidR="00897816" w:rsidRPr="00897816">
        <w:rPr>
          <w:caps w:val="0"/>
          <w:sz w:val="28"/>
        </w:rPr>
        <w:t xml:space="preserve">éveloppement </w:t>
      </w:r>
      <w:r w:rsidR="00897816">
        <w:rPr>
          <w:caps w:val="0"/>
          <w:sz w:val="28"/>
        </w:rPr>
        <w:t>e</w:t>
      </w:r>
      <w:r w:rsidR="00897816" w:rsidRPr="00897816">
        <w:rPr>
          <w:caps w:val="0"/>
          <w:sz w:val="28"/>
        </w:rPr>
        <w:t xml:space="preserve">t </w:t>
      </w:r>
      <w:r w:rsidR="00897816">
        <w:rPr>
          <w:caps w:val="0"/>
          <w:sz w:val="28"/>
        </w:rPr>
        <w:t>d</w:t>
      </w:r>
      <w:r w:rsidR="00897816" w:rsidRPr="00897816">
        <w:rPr>
          <w:caps w:val="0"/>
          <w:sz w:val="28"/>
        </w:rPr>
        <w:t xml:space="preserve">e </w:t>
      </w:r>
      <w:r w:rsidR="00897816">
        <w:rPr>
          <w:caps w:val="0"/>
          <w:sz w:val="28"/>
        </w:rPr>
        <w:t>l</w:t>
      </w:r>
      <w:r w:rsidR="00897816" w:rsidRPr="00897816">
        <w:rPr>
          <w:caps w:val="0"/>
          <w:sz w:val="28"/>
        </w:rPr>
        <w:t xml:space="preserve">a </w:t>
      </w:r>
      <w:r w:rsidR="00897816">
        <w:rPr>
          <w:caps w:val="0"/>
          <w:sz w:val="28"/>
        </w:rPr>
        <w:t>p</w:t>
      </w:r>
      <w:r w:rsidR="00897816" w:rsidRPr="00897816">
        <w:rPr>
          <w:caps w:val="0"/>
          <w:sz w:val="28"/>
        </w:rPr>
        <w:t xml:space="preserve">ropriété </w:t>
      </w:r>
      <w:r w:rsidR="00897816">
        <w:rPr>
          <w:caps w:val="0"/>
          <w:sz w:val="28"/>
        </w:rPr>
        <w:t>i</w:t>
      </w:r>
      <w:r w:rsidR="00897816" w:rsidRPr="00897816">
        <w:rPr>
          <w:caps w:val="0"/>
          <w:sz w:val="28"/>
        </w:rPr>
        <w:t>ntellectuelle</w:t>
      </w:r>
      <w:r w:rsidR="003637BB">
        <w:rPr>
          <w:sz w:val="24"/>
          <w:szCs w:val="24"/>
        </w:rPr>
        <w:t> </w:t>
      </w:r>
      <w:r w:rsidR="00897816" w:rsidRPr="00897816">
        <w:rPr>
          <w:caps w:val="0"/>
          <w:sz w:val="28"/>
        </w:rPr>
        <w:t>(CDIP)</w:t>
      </w:r>
    </w:p>
    <w:p w14:paraId="5E2793E4" w14:textId="77777777" w:rsidR="00FE19E9" w:rsidRDefault="000760CD" w:rsidP="00FE19E9">
      <w:pPr>
        <w:outlineLvl w:val="1"/>
        <w:rPr>
          <w:b/>
          <w:sz w:val="24"/>
          <w:szCs w:val="24"/>
        </w:rPr>
      </w:pPr>
      <w:r w:rsidRPr="000760CD">
        <w:rPr>
          <w:b/>
          <w:sz w:val="24"/>
          <w:szCs w:val="24"/>
        </w:rPr>
        <w:t>Trente</w:t>
      </w:r>
      <w:r w:rsidR="00B13A30">
        <w:rPr>
          <w:b/>
          <w:sz w:val="24"/>
          <w:szCs w:val="24"/>
        </w:rPr>
        <w:t> et unième session</w:t>
      </w:r>
    </w:p>
    <w:p w14:paraId="2F61702A" w14:textId="77777777" w:rsidR="008B2CC1" w:rsidRPr="003845C1" w:rsidRDefault="000760CD" w:rsidP="001060FF">
      <w:pPr>
        <w:spacing w:after="720"/>
        <w:outlineLvl w:val="1"/>
        <w:rPr>
          <w:b/>
          <w:sz w:val="24"/>
          <w:szCs w:val="24"/>
        </w:rPr>
      </w:pPr>
      <w:r w:rsidRPr="000760CD">
        <w:rPr>
          <w:b/>
          <w:sz w:val="24"/>
          <w:szCs w:val="24"/>
        </w:rPr>
        <w:t>Genève, 27</w:t>
      </w:r>
      <w:r w:rsidR="003637BB">
        <w:rPr>
          <w:b/>
          <w:sz w:val="24"/>
          <w:szCs w:val="24"/>
        </w:rPr>
        <w:t> </w:t>
      </w:r>
      <w:r w:rsidRPr="000760CD">
        <w:rPr>
          <w:b/>
          <w:sz w:val="24"/>
          <w:szCs w:val="24"/>
        </w:rPr>
        <w:t>novembre –</w:t>
      </w:r>
      <w:r w:rsidR="00B13A30">
        <w:rPr>
          <w:b/>
          <w:sz w:val="24"/>
          <w:szCs w:val="24"/>
        </w:rPr>
        <w:t xml:space="preserve"> 1</w:t>
      </w:r>
      <w:r w:rsidR="00B13A30" w:rsidRPr="00B13A30">
        <w:rPr>
          <w:b/>
          <w:sz w:val="24"/>
          <w:szCs w:val="24"/>
          <w:vertAlign w:val="superscript"/>
        </w:rPr>
        <w:t>er</w:t>
      </w:r>
      <w:r w:rsidR="00B13A30">
        <w:rPr>
          <w:b/>
          <w:sz w:val="24"/>
          <w:szCs w:val="24"/>
        </w:rPr>
        <w:t> </w:t>
      </w:r>
      <w:r w:rsidRPr="000760CD">
        <w:rPr>
          <w:b/>
          <w:sz w:val="24"/>
          <w:szCs w:val="24"/>
        </w:rPr>
        <w:t>décembre</w:t>
      </w:r>
      <w:r w:rsidR="003637BB">
        <w:rPr>
          <w:b/>
          <w:sz w:val="24"/>
          <w:szCs w:val="24"/>
        </w:rPr>
        <w:t> </w:t>
      </w:r>
      <w:r w:rsidR="00897816" w:rsidRPr="00897816">
        <w:rPr>
          <w:b/>
          <w:sz w:val="24"/>
          <w:szCs w:val="24"/>
        </w:rPr>
        <w:t>2023</w:t>
      </w:r>
    </w:p>
    <w:p w14:paraId="4818C909" w14:textId="77777777" w:rsidR="008B2CC1" w:rsidRPr="003845C1" w:rsidRDefault="007F4355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Compilation des thèmes proposés par le Secrétariat pour les futurs webinaires consacrés à l</w:t>
      </w:r>
      <w:r w:rsidR="00A311B3">
        <w:rPr>
          <w:caps/>
          <w:sz w:val="24"/>
        </w:rPr>
        <w:t>’</w:t>
      </w:r>
      <w:r>
        <w:rPr>
          <w:caps/>
          <w:sz w:val="24"/>
        </w:rPr>
        <w:t>assistance technique</w:t>
      </w:r>
    </w:p>
    <w:p w14:paraId="79E52692" w14:textId="77777777" w:rsidR="008B2CC1" w:rsidRPr="008B2CC1" w:rsidRDefault="007F4355" w:rsidP="00020C7E">
      <w:pPr>
        <w:spacing w:after="960"/>
        <w:rPr>
          <w:i/>
        </w:rPr>
      </w:pPr>
      <w:bookmarkStart w:id="4" w:name="Prepared"/>
      <w:bookmarkEnd w:id="3"/>
      <w:bookmarkEnd w:id="4"/>
      <w:proofErr w:type="gramStart"/>
      <w:r>
        <w:rPr>
          <w:i/>
        </w:rPr>
        <w:t>établie</w:t>
      </w:r>
      <w:proofErr w:type="gramEnd"/>
      <w:r>
        <w:rPr>
          <w:i/>
        </w:rPr>
        <w:t xml:space="preserve"> par le Secrétariat</w:t>
      </w:r>
    </w:p>
    <w:p w14:paraId="6705BA1B" w14:textId="77777777" w:rsidR="007F4355" w:rsidRPr="00B13A30" w:rsidRDefault="007F4355" w:rsidP="00B13A30">
      <w:pPr>
        <w:pStyle w:val="ONUMFS"/>
      </w:pPr>
      <w:r w:rsidRPr="00B13A30">
        <w:t>À sa trent</w:t>
      </w:r>
      <w:r w:rsidR="00B13A30">
        <w:t>ième session</w:t>
      </w:r>
      <w:r w:rsidRPr="00B13A30">
        <w:t>, qui s</w:t>
      </w:r>
      <w:r w:rsidR="00A311B3">
        <w:t>’</w:t>
      </w:r>
      <w:r w:rsidRPr="00B13A30">
        <w:t>est tenue en avril 2023, le Comité du développement et de la propriété intellectuelle a approuvé le document révisé sur la poursuite des webinaires (CDIP/30/8 REV.) qui contient la stratégie du Secrétariat pour l</w:t>
      </w:r>
      <w:r w:rsidR="00A311B3">
        <w:t>’</w:t>
      </w:r>
      <w:r w:rsidRPr="00B13A30">
        <w:t>organisation des webinaires consacrés à l</w:t>
      </w:r>
      <w:r w:rsidR="00A311B3">
        <w:t>’</w:t>
      </w:r>
      <w:r w:rsidRPr="00B13A30">
        <w:t>assistance technique.</w:t>
      </w:r>
    </w:p>
    <w:p w14:paraId="61C17C71" w14:textId="77777777" w:rsidR="007F4355" w:rsidRPr="00B13A30" w:rsidRDefault="007F4355" w:rsidP="00B13A30">
      <w:pPr>
        <w:pStyle w:val="ONUMFS"/>
      </w:pPr>
      <w:r w:rsidRPr="00B13A30">
        <w:t>Comme indiqué dans le document</w:t>
      </w:r>
      <w:r w:rsidR="00275F5C">
        <w:t> </w:t>
      </w:r>
      <w:r w:rsidRPr="00B13A30">
        <w:t xml:space="preserve">CDIP/30/8 REV., </w:t>
      </w:r>
      <w:r w:rsidR="00A311B3">
        <w:t>“</w:t>
      </w:r>
      <w:r w:rsidRPr="00B13A30">
        <w:t>au deuxième semestre de chaque année, le Secrétariat transmettr[a] aux États membres, par l</w:t>
      </w:r>
      <w:r w:rsidR="00A311B3">
        <w:t>’</w:t>
      </w:r>
      <w:r w:rsidRPr="00B13A30">
        <w:t>intermédiaire des coordonnateurs des groupes, une liste de thèmes d</w:t>
      </w:r>
      <w:r w:rsidR="00A311B3">
        <w:t>’</w:t>
      </w:r>
      <w:r w:rsidRPr="00B13A30">
        <w:t>étude envisagés pour les webinaires de l</w:t>
      </w:r>
      <w:r w:rsidR="00A311B3">
        <w:t>’</w:t>
      </w:r>
      <w:r w:rsidRPr="00B13A30">
        <w:t>année suivante, dans laquelle ser[ont] précisés les objectifs et le public visé</w:t>
      </w:r>
      <w:r w:rsidR="00A311B3">
        <w:t>”</w:t>
      </w:r>
      <w:r w:rsidRPr="00B13A30">
        <w:t>.  Le document indique également qu</w:t>
      </w:r>
      <w:r w:rsidR="00A311B3">
        <w:t>’</w:t>
      </w:r>
      <w:r w:rsidRPr="00B13A30">
        <w:t xml:space="preserve">une </w:t>
      </w:r>
      <w:r w:rsidR="00A311B3">
        <w:t>“</w:t>
      </w:r>
      <w:r w:rsidRPr="00B13A30">
        <w:t xml:space="preserve">liste de thèmes ser[a] publiée sur la </w:t>
      </w:r>
      <w:r w:rsidR="00B13A30" w:rsidRPr="00B13A30">
        <w:t>page</w:t>
      </w:r>
      <w:r w:rsidR="00B13A30">
        <w:t> </w:t>
      </w:r>
      <w:r w:rsidR="00B13A30" w:rsidRPr="00B13A30">
        <w:t>W</w:t>
      </w:r>
      <w:r w:rsidRPr="00B13A30">
        <w:t>eb des webinaires consacrés à l</w:t>
      </w:r>
      <w:r w:rsidR="00A311B3">
        <w:t>’</w:t>
      </w:r>
      <w:r w:rsidRPr="00B13A30">
        <w:t>assistance technique, avec indication des webinaires ayant déjà eu lieu, des webinaires programmés et des propositions à l</w:t>
      </w:r>
      <w:r w:rsidR="00A311B3">
        <w:t>’</w:t>
      </w:r>
      <w:r w:rsidRPr="00B13A30">
        <w:t>étude telles qu</w:t>
      </w:r>
      <w:r w:rsidR="00A311B3">
        <w:t>’</w:t>
      </w:r>
      <w:r w:rsidRPr="00B13A30">
        <w:t>elles ont été reçues</w:t>
      </w:r>
      <w:r w:rsidR="00A311B3">
        <w:t>”</w:t>
      </w:r>
      <w:r w:rsidRPr="00B13A30">
        <w:t>.</w:t>
      </w:r>
    </w:p>
    <w:p w14:paraId="56CFE4B3" w14:textId="77777777" w:rsidR="007F4355" w:rsidRPr="00B13A30" w:rsidRDefault="007F4355" w:rsidP="00B13A30">
      <w:pPr>
        <w:pStyle w:val="ONUMFS"/>
      </w:pPr>
      <w:r w:rsidRPr="00B13A30">
        <w:t>Le Secrétariat a donc transmis deux propositions de thème pour les futurs webinaires aux coordonnateurs de groupe à ajouter à la liste de thèm</w:t>
      </w:r>
      <w:r w:rsidR="00275F5C" w:rsidRPr="00B13A30">
        <w:t>es</w:t>
      </w:r>
      <w:r w:rsidR="00275F5C">
        <w:t xml:space="preserve">.  </w:t>
      </w:r>
      <w:r w:rsidR="00275F5C" w:rsidRPr="00B13A30">
        <w:t>L</w:t>
      </w:r>
      <w:r w:rsidR="00A311B3">
        <w:t>’</w:t>
      </w:r>
      <w:r w:rsidR="00275F5C" w:rsidRPr="00B13A30">
        <w:t>a</w:t>
      </w:r>
      <w:r w:rsidRPr="00B13A30">
        <w:t>nnexe au présent document contient ces propositions.</w:t>
      </w:r>
    </w:p>
    <w:p w14:paraId="00858537" w14:textId="77777777" w:rsidR="007F4355" w:rsidRPr="00B13A30" w:rsidRDefault="007F4355" w:rsidP="00B13A30">
      <w:pPr>
        <w:pStyle w:val="ONUMFS"/>
        <w:ind w:left="5533"/>
        <w:rPr>
          <w:i/>
        </w:rPr>
      </w:pPr>
      <w:r w:rsidRPr="00B13A30">
        <w:rPr>
          <w:i/>
        </w:rPr>
        <w:t>Le comité est invité à prendre note des informations qui figurent dans l</w:t>
      </w:r>
      <w:r w:rsidR="00A311B3">
        <w:rPr>
          <w:i/>
        </w:rPr>
        <w:t>’</w:t>
      </w:r>
      <w:r w:rsidRPr="00B13A30">
        <w:rPr>
          <w:i/>
        </w:rPr>
        <w:t>annexe du présent document.</w:t>
      </w:r>
    </w:p>
    <w:p w14:paraId="1D544ED2" w14:textId="77777777" w:rsidR="00B13A30" w:rsidRPr="00275F5C" w:rsidRDefault="007F4355" w:rsidP="00B13A30">
      <w:pPr>
        <w:pStyle w:val="Endofdocument-Annex"/>
        <w:spacing w:before="720"/>
        <w:rPr>
          <w:lang w:val="fr-FR"/>
        </w:rPr>
        <w:sectPr w:rsidR="00B13A30" w:rsidRPr="00275F5C" w:rsidSect="004E55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75F5C">
        <w:rPr>
          <w:lang w:val="fr-FR"/>
        </w:rPr>
        <w:t>[L</w:t>
      </w:r>
      <w:r w:rsidR="00A311B3">
        <w:rPr>
          <w:lang w:val="fr-FR"/>
        </w:rPr>
        <w:t>’</w:t>
      </w:r>
      <w:r w:rsidRPr="00275F5C">
        <w:rPr>
          <w:lang w:val="fr-FR"/>
        </w:rPr>
        <w:t>annexe suit]</w:t>
      </w:r>
    </w:p>
    <w:p w14:paraId="46609ED7" w14:textId="77777777" w:rsidR="00B13A30" w:rsidRDefault="00B13A30" w:rsidP="00E47E79">
      <w:pPr>
        <w:spacing w:after="220"/>
        <w:ind w:left="567"/>
        <w:jc w:val="center"/>
        <w:rPr>
          <w:color w:val="2B2C28"/>
          <w:lang w:val="fr-FR"/>
        </w:rPr>
      </w:pPr>
      <w:r w:rsidRPr="00B13A30">
        <w:rPr>
          <w:color w:val="2B2C28"/>
          <w:lang w:val="fr-FR"/>
        </w:rPr>
        <w:lastRenderedPageBreak/>
        <w:t>FUTURS WEBINAIRES CONSACRÉS À L</w:t>
      </w:r>
      <w:r w:rsidR="00A311B3">
        <w:rPr>
          <w:color w:val="2B2C28"/>
          <w:lang w:val="fr-FR"/>
        </w:rPr>
        <w:t>’</w:t>
      </w:r>
      <w:r w:rsidRPr="00B13A30">
        <w:rPr>
          <w:color w:val="2B2C28"/>
          <w:lang w:val="fr-FR"/>
        </w:rPr>
        <w:t>ASSISTANCE TECHNIQUE</w:t>
      </w:r>
    </w:p>
    <w:p w14:paraId="03BA6734" w14:textId="77777777" w:rsidR="00E47E79" w:rsidRDefault="00E47E79" w:rsidP="00E47E79">
      <w:pPr>
        <w:spacing w:after="220"/>
        <w:ind w:left="567"/>
        <w:jc w:val="center"/>
        <w:rPr>
          <w:color w:val="2B2C28"/>
          <w:lang w:val="fr-FR"/>
        </w:rPr>
      </w:pPr>
      <w:r>
        <w:rPr>
          <w:color w:val="2B2C28"/>
          <w:lang w:val="fr-FR"/>
        </w:rPr>
        <w:t>Thèmes proposés par le Secrétariat</w:t>
      </w:r>
    </w:p>
    <w:p w14:paraId="2115DD74" w14:textId="77777777" w:rsidR="00B13A30" w:rsidRPr="00E47E79" w:rsidRDefault="00B13A30" w:rsidP="00E47E79">
      <w:pPr>
        <w:pStyle w:val="ListParagraph"/>
        <w:numPr>
          <w:ilvl w:val="0"/>
          <w:numId w:val="9"/>
        </w:numPr>
        <w:spacing w:after="220"/>
        <w:ind w:left="567" w:hanging="567"/>
        <w:contextualSpacing w:val="0"/>
        <w:rPr>
          <w:b/>
        </w:rPr>
      </w:pPr>
      <w:r w:rsidRPr="00E47E79">
        <w:rPr>
          <w:b/>
        </w:rPr>
        <w:t>Assistance technique et renforcement des capacités orientés vers des objectifs précis : facteurs de succès et enseignements tirés</w:t>
      </w:r>
    </w:p>
    <w:p w14:paraId="5EDD8162" w14:textId="3568E7E4" w:rsidR="00B13A30" w:rsidRDefault="00B13A30" w:rsidP="00B13A30">
      <w:pPr>
        <w:pStyle w:val="ListParagraph"/>
        <w:spacing w:after="220"/>
        <w:ind w:left="567"/>
        <w:contextualSpacing w:val="0"/>
      </w:pPr>
      <w:r>
        <w:rPr>
          <w:b/>
        </w:rPr>
        <w:t>Objectif :</w:t>
      </w:r>
      <w:r>
        <w:t xml:space="preserve"> Conformément à l</w:t>
      </w:r>
      <w:r w:rsidR="00A311B3">
        <w:t>’</w:t>
      </w:r>
      <w:r>
        <w:t xml:space="preserve">actuel </w:t>
      </w:r>
      <w:hyperlink r:id="rId15" w:history="1">
        <w:r>
          <w:rPr>
            <w:rStyle w:val="Hyperlink"/>
          </w:rPr>
          <w:t>Plan stratégique à moyen terme (PSMT) de l</w:t>
        </w:r>
        <w:r w:rsidR="00A311B3">
          <w:rPr>
            <w:rStyle w:val="Hyperlink"/>
          </w:rPr>
          <w:t>’</w:t>
        </w:r>
        <w:r>
          <w:rPr>
            <w:rStyle w:val="Hyperlink"/>
          </w:rPr>
          <w:t>OMPI pour la période 2022 – 2026</w:t>
        </w:r>
      </w:hyperlink>
      <w:r>
        <w:t>, l</w:t>
      </w:r>
      <w:r w:rsidR="00A311B3">
        <w:t>’</w:t>
      </w:r>
      <w:r>
        <w:t>Organisation a mis davantage l</w:t>
      </w:r>
      <w:r w:rsidR="00A311B3">
        <w:t>’</w:t>
      </w:r>
      <w:r>
        <w:t>accent sur le développement et la création d</w:t>
      </w:r>
      <w:r w:rsidR="00A311B3">
        <w:t>’</w:t>
      </w:r>
      <w:r>
        <w:t>avantages tangibles par l</w:t>
      </w:r>
      <w:r w:rsidR="00A311B3">
        <w:t>’</w:t>
      </w:r>
      <w:r>
        <w:t>intermédiaire de ses initiatives d</w:t>
      </w:r>
      <w:r w:rsidR="00A311B3">
        <w:t>’</w:t>
      </w:r>
      <w:r>
        <w:t>assistance technique et de renforcement des capacit</w:t>
      </w:r>
      <w:r w:rsidR="00275F5C">
        <w:t>és.  Le</w:t>
      </w:r>
      <w:r>
        <w:t xml:space="preserve"> webinaire servira de plateforme à un groupe diversifié d</w:t>
      </w:r>
      <w:r w:rsidR="00A311B3">
        <w:t>’</w:t>
      </w:r>
      <w:r>
        <w:t>experts qui échangeront des données d</w:t>
      </w:r>
      <w:r w:rsidR="00A311B3">
        <w:t>’</w:t>
      </w:r>
      <w:r>
        <w:t>expérience et donneront un aperçu des stratégies efficaces, des outils et des enseignements tirés pour maximiser les effets sur le développement des activités d</w:t>
      </w:r>
      <w:r w:rsidR="00A311B3">
        <w:t>’</w:t>
      </w:r>
      <w:r>
        <w:t>assistance technique menées sur le terrain grâce à l</w:t>
      </w:r>
      <w:r w:rsidR="00A311B3">
        <w:t>’</w:t>
      </w:r>
      <w:r>
        <w:t>utilisation concrète de la propriété intellectuelle.</w:t>
      </w:r>
    </w:p>
    <w:p w14:paraId="72B9690F" w14:textId="77777777" w:rsidR="00B13A30" w:rsidRDefault="00B13A30" w:rsidP="00B13A30">
      <w:pPr>
        <w:pStyle w:val="ListParagraph"/>
        <w:spacing w:after="220"/>
        <w:ind w:left="567"/>
        <w:contextualSpacing w:val="0"/>
      </w:pPr>
      <w:r>
        <w:rPr>
          <w:b/>
        </w:rPr>
        <w:t>Groupe cible :</w:t>
      </w:r>
      <w:r w:rsidRPr="00B7003B">
        <w:rPr>
          <w:bCs/>
        </w:rPr>
        <w:t xml:space="preserve"> </w:t>
      </w:r>
      <w:r>
        <w:t>Le webinaire est destiné aux États membres de l</w:t>
      </w:r>
      <w:r w:rsidR="00A311B3">
        <w:t>’</w:t>
      </w:r>
      <w:r>
        <w:t>OMPI et aux parties prenantes intéressées.</w:t>
      </w:r>
    </w:p>
    <w:p w14:paraId="4E006A32" w14:textId="77777777" w:rsidR="00B13A30" w:rsidRPr="00B06138" w:rsidRDefault="00B13A30" w:rsidP="00B13A30">
      <w:pPr>
        <w:pStyle w:val="ListParagraph"/>
        <w:numPr>
          <w:ilvl w:val="0"/>
          <w:numId w:val="8"/>
        </w:numPr>
        <w:spacing w:before="240" w:after="240"/>
        <w:ind w:left="567" w:hanging="567"/>
        <w:contextualSpacing w:val="0"/>
        <w:rPr>
          <w:b/>
        </w:rPr>
      </w:pPr>
      <w:r>
        <w:rPr>
          <w:b/>
        </w:rPr>
        <w:t>Assistance technique virtuelle et renforcement des capacités : regard critique sur les avantages et les limites</w:t>
      </w:r>
    </w:p>
    <w:p w14:paraId="00F6E2D9" w14:textId="77777777" w:rsidR="00B13A30" w:rsidRDefault="00B13A30" w:rsidP="00B13A30">
      <w:pPr>
        <w:pStyle w:val="ListParagraph"/>
        <w:spacing w:after="220"/>
        <w:ind w:left="567"/>
        <w:contextualSpacing w:val="0"/>
      </w:pPr>
      <w:r>
        <w:rPr>
          <w:b/>
        </w:rPr>
        <w:t>Objectif :</w:t>
      </w:r>
      <w:r w:rsidRPr="00B7003B">
        <w:rPr>
          <w:bCs/>
        </w:rPr>
        <w:t xml:space="preserve"> </w:t>
      </w:r>
      <w:r>
        <w:t>Les restrictions en termes de mobilité découlant de la pandémie de COVID</w:t>
      </w:r>
      <w:r w:rsidR="004E5593">
        <w:noBreakHyphen/>
      </w:r>
      <w:r>
        <w:t>19, combinées aux progrès rapides de la technologie, ont entraîné une refonte des activités de l</w:t>
      </w:r>
      <w:r w:rsidR="00A311B3">
        <w:t>’</w:t>
      </w:r>
      <w:r>
        <w:t>OMPI en matière d</w:t>
      </w:r>
      <w:r w:rsidR="00A311B3">
        <w:t>’</w:t>
      </w:r>
      <w:r>
        <w:t>assistance technique et de renforcement des capacit</w:t>
      </w:r>
      <w:r w:rsidR="00275F5C">
        <w:t>és.  Le</w:t>
      </w:r>
      <w:r>
        <w:t>s solutions à distance et l</w:t>
      </w:r>
      <w:r w:rsidR="00A311B3">
        <w:t>’</w:t>
      </w:r>
      <w:r>
        <w:t>assistance virtuelle sont devenues des choix pratiques et rentables pour entrer en contact avec un public plus lar</w:t>
      </w:r>
      <w:r w:rsidR="00275F5C">
        <w:t>ge.  Al</w:t>
      </w:r>
      <w:r>
        <w:t>ors que la mise en œuvre des activités de l</w:t>
      </w:r>
      <w:r w:rsidR="00A311B3">
        <w:t>’</w:t>
      </w:r>
      <w:r>
        <w:t>OMPI commence à reprendre son rythme normal, les enseignements tirés de la pandémie ont mis en évidence la valeur des approches virtuelles, qui sont devenues un élément durable de l</w:t>
      </w:r>
      <w:r w:rsidR="00A311B3">
        <w:t>’</w:t>
      </w:r>
      <w:r>
        <w:t>assistance techniq</w:t>
      </w:r>
      <w:r w:rsidR="00275F5C">
        <w:t>ue.  L</w:t>
      </w:r>
      <w:r w:rsidR="00A311B3">
        <w:t>’</w:t>
      </w:r>
      <w:r w:rsidR="00275F5C">
        <w:t>o</w:t>
      </w:r>
      <w:r>
        <w:t>bjectif de ce webinaire est de permettre à un groupe diversifié d</w:t>
      </w:r>
      <w:r w:rsidR="00A311B3">
        <w:t>’</w:t>
      </w:r>
      <w:r>
        <w:t>experts d</w:t>
      </w:r>
      <w:r w:rsidR="00A311B3">
        <w:t>’</w:t>
      </w:r>
      <w:r>
        <w:t>explorer les avantages et les limites de l</w:t>
      </w:r>
      <w:r w:rsidR="00A311B3">
        <w:t>’</w:t>
      </w:r>
      <w:r>
        <w:t>assistance technique virtuelle et de recenser les pratiques recommandées qui pourraient être prises en considération dans les futurs travaux de l</w:t>
      </w:r>
      <w:r w:rsidR="00A311B3">
        <w:t>’</w:t>
      </w:r>
      <w:r>
        <w:t>Organisation.</w:t>
      </w:r>
    </w:p>
    <w:p w14:paraId="1A695AC7" w14:textId="77777777" w:rsidR="00B13A30" w:rsidRDefault="00B13A30" w:rsidP="00B13A30">
      <w:pPr>
        <w:pStyle w:val="ListParagraph"/>
        <w:spacing w:after="220"/>
        <w:ind w:left="567"/>
        <w:contextualSpacing w:val="0"/>
      </w:pPr>
      <w:r>
        <w:rPr>
          <w:b/>
        </w:rPr>
        <w:t>Groupe cible :</w:t>
      </w:r>
      <w:r w:rsidRPr="00B7003B">
        <w:rPr>
          <w:bCs/>
        </w:rPr>
        <w:t xml:space="preserve"> </w:t>
      </w:r>
      <w:r>
        <w:t>Le webinaire est destiné aux États membres de l</w:t>
      </w:r>
      <w:r w:rsidR="00A311B3">
        <w:t>’</w:t>
      </w:r>
      <w:r>
        <w:t>OMPI et aux parties prenantes intéressées.</w:t>
      </w:r>
    </w:p>
    <w:p w14:paraId="56CC43C2" w14:textId="77777777" w:rsidR="00B13A30" w:rsidRPr="00B13A30" w:rsidRDefault="00B13A30" w:rsidP="00B13A30">
      <w:pPr>
        <w:pStyle w:val="Endofdocument-Annex"/>
        <w:spacing w:before="720"/>
        <w:ind w:left="5530"/>
        <w:rPr>
          <w:lang w:val="fr-FR"/>
        </w:rPr>
      </w:pPr>
      <w:r w:rsidRPr="00B13A30">
        <w:rPr>
          <w:lang w:val="fr-FR"/>
        </w:rPr>
        <w:t>[Fin de l</w:t>
      </w:r>
      <w:r w:rsidR="00A311B3">
        <w:rPr>
          <w:lang w:val="fr-FR"/>
        </w:rPr>
        <w:t>’</w:t>
      </w:r>
      <w:r w:rsidRPr="00B13A30">
        <w:rPr>
          <w:lang w:val="fr-FR"/>
        </w:rPr>
        <w:t>annexe et du document]</w:t>
      </w:r>
    </w:p>
    <w:sectPr w:rsidR="00B13A30" w:rsidRPr="00B13A30" w:rsidSect="004E5593">
      <w:head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F883" w14:textId="77777777" w:rsidR="007F4355" w:rsidRDefault="007F4355">
      <w:r>
        <w:separator/>
      </w:r>
    </w:p>
  </w:endnote>
  <w:endnote w:type="continuationSeparator" w:id="0">
    <w:p w14:paraId="7BEC1B2B" w14:textId="77777777" w:rsidR="007F4355" w:rsidRPr="009D30E6" w:rsidRDefault="007F435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BDB40D3" w14:textId="77777777" w:rsidR="007F4355" w:rsidRPr="009D30E6" w:rsidRDefault="007F435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046196A" w14:textId="77777777" w:rsidR="007F4355" w:rsidRPr="009D30E6" w:rsidRDefault="007F435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46C2" w14:textId="77777777" w:rsidR="00275F5C" w:rsidRDefault="00275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0CCA" w14:textId="77777777" w:rsidR="00275F5C" w:rsidRDefault="00275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3646" w14:textId="77777777" w:rsidR="00275F5C" w:rsidRDefault="00275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692B" w14:textId="77777777" w:rsidR="007F4355" w:rsidRDefault="007F4355">
      <w:r>
        <w:separator/>
      </w:r>
    </w:p>
  </w:footnote>
  <w:footnote w:type="continuationSeparator" w:id="0">
    <w:p w14:paraId="15FB0E9B" w14:textId="77777777" w:rsidR="007F4355" w:rsidRDefault="007F4355" w:rsidP="007461F1">
      <w:r>
        <w:separator/>
      </w:r>
    </w:p>
    <w:p w14:paraId="5B6C1564" w14:textId="77777777" w:rsidR="007F4355" w:rsidRPr="009D30E6" w:rsidRDefault="007F435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7091EFF" w14:textId="77777777" w:rsidR="007F4355" w:rsidRPr="009D30E6" w:rsidRDefault="007F435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7029" w14:textId="77777777" w:rsidR="00275F5C" w:rsidRDefault="00275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0FD5" w14:textId="77777777" w:rsidR="00F16975" w:rsidRPr="00B45C15" w:rsidRDefault="007F4355" w:rsidP="00477D6B">
    <w:pPr>
      <w:jc w:val="right"/>
      <w:rPr>
        <w:caps/>
      </w:rPr>
    </w:pPr>
    <w:bookmarkStart w:id="5" w:name="Code2"/>
    <w:bookmarkEnd w:id="5"/>
    <w:r>
      <w:rPr>
        <w:caps/>
      </w:rPr>
      <w:t>CDIP/31/INF/5</w:t>
    </w:r>
  </w:p>
  <w:p w14:paraId="4B853BBD" w14:textId="77777777"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F4355">
      <w:rPr>
        <w:noProof/>
      </w:rPr>
      <w:t>1</w:t>
    </w:r>
    <w:r>
      <w:fldChar w:fldCharType="end"/>
    </w:r>
  </w:p>
  <w:p w14:paraId="5151A7F0" w14:textId="77777777" w:rsidR="00F16975" w:rsidRDefault="00F16975" w:rsidP="00477D6B">
    <w:pPr>
      <w:jc w:val="right"/>
    </w:pPr>
  </w:p>
  <w:p w14:paraId="44A479B4" w14:textId="77777777"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9A71" w14:textId="77777777" w:rsidR="00275F5C" w:rsidRDefault="00275F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21AC" w14:textId="77777777" w:rsidR="00B13A30" w:rsidRDefault="00B13A30" w:rsidP="00B13A30">
    <w:pPr>
      <w:pStyle w:val="Header"/>
      <w:jc w:val="right"/>
      <w:rPr>
        <w:lang w:val="en-US"/>
      </w:rPr>
    </w:pPr>
    <w:r>
      <w:rPr>
        <w:lang w:val="en-US"/>
      </w:rPr>
      <w:t>CDIP/31/INF/5</w:t>
    </w:r>
  </w:p>
  <w:p w14:paraId="1C8D74CA" w14:textId="77777777" w:rsidR="00B13A30" w:rsidRPr="00B13A30" w:rsidRDefault="00B13A30" w:rsidP="00B13A30">
    <w:pPr>
      <w:pStyle w:val="Header"/>
      <w:spacing w:after="480"/>
      <w:jc w:val="right"/>
      <w:rPr>
        <w:lang w:val="en-US"/>
      </w:rPr>
    </w:pPr>
    <w:r>
      <w:rPr>
        <w:lang w:val="en-US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5pt;height:11.5pt" o:bullet="t">
        <v:imagedata r:id="rId1" o:title="msoAEAE"/>
      </v:shape>
    </w:pict>
  </w:numPicBullet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87718"/>
    <w:multiLevelType w:val="hybridMultilevel"/>
    <w:tmpl w:val="76147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F4645"/>
    <w:multiLevelType w:val="hybridMultilevel"/>
    <w:tmpl w:val="0976659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183666818">
    <w:abstractNumId w:val="3"/>
  </w:num>
  <w:num w:numId="2" w16cid:durableId="684091047">
    <w:abstractNumId w:val="5"/>
  </w:num>
  <w:num w:numId="3" w16cid:durableId="214394766">
    <w:abstractNumId w:val="0"/>
  </w:num>
  <w:num w:numId="4" w16cid:durableId="183860840">
    <w:abstractNumId w:val="6"/>
  </w:num>
  <w:num w:numId="5" w16cid:durableId="113407904">
    <w:abstractNumId w:val="2"/>
  </w:num>
  <w:num w:numId="6" w16cid:durableId="1538158916">
    <w:abstractNumId w:val="4"/>
  </w:num>
  <w:num w:numId="7" w16cid:durableId="2085032759">
    <w:abstractNumId w:val="8"/>
  </w:num>
  <w:num w:numId="8" w16cid:durableId="789007294">
    <w:abstractNumId w:val="1"/>
  </w:num>
  <w:num w:numId="9" w16cid:durableId="1116295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55"/>
    <w:rsid w:val="00011B7D"/>
    <w:rsid w:val="00020C7E"/>
    <w:rsid w:val="000471E6"/>
    <w:rsid w:val="00075432"/>
    <w:rsid w:val="000760CD"/>
    <w:rsid w:val="0009458A"/>
    <w:rsid w:val="000F5E56"/>
    <w:rsid w:val="001060FF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75F5C"/>
    <w:rsid w:val="002956DE"/>
    <w:rsid w:val="002E4D1A"/>
    <w:rsid w:val="002F16BC"/>
    <w:rsid w:val="002F4E68"/>
    <w:rsid w:val="00322C0B"/>
    <w:rsid w:val="003546BE"/>
    <w:rsid w:val="003637B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52E6"/>
    <w:rsid w:val="004D6471"/>
    <w:rsid w:val="004E5593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461F1"/>
    <w:rsid w:val="007D6961"/>
    <w:rsid w:val="007F07CB"/>
    <w:rsid w:val="007F4355"/>
    <w:rsid w:val="00807C77"/>
    <w:rsid w:val="00810CEF"/>
    <w:rsid w:val="0081208D"/>
    <w:rsid w:val="00897816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311B3"/>
    <w:rsid w:val="00AC0AE4"/>
    <w:rsid w:val="00AD61DB"/>
    <w:rsid w:val="00AE47C0"/>
    <w:rsid w:val="00B1090C"/>
    <w:rsid w:val="00B13A30"/>
    <w:rsid w:val="00B35AF5"/>
    <w:rsid w:val="00B45C15"/>
    <w:rsid w:val="00BE0BE0"/>
    <w:rsid w:val="00C664C8"/>
    <w:rsid w:val="00CF0460"/>
    <w:rsid w:val="00D16299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2424C"/>
    <w:rsid w:val="00E47E79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701D6"/>
  <w15:docId w15:val="{94354467-7A87-49E4-A816-FF82D93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B13A30"/>
    <w:pPr>
      <w:ind w:left="720"/>
      <w:contextualSpacing/>
    </w:pPr>
    <w:rPr>
      <w:rFonts w:eastAsiaTheme="minorEastAsia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A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val="fr-FR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A30"/>
    <w:rPr>
      <w:rFonts w:ascii="Arial" w:hAnsi="Arial" w:cs="Arial"/>
      <w:i/>
      <w:iCs/>
      <w:color w:val="4F81BD" w:themeColor="accent1"/>
      <w:sz w:val="22"/>
      <w:lang w:val="fr-FR" w:eastAsia="en-US"/>
    </w:rPr>
  </w:style>
  <w:style w:type="character" w:styleId="Hyperlink">
    <w:name w:val="Hyperlink"/>
    <w:basedOn w:val="DefaultParagraphFont"/>
    <w:unhideWhenUsed/>
    <w:rsid w:val="00B13A30"/>
    <w:rPr>
      <w:color w:val="0000FF" w:themeColor="hyperlink"/>
      <w:u w:val="single"/>
    </w:rPr>
  </w:style>
  <w:style w:type="character" w:customStyle="1" w:styleId="Endofdocument-AnnexChar">
    <w:name w:val="[End of document - Annex] Char"/>
    <w:link w:val="Endofdocument-Annex"/>
    <w:rsid w:val="00B13A3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fr/doc_details.jsp?doc_id=541373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F3C8-74F2-4C45-A10B-A428A289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CDIP_31 (F)</Template>
  <TotalTime>40</TotalTime>
  <Pages>2</Pages>
  <Words>555</Words>
  <Characters>3270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CDIP/31/INF/5</vt:lpstr>
    </vt:vector>
  </TitlesOfParts>
  <Company>WIPO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CDIP/31/INF/5</dc:title>
  <dc:subject/>
  <dc:creator>Nadège Bernard</dc:creator>
  <cp:keywords>FOR OFFICIAL USE ONLY</cp:keywords>
  <dc:description/>
  <cp:lastModifiedBy>ESTEVES DOS SANTOS Anabela</cp:lastModifiedBy>
  <cp:revision>3</cp:revision>
  <cp:lastPrinted>2011-05-19T12:37:00Z</cp:lastPrinted>
  <dcterms:created xsi:type="dcterms:W3CDTF">2023-10-13T07:54:00Z</dcterms:created>
  <dcterms:modified xsi:type="dcterms:W3CDTF">2023-10-15T17:04:00Z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2023-10-12T17:26:44Z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21e2cbcb-2ec8-4518-8d17-0e55c9ba6e13</vt:lpwstr>
  </property>
  <property fmtid="{D5CDD505-2E9C-101B-9397-08002B2CF9AE}" pid="14" name="MSIP_Label_20773ee6-353b-4fb9-a59d-0b94c8c67bea_ContentBits">
    <vt:lpwstr>0</vt:lpwstr>
  </property>
</Properties>
</file>