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F3879" w14:textId="77777777" w:rsidR="008B2CC1" w:rsidRPr="005C10B1" w:rsidRDefault="0040540C" w:rsidP="00B151E5">
      <w:pPr>
        <w:pBdr>
          <w:bottom w:val="single" w:sz="4" w:space="11" w:color="auto"/>
        </w:pBdr>
        <w:spacing w:after="120"/>
        <w:jc w:val="right"/>
        <w:rPr>
          <w:lang w:val="fr-FR"/>
        </w:rPr>
      </w:pPr>
      <w:r w:rsidRPr="005C10B1">
        <w:rPr>
          <w:noProof/>
          <w:lang w:val="en-US" w:eastAsia="en-US"/>
        </w:rPr>
        <w:drawing>
          <wp:inline distT="0" distB="0" distL="0" distR="0" wp14:anchorId="31902F2B" wp14:editId="036E4A62">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3B463D05" w14:textId="6FEC14FD" w:rsidR="00B1090C" w:rsidRPr="005C10B1" w:rsidRDefault="00897816" w:rsidP="00B151E5">
      <w:pPr>
        <w:jc w:val="right"/>
        <w:rPr>
          <w:rFonts w:ascii="Arial Black" w:hAnsi="Arial Black"/>
          <w:caps/>
          <w:sz w:val="15"/>
          <w:szCs w:val="15"/>
          <w:lang w:val="fr-FR"/>
        </w:rPr>
      </w:pPr>
      <w:r w:rsidRPr="005C10B1">
        <w:rPr>
          <w:rFonts w:ascii="Arial Black" w:hAnsi="Arial Black"/>
          <w:caps/>
          <w:sz w:val="15"/>
          <w:szCs w:val="15"/>
          <w:lang w:val="fr-FR"/>
        </w:rPr>
        <w:t>CDIP/3</w:t>
      </w:r>
      <w:r w:rsidR="000760CD" w:rsidRPr="005C10B1">
        <w:rPr>
          <w:rFonts w:ascii="Arial Black" w:hAnsi="Arial Black"/>
          <w:caps/>
          <w:sz w:val="15"/>
          <w:szCs w:val="15"/>
          <w:lang w:val="fr-FR"/>
        </w:rPr>
        <w:t>1</w:t>
      </w:r>
      <w:r w:rsidRPr="005C10B1">
        <w:rPr>
          <w:rFonts w:ascii="Arial Black" w:hAnsi="Arial Black"/>
          <w:caps/>
          <w:sz w:val="15"/>
          <w:szCs w:val="15"/>
          <w:lang w:val="fr-FR"/>
        </w:rPr>
        <w:t>/</w:t>
      </w:r>
      <w:bookmarkStart w:id="0" w:name="Code"/>
      <w:bookmarkEnd w:id="0"/>
      <w:r w:rsidR="001631C4" w:rsidRPr="005C10B1">
        <w:rPr>
          <w:rFonts w:ascii="Arial Black" w:hAnsi="Arial Black"/>
          <w:caps/>
          <w:sz w:val="15"/>
          <w:szCs w:val="15"/>
          <w:lang w:val="fr-FR"/>
        </w:rPr>
        <w:t>INF/3</w:t>
      </w:r>
    </w:p>
    <w:p w14:paraId="109FB219" w14:textId="5F6EEDDF" w:rsidR="008B2CC1" w:rsidRPr="005C10B1" w:rsidRDefault="00B1090C" w:rsidP="00B151E5">
      <w:pPr>
        <w:jc w:val="right"/>
        <w:rPr>
          <w:rFonts w:ascii="Arial Black" w:hAnsi="Arial Black"/>
          <w:sz w:val="15"/>
          <w:szCs w:val="15"/>
          <w:lang w:val="fr-FR"/>
        </w:rPr>
      </w:pPr>
      <w:r w:rsidRPr="005C10B1">
        <w:rPr>
          <w:rFonts w:ascii="Arial Black" w:hAnsi="Arial Black"/>
          <w:caps/>
          <w:sz w:val="15"/>
          <w:szCs w:val="15"/>
          <w:lang w:val="fr-FR"/>
        </w:rPr>
        <w:t>ORIGINAL</w:t>
      </w:r>
      <w:r w:rsidR="00F26C6A" w:rsidRPr="005C10B1">
        <w:rPr>
          <w:rFonts w:ascii="Arial Black" w:hAnsi="Arial Black"/>
          <w:caps/>
          <w:sz w:val="15"/>
          <w:szCs w:val="15"/>
          <w:lang w:val="fr-FR"/>
        </w:rPr>
        <w:t> :</w:t>
      </w:r>
      <w:r w:rsidR="002956DE" w:rsidRPr="005C10B1">
        <w:rPr>
          <w:rFonts w:ascii="Arial Black" w:hAnsi="Arial Black"/>
          <w:caps/>
          <w:sz w:val="15"/>
          <w:szCs w:val="15"/>
          <w:lang w:val="fr-FR"/>
        </w:rPr>
        <w:t xml:space="preserve"> </w:t>
      </w:r>
      <w:bookmarkStart w:id="1" w:name="Original"/>
      <w:r w:rsidR="001631C4" w:rsidRPr="005C10B1">
        <w:rPr>
          <w:rFonts w:ascii="Arial Black" w:hAnsi="Arial Black"/>
          <w:caps/>
          <w:sz w:val="15"/>
          <w:szCs w:val="15"/>
          <w:lang w:val="fr-FR"/>
        </w:rPr>
        <w:t>anglais</w:t>
      </w:r>
    </w:p>
    <w:bookmarkEnd w:id="1"/>
    <w:p w14:paraId="59803548" w14:textId="244785E4" w:rsidR="008B2CC1" w:rsidRPr="005C10B1" w:rsidRDefault="00B1090C" w:rsidP="00B151E5">
      <w:pPr>
        <w:spacing w:after="1200"/>
        <w:jc w:val="right"/>
        <w:rPr>
          <w:rFonts w:ascii="Arial Black" w:hAnsi="Arial Black"/>
          <w:sz w:val="15"/>
          <w:szCs w:val="15"/>
          <w:lang w:val="fr-FR"/>
        </w:rPr>
      </w:pPr>
      <w:r w:rsidRPr="005C10B1">
        <w:rPr>
          <w:rFonts w:ascii="Arial Black" w:hAnsi="Arial Black"/>
          <w:caps/>
          <w:sz w:val="15"/>
          <w:szCs w:val="15"/>
          <w:lang w:val="fr-FR"/>
        </w:rPr>
        <w:t>DATE</w:t>
      </w:r>
      <w:r w:rsidR="00F26C6A" w:rsidRPr="005C10B1">
        <w:rPr>
          <w:rFonts w:ascii="Arial Black" w:hAnsi="Arial Black"/>
          <w:caps/>
          <w:sz w:val="15"/>
          <w:szCs w:val="15"/>
          <w:lang w:val="fr-FR"/>
        </w:rPr>
        <w:t> :</w:t>
      </w:r>
      <w:r w:rsidR="002956DE" w:rsidRPr="005C10B1">
        <w:rPr>
          <w:rFonts w:ascii="Arial Black" w:hAnsi="Arial Black"/>
          <w:caps/>
          <w:sz w:val="15"/>
          <w:szCs w:val="15"/>
          <w:lang w:val="fr-FR"/>
        </w:rPr>
        <w:t xml:space="preserve"> </w:t>
      </w:r>
      <w:bookmarkStart w:id="2" w:name="Date"/>
      <w:r w:rsidR="0039417C">
        <w:rPr>
          <w:rFonts w:ascii="Arial Black" w:hAnsi="Arial Black"/>
          <w:caps/>
          <w:sz w:val="15"/>
          <w:szCs w:val="15"/>
          <w:lang w:val="fr-FR"/>
        </w:rPr>
        <w:t>6</w:t>
      </w:r>
      <w:bookmarkStart w:id="3" w:name="_GoBack"/>
      <w:bookmarkEnd w:id="3"/>
      <w:r w:rsidR="001631C4" w:rsidRPr="005C10B1">
        <w:rPr>
          <w:rFonts w:ascii="Arial Black" w:hAnsi="Arial Black"/>
          <w:caps/>
          <w:sz w:val="15"/>
          <w:szCs w:val="15"/>
          <w:lang w:val="fr-FR"/>
        </w:rPr>
        <w:t> septembre 2023</w:t>
      </w:r>
    </w:p>
    <w:bookmarkEnd w:id="2"/>
    <w:p w14:paraId="268900F2" w14:textId="77777777" w:rsidR="003845C1" w:rsidRPr="005C10B1" w:rsidRDefault="001060FF" w:rsidP="00B151E5">
      <w:pPr>
        <w:pStyle w:val="Title"/>
        <w:rPr>
          <w:lang w:val="fr-FR"/>
        </w:rPr>
      </w:pPr>
      <w:r w:rsidRPr="005C10B1">
        <w:rPr>
          <w:lang w:val="fr-FR"/>
        </w:rPr>
        <w:t>Comité d</w:t>
      </w:r>
      <w:r w:rsidR="00897816" w:rsidRPr="005C10B1">
        <w:rPr>
          <w:lang w:val="fr-FR"/>
        </w:rPr>
        <w:t>u développement et de la propriété intellectuelle</w:t>
      </w:r>
      <w:r w:rsidR="003637BB" w:rsidRPr="005C10B1">
        <w:rPr>
          <w:lang w:val="fr-FR"/>
        </w:rPr>
        <w:t> </w:t>
      </w:r>
      <w:r w:rsidR="00897816" w:rsidRPr="005C10B1">
        <w:rPr>
          <w:lang w:val="fr-FR"/>
        </w:rPr>
        <w:t>(CDIP)</w:t>
      </w:r>
    </w:p>
    <w:p w14:paraId="70F60C11" w14:textId="1667ADDF" w:rsidR="00FE19E9" w:rsidRPr="005C10B1" w:rsidRDefault="000760CD" w:rsidP="00B151E5">
      <w:pPr>
        <w:outlineLvl w:val="1"/>
        <w:rPr>
          <w:b/>
          <w:sz w:val="24"/>
          <w:szCs w:val="24"/>
          <w:lang w:val="fr-FR"/>
        </w:rPr>
      </w:pPr>
      <w:r w:rsidRPr="005C10B1">
        <w:rPr>
          <w:b/>
          <w:sz w:val="24"/>
          <w:szCs w:val="24"/>
          <w:lang w:val="fr-FR"/>
        </w:rPr>
        <w:t>Trente</w:t>
      </w:r>
      <w:r w:rsidR="00F26C6A" w:rsidRPr="005C10B1">
        <w:rPr>
          <w:b/>
          <w:sz w:val="24"/>
          <w:szCs w:val="24"/>
          <w:lang w:val="fr-FR"/>
        </w:rPr>
        <w:t> et unième session</w:t>
      </w:r>
    </w:p>
    <w:p w14:paraId="2A39E54F" w14:textId="0D18FCEE" w:rsidR="008B2CC1" w:rsidRPr="005C10B1" w:rsidRDefault="000760CD" w:rsidP="00B151E5">
      <w:pPr>
        <w:spacing w:after="720"/>
        <w:outlineLvl w:val="1"/>
        <w:rPr>
          <w:b/>
          <w:sz w:val="24"/>
          <w:szCs w:val="24"/>
          <w:lang w:val="fr-FR"/>
        </w:rPr>
      </w:pPr>
      <w:r w:rsidRPr="005C10B1">
        <w:rPr>
          <w:b/>
          <w:sz w:val="24"/>
          <w:szCs w:val="24"/>
          <w:lang w:val="fr-FR"/>
        </w:rPr>
        <w:t>Genève, 27</w:t>
      </w:r>
      <w:r w:rsidR="003637BB" w:rsidRPr="005C10B1">
        <w:rPr>
          <w:b/>
          <w:sz w:val="24"/>
          <w:szCs w:val="24"/>
          <w:lang w:val="fr-FR"/>
        </w:rPr>
        <w:t> </w:t>
      </w:r>
      <w:r w:rsidRPr="005C10B1">
        <w:rPr>
          <w:b/>
          <w:sz w:val="24"/>
          <w:szCs w:val="24"/>
          <w:lang w:val="fr-FR"/>
        </w:rPr>
        <w:t>novembre –</w:t>
      </w:r>
      <w:r w:rsidR="00F26C6A" w:rsidRPr="005C10B1">
        <w:rPr>
          <w:b/>
          <w:sz w:val="24"/>
          <w:szCs w:val="24"/>
          <w:lang w:val="fr-FR"/>
        </w:rPr>
        <w:t xml:space="preserve"> 1</w:t>
      </w:r>
      <w:r w:rsidR="00F26C6A" w:rsidRPr="005C10B1">
        <w:rPr>
          <w:b/>
          <w:sz w:val="24"/>
          <w:szCs w:val="24"/>
          <w:vertAlign w:val="superscript"/>
          <w:lang w:val="fr-FR"/>
        </w:rPr>
        <w:t>er</w:t>
      </w:r>
      <w:r w:rsidR="00F26C6A" w:rsidRPr="005C10B1">
        <w:rPr>
          <w:b/>
          <w:sz w:val="24"/>
          <w:szCs w:val="24"/>
          <w:lang w:val="fr-FR"/>
        </w:rPr>
        <w:t> </w:t>
      </w:r>
      <w:r w:rsidRPr="005C10B1">
        <w:rPr>
          <w:b/>
          <w:sz w:val="24"/>
          <w:szCs w:val="24"/>
          <w:lang w:val="fr-FR"/>
        </w:rPr>
        <w:t>décembre</w:t>
      </w:r>
      <w:r w:rsidR="003637BB" w:rsidRPr="005C10B1">
        <w:rPr>
          <w:b/>
          <w:sz w:val="24"/>
          <w:szCs w:val="24"/>
          <w:lang w:val="fr-FR"/>
        </w:rPr>
        <w:t> </w:t>
      </w:r>
      <w:r w:rsidR="00897816" w:rsidRPr="005C10B1">
        <w:rPr>
          <w:b/>
          <w:sz w:val="24"/>
          <w:szCs w:val="24"/>
          <w:lang w:val="fr-FR"/>
        </w:rPr>
        <w:t>2023</w:t>
      </w:r>
    </w:p>
    <w:p w14:paraId="0A1EC85E" w14:textId="188F1EBF" w:rsidR="008B2CC1" w:rsidRPr="005C10B1" w:rsidRDefault="001631C4" w:rsidP="00B151E5">
      <w:pPr>
        <w:spacing w:after="360"/>
        <w:rPr>
          <w:caps/>
          <w:sz w:val="24"/>
          <w:lang w:val="fr-FR"/>
        </w:rPr>
      </w:pPr>
      <w:bookmarkStart w:id="4" w:name="TitleOfDoc"/>
      <w:r w:rsidRPr="005C10B1">
        <w:rPr>
          <w:caps/>
          <w:sz w:val="24"/>
          <w:lang w:val="fr-FR"/>
        </w:rPr>
        <w:t>Résumé concernant l</w:t>
      </w:r>
      <w:r w:rsidR="00F26C6A" w:rsidRPr="005C10B1">
        <w:rPr>
          <w:caps/>
          <w:sz w:val="24"/>
          <w:lang w:val="fr-FR"/>
        </w:rPr>
        <w:t>’</w:t>
      </w:r>
      <w:r w:rsidRPr="005C10B1">
        <w:rPr>
          <w:caps/>
          <w:sz w:val="24"/>
          <w:lang w:val="fr-FR"/>
        </w:rPr>
        <w:t>outil de l</w:t>
      </w:r>
      <w:r w:rsidR="00F26C6A" w:rsidRPr="005C10B1">
        <w:rPr>
          <w:caps/>
          <w:sz w:val="24"/>
          <w:lang w:val="fr-FR"/>
        </w:rPr>
        <w:t>’</w:t>
      </w:r>
      <w:r w:rsidRPr="005C10B1">
        <w:rPr>
          <w:caps/>
          <w:sz w:val="24"/>
          <w:lang w:val="fr-FR"/>
        </w:rPr>
        <w:t>OMPI sur le rôle des droits de propriété intellectuelle dans le secteur de la mode</w:t>
      </w:r>
      <w:r w:rsidR="00F26C6A" w:rsidRPr="005C10B1">
        <w:rPr>
          <w:caps/>
          <w:sz w:val="24"/>
          <w:lang w:val="fr-FR"/>
        </w:rPr>
        <w:t> :</w:t>
      </w:r>
      <w:r w:rsidRPr="005C10B1">
        <w:rPr>
          <w:caps/>
          <w:sz w:val="24"/>
          <w:lang w:val="fr-FR"/>
        </w:rPr>
        <w:t xml:space="preserve"> de la conception à la commercialisation</w:t>
      </w:r>
    </w:p>
    <w:p w14:paraId="59F96842" w14:textId="66085FF5" w:rsidR="008B2CC1" w:rsidRPr="005C10B1" w:rsidRDefault="001631C4" w:rsidP="00B151E5">
      <w:pPr>
        <w:spacing w:after="960"/>
        <w:rPr>
          <w:i/>
          <w:lang w:val="fr-FR"/>
        </w:rPr>
      </w:pPr>
      <w:bookmarkStart w:id="5" w:name="Prepared"/>
      <w:bookmarkEnd w:id="4"/>
      <w:bookmarkEnd w:id="5"/>
      <w:r w:rsidRPr="005C10B1">
        <w:rPr>
          <w:i/>
          <w:lang w:val="fr-FR"/>
        </w:rPr>
        <w:t>Établi par M. Noam Shemtov, professeur</w:t>
      </w:r>
    </w:p>
    <w:p w14:paraId="47EE58E5" w14:textId="6E338D87" w:rsidR="001631C4" w:rsidRPr="005C10B1" w:rsidRDefault="001631C4" w:rsidP="00B151E5">
      <w:pPr>
        <w:pStyle w:val="ONUMFS"/>
        <w:rPr>
          <w:rFonts w:eastAsia="MS Mincho"/>
          <w:bCs/>
          <w:iCs/>
          <w:szCs w:val="22"/>
          <w:lang w:val="fr-FR"/>
        </w:rPr>
      </w:pPr>
      <w:r w:rsidRPr="005C10B1">
        <w:rPr>
          <w:color w:val="000000"/>
          <w:lang w:val="fr-FR"/>
        </w:rPr>
        <w:t>L</w:t>
      </w:r>
      <w:r w:rsidR="00F26C6A" w:rsidRPr="005C10B1">
        <w:rPr>
          <w:color w:val="000000"/>
          <w:lang w:val="fr-FR"/>
        </w:rPr>
        <w:t>’</w:t>
      </w:r>
      <w:r w:rsidRPr="005C10B1">
        <w:rPr>
          <w:color w:val="000000"/>
          <w:lang w:val="fr-FR"/>
        </w:rPr>
        <w:t xml:space="preserve">annexe du présent document contient le </w:t>
      </w:r>
      <w:r w:rsidRPr="005C10B1">
        <w:rPr>
          <w:lang w:val="fr-FR"/>
        </w:rPr>
        <w:t>résumé concernant l</w:t>
      </w:r>
      <w:r w:rsidR="00F26C6A" w:rsidRPr="005C10B1">
        <w:rPr>
          <w:lang w:val="fr-FR"/>
        </w:rPr>
        <w:t>’</w:t>
      </w:r>
      <w:r w:rsidRPr="005C10B1">
        <w:rPr>
          <w:lang w:val="fr-FR"/>
        </w:rPr>
        <w:t>outil de l</w:t>
      </w:r>
      <w:r w:rsidR="00F26C6A" w:rsidRPr="005C10B1">
        <w:rPr>
          <w:lang w:val="fr-FR"/>
        </w:rPr>
        <w:t>’</w:t>
      </w:r>
      <w:r w:rsidRPr="005C10B1">
        <w:rPr>
          <w:lang w:val="fr-FR"/>
        </w:rPr>
        <w:t>OMPI sur “Le rôle des droits de propriété intellectuelle dans le secteur de la mode</w:t>
      </w:r>
      <w:r w:rsidR="00F26C6A" w:rsidRPr="005C10B1">
        <w:rPr>
          <w:lang w:val="fr-FR"/>
        </w:rPr>
        <w:t> :</w:t>
      </w:r>
      <w:r w:rsidRPr="005C10B1">
        <w:rPr>
          <w:lang w:val="fr-FR"/>
        </w:rPr>
        <w:t xml:space="preserve"> de la conception à la commercialisation”.</w:t>
      </w:r>
    </w:p>
    <w:p w14:paraId="16B6042C" w14:textId="28DEE7A3" w:rsidR="001631C4" w:rsidRPr="005C10B1" w:rsidRDefault="001631C4" w:rsidP="00B151E5">
      <w:pPr>
        <w:pStyle w:val="ONUMFS"/>
        <w:rPr>
          <w:rFonts w:eastAsia="MS Mincho"/>
          <w:bCs/>
          <w:iCs/>
          <w:szCs w:val="22"/>
          <w:lang w:val="fr-FR"/>
        </w:rPr>
      </w:pPr>
      <w:r w:rsidRPr="005C10B1">
        <w:rPr>
          <w:lang w:val="fr-FR"/>
        </w:rPr>
        <w:t>Cet outil a été créé dans le cadre du projet du Plan d</w:t>
      </w:r>
      <w:r w:rsidR="00F26C6A" w:rsidRPr="005C10B1">
        <w:rPr>
          <w:lang w:val="fr-FR"/>
        </w:rPr>
        <w:t>’</w:t>
      </w:r>
      <w:r w:rsidRPr="005C10B1">
        <w:rPr>
          <w:lang w:val="fr-FR"/>
        </w:rPr>
        <w:t>action pour le développement sur “La promotion de l</w:t>
      </w:r>
      <w:r w:rsidR="00F26C6A" w:rsidRPr="005C10B1">
        <w:rPr>
          <w:lang w:val="fr-FR"/>
        </w:rPr>
        <w:t>’</w:t>
      </w:r>
      <w:r w:rsidRPr="005C10B1">
        <w:rPr>
          <w:lang w:val="fr-FR"/>
        </w:rPr>
        <w:t>utilisation de la propriété intellectuelle en faveur des industries de la création à l</w:t>
      </w:r>
      <w:r w:rsidR="00F26C6A" w:rsidRPr="005C10B1">
        <w:rPr>
          <w:lang w:val="fr-FR"/>
        </w:rPr>
        <w:t>’</w:t>
      </w:r>
      <w:r w:rsidRPr="005C10B1">
        <w:rPr>
          <w:lang w:val="fr-FR"/>
        </w:rPr>
        <w:t>ère du numérique au Chili, aux Émirats arabes unis, en Indonésie et en Uruguay” (document</w:t>
      </w:r>
      <w:r w:rsidR="00B151E5">
        <w:rPr>
          <w:lang w:val="fr-FR"/>
        </w:rPr>
        <w:t> </w:t>
      </w:r>
      <w:r w:rsidRPr="005C10B1">
        <w:rPr>
          <w:lang w:val="fr-FR"/>
        </w:rPr>
        <w:t>CDIP/26/5).  Il a été établi par Noam</w:t>
      </w:r>
      <w:r w:rsidR="001D064B">
        <w:rPr>
          <w:lang w:val="fr-FR"/>
        </w:rPr>
        <w:t> </w:t>
      </w:r>
      <w:r w:rsidRPr="005C10B1">
        <w:rPr>
          <w:lang w:val="fr-FR"/>
        </w:rPr>
        <w:t>Shemtovest, professeur titulaire d</w:t>
      </w:r>
      <w:r w:rsidR="00F26C6A" w:rsidRPr="005C10B1">
        <w:rPr>
          <w:lang w:val="fr-FR"/>
        </w:rPr>
        <w:t>’</w:t>
      </w:r>
      <w:r w:rsidRPr="005C10B1">
        <w:rPr>
          <w:lang w:val="fr-FR"/>
        </w:rPr>
        <w:t>une chaire de droit de la propriété intellectuelle et de droit de la technologie au Centre d</w:t>
      </w:r>
      <w:r w:rsidR="00F26C6A" w:rsidRPr="005C10B1">
        <w:rPr>
          <w:lang w:val="fr-FR"/>
        </w:rPr>
        <w:t>’</w:t>
      </w:r>
      <w:r w:rsidRPr="005C10B1">
        <w:rPr>
          <w:lang w:val="fr-FR"/>
        </w:rPr>
        <w:t>études de droit commercial de l</w:t>
      </w:r>
      <w:r w:rsidR="00F26C6A" w:rsidRPr="005C10B1">
        <w:rPr>
          <w:lang w:val="fr-FR"/>
        </w:rPr>
        <w:t>’</w:t>
      </w:r>
      <w:r w:rsidRPr="005C10B1">
        <w:rPr>
          <w:lang w:val="fr-FR"/>
        </w:rPr>
        <w:t>Université Queen Mary de Londres.</w:t>
      </w:r>
    </w:p>
    <w:p w14:paraId="5FCAD45D" w14:textId="3C6CE0B3" w:rsidR="001631C4" w:rsidRPr="00B151E5" w:rsidRDefault="001631C4" w:rsidP="00B151E5">
      <w:pPr>
        <w:pStyle w:val="ONUMFS"/>
        <w:ind w:left="5533"/>
        <w:rPr>
          <w:i/>
        </w:rPr>
      </w:pPr>
      <w:r w:rsidRPr="00B151E5">
        <w:rPr>
          <w:i/>
        </w:rPr>
        <w:t>Le comité est invité à prendre note des informations qui figurent dans l</w:t>
      </w:r>
      <w:r w:rsidR="00F26C6A" w:rsidRPr="00B151E5">
        <w:rPr>
          <w:i/>
        </w:rPr>
        <w:t>’</w:t>
      </w:r>
      <w:r w:rsidRPr="00B151E5">
        <w:rPr>
          <w:i/>
        </w:rPr>
        <w:t>annexe du présent document.</w:t>
      </w:r>
    </w:p>
    <w:p w14:paraId="0341DF76" w14:textId="4CDC2AC3" w:rsidR="001631C4" w:rsidRPr="005C10B1" w:rsidRDefault="001631C4" w:rsidP="00B151E5">
      <w:pPr>
        <w:pStyle w:val="Endofdocument-Annex"/>
        <w:rPr>
          <w:rFonts w:eastAsia="Arial"/>
          <w:szCs w:val="22"/>
          <w:lang w:val="fr-FR"/>
        </w:rPr>
        <w:sectPr w:rsidR="001631C4" w:rsidRPr="005C10B1" w:rsidSect="003C710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326"/>
        </w:sectPr>
      </w:pPr>
      <w:r w:rsidRPr="005C10B1">
        <w:rPr>
          <w:lang w:val="fr-FR"/>
        </w:rPr>
        <w:t>[L</w:t>
      </w:r>
      <w:r w:rsidR="00F26C6A" w:rsidRPr="005C10B1">
        <w:rPr>
          <w:lang w:val="fr-FR"/>
        </w:rPr>
        <w:t>’</w:t>
      </w:r>
      <w:r w:rsidRPr="005C10B1">
        <w:rPr>
          <w:lang w:val="fr-FR"/>
        </w:rPr>
        <w:t>annexe suit]</w:t>
      </w:r>
    </w:p>
    <w:p w14:paraId="11266605" w14:textId="0685CBD2" w:rsidR="001631C4" w:rsidRPr="005C10B1" w:rsidRDefault="001631C4" w:rsidP="00B151E5">
      <w:pPr>
        <w:spacing w:after="120"/>
        <w:jc w:val="center"/>
        <w:rPr>
          <w:b/>
          <w:bCs/>
          <w:szCs w:val="22"/>
          <w:lang w:val="fr-FR"/>
        </w:rPr>
      </w:pPr>
      <w:r w:rsidRPr="005C10B1">
        <w:rPr>
          <w:b/>
          <w:lang w:val="fr-FR"/>
        </w:rPr>
        <w:lastRenderedPageBreak/>
        <w:t>Le rôle des droits de propriété intellectuelle dans le secteur de la mode</w:t>
      </w:r>
      <w:r w:rsidR="00F26C6A" w:rsidRPr="005C10B1">
        <w:rPr>
          <w:b/>
          <w:lang w:val="fr-FR"/>
        </w:rPr>
        <w:t> :</w:t>
      </w:r>
    </w:p>
    <w:p w14:paraId="0924917C" w14:textId="77777777" w:rsidR="001631C4" w:rsidRPr="005C10B1" w:rsidRDefault="001631C4" w:rsidP="00B151E5">
      <w:pPr>
        <w:spacing w:after="360"/>
        <w:jc w:val="center"/>
        <w:rPr>
          <w:b/>
          <w:bCs/>
          <w:szCs w:val="22"/>
          <w:lang w:val="fr-FR"/>
        </w:rPr>
      </w:pPr>
      <w:r w:rsidRPr="005C10B1">
        <w:rPr>
          <w:b/>
          <w:lang w:val="fr-FR"/>
        </w:rPr>
        <w:t>de la conception à la commercialisation</w:t>
      </w:r>
    </w:p>
    <w:p w14:paraId="5AEDE6FC" w14:textId="77777777" w:rsidR="001631C4" w:rsidRPr="005C10B1" w:rsidRDefault="001631C4" w:rsidP="00B151E5">
      <w:pPr>
        <w:spacing w:after="360"/>
        <w:jc w:val="center"/>
        <w:rPr>
          <w:b/>
          <w:bCs/>
          <w:szCs w:val="22"/>
          <w:lang w:val="fr-FR"/>
        </w:rPr>
      </w:pPr>
      <w:r w:rsidRPr="005C10B1">
        <w:rPr>
          <w:b/>
          <w:lang w:val="fr-FR"/>
        </w:rPr>
        <w:t>Résumé</w:t>
      </w:r>
    </w:p>
    <w:p w14:paraId="6F6CBA0D" w14:textId="11824418" w:rsidR="00F26C6A" w:rsidRPr="005C10B1" w:rsidRDefault="001631C4" w:rsidP="00B151E5">
      <w:pPr>
        <w:spacing w:after="240"/>
        <w:rPr>
          <w:shd w:val="clear" w:color="auto" w:fill="FFFFFF"/>
          <w:lang w:val="fr-FR"/>
        </w:rPr>
      </w:pPr>
      <w:r w:rsidRPr="005C10B1">
        <w:rPr>
          <w:lang w:val="fr-FR"/>
        </w:rPr>
        <w:t xml:space="preserve">Estimé à </w:t>
      </w:r>
      <w:r w:rsidRPr="005C10B1">
        <w:rPr>
          <w:shd w:val="clear" w:color="auto" w:fill="FFFFFF"/>
          <w:lang w:val="fr-FR"/>
        </w:rPr>
        <w:t>759,</w:t>
      </w:r>
      <w:r w:rsidR="00F26C6A" w:rsidRPr="005C10B1">
        <w:rPr>
          <w:shd w:val="clear" w:color="auto" w:fill="FFFFFF"/>
          <w:lang w:val="fr-FR"/>
        </w:rPr>
        <w:t>5 milliard</w:t>
      </w:r>
      <w:r w:rsidRPr="005C10B1">
        <w:rPr>
          <w:shd w:val="clear" w:color="auto" w:fill="FFFFFF"/>
          <w:lang w:val="fr-FR"/>
        </w:rPr>
        <w:t>s de dollars</w:t>
      </w:r>
      <w:r w:rsidR="00FE2C7F" w:rsidRPr="005C10B1">
        <w:rPr>
          <w:shd w:val="clear" w:color="auto" w:fill="FFFFFF"/>
          <w:lang w:val="fr-FR"/>
        </w:rPr>
        <w:t> </w:t>
      </w:r>
      <w:r w:rsidRPr="005C10B1">
        <w:rPr>
          <w:shd w:val="clear" w:color="auto" w:fill="FFFFFF"/>
          <w:lang w:val="fr-FR"/>
        </w:rPr>
        <w:t>É.</w:t>
      </w:r>
      <w:r w:rsidR="00B151E5">
        <w:rPr>
          <w:shd w:val="clear" w:color="auto" w:fill="FFFFFF"/>
          <w:lang w:val="fr-FR"/>
        </w:rPr>
        <w:noBreakHyphen/>
      </w:r>
      <w:r w:rsidRPr="005C10B1">
        <w:rPr>
          <w:shd w:val="clear" w:color="auto" w:fill="FFFFFF"/>
          <w:lang w:val="fr-FR"/>
        </w:rPr>
        <w:t>U.</w:t>
      </w:r>
      <w:r w:rsidR="00B151E5">
        <w:rPr>
          <w:rStyle w:val="FootnoteReference"/>
          <w:shd w:val="clear" w:color="auto" w:fill="FFFFFF"/>
          <w:lang w:val="fr-FR"/>
        </w:rPr>
        <w:footnoteReference w:id="2"/>
      </w:r>
      <w:r w:rsidR="00FE2C7F" w:rsidRPr="005C10B1">
        <w:rPr>
          <w:shd w:val="clear" w:color="auto" w:fill="FFFFFF"/>
          <w:lang w:val="fr-FR"/>
        </w:rPr>
        <w:t>,</w:t>
      </w:r>
      <w:r w:rsidRPr="005C10B1">
        <w:rPr>
          <w:shd w:val="clear" w:color="auto" w:fill="FFFFFF"/>
          <w:lang w:val="fr-FR"/>
        </w:rPr>
        <w:t xml:space="preserve"> le secteur de la mode est un moteur important de la croissance économique mondiale et une source majeure de recettes fiscales et d</w:t>
      </w:r>
      <w:r w:rsidR="00F26C6A" w:rsidRPr="005C10B1">
        <w:rPr>
          <w:shd w:val="clear" w:color="auto" w:fill="FFFFFF"/>
          <w:lang w:val="fr-FR"/>
        </w:rPr>
        <w:t>’</w:t>
      </w:r>
      <w:r w:rsidRPr="005C10B1">
        <w:rPr>
          <w:shd w:val="clear" w:color="auto" w:fill="FFFFFF"/>
          <w:lang w:val="fr-FR"/>
        </w:rPr>
        <w:t>emplois dans de nombreux pays.</w:t>
      </w:r>
    </w:p>
    <w:p w14:paraId="248C024C" w14:textId="0191044C" w:rsidR="001631C4" w:rsidRPr="005C10B1" w:rsidRDefault="001631C4" w:rsidP="00B151E5">
      <w:pPr>
        <w:spacing w:after="240"/>
        <w:rPr>
          <w:szCs w:val="22"/>
          <w:shd w:val="clear" w:color="auto" w:fill="FFFFFF"/>
          <w:lang w:val="fr-FR"/>
        </w:rPr>
      </w:pPr>
      <w:r w:rsidRPr="005C10B1">
        <w:rPr>
          <w:shd w:val="clear" w:color="auto" w:fill="FFFFFF"/>
          <w:lang w:val="fr-FR"/>
        </w:rPr>
        <w:t>La propriété intellectuelle est un élément clé de l</w:t>
      </w:r>
      <w:r w:rsidR="00F26C6A" w:rsidRPr="005C10B1">
        <w:rPr>
          <w:shd w:val="clear" w:color="auto" w:fill="FFFFFF"/>
          <w:lang w:val="fr-FR"/>
        </w:rPr>
        <w:t>’</w:t>
      </w:r>
      <w:r w:rsidRPr="005C10B1">
        <w:rPr>
          <w:shd w:val="clear" w:color="auto" w:fill="FFFFFF"/>
          <w:lang w:val="fr-FR"/>
        </w:rPr>
        <w:t>écosystème juridique du secteur, les différents droits de propriété intellectuelle étant essentiels à sa viabilité et à sa croissan</w:t>
      </w:r>
      <w:r w:rsidR="005C10B1" w:rsidRPr="005C10B1">
        <w:rPr>
          <w:shd w:val="clear" w:color="auto" w:fill="FFFFFF"/>
          <w:lang w:val="fr-FR"/>
        </w:rPr>
        <w:t>ce.  L’o</w:t>
      </w:r>
      <w:r w:rsidRPr="005C10B1">
        <w:rPr>
          <w:shd w:val="clear" w:color="auto" w:fill="FFFFFF"/>
          <w:lang w:val="fr-FR"/>
        </w:rPr>
        <w:t>util se concentre sur le droit d</w:t>
      </w:r>
      <w:r w:rsidR="00F26C6A" w:rsidRPr="005C10B1">
        <w:rPr>
          <w:shd w:val="clear" w:color="auto" w:fill="FFFFFF"/>
          <w:lang w:val="fr-FR"/>
        </w:rPr>
        <w:t>’</w:t>
      </w:r>
      <w:r w:rsidRPr="005C10B1">
        <w:rPr>
          <w:shd w:val="clear" w:color="auto" w:fill="FFFFFF"/>
          <w:lang w:val="fr-FR"/>
        </w:rPr>
        <w:t>auteur, les brevets, les dessins et modèles, les marques et les secrets d</w:t>
      </w:r>
      <w:r w:rsidR="00F26C6A" w:rsidRPr="005C10B1">
        <w:rPr>
          <w:shd w:val="clear" w:color="auto" w:fill="FFFFFF"/>
          <w:lang w:val="fr-FR"/>
        </w:rPr>
        <w:t>’</w:t>
      </w:r>
      <w:r w:rsidRPr="005C10B1">
        <w:rPr>
          <w:shd w:val="clear" w:color="auto" w:fill="FFFFFF"/>
          <w:lang w:val="fr-FR"/>
        </w:rPr>
        <w:t>affaires, qui intéressent particulièrement le secteur de la mode, et indique comment ces actifs peuvent être déployés tout au long du cycle de vie des produits de la mo</w:t>
      </w:r>
      <w:r w:rsidR="005C10B1" w:rsidRPr="005C10B1">
        <w:rPr>
          <w:shd w:val="clear" w:color="auto" w:fill="FFFFFF"/>
          <w:lang w:val="fr-FR"/>
        </w:rPr>
        <w:t>de.  Il</w:t>
      </w:r>
      <w:r w:rsidRPr="005C10B1">
        <w:rPr>
          <w:shd w:val="clear" w:color="auto" w:fill="FFFFFF"/>
          <w:lang w:val="fr-FR"/>
        </w:rPr>
        <w:t xml:space="preserve"> s</w:t>
      </w:r>
      <w:r w:rsidR="00F26C6A" w:rsidRPr="005C10B1">
        <w:rPr>
          <w:shd w:val="clear" w:color="auto" w:fill="FFFFFF"/>
          <w:lang w:val="fr-FR"/>
        </w:rPr>
        <w:t>’</w:t>
      </w:r>
      <w:r w:rsidRPr="005C10B1">
        <w:rPr>
          <w:shd w:val="clear" w:color="auto" w:fill="FFFFFF"/>
          <w:lang w:val="fr-FR"/>
        </w:rPr>
        <w:t>agit d</w:t>
      </w:r>
      <w:r w:rsidR="00F26C6A" w:rsidRPr="005C10B1">
        <w:rPr>
          <w:shd w:val="clear" w:color="auto" w:fill="FFFFFF"/>
          <w:lang w:val="fr-FR"/>
        </w:rPr>
        <w:t>’</w:t>
      </w:r>
      <w:r w:rsidRPr="005C10B1">
        <w:rPr>
          <w:shd w:val="clear" w:color="auto" w:fill="FFFFFF"/>
          <w:lang w:val="fr-FR"/>
        </w:rPr>
        <w:t>un outil pratique qui vise à aider les créateurs de mode et les détaillants à dresser la liste des principaux droits de propriété intellectuelle, en vue de préserver leurs intérêts et de monétiser leurs efforts créati</w:t>
      </w:r>
      <w:r w:rsidR="005C10B1" w:rsidRPr="005C10B1">
        <w:rPr>
          <w:shd w:val="clear" w:color="auto" w:fill="FFFFFF"/>
          <w:lang w:val="fr-FR"/>
        </w:rPr>
        <w:t>fs.  Ce</w:t>
      </w:r>
      <w:r w:rsidRPr="005C10B1">
        <w:rPr>
          <w:shd w:val="clear" w:color="auto" w:fill="FFFFFF"/>
          <w:lang w:val="fr-FR"/>
        </w:rPr>
        <w:t>t outil précise également leur rôle et leur utilité dans le bon fonctionnement des petites entreprises de mode et de création.</w:t>
      </w:r>
    </w:p>
    <w:p w14:paraId="5546294F" w14:textId="02DD2EAD" w:rsidR="00F26C6A" w:rsidRPr="005C10B1" w:rsidRDefault="001631C4" w:rsidP="00B151E5">
      <w:pPr>
        <w:spacing w:after="240"/>
        <w:rPr>
          <w:shd w:val="clear" w:color="auto" w:fill="FFFFFF"/>
          <w:lang w:val="fr-FR"/>
        </w:rPr>
      </w:pPr>
      <w:r w:rsidRPr="005C10B1">
        <w:rPr>
          <w:shd w:val="clear" w:color="auto" w:fill="FFFFFF"/>
          <w:lang w:val="fr-FR"/>
        </w:rPr>
        <w:t>Il établit une distinction entre les contrefaçons et les imitations, car une approche adaptée est nécessaire pour faire face aux différents types de menaces que celles</w:t>
      </w:r>
      <w:r w:rsidR="00B151E5">
        <w:rPr>
          <w:shd w:val="clear" w:color="auto" w:fill="FFFFFF"/>
          <w:lang w:val="fr-FR"/>
        </w:rPr>
        <w:noBreakHyphen/>
      </w:r>
      <w:r w:rsidRPr="005C10B1">
        <w:rPr>
          <w:shd w:val="clear" w:color="auto" w:fill="FFFFFF"/>
          <w:lang w:val="fr-FR"/>
        </w:rPr>
        <w:t>ci peuvent poser aux entreprises et aux créateurs de mo</w:t>
      </w:r>
      <w:r w:rsidR="005C10B1" w:rsidRPr="005C10B1">
        <w:rPr>
          <w:shd w:val="clear" w:color="auto" w:fill="FFFFFF"/>
          <w:lang w:val="fr-FR"/>
        </w:rPr>
        <w:t>de.  Un</w:t>
      </w:r>
      <w:r w:rsidRPr="005C10B1">
        <w:rPr>
          <w:shd w:val="clear" w:color="auto" w:fill="FFFFFF"/>
          <w:lang w:val="fr-FR"/>
        </w:rPr>
        <w:t>e contrefaçon renvoie à la reproduction non autorisée d</w:t>
      </w:r>
      <w:r w:rsidR="00F26C6A" w:rsidRPr="005C10B1">
        <w:rPr>
          <w:shd w:val="clear" w:color="auto" w:fill="FFFFFF"/>
          <w:lang w:val="fr-FR"/>
        </w:rPr>
        <w:t>’</w:t>
      </w:r>
      <w:r w:rsidRPr="005C10B1">
        <w:rPr>
          <w:shd w:val="clear" w:color="auto" w:fill="FFFFFF"/>
          <w:lang w:val="fr-FR"/>
        </w:rPr>
        <w:t>un original, vendue avec l</w:t>
      </w:r>
      <w:r w:rsidR="00F26C6A" w:rsidRPr="005C10B1">
        <w:rPr>
          <w:shd w:val="clear" w:color="auto" w:fill="FFFFFF"/>
          <w:lang w:val="fr-FR"/>
        </w:rPr>
        <w:t>’</w:t>
      </w:r>
      <w:r w:rsidRPr="005C10B1">
        <w:rPr>
          <w:shd w:val="clear" w:color="auto" w:fill="FFFFFF"/>
          <w:lang w:val="fr-FR"/>
        </w:rPr>
        <w:t>intention de tromp</w:t>
      </w:r>
      <w:r w:rsidR="005C10B1" w:rsidRPr="005C10B1">
        <w:rPr>
          <w:shd w:val="clear" w:color="auto" w:fill="FFFFFF"/>
          <w:lang w:val="fr-FR"/>
        </w:rPr>
        <w:t>er.  En</w:t>
      </w:r>
      <w:r w:rsidRPr="005C10B1">
        <w:rPr>
          <w:shd w:val="clear" w:color="auto" w:fill="FFFFFF"/>
          <w:lang w:val="fr-FR"/>
        </w:rPr>
        <w:t xml:space="preserve"> revanche, une imitation consiste en une imitation d</w:t>
      </w:r>
      <w:r w:rsidR="00F26C6A" w:rsidRPr="005C10B1">
        <w:rPr>
          <w:shd w:val="clear" w:color="auto" w:fill="FFFFFF"/>
          <w:lang w:val="fr-FR"/>
        </w:rPr>
        <w:t>’</w:t>
      </w:r>
      <w:r w:rsidRPr="005C10B1">
        <w:rPr>
          <w:shd w:val="clear" w:color="auto" w:fill="FFFFFF"/>
          <w:lang w:val="fr-FR"/>
        </w:rPr>
        <w:t>éléments clés de l</w:t>
      </w:r>
      <w:r w:rsidR="00F26C6A" w:rsidRPr="005C10B1">
        <w:rPr>
          <w:shd w:val="clear" w:color="auto" w:fill="FFFFFF"/>
          <w:lang w:val="fr-FR"/>
        </w:rPr>
        <w:t>’</w:t>
      </w:r>
      <w:r w:rsidRPr="005C10B1">
        <w:rPr>
          <w:shd w:val="clear" w:color="auto" w:fill="FFFFFF"/>
          <w:lang w:val="fr-FR"/>
        </w:rPr>
        <w:t>original, sans intention de la faire passer pour l</w:t>
      </w:r>
      <w:r w:rsidR="00F26C6A" w:rsidRPr="005C10B1">
        <w:rPr>
          <w:shd w:val="clear" w:color="auto" w:fill="FFFFFF"/>
          <w:lang w:val="fr-FR"/>
        </w:rPr>
        <w:t>’</w:t>
      </w:r>
      <w:r w:rsidRPr="005C10B1">
        <w:rPr>
          <w:shd w:val="clear" w:color="auto" w:fill="FFFFFF"/>
          <w:lang w:val="fr-FR"/>
        </w:rPr>
        <w:t>original.</w:t>
      </w:r>
    </w:p>
    <w:p w14:paraId="2DE6EB1A" w14:textId="0B425375" w:rsidR="00F26C6A" w:rsidRPr="005C10B1" w:rsidRDefault="001631C4" w:rsidP="00B151E5">
      <w:pPr>
        <w:spacing w:after="240"/>
        <w:rPr>
          <w:shd w:val="clear" w:color="auto" w:fill="FFFFFF"/>
          <w:lang w:val="fr-FR"/>
        </w:rPr>
      </w:pPr>
      <w:r w:rsidRPr="005C10B1">
        <w:rPr>
          <w:shd w:val="clear" w:color="auto" w:fill="FFFFFF"/>
          <w:lang w:val="fr-FR"/>
        </w:rPr>
        <w:t>L</w:t>
      </w:r>
      <w:r w:rsidR="00F26C6A" w:rsidRPr="005C10B1">
        <w:rPr>
          <w:shd w:val="clear" w:color="auto" w:fill="FFFFFF"/>
          <w:lang w:val="fr-FR"/>
        </w:rPr>
        <w:t>’</w:t>
      </w:r>
      <w:r w:rsidRPr="005C10B1">
        <w:rPr>
          <w:shd w:val="clear" w:color="auto" w:fill="FFFFFF"/>
          <w:lang w:val="fr-FR"/>
        </w:rPr>
        <w:t>industrie de la mode comprend un large éventail de secteurs, et l</w:t>
      </w:r>
      <w:r w:rsidR="00F26C6A" w:rsidRPr="005C10B1">
        <w:rPr>
          <w:shd w:val="clear" w:color="auto" w:fill="FFFFFF"/>
          <w:lang w:val="fr-FR"/>
        </w:rPr>
        <w:t>’</w:t>
      </w:r>
      <w:r w:rsidRPr="005C10B1">
        <w:rPr>
          <w:shd w:val="clear" w:color="auto" w:fill="FFFFFF"/>
          <w:lang w:val="fr-FR"/>
        </w:rPr>
        <w:t>outil porte principalement sur les secteurs de l</w:t>
      </w:r>
      <w:r w:rsidR="00F26C6A" w:rsidRPr="005C10B1">
        <w:rPr>
          <w:shd w:val="clear" w:color="auto" w:fill="FFFFFF"/>
          <w:lang w:val="fr-FR"/>
        </w:rPr>
        <w:t>’</w:t>
      </w:r>
      <w:r w:rsidRPr="005C10B1">
        <w:rPr>
          <w:shd w:val="clear" w:color="auto" w:fill="FFFFFF"/>
          <w:lang w:val="fr-FR"/>
        </w:rPr>
        <w:t>habillement, de la confection et du textile</w:t>
      </w:r>
      <w:r w:rsidR="00B151E5">
        <w:rPr>
          <w:rStyle w:val="FootnoteReference"/>
          <w:shd w:val="clear" w:color="auto" w:fill="FFFFFF"/>
          <w:lang w:val="fr-FR"/>
        </w:rPr>
        <w:footnoteReference w:id="3"/>
      </w:r>
      <w:r w:rsidRPr="005C10B1">
        <w:rPr>
          <w:shd w:val="clear" w:color="auto" w:fill="FFFFFF"/>
          <w:lang w:val="fr-FR"/>
        </w:rPr>
        <w:t>, ainsi que sur les sacs à main, qui constituent une catégorie importante d</w:t>
      </w:r>
      <w:r w:rsidR="00F26C6A" w:rsidRPr="005C10B1">
        <w:rPr>
          <w:shd w:val="clear" w:color="auto" w:fill="FFFFFF"/>
          <w:lang w:val="fr-FR"/>
        </w:rPr>
        <w:t>’</w:t>
      </w:r>
      <w:r w:rsidRPr="005C10B1">
        <w:rPr>
          <w:shd w:val="clear" w:color="auto" w:fill="FFFFFF"/>
          <w:lang w:val="fr-FR"/>
        </w:rPr>
        <w:t>accessoir</w:t>
      </w:r>
      <w:r w:rsidR="005C10B1" w:rsidRPr="005C10B1">
        <w:rPr>
          <w:shd w:val="clear" w:color="auto" w:fill="FFFFFF"/>
          <w:lang w:val="fr-FR"/>
        </w:rPr>
        <w:t>es.  Ch</w:t>
      </w:r>
      <w:r w:rsidRPr="005C10B1">
        <w:rPr>
          <w:shd w:val="clear" w:color="auto" w:fill="FFFFFF"/>
          <w:lang w:val="fr-FR"/>
        </w:rPr>
        <w:t>aque secteur nécessite un ensemble différent de droits de propriété intellectuelle, et chacun de ces droits peut être utilisé pour protéger une facette d</w:t>
      </w:r>
      <w:r w:rsidR="00F26C6A" w:rsidRPr="005C10B1">
        <w:rPr>
          <w:shd w:val="clear" w:color="auto" w:fill="FFFFFF"/>
          <w:lang w:val="fr-FR"/>
        </w:rPr>
        <w:t>’</w:t>
      </w:r>
      <w:r w:rsidRPr="005C10B1">
        <w:rPr>
          <w:shd w:val="clear" w:color="auto" w:fill="FFFFFF"/>
          <w:lang w:val="fr-FR"/>
        </w:rPr>
        <w:t>un produit à différentes étapes de son cycle de vie.</w:t>
      </w:r>
    </w:p>
    <w:p w14:paraId="43697554" w14:textId="6BEF7852" w:rsidR="00F26C6A" w:rsidRPr="005C10B1" w:rsidRDefault="001631C4" w:rsidP="00B151E5">
      <w:pPr>
        <w:spacing w:after="240"/>
        <w:rPr>
          <w:color w:val="000000" w:themeColor="text1"/>
          <w:lang w:val="fr-FR"/>
        </w:rPr>
      </w:pPr>
      <w:r w:rsidRPr="005C10B1">
        <w:rPr>
          <w:shd w:val="clear" w:color="auto" w:fill="FFFFFF"/>
          <w:lang w:val="fr-FR"/>
        </w:rPr>
        <w:t>En conséquence, l</w:t>
      </w:r>
      <w:r w:rsidR="00F26C6A" w:rsidRPr="005C10B1">
        <w:rPr>
          <w:shd w:val="clear" w:color="auto" w:fill="FFFFFF"/>
          <w:lang w:val="fr-FR"/>
        </w:rPr>
        <w:t>’</w:t>
      </w:r>
      <w:r w:rsidRPr="005C10B1">
        <w:rPr>
          <w:shd w:val="clear" w:color="auto" w:fill="FFFFFF"/>
          <w:lang w:val="fr-FR"/>
        </w:rPr>
        <w:t>outil examine les droits de propriété intellectuelle susceptibles d</w:t>
      </w:r>
      <w:r w:rsidR="00F26C6A" w:rsidRPr="005C10B1">
        <w:rPr>
          <w:shd w:val="clear" w:color="auto" w:fill="FFFFFF"/>
          <w:lang w:val="fr-FR"/>
        </w:rPr>
        <w:t>’</w:t>
      </w:r>
      <w:r w:rsidRPr="005C10B1">
        <w:rPr>
          <w:shd w:val="clear" w:color="auto" w:fill="FFFFFF"/>
          <w:lang w:val="fr-FR"/>
        </w:rPr>
        <w:t>être utilisés pour protéger les actifs lors de la phase de conception et de mise au point précédant le lancement, qui est la phase initiale du cycle de vie d</w:t>
      </w:r>
      <w:r w:rsidR="00F26C6A" w:rsidRPr="005C10B1">
        <w:rPr>
          <w:shd w:val="clear" w:color="auto" w:fill="FFFFFF"/>
          <w:lang w:val="fr-FR"/>
        </w:rPr>
        <w:t>’</w:t>
      </w:r>
      <w:r w:rsidRPr="005C10B1">
        <w:rPr>
          <w:shd w:val="clear" w:color="auto" w:fill="FFFFFF"/>
          <w:lang w:val="fr-FR"/>
        </w:rPr>
        <w:t>un produit de mo</w:t>
      </w:r>
      <w:r w:rsidR="005C10B1" w:rsidRPr="005C10B1">
        <w:rPr>
          <w:shd w:val="clear" w:color="auto" w:fill="FFFFFF"/>
          <w:lang w:val="fr-FR"/>
        </w:rPr>
        <w:t>de.  Il</w:t>
      </w:r>
      <w:r w:rsidRPr="005C10B1">
        <w:rPr>
          <w:shd w:val="clear" w:color="auto" w:fill="FFFFFF"/>
          <w:lang w:val="fr-FR"/>
        </w:rPr>
        <w:t xml:space="preserve"> procède ensuite à une analyse du paysage de la propriété intellectuelle lors de la phase de commercialisation postérieure au lancement, en décrivant les droits de propriété intellectuelle pertinents et leur rôle à ce sta</w:t>
      </w:r>
      <w:r w:rsidR="005C10B1" w:rsidRPr="005C10B1">
        <w:rPr>
          <w:shd w:val="clear" w:color="auto" w:fill="FFFFFF"/>
          <w:lang w:val="fr-FR"/>
        </w:rPr>
        <w:t>de.  En</w:t>
      </w:r>
      <w:r w:rsidRPr="005C10B1">
        <w:rPr>
          <w:shd w:val="clear" w:color="auto" w:fill="FFFFFF"/>
          <w:lang w:val="fr-FR"/>
        </w:rPr>
        <w:t>fin, l</w:t>
      </w:r>
      <w:r w:rsidR="00F26C6A" w:rsidRPr="005C10B1">
        <w:rPr>
          <w:shd w:val="clear" w:color="auto" w:fill="FFFFFF"/>
          <w:lang w:val="fr-FR"/>
        </w:rPr>
        <w:t>’</w:t>
      </w:r>
      <w:r w:rsidRPr="005C10B1">
        <w:rPr>
          <w:shd w:val="clear" w:color="auto" w:fill="FFFFFF"/>
          <w:lang w:val="fr-FR"/>
        </w:rPr>
        <w:t>outil propose une grille d</w:t>
      </w:r>
      <w:r w:rsidR="00F26C6A" w:rsidRPr="005C10B1">
        <w:rPr>
          <w:shd w:val="clear" w:color="auto" w:fill="FFFFFF"/>
          <w:lang w:val="fr-FR"/>
        </w:rPr>
        <w:t>’</w:t>
      </w:r>
      <w:r w:rsidRPr="005C10B1">
        <w:rPr>
          <w:shd w:val="clear" w:color="auto" w:fill="FFFFFF"/>
          <w:lang w:val="fr-FR"/>
        </w:rPr>
        <w:t>atténuation des risques liés aux droits de propriété intellectuelle des tiers, que les entreprises doivent prendre en considération avant de se lancer dans la création et le lancement d</w:t>
      </w:r>
      <w:r w:rsidR="00F26C6A" w:rsidRPr="005C10B1">
        <w:rPr>
          <w:shd w:val="clear" w:color="auto" w:fill="FFFFFF"/>
          <w:lang w:val="fr-FR"/>
        </w:rPr>
        <w:t>’</w:t>
      </w:r>
      <w:r w:rsidRPr="005C10B1">
        <w:rPr>
          <w:shd w:val="clear" w:color="auto" w:fill="FFFFFF"/>
          <w:lang w:val="fr-FR"/>
        </w:rPr>
        <w:t>un nouveau produit de mo</w:t>
      </w:r>
      <w:r w:rsidR="005C10B1" w:rsidRPr="005C10B1">
        <w:rPr>
          <w:shd w:val="clear" w:color="auto" w:fill="FFFFFF"/>
          <w:lang w:val="fr-FR"/>
        </w:rPr>
        <w:t>de.  Un</w:t>
      </w:r>
      <w:r w:rsidRPr="005C10B1">
        <w:rPr>
          <w:shd w:val="clear" w:color="auto" w:fill="FFFFFF"/>
          <w:lang w:val="fr-FR"/>
        </w:rPr>
        <w:t>e liste de contrôle est également incluse afin de</w:t>
      </w:r>
      <w:r w:rsidRPr="005C10B1">
        <w:rPr>
          <w:lang w:val="fr-FR"/>
        </w:rPr>
        <w:t xml:space="preserve"> fournir aux entreprises du secteur de la mode une brève liste des principales questions de propriété intellectuelle dont il faut tenir compte tout au long du cycle de vie d</w:t>
      </w:r>
      <w:r w:rsidR="00F26C6A" w:rsidRPr="005C10B1">
        <w:rPr>
          <w:lang w:val="fr-FR"/>
        </w:rPr>
        <w:t>’</w:t>
      </w:r>
      <w:r w:rsidRPr="005C10B1">
        <w:rPr>
          <w:lang w:val="fr-FR"/>
        </w:rPr>
        <w:t>un produit de la mode.</w:t>
      </w:r>
    </w:p>
    <w:p w14:paraId="78BD9491" w14:textId="0ED60423" w:rsidR="001631C4" w:rsidRPr="005C10B1" w:rsidRDefault="001631C4" w:rsidP="00B151E5">
      <w:pPr>
        <w:keepNext/>
        <w:spacing w:after="240"/>
        <w:jc w:val="both"/>
        <w:rPr>
          <w:b/>
          <w:bCs/>
          <w:szCs w:val="22"/>
          <w:u w:val="single"/>
          <w:shd w:val="clear" w:color="auto" w:fill="FFFFFF"/>
          <w:lang w:val="fr-FR"/>
        </w:rPr>
      </w:pPr>
      <w:r w:rsidRPr="005C10B1">
        <w:rPr>
          <w:b/>
          <w:u w:val="single"/>
          <w:shd w:val="clear" w:color="auto" w:fill="FFFFFF"/>
          <w:lang w:val="fr-FR"/>
        </w:rPr>
        <w:lastRenderedPageBreak/>
        <w:t>Considérations importantes</w:t>
      </w:r>
    </w:p>
    <w:p w14:paraId="4C0C6966" w14:textId="63B410AD" w:rsidR="00F26C6A" w:rsidRPr="005C10B1" w:rsidRDefault="001631C4" w:rsidP="00B151E5">
      <w:pPr>
        <w:keepNext/>
        <w:rPr>
          <w:shd w:val="clear" w:color="auto" w:fill="FFFFFF"/>
          <w:lang w:val="fr-FR"/>
        </w:rPr>
      </w:pPr>
      <w:r w:rsidRPr="005C10B1">
        <w:rPr>
          <w:shd w:val="clear" w:color="auto" w:fill="FFFFFF"/>
          <w:lang w:val="fr-FR"/>
        </w:rPr>
        <w:t>Les enseignements clés à tirer des principales phases du cycle de vie des produits de la mode sont les suivants</w:t>
      </w:r>
      <w:r w:rsidR="00F26C6A" w:rsidRPr="005C10B1">
        <w:rPr>
          <w:shd w:val="clear" w:color="auto" w:fill="FFFFFF"/>
          <w:lang w:val="fr-FR"/>
        </w:rPr>
        <w:t> :</w:t>
      </w:r>
    </w:p>
    <w:p w14:paraId="4B268443" w14:textId="77777777" w:rsidR="00F26C6A" w:rsidRPr="005C10B1" w:rsidRDefault="001631C4" w:rsidP="00B151E5">
      <w:pPr>
        <w:spacing w:before="240" w:after="240"/>
        <w:jc w:val="both"/>
        <w:rPr>
          <w:i/>
          <w:lang w:val="fr-FR"/>
        </w:rPr>
      </w:pPr>
      <w:r w:rsidRPr="005C10B1">
        <w:rPr>
          <w:i/>
          <w:lang w:val="fr-FR"/>
        </w:rPr>
        <w:t>Conception, élaboration et mise au point</w:t>
      </w:r>
    </w:p>
    <w:p w14:paraId="44ACF82B" w14:textId="4F66ADBF" w:rsidR="001631C4" w:rsidRPr="005C10B1" w:rsidRDefault="001631C4" w:rsidP="00B151E5">
      <w:pPr>
        <w:pStyle w:val="ListParagraph"/>
        <w:numPr>
          <w:ilvl w:val="0"/>
          <w:numId w:val="7"/>
        </w:numPr>
        <w:ind w:left="1134" w:hanging="567"/>
        <w:contextualSpacing w:val="0"/>
        <w:rPr>
          <w:rFonts w:ascii="Arial" w:hAnsi="Arial" w:cs="Arial"/>
          <w:sz w:val="22"/>
          <w:szCs w:val="22"/>
        </w:rPr>
      </w:pPr>
      <w:r w:rsidRPr="005C10B1">
        <w:rPr>
          <w:rFonts w:ascii="Arial" w:hAnsi="Arial"/>
          <w:sz w:val="22"/>
        </w:rPr>
        <w:t>Garantir l</w:t>
      </w:r>
      <w:r w:rsidR="00F26C6A" w:rsidRPr="005C10B1">
        <w:rPr>
          <w:rFonts w:ascii="Arial" w:hAnsi="Arial"/>
          <w:sz w:val="22"/>
        </w:rPr>
        <w:t>’</w:t>
      </w:r>
      <w:r w:rsidRPr="005C10B1">
        <w:rPr>
          <w:rFonts w:ascii="Arial" w:hAnsi="Arial"/>
          <w:sz w:val="22"/>
        </w:rPr>
        <w:t>adoption et la mise en œuvre d</w:t>
      </w:r>
      <w:r w:rsidR="00F26C6A" w:rsidRPr="005C10B1">
        <w:rPr>
          <w:rFonts w:ascii="Arial" w:hAnsi="Arial"/>
          <w:sz w:val="22"/>
        </w:rPr>
        <w:t>’</w:t>
      </w:r>
      <w:r w:rsidRPr="005C10B1">
        <w:rPr>
          <w:rFonts w:ascii="Arial" w:hAnsi="Arial"/>
          <w:sz w:val="22"/>
        </w:rPr>
        <w:t>une politique relative aux secrets d</w:t>
      </w:r>
      <w:r w:rsidR="00F26C6A" w:rsidRPr="005C10B1">
        <w:rPr>
          <w:rFonts w:ascii="Arial" w:hAnsi="Arial"/>
          <w:sz w:val="22"/>
        </w:rPr>
        <w:t>’</w:t>
      </w:r>
      <w:r w:rsidRPr="005C10B1">
        <w:rPr>
          <w:rFonts w:ascii="Arial" w:hAnsi="Arial"/>
          <w:sz w:val="22"/>
        </w:rPr>
        <w:t>affaires, couvrant les clauses de non</w:t>
      </w:r>
      <w:r w:rsidR="00B151E5">
        <w:rPr>
          <w:rFonts w:ascii="Arial" w:hAnsi="Arial"/>
          <w:sz w:val="22"/>
        </w:rPr>
        <w:noBreakHyphen/>
      </w:r>
      <w:r w:rsidRPr="005C10B1">
        <w:rPr>
          <w:rFonts w:ascii="Arial" w:hAnsi="Arial"/>
          <w:sz w:val="22"/>
        </w:rPr>
        <w:t>divulgation dans les contrats de travail, ainsi que les accords pertinents avec des tiers (par exemple, la faisabilité de la production en sous</w:t>
      </w:r>
      <w:r w:rsidR="00B151E5">
        <w:rPr>
          <w:rFonts w:ascii="Arial" w:hAnsi="Arial"/>
          <w:sz w:val="22"/>
        </w:rPr>
        <w:noBreakHyphen/>
      </w:r>
      <w:r w:rsidRPr="005C10B1">
        <w:rPr>
          <w:rFonts w:ascii="Arial" w:hAnsi="Arial"/>
          <w:sz w:val="22"/>
        </w:rPr>
        <w:t>traitance).</w:t>
      </w:r>
    </w:p>
    <w:p w14:paraId="4308643D" w14:textId="073F484F" w:rsidR="00F26C6A" w:rsidRPr="005C10B1" w:rsidRDefault="001631C4" w:rsidP="00B151E5">
      <w:pPr>
        <w:pStyle w:val="ListParagraph"/>
        <w:numPr>
          <w:ilvl w:val="0"/>
          <w:numId w:val="7"/>
        </w:numPr>
        <w:ind w:left="1134" w:hanging="567"/>
        <w:contextualSpacing w:val="0"/>
        <w:rPr>
          <w:rFonts w:ascii="Arial" w:hAnsi="Arial"/>
          <w:sz w:val="22"/>
        </w:rPr>
      </w:pPr>
      <w:r w:rsidRPr="005C10B1">
        <w:rPr>
          <w:rFonts w:ascii="Arial" w:hAnsi="Arial"/>
          <w:sz w:val="22"/>
        </w:rPr>
        <w:t xml:space="preserve">Mettre en œuvre une politique claire de documentation complète du processus de conception (trace écrite), </w:t>
      </w:r>
      <w:r w:rsidR="00F26C6A" w:rsidRPr="005C10B1">
        <w:rPr>
          <w:rFonts w:ascii="Arial" w:hAnsi="Arial"/>
          <w:sz w:val="22"/>
        </w:rPr>
        <w:t>y compris</w:t>
      </w:r>
      <w:r w:rsidRPr="005C10B1">
        <w:rPr>
          <w:rFonts w:ascii="Arial" w:hAnsi="Arial"/>
          <w:sz w:val="22"/>
        </w:rPr>
        <w:t xml:space="preserve"> ses différentes phases, le personnel concerné, les dates, les photos et autres traces des étapes clés du processus de conception.</w:t>
      </w:r>
    </w:p>
    <w:p w14:paraId="25FA723C" w14:textId="361DF441" w:rsidR="00F26C6A" w:rsidRPr="005C10B1" w:rsidRDefault="001631C4" w:rsidP="00B151E5">
      <w:pPr>
        <w:pStyle w:val="ListParagraph"/>
        <w:numPr>
          <w:ilvl w:val="0"/>
          <w:numId w:val="7"/>
        </w:numPr>
        <w:ind w:left="1134" w:hanging="567"/>
        <w:contextualSpacing w:val="0"/>
        <w:rPr>
          <w:rFonts w:ascii="Arial" w:hAnsi="Arial"/>
          <w:sz w:val="22"/>
        </w:rPr>
      </w:pPr>
      <w:r w:rsidRPr="005C10B1">
        <w:rPr>
          <w:rFonts w:ascii="Arial" w:hAnsi="Arial"/>
          <w:sz w:val="22"/>
        </w:rPr>
        <w:t>Si possible, opter pour l</w:t>
      </w:r>
      <w:r w:rsidR="00F26C6A" w:rsidRPr="005C10B1">
        <w:rPr>
          <w:rFonts w:ascii="Arial" w:hAnsi="Arial"/>
          <w:sz w:val="22"/>
        </w:rPr>
        <w:t>’</w:t>
      </w:r>
      <w:r w:rsidRPr="005C10B1">
        <w:rPr>
          <w:rFonts w:ascii="Arial" w:hAnsi="Arial"/>
          <w:sz w:val="22"/>
        </w:rPr>
        <w:t>enregistrement du droit d</w:t>
      </w:r>
      <w:r w:rsidR="00F26C6A" w:rsidRPr="005C10B1">
        <w:rPr>
          <w:rFonts w:ascii="Arial" w:hAnsi="Arial"/>
          <w:sz w:val="22"/>
        </w:rPr>
        <w:t>’</w:t>
      </w:r>
      <w:r w:rsidRPr="005C10B1">
        <w:rPr>
          <w:rFonts w:ascii="Arial" w:hAnsi="Arial"/>
          <w:sz w:val="22"/>
        </w:rPr>
        <w:t>auteur.</w:t>
      </w:r>
    </w:p>
    <w:p w14:paraId="70E3B466" w14:textId="71F2DEF5" w:rsidR="00F26C6A" w:rsidRPr="005C10B1" w:rsidRDefault="001631C4" w:rsidP="00B151E5">
      <w:pPr>
        <w:pStyle w:val="ListParagraph"/>
        <w:numPr>
          <w:ilvl w:val="0"/>
          <w:numId w:val="7"/>
        </w:numPr>
        <w:ind w:left="1134" w:hanging="567"/>
        <w:contextualSpacing w:val="0"/>
        <w:rPr>
          <w:rFonts w:ascii="Arial" w:hAnsi="Arial"/>
          <w:sz w:val="22"/>
        </w:rPr>
      </w:pPr>
      <w:r w:rsidRPr="005C10B1">
        <w:rPr>
          <w:rFonts w:ascii="Arial" w:hAnsi="Arial"/>
          <w:sz w:val="22"/>
        </w:rPr>
        <w:t>Déposer des demandes d</w:t>
      </w:r>
      <w:r w:rsidR="00F26C6A" w:rsidRPr="005C10B1">
        <w:rPr>
          <w:rFonts w:ascii="Arial" w:hAnsi="Arial"/>
          <w:sz w:val="22"/>
        </w:rPr>
        <w:t>’</w:t>
      </w:r>
      <w:r w:rsidRPr="005C10B1">
        <w:rPr>
          <w:rFonts w:ascii="Arial" w:hAnsi="Arial"/>
          <w:sz w:val="22"/>
        </w:rPr>
        <w:t>enregistrement de marques.</w:t>
      </w:r>
    </w:p>
    <w:p w14:paraId="0C73E857" w14:textId="397D0078" w:rsidR="001631C4" w:rsidRPr="005C10B1" w:rsidRDefault="001631C4" w:rsidP="00B151E5">
      <w:pPr>
        <w:pStyle w:val="ListParagraph"/>
        <w:numPr>
          <w:ilvl w:val="0"/>
          <w:numId w:val="7"/>
        </w:numPr>
        <w:ind w:left="1134" w:hanging="567"/>
        <w:contextualSpacing w:val="0"/>
        <w:rPr>
          <w:rFonts w:ascii="Arial" w:hAnsi="Arial" w:cs="Arial"/>
          <w:sz w:val="22"/>
          <w:szCs w:val="22"/>
        </w:rPr>
      </w:pPr>
      <w:r w:rsidRPr="005C10B1">
        <w:rPr>
          <w:rFonts w:ascii="Arial" w:hAnsi="Arial"/>
          <w:sz w:val="22"/>
        </w:rPr>
        <w:t xml:space="preserve">Déposer des demandes de droits de dessin ou modèle (ou des demandes de </w:t>
      </w:r>
      <w:r w:rsidR="00FE2C7F" w:rsidRPr="005C10B1">
        <w:rPr>
          <w:rFonts w:ascii="Arial" w:hAnsi="Arial"/>
          <w:sz w:val="22"/>
        </w:rPr>
        <w:t>brevet</w:t>
      </w:r>
      <w:r w:rsidRPr="005C10B1">
        <w:rPr>
          <w:rFonts w:ascii="Arial" w:hAnsi="Arial"/>
          <w:sz w:val="22"/>
        </w:rPr>
        <w:t xml:space="preserve"> de dessin ou modèle, selon le cas), en tenant compte du critère de nouveauté et en veillant à ce que l</w:t>
      </w:r>
      <w:r w:rsidR="00F26C6A" w:rsidRPr="005C10B1">
        <w:rPr>
          <w:rFonts w:ascii="Arial" w:hAnsi="Arial"/>
          <w:sz w:val="22"/>
        </w:rPr>
        <w:t>’</w:t>
      </w:r>
      <w:r w:rsidRPr="005C10B1">
        <w:rPr>
          <w:rFonts w:ascii="Arial" w:hAnsi="Arial"/>
          <w:sz w:val="22"/>
        </w:rPr>
        <w:t>entreprise ne détruise pas la nouveauté avant la divulgation.</w:t>
      </w:r>
    </w:p>
    <w:p w14:paraId="55A4F8A4" w14:textId="5D27E210" w:rsidR="001631C4" w:rsidRPr="005C10B1" w:rsidRDefault="001631C4" w:rsidP="00B151E5">
      <w:pPr>
        <w:pStyle w:val="ListParagraph"/>
        <w:numPr>
          <w:ilvl w:val="0"/>
          <w:numId w:val="7"/>
        </w:numPr>
        <w:ind w:left="1134" w:hanging="567"/>
        <w:contextualSpacing w:val="0"/>
        <w:rPr>
          <w:rFonts w:ascii="Arial" w:hAnsi="Arial" w:cs="Arial"/>
          <w:sz w:val="22"/>
          <w:szCs w:val="22"/>
        </w:rPr>
      </w:pPr>
      <w:r w:rsidRPr="005C10B1">
        <w:rPr>
          <w:rFonts w:ascii="Arial" w:hAnsi="Arial"/>
          <w:sz w:val="22"/>
        </w:rPr>
        <w:t>Dans les cas où les droits de dessin ou modèle non enregistrés de l</w:t>
      </w:r>
      <w:r w:rsidR="00F26C6A" w:rsidRPr="005C10B1">
        <w:rPr>
          <w:rFonts w:ascii="Arial" w:hAnsi="Arial"/>
          <w:sz w:val="22"/>
        </w:rPr>
        <w:t>’</w:t>
      </w:r>
      <w:r w:rsidRPr="005C10B1">
        <w:rPr>
          <w:rFonts w:ascii="Arial" w:hAnsi="Arial"/>
          <w:sz w:val="22"/>
        </w:rPr>
        <w:t>Union européenne ou au Royaume</w:t>
      </w:r>
      <w:r w:rsidR="00B151E5">
        <w:rPr>
          <w:rFonts w:ascii="Arial" w:hAnsi="Arial"/>
          <w:sz w:val="22"/>
        </w:rPr>
        <w:noBreakHyphen/>
      </w:r>
      <w:r w:rsidRPr="005C10B1">
        <w:rPr>
          <w:rFonts w:ascii="Arial" w:hAnsi="Arial"/>
          <w:sz w:val="22"/>
        </w:rPr>
        <w:t>Uni peuvent être pertinents (du fait que leurs marchés peuvent être des territoires importants pour la commercialisation), considérer l</w:t>
      </w:r>
      <w:r w:rsidR="00F26C6A" w:rsidRPr="005C10B1">
        <w:rPr>
          <w:rFonts w:ascii="Arial" w:hAnsi="Arial"/>
          <w:sz w:val="22"/>
        </w:rPr>
        <w:t>’</w:t>
      </w:r>
      <w:r w:rsidRPr="005C10B1">
        <w:rPr>
          <w:rFonts w:ascii="Arial" w:hAnsi="Arial"/>
          <w:sz w:val="22"/>
        </w:rPr>
        <w:t>exigence de première divulgation publique dans ces territoires comme une condition préalable à la protection.</w:t>
      </w:r>
    </w:p>
    <w:p w14:paraId="56C298DB" w14:textId="3C189A6A" w:rsidR="00F26C6A" w:rsidRPr="005C10B1" w:rsidRDefault="001631C4" w:rsidP="00B151E5">
      <w:pPr>
        <w:pStyle w:val="ListParagraph"/>
        <w:numPr>
          <w:ilvl w:val="0"/>
          <w:numId w:val="7"/>
        </w:numPr>
        <w:ind w:left="1134" w:hanging="567"/>
        <w:contextualSpacing w:val="0"/>
        <w:rPr>
          <w:rFonts w:ascii="Arial" w:hAnsi="Arial"/>
          <w:sz w:val="22"/>
        </w:rPr>
      </w:pPr>
      <w:r w:rsidRPr="005C10B1">
        <w:rPr>
          <w:rFonts w:ascii="Arial" w:hAnsi="Arial"/>
          <w:sz w:val="22"/>
        </w:rPr>
        <w:t>Envisager la protection par brevet lorsqu</w:t>
      </w:r>
      <w:r w:rsidR="00F26C6A" w:rsidRPr="005C10B1">
        <w:rPr>
          <w:rFonts w:ascii="Arial" w:hAnsi="Arial"/>
          <w:sz w:val="22"/>
        </w:rPr>
        <w:t>’</w:t>
      </w:r>
      <w:r w:rsidRPr="005C10B1">
        <w:rPr>
          <w:rFonts w:ascii="Arial" w:hAnsi="Arial"/>
          <w:sz w:val="22"/>
        </w:rPr>
        <w:t>il y a lieu (bien que cela ne soit que dans une minorité de cas).</w:t>
      </w:r>
    </w:p>
    <w:p w14:paraId="73C5E9D6" w14:textId="1548F745" w:rsidR="00F26C6A" w:rsidRPr="005C10B1" w:rsidRDefault="001631C4" w:rsidP="00B151E5">
      <w:pPr>
        <w:pStyle w:val="ListParagraph"/>
        <w:numPr>
          <w:ilvl w:val="0"/>
          <w:numId w:val="7"/>
        </w:numPr>
        <w:spacing w:after="240"/>
        <w:ind w:left="1134" w:hanging="567"/>
        <w:contextualSpacing w:val="0"/>
        <w:rPr>
          <w:rFonts w:ascii="Arial" w:hAnsi="Arial"/>
          <w:sz w:val="22"/>
        </w:rPr>
      </w:pPr>
      <w:r w:rsidRPr="005C10B1">
        <w:rPr>
          <w:rFonts w:ascii="Arial" w:hAnsi="Arial"/>
          <w:sz w:val="22"/>
        </w:rPr>
        <w:t xml:space="preserve">Régler tout conflit potentiel avec des droits antérieurs de tiers avant de lancer des produits ou des services (et chercher à enregistrer des droits de propriété intellectuelle </w:t>
      </w:r>
      <w:r w:rsidR="00F26C6A" w:rsidRPr="005C10B1">
        <w:rPr>
          <w:rFonts w:ascii="Arial" w:hAnsi="Arial"/>
          <w:sz w:val="22"/>
        </w:rPr>
        <w:t>à l’égard</w:t>
      </w:r>
      <w:r w:rsidRPr="005C10B1">
        <w:rPr>
          <w:rFonts w:ascii="Arial" w:hAnsi="Arial"/>
          <w:sz w:val="22"/>
        </w:rPr>
        <w:t xml:space="preserve"> de ces produits ou services)</w:t>
      </w:r>
      <w:r w:rsidR="00076E66">
        <w:rPr>
          <w:rFonts w:ascii="Arial" w:hAnsi="Arial"/>
          <w:sz w:val="22"/>
        </w:rPr>
        <w:t>.</w:t>
      </w:r>
    </w:p>
    <w:p w14:paraId="317AF32D" w14:textId="77777777" w:rsidR="00F26C6A" w:rsidRPr="005C10B1" w:rsidRDefault="001631C4" w:rsidP="00B151E5">
      <w:pPr>
        <w:spacing w:after="240"/>
        <w:jc w:val="both"/>
        <w:rPr>
          <w:i/>
          <w:lang w:val="fr-FR"/>
        </w:rPr>
      </w:pPr>
      <w:r w:rsidRPr="005C10B1">
        <w:rPr>
          <w:i/>
          <w:lang w:val="fr-FR"/>
        </w:rPr>
        <w:t>Lancement et commercialisation</w:t>
      </w:r>
    </w:p>
    <w:p w14:paraId="443F36CB" w14:textId="7C374666" w:rsidR="00F26C6A" w:rsidRPr="005C10B1" w:rsidRDefault="001631C4" w:rsidP="00B151E5">
      <w:pPr>
        <w:pStyle w:val="ListParagraph"/>
        <w:numPr>
          <w:ilvl w:val="0"/>
          <w:numId w:val="8"/>
        </w:numPr>
        <w:ind w:left="1134" w:hanging="567"/>
        <w:contextualSpacing w:val="0"/>
        <w:rPr>
          <w:rFonts w:ascii="Arial" w:hAnsi="Arial"/>
          <w:sz w:val="22"/>
        </w:rPr>
      </w:pPr>
      <w:r w:rsidRPr="005C10B1">
        <w:rPr>
          <w:rFonts w:ascii="Arial" w:hAnsi="Arial"/>
          <w:sz w:val="22"/>
        </w:rPr>
        <w:t>Après le lancement, surveiller l</w:t>
      </w:r>
      <w:r w:rsidR="00F26C6A" w:rsidRPr="005C10B1">
        <w:rPr>
          <w:rFonts w:ascii="Arial" w:hAnsi="Arial"/>
          <w:sz w:val="22"/>
        </w:rPr>
        <w:t>’</w:t>
      </w:r>
      <w:r w:rsidRPr="005C10B1">
        <w:rPr>
          <w:rFonts w:ascii="Arial" w:hAnsi="Arial"/>
          <w:sz w:val="22"/>
        </w:rPr>
        <w:t>utilisation par des tiers du dessin ou modèle ou de l</w:t>
      </w:r>
      <w:r w:rsidR="00F26C6A" w:rsidRPr="005C10B1">
        <w:rPr>
          <w:rFonts w:ascii="Arial" w:hAnsi="Arial"/>
          <w:sz w:val="22"/>
        </w:rPr>
        <w:t>’</w:t>
      </w:r>
      <w:r w:rsidRPr="005C10B1">
        <w:rPr>
          <w:rFonts w:ascii="Arial" w:hAnsi="Arial"/>
          <w:sz w:val="22"/>
        </w:rPr>
        <w:t>un quelconque de ses éléments clés.</w:t>
      </w:r>
    </w:p>
    <w:p w14:paraId="6FB5AD61" w14:textId="0B87CB65" w:rsidR="00F26C6A" w:rsidRPr="005C10B1" w:rsidRDefault="001631C4" w:rsidP="00B151E5">
      <w:pPr>
        <w:pStyle w:val="ListParagraph"/>
        <w:numPr>
          <w:ilvl w:val="0"/>
          <w:numId w:val="8"/>
        </w:numPr>
        <w:ind w:left="1134" w:hanging="567"/>
        <w:contextualSpacing w:val="0"/>
        <w:rPr>
          <w:rFonts w:ascii="Arial" w:hAnsi="Arial"/>
          <w:sz w:val="22"/>
          <w:shd w:val="clear" w:color="auto" w:fill="FFFFFF"/>
        </w:rPr>
      </w:pPr>
      <w:r w:rsidRPr="005C10B1">
        <w:rPr>
          <w:rFonts w:ascii="Arial" w:hAnsi="Arial"/>
          <w:sz w:val="22"/>
        </w:rPr>
        <w:t xml:space="preserve">Effectuer un suivi et une veille sur une base </w:t>
      </w:r>
      <w:r w:rsidRPr="005C10B1">
        <w:rPr>
          <w:rFonts w:ascii="Arial" w:hAnsi="Arial"/>
          <w:i/>
          <w:iCs/>
          <w:sz w:val="22"/>
        </w:rPr>
        <w:t>ad</w:t>
      </w:r>
      <w:r w:rsidR="00FE2C7F" w:rsidRPr="005C10B1">
        <w:rPr>
          <w:rFonts w:ascii="Arial" w:hAnsi="Arial"/>
          <w:i/>
          <w:iCs/>
          <w:sz w:val="22"/>
        </w:rPr>
        <w:t> </w:t>
      </w:r>
      <w:r w:rsidRPr="005C10B1">
        <w:rPr>
          <w:rFonts w:ascii="Arial" w:hAnsi="Arial"/>
          <w:i/>
          <w:iCs/>
          <w:sz w:val="22"/>
        </w:rPr>
        <w:t>hoc</w:t>
      </w:r>
      <w:r w:rsidRPr="005C10B1">
        <w:rPr>
          <w:rFonts w:ascii="Arial" w:hAnsi="Arial"/>
          <w:sz w:val="22"/>
        </w:rPr>
        <w:t xml:space="preserve"> ou de manière plus systématique en s</w:t>
      </w:r>
      <w:r w:rsidR="00F26C6A" w:rsidRPr="005C10B1">
        <w:rPr>
          <w:rFonts w:ascii="Arial" w:hAnsi="Arial"/>
          <w:sz w:val="22"/>
        </w:rPr>
        <w:t>’</w:t>
      </w:r>
      <w:r w:rsidRPr="005C10B1">
        <w:rPr>
          <w:rFonts w:ascii="Arial" w:hAnsi="Arial"/>
          <w:sz w:val="22"/>
        </w:rPr>
        <w:t xml:space="preserve">abonnant à un service de surveillance des </w:t>
      </w:r>
      <w:r w:rsidRPr="005C10B1">
        <w:rPr>
          <w:rFonts w:ascii="Arial" w:hAnsi="Arial"/>
          <w:sz w:val="22"/>
          <w:shd w:val="clear" w:color="auto" w:fill="FFFFFF"/>
        </w:rPr>
        <w:t>noms de domaine/marques, afin d</w:t>
      </w:r>
      <w:r w:rsidR="00F26C6A" w:rsidRPr="005C10B1">
        <w:rPr>
          <w:rFonts w:ascii="Arial" w:hAnsi="Arial"/>
          <w:sz w:val="22"/>
          <w:shd w:val="clear" w:color="auto" w:fill="FFFFFF"/>
        </w:rPr>
        <w:t>’</w:t>
      </w:r>
      <w:r w:rsidRPr="005C10B1">
        <w:rPr>
          <w:rFonts w:ascii="Arial" w:hAnsi="Arial"/>
          <w:sz w:val="22"/>
          <w:shd w:val="clear" w:color="auto" w:fill="FFFFFF"/>
        </w:rPr>
        <w:t>être informé de la publication d</w:t>
      </w:r>
      <w:r w:rsidR="00F26C6A" w:rsidRPr="005C10B1">
        <w:rPr>
          <w:rFonts w:ascii="Arial" w:hAnsi="Arial"/>
          <w:sz w:val="22"/>
          <w:shd w:val="clear" w:color="auto" w:fill="FFFFFF"/>
        </w:rPr>
        <w:t>’</w:t>
      </w:r>
      <w:r w:rsidRPr="005C10B1">
        <w:rPr>
          <w:rFonts w:ascii="Arial" w:hAnsi="Arial"/>
          <w:sz w:val="22"/>
          <w:shd w:val="clear" w:color="auto" w:fill="FFFFFF"/>
        </w:rPr>
        <w:t>un élément identique ou similaire au point de prêter à confusion.</w:t>
      </w:r>
    </w:p>
    <w:p w14:paraId="2D88DD87" w14:textId="5723CE70" w:rsidR="001631C4" w:rsidRPr="005C10B1" w:rsidRDefault="001631C4" w:rsidP="00B151E5">
      <w:pPr>
        <w:pStyle w:val="ListParagraph"/>
        <w:numPr>
          <w:ilvl w:val="0"/>
          <w:numId w:val="8"/>
        </w:numPr>
        <w:ind w:left="1134" w:hanging="567"/>
        <w:contextualSpacing w:val="0"/>
        <w:rPr>
          <w:rFonts w:ascii="Arial" w:hAnsi="Arial" w:cs="Arial"/>
          <w:sz w:val="22"/>
          <w:szCs w:val="22"/>
          <w:shd w:val="clear" w:color="auto" w:fill="FFFFFF"/>
        </w:rPr>
      </w:pPr>
      <w:r w:rsidRPr="005C10B1">
        <w:rPr>
          <w:rFonts w:ascii="Arial" w:hAnsi="Arial"/>
          <w:sz w:val="22"/>
          <w:shd w:val="clear" w:color="auto" w:fill="FFFFFF"/>
        </w:rPr>
        <w:t>Les propriétaires de marques peuvent envisager de s</w:t>
      </w:r>
      <w:r w:rsidR="00F26C6A" w:rsidRPr="005C10B1">
        <w:rPr>
          <w:rFonts w:ascii="Arial" w:hAnsi="Arial"/>
          <w:sz w:val="22"/>
          <w:shd w:val="clear" w:color="auto" w:fill="FFFFFF"/>
        </w:rPr>
        <w:t>’</w:t>
      </w:r>
      <w:r w:rsidRPr="005C10B1">
        <w:rPr>
          <w:rFonts w:ascii="Arial" w:hAnsi="Arial"/>
          <w:sz w:val="22"/>
          <w:shd w:val="clear" w:color="auto" w:fill="FFFFFF"/>
        </w:rPr>
        <w:t>abonner à un service de surveillance de l</w:t>
      </w:r>
      <w:r w:rsidR="00F26C6A" w:rsidRPr="005C10B1">
        <w:rPr>
          <w:rFonts w:ascii="Arial" w:hAnsi="Arial"/>
          <w:sz w:val="22"/>
          <w:shd w:val="clear" w:color="auto" w:fill="FFFFFF"/>
        </w:rPr>
        <w:t>’</w:t>
      </w:r>
      <w:r w:rsidRPr="005C10B1">
        <w:rPr>
          <w:rFonts w:ascii="Arial" w:hAnsi="Arial"/>
          <w:sz w:val="22"/>
          <w:shd w:val="clear" w:color="auto" w:fill="FFFFFF"/>
        </w:rPr>
        <w:t>Internet, qui contrôle les circuits et plateformes numériques pour détecter les contrefaçons et les produits non autorisés.</w:t>
      </w:r>
    </w:p>
    <w:p w14:paraId="70CD1DA9" w14:textId="66EA274D" w:rsidR="00F26C6A" w:rsidRPr="005C10B1" w:rsidRDefault="001631C4" w:rsidP="00B151E5">
      <w:pPr>
        <w:pStyle w:val="ListParagraph"/>
        <w:numPr>
          <w:ilvl w:val="0"/>
          <w:numId w:val="8"/>
        </w:numPr>
        <w:spacing w:after="240"/>
        <w:ind w:left="1134" w:hanging="567"/>
        <w:contextualSpacing w:val="0"/>
        <w:rPr>
          <w:rFonts w:ascii="Arial" w:hAnsi="Arial"/>
          <w:sz w:val="22"/>
          <w:shd w:val="clear" w:color="auto" w:fill="FFFFFF"/>
        </w:rPr>
      </w:pPr>
      <w:r w:rsidRPr="005C10B1">
        <w:rPr>
          <w:rFonts w:ascii="Arial" w:hAnsi="Arial"/>
          <w:sz w:val="22"/>
          <w:shd w:val="clear" w:color="auto" w:fill="FFFFFF"/>
        </w:rPr>
        <w:t>Demander aux autorités douanières et de surveillance des frontières une protection contre les atteintes aux droits de propriété intellectuelle sur les importations et exportations vers les territoires concernés (cette possibilité est offerte aux propriétaires de marques ou de dessins et modèles, aux titulaires de brevets et, parfois, aux détenteurs du droit d</w:t>
      </w:r>
      <w:r w:rsidR="00F26C6A" w:rsidRPr="005C10B1">
        <w:rPr>
          <w:rFonts w:ascii="Arial" w:hAnsi="Arial"/>
          <w:sz w:val="22"/>
          <w:shd w:val="clear" w:color="auto" w:fill="FFFFFF"/>
        </w:rPr>
        <w:t>’</w:t>
      </w:r>
      <w:r w:rsidRPr="005C10B1">
        <w:rPr>
          <w:rFonts w:ascii="Arial" w:hAnsi="Arial"/>
          <w:sz w:val="22"/>
          <w:shd w:val="clear" w:color="auto" w:fill="FFFFFF"/>
        </w:rPr>
        <w:t>auteur).</w:t>
      </w:r>
    </w:p>
    <w:p w14:paraId="0240900B" w14:textId="08FC16CA" w:rsidR="00F26C6A" w:rsidRPr="005C10B1" w:rsidRDefault="001631C4" w:rsidP="00B151E5">
      <w:pPr>
        <w:rPr>
          <w:lang w:val="fr-FR"/>
        </w:rPr>
      </w:pPr>
      <w:r w:rsidRPr="005C10B1">
        <w:rPr>
          <w:lang w:val="fr-FR"/>
        </w:rPr>
        <w:t>La version complète de l</w:t>
      </w:r>
      <w:r w:rsidR="00F26C6A" w:rsidRPr="005C10B1">
        <w:rPr>
          <w:lang w:val="fr-FR"/>
        </w:rPr>
        <w:t>’</w:t>
      </w:r>
      <w:r w:rsidRPr="005C10B1">
        <w:rPr>
          <w:lang w:val="fr-FR"/>
        </w:rPr>
        <w:t>outil est disponible à l</w:t>
      </w:r>
      <w:r w:rsidR="00F26C6A" w:rsidRPr="005C10B1">
        <w:rPr>
          <w:lang w:val="fr-FR"/>
        </w:rPr>
        <w:t>’</w:t>
      </w:r>
      <w:r w:rsidRPr="005C10B1">
        <w:rPr>
          <w:lang w:val="fr-FR"/>
        </w:rPr>
        <w:t>adresse</w:t>
      </w:r>
      <w:r w:rsidR="00B151E5">
        <w:rPr>
          <w:lang w:val="fr-FR"/>
        </w:rPr>
        <w:t xml:space="preserve"> suivante :</w:t>
      </w:r>
    </w:p>
    <w:p w14:paraId="4683FD32" w14:textId="046747DB" w:rsidR="00F26C6A" w:rsidRPr="00B151E5" w:rsidRDefault="0039417C" w:rsidP="00B151E5">
      <w:pPr>
        <w:rPr>
          <w:szCs w:val="22"/>
          <w:lang w:val="fr-FR"/>
        </w:rPr>
      </w:pPr>
      <w:hyperlink r:id="rId15" w:history="1">
        <w:r w:rsidR="00B151E5" w:rsidRPr="00697CC3">
          <w:rPr>
            <w:rStyle w:val="Hyperlink"/>
            <w:szCs w:val="22"/>
            <w:lang w:val="fr-FR"/>
          </w:rPr>
          <w:t>http://www</w:t>
        </w:r>
        <w:r w:rsidR="00B151E5">
          <w:rPr>
            <w:rStyle w:val="Hyperlink"/>
            <w:szCs w:val="22"/>
            <w:lang w:val="fr-FR"/>
          </w:rPr>
          <w:noBreakHyphen/>
        </w:r>
        <w:r w:rsidR="00B151E5" w:rsidRPr="00697CC3">
          <w:rPr>
            <w:rStyle w:val="Hyperlink"/>
            <w:szCs w:val="22"/>
            <w:lang w:val="fr-FR"/>
          </w:rPr>
          <w:t>dev.wipo.int/edocs/mdocs/mdocs/en/wipo_webinar_cr_2023_7/wipo_webinar_cr_2023_7_www_615976.pdf</w:t>
        </w:r>
      </w:hyperlink>
    </w:p>
    <w:p w14:paraId="502188F6" w14:textId="5F213717" w:rsidR="000F5E56" w:rsidRPr="005C10B1" w:rsidRDefault="001631C4" w:rsidP="00B151E5">
      <w:pPr>
        <w:pStyle w:val="Endofdocument-Annex"/>
        <w:rPr>
          <w:lang w:val="fr-FR"/>
        </w:rPr>
      </w:pPr>
      <w:r w:rsidRPr="005C10B1">
        <w:rPr>
          <w:lang w:val="fr-FR"/>
        </w:rPr>
        <w:t>[Fin de l</w:t>
      </w:r>
      <w:r w:rsidR="00F26C6A" w:rsidRPr="005C10B1">
        <w:rPr>
          <w:lang w:val="fr-FR"/>
        </w:rPr>
        <w:t>’</w:t>
      </w:r>
      <w:r w:rsidRPr="005C10B1">
        <w:rPr>
          <w:lang w:val="fr-FR"/>
        </w:rPr>
        <w:t>annexe et du document]</w:t>
      </w:r>
    </w:p>
    <w:sectPr w:rsidR="000F5E56" w:rsidRPr="005C10B1" w:rsidSect="00B151E5">
      <w:headerReference w:type="default"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237BB" w14:textId="77777777" w:rsidR="001631C4" w:rsidRDefault="001631C4">
      <w:r>
        <w:separator/>
      </w:r>
    </w:p>
  </w:endnote>
  <w:endnote w:type="continuationSeparator" w:id="0">
    <w:p w14:paraId="31C6E46D" w14:textId="77777777" w:rsidR="001631C4" w:rsidRPr="009D30E6" w:rsidRDefault="001631C4" w:rsidP="00D45252">
      <w:pPr>
        <w:rPr>
          <w:sz w:val="17"/>
          <w:szCs w:val="17"/>
        </w:rPr>
      </w:pPr>
      <w:r w:rsidRPr="009D30E6">
        <w:rPr>
          <w:sz w:val="17"/>
          <w:szCs w:val="17"/>
        </w:rPr>
        <w:separator/>
      </w:r>
    </w:p>
    <w:p w14:paraId="3635E7F0" w14:textId="77777777" w:rsidR="001631C4" w:rsidRPr="009D30E6" w:rsidRDefault="001631C4" w:rsidP="00D45252">
      <w:pPr>
        <w:spacing w:after="60"/>
        <w:rPr>
          <w:sz w:val="17"/>
          <w:szCs w:val="17"/>
        </w:rPr>
      </w:pPr>
      <w:r w:rsidRPr="009D30E6">
        <w:rPr>
          <w:sz w:val="17"/>
          <w:szCs w:val="17"/>
        </w:rPr>
        <w:t>[Suite de la note de la page précédente]</w:t>
      </w:r>
    </w:p>
  </w:endnote>
  <w:endnote w:type="continuationNotice" w:id="1">
    <w:p w14:paraId="706521EF" w14:textId="77777777" w:rsidR="001631C4" w:rsidRPr="009D30E6" w:rsidRDefault="001631C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4F073" w14:textId="77777777" w:rsidR="001631C4" w:rsidRDefault="001631C4" w:rsidP="003C710A">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453E5" w14:textId="77777777" w:rsidR="001631C4" w:rsidRDefault="001631C4">
    <w:pP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F0B31" w14:textId="77777777" w:rsidR="001631C4" w:rsidRDefault="001631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57A50" w14:textId="46F6DF25" w:rsidR="001060FF" w:rsidRDefault="001060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46FD4" w14:textId="0DA9D256" w:rsidR="001060FF" w:rsidRDefault="00106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B68D6" w14:textId="77777777" w:rsidR="001631C4" w:rsidRDefault="001631C4">
      <w:r>
        <w:separator/>
      </w:r>
    </w:p>
  </w:footnote>
  <w:footnote w:type="continuationSeparator" w:id="0">
    <w:p w14:paraId="507B5A70" w14:textId="77777777" w:rsidR="001631C4" w:rsidRDefault="001631C4" w:rsidP="007461F1">
      <w:r>
        <w:separator/>
      </w:r>
    </w:p>
    <w:p w14:paraId="27494A57" w14:textId="77777777" w:rsidR="001631C4" w:rsidRPr="009D30E6" w:rsidRDefault="001631C4" w:rsidP="007461F1">
      <w:pPr>
        <w:spacing w:after="60"/>
        <w:rPr>
          <w:sz w:val="17"/>
          <w:szCs w:val="17"/>
        </w:rPr>
      </w:pPr>
      <w:r w:rsidRPr="009D30E6">
        <w:rPr>
          <w:sz w:val="17"/>
          <w:szCs w:val="17"/>
        </w:rPr>
        <w:t>[Suite de la note de la page précédente]</w:t>
      </w:r>
    </w:p>
  </w:footnote>
  <w:footnote w:type="continuationNotice" w:id="1">
    <w:p w14:paraId="702054BD" w14:textId="77777777" w:rsidR="001631C4" w:rsidRPr="009D30E6" w:rsidRDefault="001631C4" w:rsidP="007461F1">
      <w:pPr>
        <w:spacing w:before="60"/>
        <w:jc w:val="right"/>
        <w:rPr>
          <w:sz w:val="17"/>
          <w:szCs w:val="17"/>
        </w:rPr>
      </w:pPr>
      <w:r w:rsidRPr="009D30E6">
        <w:rPr>
          <w:sz w:val="17"/>
          <w:szCs w:val="17"/>
        </w:rPr>
        <w:t>[Suite de la note page suivante]</w:t>
      </w:r>
    </w:p>
  </w:footnote>
  <w:footnote w:id="2">
    <w:p w14:paraId="2137603B" w14:textId="24592738" w:rsidR="00B151E5" w:rsidRDefault="00B151E5">
      <w:pPr>
        <w:pStyle w:val="FootnoteText"/>
      </w:pPr>
      <w:r>
        <w:rPr>
          <w:rStyle w:val="FootnoteReference"/>
        </w:rPr>
        <w:footnoteRef/>
      </w:r>
      <w:r>
        <w:t xml:space="preserve"> </w:t>
      </w:r>
      <w:r>
        <w:tab/>
      </w:r>
      <w:r w:rsidRPr="00B151E5">
        <w:t>Selon le rapport de Statista sur le commerce électronique de la mode en</w:t>
      </w:r>
      <w:r>
        <w:t> </w:t>
      </w:r>
      <w:r w:rsidRPr="00B151E5">
        <w:t>2022, accessible à l</w:t>
      </w:r>
      <w:r>
        <w:t>’</w:t>
      </w:r>
      <w:r w:rsidRPr="00B151E5">
        <w:t xml:space="preserve">adresse </w:t>
      </w:r>
      <w:hyperlink r:id="rId1" w:history="1">
        <w:r w:rsidRPr="00B151E5">
          <w:rPr>
            <w:rStyle w:val="Hyperlink"/>
          </w:rPr>
          <w:t>https://www.statista.com/study/38340/ecommerce-report-fashion/</w:t>
        </w:r>
      </w:hyperlink>
      <w:r w:rsidRPr="00B151E5">
        <w:t>.</w:t>
      </w:r>
    </w:p>
  </w:footnote>
  <w:footnote w:id="3">
    <w:p w14:paraId="0A886741" w14:textId="0707E67B" w:rsidR="00B151E5" w:rsidRDefault="00B151E5">
      <w:pPr>
        <w:pStyle w:val="FootnoteText"/>
      </w:pPr>
      <w:r>
        <w:rPr>
          <w:rStyle w:val="FootnoteReference"/>
        </w:rPr>
        <w:footnoteRef/>
      </w:r>
      <w:r>
        <w:t xml:space="preserve"> </w:t>
      </w:r>
      <w:r>
        <w:tab/>
      </w:r>
      <w:r w:rsidRPr="00B151E5">
        <w:t>Les tissus et textiles sont souvent utilisés pour créer des vêtements, mais pas exclusivement.</w:t>
      </w:r>
      <w:r>
        <w:t xml:space="preserve">  </w:t>
      </w:r>
      <w:r w:rsidRPr="00B151E5">
        <w:t>Par exemple, le tweed peut être utilisé pour confectionner une veste, mais également pour le revêtement d</w:t>
      </w:r>
      <w:r>
        <w:t>’</w:t>
      </w:r>
      <w:r w:rsidRPr="00B151E5">
        <w:t>un fauteuil.</w:t>
      </w:r>
      <w:r>
        <w:t xml:space="preserve">  </w:t>
      </w:r>
      <w:r w:rsidRPr="00B151E5">
        <w:t>Il est donc préférable d</w:t>
      </w:r>
      <w:r>
        <w:t>’</w:t>
      </w:r>
      <w:r w:rsidRPr="00B151E5">
        <w:t>envisager la protection du tissu séparément de la protection du produit fini.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AE5FF" w14:textId="77777777" w:rsidR="001631C4" w:rsidRPr="00262966" w:rsidRDefault="001631C4" w:rsidP="003C710A">
    <w:pPr>
      <w:tabs>
        <w:tab w:val="center" w:pos="4536"/>
        <w:tab w:val="right" w:pos="9072"/>
      </w:tabs>
      <w:jc w:val="right"/>
    </w:pPr>
    <w:r>
      <w:t>CDIP/20/</w:t>
    </w:r>
    <w:r>
      <w:rPr>
        <w:highlight w:val="yellow"/>
      </w:rPr>
      <w:t>X</w:t>
    </w:r>
  </w:p>
  <w:p w14:paraId="10665183" w14:textId="77777777" w:rsidR="001631C4" w:rsidRDefault="001631C4" w:rsidP="003C710A">
    <w:pPr>
      <w:tabs>
        <w:tab w:val="center" w:pos="4536"/>
        <w:tab w:val="right" w:pos="9072"/>
      </w:tabs>
      <w:jc w:val="right"/>
    </w:pPr>
    <w:r>
      <w:t xml:space="preserve">Annexe, page </w:t>
    </w:r>
    <w:r w:rsidRPr="00262966">
      <w:fldChar w:fldCharType="begin"/>
    </w:r>
    <w:r w:rsidRPr="00262966">
      <w:instrText xml:space="preserve"> PAGE   \* MERGEFORMAT </w:instrText>
    </w:r>
    <w:r w:rsidRPr="00262966">
      <w:fldChar w:fldCharType="separate"/>
    </w:r>
    <w:r>
      <w:t>4</w:t>
    </w:r>
    <w:r w:rsidRPr="0026296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6C23" w14:textId="77777777" w:rsidR="001631C4" w:rsidRPr="00262966" w:rsidRDefault="001631C4" w:rsidP="008C3E9C">
    <w:pPr>
      <w:tabs>
        <w:tab w:val="center" w:pos="4536"/>
        <w:tab w:val="right" w:pos="9072"/>
      </w:tabs>
      <w:jc w:val="right"/>
    </w:pPr>
    <w:r>
      <w:t>CDIP/31/INF/3</w:t>
    </w:r>
  </w:p>
  <w:p w14:paraId="6AF34843" w14:textId="541D619B" w:rsidR="001631C4" w:rsidRDefault="001631C4" w:rsidP="008C3E9C">
    <w:pPr>
      <w:tabs>
        <w:tab w:val="center" w:pos="4536"/>
        <w:tab w:val="right" w:pos="9072"/>
      </w:tabs>
      <w:jc w:val="right"/>
    </w:pPr>
    <w:r>
      <w:t>Annexe, page</w:t>
    </w:r>
    <w:r w:rsidR="001D064B">
      <w:t> </w:t>
    </w:r>
    <w:r w:rsidRPr="00262966">
      <w:fldChar w:fldCharType="begin"/>
    </w:r>
    <w:r w:rsidRPr="00262966">
      <w:instrText xml:space="preserve"> PAGE   \* MERGEFORMAT </w:instrText>
    </w:r>
    <w:r w:rsidRPr="00262966">
      <w:fldChar w:fldCharType="separate"/>
    </w:r>
    <w:r>
      <w:t>2</w:t>
    </w:r>
    <w:r w:rsidRPr="0026296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63F86" w14:textId="77777777" w:rsidR="001631C4" w:rsidRDefault="001631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A6CCA" w14:textId="77777777" w:rsidR="00F16975" w:rsidRPr="00B45C15" w:rsidRDefault="001631C4" w:rsidP="00477D6B">
    <w:pPr>
      <w:jc w:val="right"/>
      <w:rPr>
        <w:caps/>
      </w:rPr>
    </w:pPr>
    <w:bookmarkStart w:id="6" w:name="Code2"/>
    <w:bookmarkEnd w:id="6"/>
    <w:r>
      <w:rPr>
        <w:caps/>
      </w:rPr>
      <w:t>CDIP/31/INF/3</w:t>
    </w:r>
  </w:p>
  <w:p w14:paraId="7587D8E8" w14:textId="4C4E5171" w:rsidR="00574036" w:rsidRDefault="00B151E5" w:rsidP="00B151E5">
    <w:pPr>
      <w:spacing w:after="480"/>
      <w:jc w:val="right"/>
    </w:pPr>
    <w:r>
      <w:t xml:space="preserve">Annexe, </w:t>
    </w:r>
    <w:r w:rsidR="00F16975">
      <w:t>page</w:t>
    </w:r>
    <w:r>
      <w:t> </w:t>
    </w:r>
    <w:r w:rsidR="00F16975">
      <w:fldChar w:fldCharType="begin"/>
    </w:r>
    <w:r w:rsidR="00F16975">
      <w:instrText xml:space="preserve"> PAGE  \* MERGEFORMAT </w:instrText>
    </w:r>
    <w:r w:rsidR="00F16975">
      <w:fldChar w:fldCharType="separate"/>
    </w:r>
    <w:r w:rsidR="0039417C">
      <w:rPr>
        <w:noProof/>
      </w:rPr>
      <w:t>2</w:t>
    </w:r>
    <w:r w:rsidR="00F1697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63AD9" w14:textId="117EBBC1" w:rsidR="00B151E5" w:rsidRDefault="00B151E5" w:rsidP="00B151E5">
    <w:pPr>
      <w:pStyle w:val="Header"/>
      <w:jc w:val="right"/>
    </w:pPr>
    <w:r>
      <w:t>CDIP/31/INF/3</w:t>
    </w:r>
  </w:p>
  <w:p w14:paraId="45F5A85D" w14:textId="544A2A54" w:rsidR="00B151E5" w:rsidRDefault="00B151E5" w:rsidP="00B151E5">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11237D"/>
    <w:multiLevelType w:val="hybridMultilevel"/>
    <w:tmpl w:val="33A821F2"/>
    <w:lvl w:ilvl="0" w:tplc="0409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1869CF"/>
    <w:multiLevelType w:val="hybridMultilevel"/>
    <w:tmpl w:val="1F0EBD76"/>
    <w:lvl w:ilvl="0" w:tplc="14C061D8">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FF0E7A"/>
    <w:multiLevelType w:val="hybridMultilevel"/>
    <w:tmpl w:val="2DEE6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0F1A60"/>
    <w:multiLevelType w:val="hybridMultilevel"/>
    <w:tmpl w:val="F2462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8"/>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C4"/>
    <w:rsid w:val="00011B7D"/>
    <w:rsid w:val="00020C7E"/>
    <w:rsid w:val="00075432"/>
    <w:rsid w:val="000760CD"/>
    <w:rsid w:val="00076E66"/>
    <w:rsid w:val="0009458A"/>
    <w:rsid w:val="000F5E56"/>
    <w:rsid w:val="001060FF"/>
    <w:rsid w:val="001362EE"/>
    <w:rsid w:val="001631C4"/>
    <w:rsid w:val="001832A6"/>
    <w:rsid w:val="00195C6E"/>
    <w:rsid w:val="001B266A"/>
    <w:rsid w:val="001B488E"/>
    <w:rsid w:val="001C6508"/>
    <w:rsid w:val="001D064B"/>
    <w:rsid w:val="001D3D56"/>
    <w:rsid w:val="00240654"/>
    <w:rsid w:val="002634C4"/>
    <w:rsid w:val="002956DE"/>
    <w:rsid w:val="002E4D1A"/>
    <w:rsid w:val="002F16BC"/>
    <w:rsid w:val="002F4E68"/>
    <w:rsid w:val="00322C0B"/>
    <w:rsid w:val="003637BB"/>
    <w:rsid w:val="00381798"/>
    <w:rsid w:val="003845C1"/>
    <w:rsid w:val="0039417C"/>
    <w:rsid w:val="003A67A3"/>
    <w:rsid w:val="004008A2"/>
    <w:rsid w:val="004025DF"/>
    <w:rsid w:val="0040540C"/>
    <w:rsid w:val="00423E3E"/>
    <w:rsid w:val="00425624"/>
    <w:rsid w:val="00427AF4"/>
    <w:rsid w:val="004647DA"/>
    <w:rsid w:val="00477D6B"/>
    <w:rsid w:val="004D6471"/>
    <w:rsid w:val="004F191B"/>
    <w:rsid w:val="0051455D"/>
    <w:rsid w:val="00525B63"/>
    <w:rsid w:val="00525E59"/>
    <w:rsid w:val="00541348"/>
    <w:rsid w:val="005421DD"/>
    <w:rsid w:val="00554FA5"/>
    <w:rsid w:val="00567A4C"/>
    <w:rsid w:val="00574036"/>
    <w:rsid w:val="00595F07"/>
    <w:rsid w:val="005C10B1"/>
    <w:rsid w:val="005E6516"/>
    <w:rsid w:val="00605827"/>
    <w:rsid w:val="00616671"/>
    <w:rsid w:val="006B0DB5"/>
    <w:rsid w:val="007461F1"/>
    <w:rsid w:val="007D6961"/>
    <w:rsid w:val="007F07CB"/>
    <w:rsid w:val="00807C77"/>
    <w:rsid w:val="00810CEF"/>
    <w:rsid w:val="0081208D"/>
    <w:rsid w:val="00897816"/>
    <w:rsid w:val="008B2CC1"/>
    <w:rsid w:val="008E7930"/>
    <w:rsid w:val="0090731E"/>
    <w:rsid w:val="00966A22"/>
    <w:rsid w:val="00974CD6"/>
    <w:rsid w:val="009D30E6"/>
    <w:rsid w:val="009E3F6F"/>
    <w:rsid w:val="009F499F"/>
    <w:rsid w:val="009F7DBF"/>
    <w:rsid w:val="00A11D74"/>
    <w:rsid w:val="00AC0AE4"/>
    <w:rsid w:val="00AD61DB"/>
    <w:rsid w:val="00AE47C0"/>
    <w:rsid w:val="00B1090C"/>
    <w:rsid w:val="00B151E5"/>
    <w:rsid w:val="00B35AF5"/>
    <w:rsid w:val="00B45C15"/>
    <w:rsid w:val="00BE0BE0"/>
    <w:rsid w:val="00C664C8"/>
    <w:rsid w:val="00CF0460"/>
    <w:rsid w:val="00D43E0F"/>
    <w:rsid w:val="00D45252"/>
    <w:rsid w:val="00D71B4D"/>
    <w:rsid w:val="00D75C1E"/>
    <w:rsid w:val="00D93D55"/>
    <w:rsid w:val="00DB1C48"/>
    <w:rsid w:val="00DD4917"/>
    <w:rsid w:val="00DD6A16"/>
    <w:rsid w:val="00E0091A"/>
    <w:rsid w:val="00E203AA"/>
    <w:rsid w:val="00E5217A"/>
    <w:rsid w:val="00E527A5"/>
    <w:rsid w:val="00E76456"/>
    <w:rsid w:val="00EE71CB"/>
    <w:rsid w:val="00F16975"/>
    <w:rsid w:val="00F26C6A"/>
    <w:rsid w:val="00F66152"/>
    <w:rsid w:val="00FE19E9"/>
    <w:rsid w:val="00FE2C7F"/>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25EEE"/>
  <w15:docId w15:val="{DB308D92-DB38-4190-B0C0-11966145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1631C4"/>
    <w:pPr>
      <w:spacing w:before="720"/>
      <w:ind w:left="5533"/>
    </w:p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1631C4"/>
    <w:pPr>
      <w:spacing w:before="0" w:after="600"/>
    </w:pPr>
    <w:rPr>
      <w:caps w:val="0"/>
      <w:sz w:val="28"/>
    </w:rPr>
  </w:style>
  <w:style w:type="character" w:customStyle="1" w:styleId="TitleChar">
    <w:name w:val="Title Char"/>
    <w:basedOn w:val="DefaultParagraphFont"/>
    <w:link w:val="Title"/>
    <w:rsid w:val="001631C4"/>
    <w:rPr>
      <w:rFonts w:ascii="Arial" w:eastAsia="SimSun" w:hAnsi="Arial" w:cs="Arial"/>
      <w:b/>
      <w:bCs/>
      <w:kern w:val="32"/>
      <w:sz w:val="28"/>
      <w:szCs w:val="32"/>
      <w:lang w:eastAsia="zh-CN"/>
    </w:rPr>
  </w:style>
  <w:style w:type="character" w:customStyle="1" w:styleId="FootnoteTextChar">
    <w:name w:val="Footnote Text Char"/>
    <w:basedOn w:val="DefaultParagraphFont"/>
    <w:link w:val="FootnoteText"/>
    <w:uiPriority w:val="99"/>
    <w:rsid w:val="001631C4"/>
    <w:rPr>
      <w:rFonts w:ascii="Arial" w:eastAsia="SimSun" w:hAnsi="Arial" w:cs="Arial"/>
      <w:sz w:val="18"/>
      <w:lang w:eastAsia="zh-CN"/>
    </w:rPr>
  </w:style>
  <w:style w:type="character" w:styleId="FootnoteReference">
    <w:name w:val="footnote reference"/>
    <w:basedOn w:val="DefaultParagraphFont"/>
    <w:uiPriority w:val="99"/>
    <w:unhideWhenUsed/>
    <w:rsid w:val="001631C4"/>
    <w:rPr>
      <w:vertAlign w:val="superscript"/>
    </w:rPr>
  </w:style>
  <w:style w:type="character" w:styleId="Hyperlink">
    <w:name w:val="Hyperlink"/>
    <w:basedOn w:val="DefaultParagraphFont"/>
    <w:uiPriority w:val="99"/>
    <w:unhideWhenUsed/>
    <w:rsid w:val="001631C4"/>
    <w:rPr>
      <w:color w:val="0000FF"/>
      <w:u w:val="single"/>
    </w:rPr>
  </w:style>
  <w:style w:type="paragraph" w:styleId="ListParagraph">
    <w:name w:val="List Paragraph"/>
    <w:basedOn w:val="Normal"/>
    <w:uiPriority w:val="34"/>
    <w:qFormat/>
    <w:rsid w:val="001631C4"/>
    <w:pPr>
      <w:ind w:left="720"/>
      <w:contextualSpacing/>
    </w:pPr>
    <w:rPr>
      <w:rFonts w:asciiTheme="minorHAnsi" w:eastAsiaTheme="minorHAnsi" w:hAnsiTheme="minorHAnsi" w:cstheme="minorBidi"/>
      <w:sz w:val="24"/>
      <w:szCs w:val="24"/>
      <w:lang w:val="fr-FR" w:eastAsia="en-US"/>
    </w:rPr>
  </w:style>
  <w:style w:type="character" w:customStyle="1" w:styleId="FooterChar">
    <w:name w:val="Footer Char"/>
    <w:basedOn w:val="DefaultParagraphFont"/>
    <w:link w:val="Footer"/>
    <w:uiPriority w:val="99"/>
    <w:rsid w:val="001631C4"/>
    <w:rPr>
      <w:rFonts w:ascii="Arial" w:eastAsia="SimSun" w:hAnsi="Arial" w:cs="Arial"/>
      <w:sz w:val="22"/>
      <w:lang w:eastAsia="zh-CN"/>
    </w:rPr>
  </w:style>
  <w:style w:type="character" w:customStyle="1" w:styleId="HeaderChar">
    <w:name w:val="Header Char"/>
    <w:basedOn w:val="DefaultParagraphFont"/>
    <w:link w:val="Header"/>
    <w:uiPriority w:val="99"/>
    <w:rsid w:val="001631C4"/>
    <w:rPr>
      <w:rFonts w:ascii="Arial" w:eastAsia="SimSun" w:hAnsi="Arial" w:cs="Arial"/>
      <w:sz w:val="22"/>
      <w:lang w:eastAsia="zh-CN"/>
    </w:rPr>
  </w:style>
  <w:style w:type="character" w:styleId="EndnoteReference">
    <w:name w:val="endnote reference"/>
    <w:basedOn w:val="DefaultParagraphFont"/>
    <w:semiHidden/>
    <w:unhideWhenUsed/>
    <w:rsid w:val="00B151E5"/>
    <w:rPr>
      <w:vertAlign w:val="superscript"/>
    </w:rPr>
  </w:style>
  <w:style w:type="character" w:customStyle="1" w:styleId="UnresolvedMention">
    <w:name w:val="Unresolved Mention"/>
    <w:basedOn w:val="DefaultParagraphFont"/>
    <w:uiPriority w:val="99"/>
    <w:semiHidden/>
    <w:unhideWhenUsed/>
    <w:rsid w:val="00B15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dev.wipo.int/edocs/mdocs/mdocs/en/wipo_webinar_cr_2023_7/wipo_webinar_cr_2023_7_www_615976.pdf"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statista.com/study/38340/ecommerce-report-fash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14021-9DC2-4890-8E47-78D4027C9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(F)</Template>
  <TotalTime>1</TotalTime>
  <Pages>3</Pages>
  <Words>1122</Words>
  <Characters>6242</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CDIP/31/</vt:lpstr>
      <vt:lpstr>Comité du développement et de la propriété intellectuelle (CDIP)</vt:lpstr>
      <vt:lpstr>    Trente et unième session</vt:lpstr>
      <vt:lpstr>    Genève, 27 novembre – 1er décembre 2023</vt:lpstr>
    </vt:vector>
  </TitlesOfParts>
  <Company>WIPO</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CDIP/31/INF/3</dc:title>
  <dc:creator>OLIVIÉ Karen</dc:creator>
  <cp:keywords>FOR OFFICIAL USE ONLY</cp:keywords>
  <cp:lastModifiedBy>ESTEVES DOS SANTOS Anabela</cp:lastModifiedBy>
  <cp:revision>3</cp:revision>
  <cp:lastPrinted>2011-05-19T12:37:00Z</cp:lastPrinted>
  <dcterms:created xsi:type="dcterms:W3CDTF">2023-09-05T10:06:00Z</dcterms:created>
  <dcterms:modified xsi:type="dcterms:W3CDTF">2023-09-06T16:01:00Z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2023-09-05T09:48:22Z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33d90b92-2529-4875-8b24-952455a39f27</vt:lpwstr>
  </property>
  <property fmtid="{D5CDD505-2E9C-101B-9397-08002B2CF9AE}" pid="14" name="MSIP_Label_20773ee6-353b-4fb9-a59d-0b94c8c67bea_ContentBits">
    <vt:lpwstr>0</vt:lpwstr>
  </property>
</Properties>
</file>