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97A26" w:rsidRPr="008B2CC1" w:rsidTr="0090688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97A26" w:rsidRPr="008B2CC1" w:rsidRDefault="00C97A26" w:rsidP="0090688F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7A26" w:rsidRPr="008B2CC1" w:rsidRDefault="00C97A26" w:rsidP="0090688F">
            <w:r>
              <w:rPr>
                <w:noProof/>
                <w:lang w:eastAsia="en-US"/>
              </w:rPr>
              <w:drawing>
                <wp:inline distT="0" distB="0" distL="0" distR="0" wp14:anchorId="6A064270" wp14:editId="0D2FA479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7A26" w:rsidRPr="008B2CC1" w:rsidRDefault="00C97A26" w:rsidP="0090688F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C97A26" w:rsidRPr="001832A6" w:rsidTr="009068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97A26" w:rsidRPr="0090731E" w:rsidRDefault="00C97A26" w:rsidP="0090688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CDIP/22/</w:t>
            </w:r>
            <w:bookmarkStart w:id="2" w:name="Code"/>
            <w:bookmarkEnd w:id="2"/>
            <w:r>
              <w:rPr>
                <w:rFonts w:ascii="Arial Black" w:hAnsi="Arial Black"/>
                <w:caps/>
                <w:sz w:val="15"/>
              </w:rPr>
              <w:t>inf/2</w:t>
            </w:r>
          </w:p>
        </w:tc>
      </w:tr>
      <w:tr w:rsidR="00C97A26" w:rsidRPr="001832A6" w:rsidTr="0090688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97A26" w:rsidRPr="0090731E" w:rsidRDefault="00C97A26" w:rsidP="0090688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Original"/>
            <w:bookmarkEnd w:id="3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C97A26" w:rsidRPr="001832A6" w:rsidTr="0090688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97A26" w:rsidRPr="0090731E" w:rsidRDefault="00C97A26" w:rsidP="0090688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4" w:name="Date"/>
            <w:bookmarkEnd w:id="4"/>
            <w:r>
              <w:rPr>
                <w:rFonts w:ascii="Arial Black" w:hAnsi="Arial Black"/>
                <w:caps/>
                <w:sz w:val="15"/>
              </w:rPr>
              <w:t>8 octobre 2018</w:t>
            </w:r>
          </w:p>
        </w:tc>
      </w:tr>
    </w:tbl>
    <w:p w:rsidR="00E35762" w:rsidRDefault="00C97A26" w:rsidP="00E35762">
      <w:pPr>
        <w:spacing w:before="1200" w:after="600"/>
        <w:rPr>
          <w:b/>
          <w:sz w:val="28"/>
          <w:szCs w:val="28"/>
          <w:lang w:val="fr-FR"/>
        </w:rPr>
      </w:pPr>
      <w:r w:rsidRPr="00C97A26">
        <w:rPr>
          <w:b/>
          <w:sz w:val="28"/>
          <w:szCs w:val="28"/>
          <w:lang w:val="fr-FR"/>
        </w:rPr>
        <w:t>Comité du développement et de la propriété intellectuelle (CDIP)</w:t>
      </w:r>
    </w:p>
    <w:p w:rsidR="00C97A26" w:rsidRPr="00B31DEE" w:rsidRDefault="00C97A26" w:rsidP="00C97A26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Vingt</w:t>
      </w:r>
      <w:r w:rsidR="009B2FD7">
        <w:rPr>
          <w:b/>
          <w:sz w:val="24"/>
          <w:szCs w:val="24"/>
          <w:lang w:val="fr-FR"/>
        </w:rPr>
        <w:noBreakHyphen/>
      </w:r>
      <w:r>
        <w:rPr>
          <w:b/>
          <w:sz w:val="24"/>
          <w:szCs w:val="24"/>
          <w:lang w:val="fr-FR"/>
        </w:rPr>
        <w:t>deuxième session</w:t>
      </w:r>
    </w:p>
    <w:p w:rsidR="00E35762" w:rsidRDefault="00C97A26" w:rsidP="00C97A26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Genève, 19</w:t>
      </w:r>
      <w:r w:rsidRPr="00B31DEE">
        <w:rPr>
          <w:b/>
          <w:sz w:val="24"/>
          <w:szCs w:val="24"/>
          <w:lang w:val="fr-FR"/>
        </w:rPr>
        <w:t xml:space="preserve"> – </w:t>
      </w:r>
      <w:r>
        <w:rPr>
          <w:b/>
          <w:sz w:val="24"/>
          <w:szCs w:val="24"/>
          <w:lang w:val="fr-FR"/>
        </w:rPr>
        <w:t>23</w:t>
      </w:r>
      <w:r w:rsidRPr="00B31DEE">
        <w:rPr>
          <w:b/>
          <w:sz w:val="24"/>
          <w:szCs w:val="24"/>
          <w:lang w:val="fr-FR"/>
        </w:rPr>
        <w:t> </w:t>
      </w:r>
      <w:r>
        <w:rPr>
          <w:b/>
          <w:sz w:val="24"/>
          <w:szCs w:val="24"/>
          <w:lang w:val="fr-FR"/>
        </w:rPr>
        <w:t>novembre 2018</w:t>
      </w:r>
    </w:p>
    <w:p w:rsidR="00E35762" w:rsidRDefault="00530F36" w:rsidP="00E35762">
      <w:pPr>
        <w:spacing w:before="720" w:after="360"/>
        <w:rPr>
          <w:b/>
          <w:bCs/>
          <w:sz w:val="24"/>
          <w:lang w:val="fr-CH"/>
        </w:rPr>
      </w:pPr>
      <w:r w:rsidRPr="00530F36">
        <w:rPr>
          <w:sz w:val="24"/>
          <w:lang w:val="fr-CH"/>
        </w:rPr>
        <w:t>RÉSUMÉ DE L</w:t>
      </w:r>
      <w:r w:rsidR="00C97A26">
        <w:rPr>
          <w:sz w:val="24"/>
          <w:lang w:val="fr-CH"/>
        </w:rPr>
        <w:t>’</w:t>
      </w:r>
      <w:r w:rsidRPr="00530F36">
        <w:rPr>
          <w:sz w:val="24"/>
          <w:lang w:val="fr-CH"/>
        </w:rPr>
        <w:t>ÉTUDE SUR LA COMPRÉHENSION DE L</w:t>
      </w:r>
      <w:r w:rsidR="00C97A26">
        <w:rPr>
          <w:sz w:val="24"/>
          <w:lang w:val="fr-CH"/>
        </w:rPr>
        <w:t>’</w:t>
      </w:r>
      <w:r w:rsidRPr="00530F36">
        <w:rPr>
          <w:sz w:val="24"/>
          <w:lang w:val="fr-CH"/>
        </w:rPr>
        <w:t xml:space="preserve">UTILISATION DES DESSINS </w:t>
      </w:r>
      <w:r w:rsidR="00A96BFB">
        <w:rPr>
          <w:sz w:val="24"/>
          <w:lang w:val="fr-CH"/>
        </w:rPr>
        <w:t>ET</w:t>
      </w:r>
      <w:r w:rsidRPr="00530F36">
        <w:rPr>
          <w:sz w:val="24"/>
          <w:lang w:val="fr-CH"/>
        </w:rPr>
        <w:t xml:space="preserve"> MODÈLES INDUSTRIELS DANS LES PAYS D</w:t>
      </w:r>
      <w:r w:rsidR="00C97A26">
        <w:rPr>
          <w:sz w:val="24"/>
          <w:lang w:val="fr-CH"/>
        </w:rPr>
        <w:t>’</w:t>
      </w:r>
      <w:r w:rsidRPr="00530F36">
        <w:rPr>
          <w:sz w:val="24"/>
          <w:lang w:val="fr-CH"/>
        </w:rPr>
        <w:t>ASIE DU SUD</w:t>
      </w:r>
      <w:r w:rsidR="009B2FD7">
        <w:rPr>
          <w:sz w:val="24"/>
          <w:lang w:val="fr-CH"/>
        </w:rPr>
        <w:noBreakHyphen/>
      </w:r>
      <w:r>
        <w:rPr>
          <w:sz w:val="24"/>
          <w:lang w:val="fr-CH"/>
        </w:rPr>
        <w:t>EST – LES CAS DE L</w:t>
      </w:r>
      <w:r w:rsidR="00C97A26">
        <w:rPr>
          <w:sz w:val="24"/>
          <w:lang w:val="fr-CH"/>
        </w:rPr>
        <w:t>’</w:t>
      </w:r>
      <w:r>
        <w:rPr>
          <w:sz w:val="24"/>
          <w:lang w:val="fr-CH"/>
        </w:rPr>
        <w:t>INDONÉSIE, DES PHILIPPINES ET DE LA THAÏLANDE</w:t>
      </w:r>
    </w:p>
    <w:p w:rsidR="00E35762" w:rsidRDefault="00530F36" w:rsidP="00E35762">
      <w:pPr>
        <w:pStyle w:val="ONUMFS"/>
        <w:numPr>
          <w:ilvl w:val="0"/>
          <w:numId w:val="0"/>
        </w:numPr>
        <w:spacing w:after="960"/>
        <w:rPr>
          <w:i/>
          <w:lang w:val="fr-CH"/>
        </w:rPr>
      </w:pPr>
      <w:bookmarkStart w:id="5" w:name="Prepared"/>
      <w:bookmarkEnd w:id="5"/>
      <w:r w:rsidRPr="00CB09B3">
        <w:rPr>
          <w:i/>
          <w:lang w:val="fr-CH"/>
        </w:rPr>
        <w:t>établi par le Secrétariat</w:t>
      </w:r>
    </w:p>
    <w:p w:rsidR="00E35762" w:rsidRDefault="00530F36" w:rsidP="00E35762">
      <w:pPr>
        <w:pStyle w:val="ONUMFS"/>
        <w:rPr>
          <w:lang w:val="fr-CH"/>
        </w:rPr>
      </w:pPr>
      <w:r w:rsidRPr="008167D6">
        <w:rPr>
          <w:lang w:val="fr-CH"/>
        </w:rPr>
        <w:t>L</w:t>
      </w:r>
      <w:r w:rsidR="00C97A26">
        <w:rPr>
          <w:lang w:val="fr-CH"/>
        </w:rPr>
        <w:t>’</w:t>
      </w:r>
      <w:r w:rsidRPr="008167D6">
        <w:rPr>
          <w:lang w:val="fr-CH"/>
        </w:rPr>
        <w:t>annexe du présent document cont</w:t>
      </w:r>
      <w:r w:rsidR="006C0A64">
        <w:rPr>
          <w:lang w:val="fr-CH"/>
        </w:rPr>
        <w:t>ient un résumé de l</w:t>
      </w:r>
      <w:r w:rsidR="00C97A26">
        <w:rPr>
          <w:lang w:val="fr-CH"/>
        </w:rPr>
        <w:t>’</w:t>
      </w:r>
      <w:r w:rsidR="006C0A64">
        <w:rPr>
          <w:lang w:val="fr-CH"/>
        </w:rPr>
        <w:t>étude sur l</w:t>
      </w:r>
      <w:r w:rsidRPr="008167D6">
        <w:rPr>
          <w:lang w:val="fr-CH"/>
        </w:rPr>
        <w:t xml:space="preserve">a </w:t>
      </w:r>
      <w:r w:rsidR="006C0A64">
        <w:rPr>
          <w:lang w:val="fr-CH"/>
        </w:rPr>
        <w:t>compré</w:t>
      </w:r>
      <w:r w:rsidRPr="008167D6">
        <w:rPr>
          <w:lang w:val="fr-CH"/>
        </w:rPr>
        <w:t xml:space="preserve">hension </w:t>
      </w:r>
      <w:r w:rsidR="008167D6" w:rsidRPr="008167D6">
        <w:rPr>
          <w:lang w:val="fr-CH"/>
        </w:rPr>
        <w:t>de l</w:t>
      </w:r>
      <w:r w:rsidR="00C97A26">
        <w:rPr>
          <w:lang w:val="fr-CH"/>
        </w:rPr>
        <w:t>’</w:t>
      </w:r>
      <w:r w:rsidR="008167D6" w:rsidRPr="008167D6">
        <w:rPr>
          <w:lang w:val="fr-CH"/>
        </w:rPr>
        <w:t>utilisation des</w:t>
      </w:r>
      <w:r w:rsidR="00D35EB0">
        <w:rPr>
          <w:lang w:val="fr-CH"/>
        </w:rPr>
        <w:t xml:space="preserve"> </w:t>
      </w:r>
      <w:r w:rsidR="008167D6" w:rsidRPr="008167D6">
        <w:rPr>
          <w:lang w:val="fr-CH"/>
        </w:rPr>
        <w:t xml:space="preserve">dessins </w:t>
      </w:r>
      <w:r w:rsidR="00903C77">
        <w:rPr>
          <w:lang w:val="fr-CH"/>
        </w:rPr>
        <w:t>et</w:t>
      </w:r>
      <w:r w:rsidR="008167D6" w:rsidRPr="008167D6">
        <w:rPr>
          <w:lang w:val="fr-CH"/>
        </w:rPr>
        <w:t xml:space="preserve"> modèles industriels dans les pays d</w:t>
      </w:r>
      <w:r w:rsidR="00C97A26">
        <w:rPr>
          <w:lang w:val="fr-CH"/>
        </w:rPr>
        <w:t>’</w:t>
      </w:r>
      <w:r w:rsidR="008167D6" w:rsidRPr="008167D6">
        <w:rPr>
          <w:lang w:val="fr-CH"/>
        </w:rPr>
        <w:t>Asie du Sud</w:t>
      </w:r>
      <w:r w:rsidR="009B2FD7">
        <w:rPr>
          <w:lang w:val="fr-CH"/>
        </w:rPr>
        <w:noBreakHyphen/>
      </w:r>
      <w:r w:rsidR="008167D6" w:rsidRPr="008167D6">
        <w:rPr>
          <w:lang w:val="fr-CH"/>
        </w:rPr>
        <w:t>Est – le cas de l</w:t>
      </w:r>
      <w:r w:rsidR="00C97A26">
        <w:rPr>
          <w:lang w:val="fr-CH"/>
        </w:rPr>
        <w:t>’</w:t>
      </w:r>
      <w:r w:rsidR="008167D6" w:rsidRPr="008167D6">
        <w:rPr>
          <w:lang w:val="fr-CH"/>
        </w:rPr>
        <w:t>Indonésie, des Philippines et de la Tha</w:t>
      </w:r>
      <w:r w:rsidR="006C0A64">
        <w:rPr>
          <w:lang w:val="fr-CH"/>
        </w:rPr>
        <w:t>ïlande</w:t>
      </w:r>
      <w:r w:rsidR="005E33D4">
        <w:rPr>
          <w:lang w:val="fr-CH"/>
        </w:rPr>
        <w:t>,</w:t>
      </w:r>
      <w:r w:rsidR="008167D6" w:rsidRPr="008167D6">
        <w:rPr>
          <w:lang w:val="fr-CH"/>
        </w:rPr>
        <w:t xml:space="preserve"> menée dans le cadre du projet </w:t>
      </w:r>
      <w:r w:rsidR="00BF1F03">
        <w:rPr>
          <w:lang w:val="fr-CH"/>
        </w:rPr>
        <w:t>relatif</w:t>
      </w:r>
      <w:r w:rsidR="008167D6" w:rsidRPr="008167D6">
        <w:rPr>
          <w:lang w:val="fr-CH"/>
        </w:rPr>
        <w:t xml:space="preserve"> à la propriété intellectuelle et au développement socioéconomique – Phase</w:t>
      </w:r>
      <w:r w:rsidR="0090688F">
        <w:rPr>
          <w:lang w:val="fr-CH"/>
        </w:rPr>
        <w:t> </w:t>
      </w:r>
      <w:r w:rsidR="008167D6" w:rsidRPr="008167D6">
        <w:rPr>
          <w:lang w:val="fr-CH"/>
        </w:rPr>
        <w:t xml:space="preserve">II </w:t>
      </w:r>
      <w:r w:rsidR="00C943E5" w:rsidRPr="008167D6">
        <w:rPr>
          <w:lang w:val="fr-CH"/>
        </w:rPr>
        <w:t>(</w:t>
      </w:r>
      <w:r w:rsidR="008167D6">
        <w:rPr>
          <w:lang w:val="fr-CH"/>
        </w:rPr>
        <w:t xml:space="preserve">voir le </w:t>
      </w:r>
      <w:r w:rsidR="00D660EC" w:rsidRPr="008167D6">
        <w:rPr>
          <w:lang w:val="fr-CH"/>
        </w:rPr>
        <w:t>document</w:t>
      </w:r>
      <w:r w:rsidR="0090688F">
        <w:rPr>
          <w:lang w:val="fr-CH"/>
        </w:rPr>
        <w:t> </w:t>
      </w:r>
      <w:r w:rsidR="00C943E5" w:rsidRPr="008167D6">
        <w:rPr>
          <w:lang w:val="fr-CH"/>
        </w:rPr>
        <w:t>CDIP/14/7).</w:t>
      </w:r>
    </w:p>
    <w:p w:rsidR="00E35762" w:rsidRDefault="008167D6" w:rsidP="00E35762">
      <w:pPr>
        <w:pStyle w:val="ONUMFS"/>
        <w:rPr>
          <w:lang w:val="fr-CH"/>
        </w:rPr>
      </w:pPr>
      <w:r w:rsidRPr="008167D6">
        <w:rPr>
          <w:lang w:val="fr-CH"/>
        </w:rPr>
        <w:t xml:space="preserve">Cette étude a été </w:t>
      </w:r>
      <w:r w:rsidR="00907450" w:rsidRPr="008167D6">
        <w:rPr>
          <w:lang w:val="fr-CH"/>
        </w:rPr>
        <w:t>établie</w:t>
      </w:r>
      <w:r w:rsidRPr="008167D6">
        <w:rPr>
          <w:lang w:val="fr-CH"/>
        </w:rPr>
        <w:t xml:space="preserve"> par le Secrétariat de l</w:t>
      </w:r>
      <w:r w:rsidR="00C97A26">
        <w:rPr>
          <w:lang w:val="fr-CH"/>
        </w:rPr>
        <w:t>’</w:t>
      </w:r>
      <w:r w:rsidRPr="008167D6">
        <w:rPr>
          <w:lang w:val="fr-CH"/>
        </w:rPr>
        <w:t>OMPI en collaboration avec des consultants locaux dans chacun des trois</w:t>
      </w:r>
      <w:r w:rsidR="00E82EF4">
        <w:rPr>
          <w:lang w:val="fr-CH"/>
        </w:rPr>
        <w:t> </w:t>
      </w:r>
      <w:r w:rsidRPr="008167D6">
        <w:rPr>
          <w:lang w:val="fr-CH"/>
        </w:rPr>
        <w:t>pays</w:t>
      </w:r>
      <w:r w:rsidR="00E82EF4">
        <w:rPr>
          <w:lang w:val="fr-CH"/>
        </w:rPr>
        <w:t> </w:t>
      </w:r>
      <w:r w:rsidRPr="008167D6">
        <w:rPr>
          <w:lang w:val="fr-CH"/>
        </w:rPr>
        <w:t xml:space="preserve">: </w:t>
      </w:r>
      <w:r w:rsidR="008C1B66">
        <w:rPr>
          <w:lang w:val="fr-CH"/>
        </w:rPr>
        <w:t>M.</w:t>
      </w:r>
      <w:r w:rsidR="00E82EF4">
        <w:rPr>
          <w:lang w:val="fr-CH"/>
        </w:rPr>
        <w:t> </w:t>
      </w:r>
      <w:r w:rsidR="000866E8" w:rsidRPr="008167D6">
        <w:rPr>
          <w:lang w:val="fr-CH"/>
        </w:rPr>
        <w:t>Yose</w:t>
      </w:r>
      <w:r w:rsidR="0090688F">
        <w:rPr>
          <w:lang w:val="fr-CH"/>
        </w:rPr>
        <w:t> </w:t>
      </w:r>
      <w:r w:rsidR="000866E8" w:rsidRPr="008167D6">
        <w:rPr>
          <w:lang w:val="fr-CH"/>
        </w:rPr>
        <w:t>Rizal</w:t>
      </w:r>
      <w:r w:rsidR="0090688F">
        <w:rPr>
          <w:lang w:val="fr-CH"/>
        </w:rPr>
        <w:t> </w:t>
      </w:r>
      <w:r w:rsidR="000866E8" w:rsidRPr="008167D6">
        <w:rPr>
          <w:lang w:val="fr-CH"/>
        </w:rPr>
        <w:t xml:space="preserve">Daimuri, </w:t>
      </w:r>
      <w:r w:rsidR="008C1B66">
        <w:rPr>
          <w:lang w:val="fr-CH"/>
        </w:rPr>
        <w:t>M.</w:t>
      </w:r>
      <w:r w:rsidR="00E82EF4">
        <w:rPr>
          <w:lang w:val="fr-CH"/>
        </w:rPr>
        <w:t> </w:t>
      </w:r>
      <w:r w:rsidR="000866E8" w:rsidRPr="008167D6">
        <w:rPr>
          <w:lang w:val="fr-CH"/>
        </w:rPr>
        <w:t>Dandy</w:t>
      </w:r>
      <w:r w:rsidR="0090688F">
        <w:rPr>
          <w:lang w:val="fr-CH"/>
        </w:rPr>
        <w:t> </w:t>
      </w:r>
      <w:r w:rsidR="000866E8" w:rsidRPr="008167D6">
        <w:rPr>
          <w:lang w:val="fr-CH"/>
        </w:rPr>
        <w:t xml:space="preserve">Rafitrandi </w:t>
      </w:r>
      <w:r w:rsidRPr="008167D6">
        <w:rPr>
          <w:lang w:val="fr-CH"/>
        </w:rPr>
        <w:t>et</w:t>
      </w:r>
      <w:r w:rsidR="000866E8" w:rsidRPr="008167D6">
        <w:rPr>
          <w:lang w:val="fr-CH"/>
        </w:rPr>
        <w:t xml:space="preserve"> </w:t>
      </w:r>
      <w:r w:rsidR="008C1B66">
        <w:rPr>
          <w:lang w:val="fr-CH"/>
        </w:rPr>
        <w:t>Mme</w:t>
      </w:r>
      <w:r w:rsidR="00E82EF4">
        <w:rPr>
          <w:lang w:val="fr-CH"/>
        </w:rPr>
        <w:t> </w:t>
      </w:r>
      <w:r w:rsidR="000866E8" w:rsidRPr="008167D6">
        <w:rPr>
          <w:lang w:val="fr-CH"/>
        </w:rPr>
        <w:t>Ilma</w:t>
      </w:r>
      <w:r w:rsidR="0090688F">
        <w:rPr>
          <w:lang w:val="fr-CH"/>
        </w:rPr>
        <w:t> </w:t>
      </w:r>
      <w:r w:rsidR="000866E8" w:rsidRPr="008167D6">
        <w:rPr>
          <w:lang w:val="fr-CH"/>
        </w:rPr>
        <w:t xml:space="preserve">Fadli </w:t>
      </w:r>
      <w:r w:rsidRPr="008167D6">
        <w:rPr>
          <w:lang w:val="fr-CH"/>
        </w:rPr>
        <w:t xml:space="preserve">au </w:t>
      </w:r>
      <w:r w:rsidRPr="00A96BFB">
        <w:rPr>
          <w:lang w:val="fr-CH"/>
        </w:rPr>
        <w:t>Centre d</w:t>
      </w:r>
      <w:r w:rsidR="00C97A26">
        <w:rPr>
          <w:lang w:val="fr-CH"/>
        </w:rPr>
        <w:t>’</w:t>
      </w:r>
      <w:r w:rsidRPr="00A96BFB">
        <w:rPr>
          <w:lang w:val="fr-CH"/>
        </w:rPr>
        <w:t>études stratégiques</w:t>
      </w:r>
      <w:r w:rsidR="00A96BFB">
        <w:rPr>
          <w:lang w:val="fr-CH"/>
        </w:rPr>
        <w:t xml:space="preserve"> et internationales</w:t>
      </w:r>
      <w:r w:rsidR="000866E8" w:rsidRPr="00A96BFB">
        <w:rPr>
          <w:lang w:val="fr-CH"/>
        </w:rPr>
        <w:t xml:space="preserve"> (CSIS) </w:t>
      </w:r>
      <w:r w:rsidRPr="00A96BFB">
        <w:rPr>
          <w:lang w:val="fr-CH"/>
        </w:rPr>
        <w:t>en</w:t>
      </w:r>
      <w:r w:rsidR="000866E8" w:rsidRPr="00A96BFB">
        <w:rPr>
          <w:lang w:val="fr-CH"/>
        </w:rPr>
        <w:t xml:space="preserve"> </w:t>
      </w:r>
      <w:r w:rsidRPr="00A96BFB">
        <w:rPr>
          <w:lang w:val="fr-CH"/>
        </w:rPr>
        <w:t>Indonésie</w:t>
      </w:r>
      <w:r w:rsidR="000866E8" w:rsidRPr="00A96BFB">
        <w:rPr>
          <w:lang w:val="fr-CH"/>
        </w:rPr>
        <w:t xml:space="preserve">; </w:t>
      </w:r>
      <w:r w:rsidR="00E82EF4">
        <w:rPr>
          <w:lang w:val="fr-CH"/>
        </w:rPr>
        <w:t xml:space="preserve"> </w:t>
      </w:r>
      <w:r w:rsidR="008C1B66">
        <w:rPr>
          <w:lang w:val="fr-CH"/>
        </w:rPr>
        <w:t>M.</w:t>
      </w:r>
      <w:r w:rsidR="00E82EF4">
        <w:rPr>
          <w:lang w:val="fr-CH"/>
        </w:rPr>
        <w:t> </w:t>
      </w:r>
      <w:r w:rsidR="000866E8" w:rsidRPr="00A96BFB">
        <w:rPr>
          <w:lang w:val="fr-CH"/>
        </w:rPr>
        <w:t>George</w:t>
      </w:r>
      <w:r w:rsidR="0090688F">
        <w:rPr>
          <w:lang w:val="fr-CH"/>
        </w:rPr>
        <w:t> </w:t>
      </w:r>
      <w:r w:rsidR="000866E8" w:rsidRPr="00A96BFB">
        <w:rPr>
          <w:lang w:val="fr-CH"/>
        </w:rPr>
        <w:t xml:space="preserve">Manzano, </w:t>
      </w:r>
      <w:r w:rsidR="008C1B66">
        <w:rPr>
          <w:lang w:val="fr-CH"/>
        </w:rPr>
        <w:t>Mme</w:t>
      </w:r>
      <w:r w:rsidR="00E82EF4">
        <w:rPr>
          <w:lang w:val="fr-CH"/>
        </w:rPr>
        <w:t> </w:t>
      </w:r>
      <w:r w:rsidR="000866E8" w:rsidRPr="00A96BFB">
        <w:rPr>
          <w:lang w:val="fr-CH"/>
        </w:rPr>
        <w:t>Mary</w:t>
      </w:r>
      <w:r w:rsidR="0090688F">
        <w:rPr>
          <w:lang w:val="fr-CH"/>
        </w:rPr>
        <w:t> </w:t>
      </w:r>
      <w:r w:rsidR="000866E8" w:rsidRPr="00A96BFB">
        <w:rPr>
          <w:lang w:val="fr-CH"/>
        </w:rPr>
        <w:t>Grace</w:t>
      </w:r>
      <w:r w:rsidR="0090688F">
        <w:rPr>
          <w:lang w:val="fr-CH"/>
        </w:rPr>
        <w:t> </w:t>
      </w:r>
      <w:r w:rsidR="000866E8" w:rsidRPr="00A96BFB">
        <w:rPr>
          <w:lang w:val="fr-CH"/>
        </w:rPr>
        <w:t xml:space="preserve">Agner </w:t>
      </w:r>
      <w:r w:rsidR="00A96BFB">
        <w:rPr>
          <w:lang w:val="fr-CH"/>
        </w:rPr>
        <w:t>et</w:t>
      </w:r>
      <w:r w:rsidR="000866E8" w:rsidRPr="00A96BFB">
        <w:rPr>
          <w:lang w:val="fr-CH"/>
        </w:rPr>
        <w:t xml:space="preserve"> </w:t>
      </w:r>
      <w:r w:rsidR="008C1B66">
        <w:rPr>
          <w:lang w:val="fr-CH"/>
        </w:rPr>
        <w:t>Mme</w:t>
      </w:r>
      <w:r w:rsidR="00E82EF4">
        <w:rPr>
          <w:lang w:val="fr-CH"/>
        </w:rPr>
        <w:t> </w:t>
      </w:r>
      <w:r w:rsidR="000866E8" w:rsidRPr="00A96BFB">
        <w:rPr>
          <w:lang w:val="fr-CH"/>
        </w:rPr>
        <w:t>Nikka</w:t>
      </w:r>
      <w:r w:rsidR="0090688F">
        <w:rPr>
          <w:lang w:val="fr-CH"/>
        </w:rPr>
        <w:t> </w:t>
      </w:r>
      <w:r w:rsidR="000866E8" w:rsidRPr="00A96BFB">
        <w:rPr>
          <w:lang w:val="fr-CH"/>
        </w:rPr>
        <w:t xml:space="preserve">Pesa </w:t>
      </w:r>
      <w:r w:rsidRPr="00A96BFB">
        <w:rPr>
          <w:lang w:val="fr-CH"/>
        </w:rPr>
        <w:t>à l</w:t>
      </w:r>
      <w:r w:rsidR="00C97A26">
        <w:rPr>
          <w:lang w:val="fr-CH"/>
        </w:rPr>
        <w:t>’</w:t>
      </w:r>
      <w:r w:rsidR="00A96BFB">
        <w:rPr>
          <w:lang w:val="fr-CH"/>
        </w:rPr>
        <w:t>Université</w:t>
      </w:r>
      <w:r w:rsidR="000866E8" w:rsidRPr="00A96BFB">
        <w:rPr>
          <w:lang w:val="fr-CH"/>
        </w:rPr>
        <w:t xml:space="preserve"> </w:t>
      </w:r>
      <w:r w:rsidR="00907450" w:rsidRPr="00A96BFB">
        <w:rPr>
          <w:lang w:val="fr-CH"/>
        </w:rPr>
        <w:t>de l</w:t>
      </w:r>
      <w:r w:rsidR="00C97A26">
        <w:rPr>
          <w:lang w:val="fr-CH"/>
        </w:rPr>
        <w:t>’</w:t>
      </w:r>
      <w:r w:rsidR="00907450" w:rsidRPr="00A96BFB">
        <w:rPr>
          <w:lang w:val="fr-CH"/>
        </w:rPr>
        <w:t>Asie et du Pacifique</w:t>
      </w:r>
      <w:r w:rsidR="000866E8" w:rsidRPr="00A96BFB">
        <w:rPr>
          <w:lang w:val="fr-CH"/>
        </w:rPr>
        <w:t xml:space="preserve"> (UA&amp;P) </w:t>
      </w:r>
      <w:r w:rsidR="00792E96" w:rsidRPr="00A96BFB">
        <w:rPr>
          <w:lang w:val="fr-CH"/>
        </w:rPr>
        <w:t>aux</w:t>
      </w:r>
      <w:r w:rsidR="000866E8" w:rsidRPr="00A96BFB">
        <w:rPr>
          <w:lang w:val="fr-CH"/>
        </w:rPr>
        <w:t xml:space="preserve"> Philippines; </w:t>
      </w:r>
      <w:r w:rsidR="00E82EF4">
        <w:rPr>
          <w:lang w:val="fr-CH"/>
        </w:rPr>
        <w:t xml:space="preserve"> </w:t>
      </w:r>
      <w:r w:rsidR="00792E96" w:rsidRPr="00A96BFB">
        <w:rPr>
          <w:lang w:val="fr-CH"/>
        </w:rPr>
        <w:t>et</w:t>
      </w:r>
      <w:r w:rsidR="000866E8" w:rsidRPr="00A96BFB">
        <w:rPr>
          <w:lang w:val="fr-CH"/>
        </w:rPr>
        <w:t xml:space="preserve"> </w:t>
      </w:r>
      <w:r w:rsidR="008C1B66">
        <w:rPr>
          <w:lang w:val="fr-CH"/>
        </w:rPr>
        <w:t>Mme</w:t>
      </w:r>
      <w:r w:rsidR="00E82EF4">
        <w:rPr>
          <w:lang w:val="fr-CH"/>
        </w:rPr>
        <w:t> </w:t>
      </w:r>
      <w:r w:rsidR="000866E8" w:rsidRPr="00A96BFB">
        <w:rPr>
          <w:lang w:val="fr-CH"/>
        </w:rPr>
        <w:t>Deunden</w:t>
      </w:r>
      <w:r w:rsidR="0090688F">
        <w:rPr>
          <w:lang w:val="fr-CH"/>
        </w:rPr>
        <w:t> </w:t>
      </w:r>
      <w:r w:rsidR="000866E8" w:rsidRPr="00A96BFB">
        <w:rPr>
          <w:lang w:val="fr-CH"/>
        </w:rPr>
        <w:t xml:space="preserve">Nikomborirak </w:t>
      </w:r>
      <w:r w:rsidR="00792E96" w:rsidRPr="00A96BFB">
        <w:rPr>
          <w:lang w:val="fr-CH"/>
        </w:rPr>
        <w:t>et</w:t>
      </w:r>
      <w:r w:rsidR="000866E8" w:rsidRPr="00A96BFB">
        <w:rPr>
          <w:lang w:val="fr-CH"/>
        </w:rPr>
        <w:t xml:space="preserve"> </w:t>
      </w:r>
      <w:r w:rsidR="008C1B66">
        <w:rPr>
          <w:lang w:val="fr-CH"/>
        </w:rPr>
        <w:t>Mme</w:t>
      </w:r>
      <w:r w:rsidR="00E82EF4">
        <w:rPr>
          <w:lang w:val="fr-CH"/>
        </w:rPr>
        <w:t> </w:t>
      </w:r>
      <w:r w:rsidR="000866E8" w:rsidRPr="00A96BFB">
        <w:rPr>
          <w:lang w:val="fr-CH"/>
        </w:rPr>
        <w:t>Weerawan Paibunjitt</w:t>
      </w:r>
      <w:r w:rsidR="009B2FD7">
        <w:rPr>
          <w:lang w:val="fr-CH"/>
        </w:rPr>
        <w:noBreakHyphen/>
      </w:r>
      <w:r w:rsidR="000866E8" w:rsidRPr="00A96BFB">
        <w:rPr>
          <w:lang w:val="fr-CH"/>
        </w:rPr>
        <w:t xml:space="preserve">aree </w:t>
      </w:r>
      <w:r w:rsidR="00792E96" w:rsidRPr="00A96BFB">
        <w:rPr>
          <w:lang w:val="fr-CH"/>
        </w:rPr>
        <w:t>à</w:t>
      </w:r>
      <w:r w:rsidR="000866E8" w:rsidRPr="00A96BFB">
        <w:rPr>
          <w:lang w:val="fr-CH"/>
        </w:rPr>
        <w:t xml:space="preserve"> </w:t>
      </w:r>
      <w:r w:rsidR="00907450" w:rsidRPr="00A96BFB">
        <w:rPr>
          <w:lang w:val="fr-CH"/>
        </w:rPr>
        <w:t>l</w:t>
      </w:r>
      <w:r w:rsidR="00C97A26">
        <w:rPr>
          <w:lang w:val="fr-CH"/>
        </w:rPr>
        <w:t>’</w:t>
      </w:r>
      <w:r w:rsidR="00907450" w:rsidRPr="00A96BFB">
        <w:rPr>
          <w:lang w:val="fr-CH"/>
        </w:rPr>
        <w:t>Institut thaïlandais</w:t>
      </w:r>
      <w:r w:rsidR="00907450">
        <w:rPr>
          <w:lang w:val="fr-CH"/>
        </w:rPr>
        <w:t xml:space="preserve"> de recherches sur le développement</w:t>
      </w:r>
      <w:r w:rsidR="00A96BFB">
        <w:rPr>
          <w:lang w:val="fr-CH"/>
        </w:rPr>
        <w:t xml:space="preserve"> en Thaïlan</w:t>
      </w:r>
      <w:r w:rsidR="00040DB0">
        <w:rPr>
          <w:lang w:val="fr-CH"/>
        </w:rPr>
        <w:t xml:space="preserve">de.  </w:t>
      </w:r>
      <w:r w:rsidR="00040DB0" w:rsidRPr="00CB09B3">
        <w:rPr>
          <w:lang w:val="fr-CH"/>
        </w:rPr>
        <w:t>El</w:t>
      </w:r>
      <w:r w:rsidR="00030F5F" w:rsidRPr="00CB09B3">
        <w:rPr>
          <w:lang w:val="fr-CH"/>
        </w:rPr>
        <w:t>le</w:t>
      </w:r>
      <w:r w:rsidR="00F27710">
        <w:rPr>
          <w:lang w:val="fr-CH"/>
        </w:rPr>
        <w:t> </w:t>
      </w:r>
      <w:r w:rsidR="00030F5F" w:rsidRPr="00CB09B3">
        <w:rPr>
          <w:lang w:val="fr-CH"/>
        </w:rPr>
        <w:t>a</w:t>
      </w:r>
      <w:r w:rsidR="00F27710">
        <w:rPr>
          <w:lang w:val="fr-CH"/>
        </w:rPr>
        <w:t> </w:t>
      </w:r>
      <w:r w:rsidR="00030F5F" w:rsidRPr="00CB09B3">
        <w:rPr>
          <w:lang w:val="fr-CH"/>
        </w:rPr>
        <w:t xml:space="preserve">été examinée </w:t>
      </w:r>
      <w:r w:rsidR="00030F5F" w:rsidRPr="008C1B66">
        <w:rPr>
          <w:lang w:val="fr-CH"/>
        </w:rPr>
        <w:t>par</w:t>
      </w:r>
      <w:r w:rsidR="00650A29" w:rsidRPr="008C1B66">
        <w:rPr>
          <w:lang w:val="fr-CH"/>
        </w:rPr>
        <w:t xml:space="preserve"> </w:t>
      </w:r>
      <w:r w:rsidR="00907450" w:rsidRPr="008C1B66">
        <w:rPr>
          <w:lang w:val="fr-CH"/>
        </w:rPr>
        <w:t>Mme</w:t>
      </w:r>
      <w:r w:rsidR="00E82EF4">
        <w:rPr>
          <w:lang w:val="fr-CH"/>
        </w:rPr>
        <w:t> </w:t>
      </w:r>
      <w:r w:rsidR="000866E8" w:rsidRPr="008C1B66">
        <w:rPr>
          <w:lang w:val="fr-CH"/>
        </w:rPr>
        <w:t>Myriam</w:t>
      </w:r>
      <w:r w:rsidR="0090688F">
        <w:rPr>
          <w:lang w:val="fr-CH"/>
        </w:rPr>
        <w:t> </w:t>
      </w:r>
      <w:r w:rsidR="000866E8" w:rsidRPr="00907450">
        <w:rPr>
          <w:lang w:val="fr-CH"/>
        </w:rPr>
        <w:t>Mariani</w:t>
      </w:r>
      <w:r w:rsidR="00907450" w:rsidRPr="00907450">
        <w:rPr>
          <w:lang w:val="fr-CH"/>
        </w:rPr>
        <w:t xml:space="preserve"> de l</w:t>
      </w:r>
      <w:r w:rsidR="00C97A26">
        <w:rPr>
          <w:lang w:val="fr-CH"/>
        </w:rPr>
        <w:t>’</w:t>
      </w:r>
      <w:r w:rsidR="00907450" w:rsidRPr="00907450">
        <w:rPr>
          <w:lang w:val="fr-CH"/>
        </w:rPr>
        <w:t>Université</w:t>
      </w:r>
      <w:r w:rsidR="0090688F">
        <w:rPr>
          <w:lang w:val="fr-CH"/>
        </w:rPr>
        <w:t> </w:t>
      </w:r>
      <w:r w:rsidR="00907450" w:rsidRPr="00907450">
        <w:rPr>
          <w:lang w:val="fr-CH"/>
        </w:rPr>
        <w:t>Bocconi de Milan (Italie)</w:t>
      </w:r>
      <w:r w:rsidR="00650A29" w:rsidRPr="00907450">
        <w:rPr>
          <w:lang w:val="fr-CH"/>
        </w:rPr>
        <w:t>.</w:t>
      </w:r>
    </w:p>
    <w:p w:rsidR="00E35762" w:rsidRPr="00E35762" w:rsidRDefault="00792E96" w:rsidP="00E35762">
      <w:pPr>
        <w:pStyle w:val="ONUMFS"/>
        <w:ind w:left="5533"/>
        <w:rPr>
          <w:i/>
          <w:lang w:val="fr-CH"/>
        </w:rPr>
      </w:pPr>
      <w:r w:rsidRPr="00E35762">
        <w:rPr>
          <w:i/>
          <w:iCs/>
          <w:lang w:val="fr-CH"/>
        </w:rPr>
        <w:t>Le CDIP est invité à prendre note des information</w:t>
      </w:r>
      <w:r w:rsidR="00C943E5" w:rsidRPr="00E35762">
        <w:rPr>
          <w:i/>
          <w:iCs/>
          <w:lang w:val="fr-CH"/>
        </w:rPr>
        <w:t>s</w:t>
      </w:r>
      <w:r w:rsidRPr="00E35762">
        <w:rPr>
          <w:i/>
          <w:iCs/>
          <w:lang w:val="fr-CH"/>
        </w:rPr>
        <w:t xml:space="preserve"> </w:t>
      </w:r>
      <w:r w:rsidR="00493BF8" w:rsidRPr="00E35762">
        <w:rPr>
          <w:i/>
          <w:iCs/>
          <w:lang w:val="fr-CH"/>
        </w:rPr>
        <w:t>contenues</w:t>
      </w:r>
      <w:r w:rsidRPr="00E35762">
        <w:rPr>
          <w:i/>
          <w:iCs/>
          <w:lang w:val="fr-CH"/>
        </w:rPr>
        <w:t xml:space="preserve"> dans l</w:t>
      </w:r>
      <w:r w:rsidR="00C97A26" w:rsidRPr="00E35762">
        <w:rPr>
          <w:i/>
          <w:iCs/>
          <w:lang w:val="fr-CH"/>
        </w:rPr>
        <w:t>’</w:t>
      </w:r>
      <w:r w:rsidRPr="00E35762">
        <w:rPr>
          <w:i/>
          <w:iCs/>
          <w:lang w:val="fr-CH"/>
        </w:rPr>
        <w:t>annexe du présent document</w:t>
      </w:r>
      <w:r w:rsidR="00C943E5" w:rsidRPr="00E35762">
        <w:rPr>
          <w:i/>
          <w:lang w:val="fr-CH"/>
        </w:rPr>
        <w:t>.</w:t>
      </w:r>
    </w:p>
    <w:p w:rsidR="00C943E5" w:rsidRPr="006C0A64" w:rsidRDefault="00C943E5" w:rsidP="00E35762">
      <w:pPr>
        <w:pStyle w:val="Endofdocument-Annex"/>
        <w:spacing w:before="960"/>
        <w:rPr>
          <w:lang w:val="fr-CH"/>
        </w:rPr>
      </w:pPr>
      <w:r w:rsidRPr="006C0A64">
        <w:rPr>
          <w:lang w:val="fr-CH"/>
        </w:rPr>
        <w:t>[</w:t>
      </w:r>
      <w:r w:rsidR="00792E96" w:rsidRPr="006C0A64">
        <w:rPr>
          <w:lang w:val="fr-CH"/>
        </w:rPr>
        <w:t>L</w:t>
      </w:r>
      <w:r w:rsidR="00C97A26">
        <w:rPr>
          <w:lang w:val="fr-CH"/>
        </w:rPr>
        <w:t>’</w:t>
      </w:r>
      <w:r w:rsidR="00792E96" w:rsidRPr="006C0A64">
        <w:rPr>
          <w:lang w:val="fr-CH"/>
        </w:rPr>
        <w:t>annexe</w:t>
      </w:r>
      <w:r w:rsidRPr="006C0A64">
        <w:rPr>
          <w:lang w:val="fr-CH"/>
        </w:rPr>
        <w:t xml:space="preserve"> </w:t>
      </w:r>
      <w:r w:rsidR="00792E96" w:rsidRPr="006C0A64">
        <w:rPr>
          <w:lang w:val="fr-CH"/>
        </w:rPr>
        <w:t>suit</w:t>
      </w:r>
      <w:r w:rsidRPr="006C0A64">
        <w:rPr>
          <w:lang w:val="fr-CH"/>
        </w:rPr>
        <w:t>]</w:t>
      </w:r>
    </w:p>
    <w:p w:rsidR="00C943E5" w:rsidRPr="006C0A64" w:rsidRDefault="00C943E5" w:rsidP="00C943E5">
      <w:pPr>
        <w:rPr>
          <w:lang w:val="fr-CH"/>
        </w:rPr>
        <w:sectPr w:rsidR="00C943E5" w:rsidRPr="006C0A64" w:rsidSect="00D27B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567" w:right="1134" w:bottom="1418" w:left="1418" w:header="0" w:footer="720" w:gutter="0"/>
          <w:pgNumType w:start="1"/>
          <w:cols w:space="720"/>
          <w:titlePg/>
          <w:docGrid w:linePitch="299"/>
        </w:sectPr>
      </w:pPr>
    </w:p>
    <w:p w:rsidR="00E35762" w:rsidRDefault="006C0A64" w:rsidP="005328BE">
      <w:pPr>
        <w:spacing w:after="180"/>
        <w:rPr>
          <w:b/>
          <w:bCs/>
          <w:lang w:val="fr-CH"/>
        </w:rPr>
      </w:pPr>
      <w:r w:rsidRPr="006C0A64">
        <w:rPr>
          <w:b/>
          <w:bCs/>
          <w:lang w:val="fr-CH"/>
        </w:rPr>
        <w:lastRenderedPageBreak/>
        <w:t>La co</w:t>
      </w:r>
      <w:r w:rsidR="00FF3DCA">
        <w:rPr>
          <w:b/>
          <w:bCs/>
          <w:lang w:val="fr-CH"/>
        </w:rPr>
        <w:t>mpréhension de l</w:t>
      </w:r>
      <w:r w:rsidR="00C97A26">
        <w:rPr>
          <w:b/>
          <w:bCs/>
          <w:lang w:val="fr-CH"/>
        </w:rPr>
        <w:t>’</w:t>
      </w:r>
      <w:r w:rsidR="00FF3DCA">
        <w:rPr>
          <w:b/>
          <w:bCs/>
          <w:lang w:val="fr-CH"/>
        </w:rPr>
        <w:t>utilisation des</w:t>
      </w:r>
      <w:r w:rsidRPr="006C0A64">
        <w:rPr>
          <w:b/>
          <w:bCs/>
          <w:lang w:val="fr-CH"/>
        </w:rPr>
        <w:t xml:space="preserve"> dessins </w:t>
      </w:r>
      <w:r w:rsidR="00903C77">
        <w:rPr>
          <w:b/>
          <w:bCs/>
          <w:lang w:val="fr-CH"/>
        </w:rPr>
        <w:t>et</w:t>
      </w:r>
      <w:r w:rsidRPr="006C0A64">
        <w:rPr>
          <w:b/>
          <w:bCs/>
          <w:lang w:val="fr-CH"/>
        </w:rPr>
        <w:t xml:space="preserve"> modèles industriels dans les pays d</w:t>
      </w:r>
      <w:r w:rsidR="00C97A26">
        <w:rPr>
          <w:b/>
          <w:bCs/>
          <w:lang w:val="fr-CH"/>
        </w:rPr>
        <w:t>’</w:t>
      </w:r>
      <w:r w:rsidRPr="006C0A64">
        <w:rPr>
          <w:b/>
          <w:bCs/>
          <w:lang w:val="fr-CH"/>
        </w:rPr>
        <w:t>Asie du Sud</w:t>
      </w:r>
      <w:r w:rsidR="009B2FD7">
        <w:rPr>
          <w:b/>
          <w:bCs/>
          <w:lang w:val="fr-CH"/>
        </w:rPr>
        <w:noBreakHyphen/>
      </w:r>
      <w:r w:rsidRPr="006C0A64">
        <w:rPr>
          <w:b/>
          <w:bCs/>
          <w:lang w:val="fr-CH"/>
        </w:rPr>
        <w:t>Est – le cas de l</w:t>
      </w:r>
      <w:r w:rsidR="00C97A26">
        <w:rPr>
          <w:b/>
          <w:bCs/>
          <w:lang w:val="fr-CH"/>
        </w:rPr>
        <w:t>’</w:t>
      </w:r>
      <w:r w:rsidRPr="006C0A64">
        <w:rPr>
          <w:b/>
          <w:bCs/>
          <w:lang w:val="fr-CH"/>
        </w:rPr>
        <w:t>Indonésie, des Philippines et de la Thaïlande</w:t>
      </w:r>
    </w:p>
    <w:p w:rsidR="00E35762" w:rsidRDefault="00F24085" w:rsidP="00E35762">
      <w:pPr>
        <w:spacing w:after="220"/>
        <w:rPr>
          <w:lang w:val="fr-CH"/>
        </w:rPr>
      </w:pPr>
      <w:r>
        <w:rPr>
          <w:lang w:val="fr-CH"/>
        </w:rPr>
        <w:t>Il existe p</w:t>
      </w:r>
      <w:r w:rsidR="000D3542" w:rsidRPr="000D3542">
        <w:rPr>
          <w:lang w:val="fr-CH"/>
        </w:rPr>
        <w:t xml:space="preserve">eu </w:t>
      </w:r>
      <w:r w:rsidR="000D3542">
        <w:rPr>
          <w:lang w:val="fr-CH"/>
        </w:rPr>
        <w:t>de connaissances</w:t>
      </w:r>
      <w:r w:rsidR="000D3542" w:rsidRPr="000D3542">
        <w:rPr>
          <w:lang w:val="fr-CH"/>
        </w:rPr>
        <w:t xml:space="preserve"> sur la manière dont </w:t>
      </w:r>
      <w:r w:rsidR="000D3542">
        <w:rPr>
          <w:lang w:val="fr-CH"/>
        </w:rPr>
        <w:t>la protection des</w:t>
      </w:r>
      <w:r w:rsidR="000D3542" w:rsidRPr="000D3542">
        <w:rPr>
          <w:lang w:val="fr-CH"/>
        </w:rPr>
        <w:t xml:space="preserve"> dessins </w:t>
      </w:r>
      <w:r w:rsidR="00903C77">
        <w:rPr>
          <w:lang w:val="fr-CH"/>
        </w:rPr>
        <w:t>et</w:t>
      </w:r>
      <w:r w:rsidR="000D3542" w:rsidRPr="000D3542">
        <w:rPr>
          <w:lang w:val="fr-CH"/>
        </w:rPr>
        <w:t xml:space="preserve"> modèles industriels </w:t>
      </w:r>
      <w:r>
        <w:rPr>
          <w:lang w:val="fr-CH"/>
        </w:rPr>
        <w:t>contribue</w:t>
      </w:r>
      <w:r w:rsidR="000D3542">
        <w:rPr>
          <w:lang w:val="fr-CH"/>
        </w:rPr>
        <w:t xml:space="preserve"> à l</w:t>
      </w:r>
      <w:r w:rsidR="00C97A26">
        <w:rPr>
          <w:lang w:val="fr-CH"/>
        </w:rPr>
        <w:t>’</w:t>
      </w:r>
      <w:r w:rsidR="000D3542">
        <w:rPr>
          <w:lang w:val="fr-CH"/>
        </w:rPr>
        <w:t>innovation</w:t>
      </w:r>
      <w:r>
        <w:rPr>
          <w:lang w:val="fr-CH"/>
        </w:rPr>
        <w:t xml:space="preserve"> en matière de dessins et modèles</w:t>
      </w:r>
      <w:r w:rsidR="000D3542">
        <w:rPr>
          <w:lang w:val="fr-CH"/>
        </w:rPr>
        <w:t>,</w:t>
      </w:r>
      <w:r>
        <w:rPr>
          <w:lang w:val="fr-CH"/>
        </w:rPr>
        <w:t xml:space="preserve"> à</w:t>
      </w:r>
      <w:r w:rsidR="000D3542">
        <w:rPr>
          <w:lang w:val="fr-CH"/>
        </w:rPr>
        <w:t xml:space="preserve"> la croissance des entreprises et, plus </w:t>
      </w:r>
      <w:r>
        <w:rPr>
          <w:lang w:val="fr-CH"/>
        </w:rPr>
        <w:t>largement</w:t>
      </w:r>
      <w:r w:rsidR="000D3542">
        <w:rPr>
          <w:lang w:val="fr-CH"/>
        </w:rPr>
        <w:t xml:space="preserve">, </w:t>
      </w:r>
      <w:r>
        <w:rPr>
          <w:lang w:val="fr-CH"/>
        </w:rPr>
        <w:t>au</w:t>
      </w:r>
      <w:r w:rsidR="000D3542">
        <w:rPr>
          <w:lang w:val="fr-CH"/>
        </w:rPr>
        <w:t xml:space="preserve"> développement économiq</w:t>
      </w:r>
      <w:r w:rsidR="00040DB0">
        <w:rPr>
          <w:lang w:val="fr-CH"/>
        </w:rPr>
        <w:t xml:space="preserve">ue.  </w:t>
      </w:r>
      <w:r w:rsidR="00040DB0" w:rsidRPr="000D3542">
        <w:rPr>
          <w:lang w:val="fr-CH"/>
        </w:rPr>
        <w:t>Le</w:t>
      </w:r>
      <w:r w:rsidR="000D3542" w:rsidRPr="000D3542">
        <w:rPr>
          <w:lang w:val="fr-CH"/>
        </w:rPr>
        <w:t>s statistiques de l</w:t>
      </w:r>
      <w:r w:rsidR="00C97A26">
        <w:rPr>
          <w:lang w:val="fr-CH"/>
        </w:rPr>
        <w:t>’</w:t>
      </w:r>
      <w:r w:rsidR="000D3542" w:rsidRPr="000D3542">
        <w:rPr>
          <w:lang w:val="fr-CH"/>
        </w:rPr>
        <w:t xml:space="preserve">OMPI indiquent que les </w:t>
      </w:r>
      <w:r w:rsidR="000D3542" w:rsidRPr="00F24085">
        <w:rPr>
          <w:lang w:val="fr-CH"/>
        </w:rPr>
        <w:t xml:space="preserve">pays à </w:t>
      </w:r>
      <w:r w:rsidR="003B017E" w:rsidRPr="00F24085">
        <w:rPr>
          <w:lang w:val="fr-CH"/>
        </w:rPr>
        <w:t>revenu</w:t>
      </w:r>
      <w:r w:rsidR="000D3542" w:rsidRPr="00F24085">
        <w:rPr>
          <w:lang w:val="fr-CH"/>
        </w:rPr>
        <w:t xml:space="preserve"> </w:t>
      </w:r>
      <w:r w:rsidR="003B017E" w:rsidRPr="00F24085">
        <w:rPr>
          <w:lang w:val="fr-CH"/>
        </w:rPr>
        <w:t xml:space="preserve">élevé </w:t>
      </w:r>
      <w:r w:rsidR="000D3542" w:rsidRPr="00F24085">
        <w:rPr>
          <w:lang w:val="fr-CH"/>
        </w:rPr>
        <w:t>et</w:t>
      </w:r>
      <w:r w:rsidR="000D3542">
        <w:rPr>
          <w:lang w:val="fr-CH"/>
        </w:rPr>
        <w:t xml:space="preserve"> la Chine </w:t>
      </w:r>
      <w:r w:rsidR="003B017E">
        <w:rPr>
          <w:lang w:val="fr-CH"/>
        </w:rPr>
        <w:t>sont à l</w:t>
      </w:r>
      <w:r w:rsidR="00C97A26">
        <w:rPr>
          <w:lang w:val="fr-CH"/>
        </w:rPr>
        <w:t>’</w:t>
      </w:r>
      <w:r w:rsidR="003B017E">
        <w:rPr>
          <w:lang w:val="fr-CH"/>
        </w:rPr>
        <w:t>origine de</w:t>
      </w:r>
      <w:r w:rsidR="000D3542">
        <w:rPr>
          <w:lang w:val="fr-CH"/>
        </w:rPr>
        <w:t xml:space="preserve"> la grande majorité des </w:t>
      </w:r>
      <w:r w:rsidR="00226E66" w:rsidRPr="00226E66">
        <w:rPr>
          <w:lang w:val="fr-CH"/>
        </w:rPr>
        <w:t>demandes d</w:t>
      </w:r>
      <w:r w:rsidR="00C97A26">
        <w:rPr>
          <w:lang w:val="fr-CH"/>
        </w:rPr>
        <w:t>’</w:t>
      </w:r>
      <w:r w:rsidR="00226E66" w:rsidRPr="00226E66">
        <w:rPr>
          <w:lang w:val="fr-CH"/>
        </w:rPr>
        <w:t xml:space="preserve">enregistrement </w:t>
      </w:r>
      <w:r w:rsidR="003B017E" w:rsidRPr="00226E66">
        <w:rPr>
          <w:lang w:val="fr-CH"/>
        </w:rPr>
        <w:t xml:space="preserve">de dessins </w:t>
      </w:r>
      <w:r w:rsidR="00903C77" w:rsidRPr="00226E66">
        <w:rPr>
          <w:lang w:val="fr-CH"/>
        </w:rPr>
        <w:t>et</w:t>
      </w:r>
      <w:r w:rsidR="003B017E" w:rsidRPr="00226E66">
        <w:rPr>
          <w:lang w:val="fr-CH"/>
        </w:rPr>
        <w:t xml:space="preserve"> modèles industriels</w:t>
      </w:r>
      <w:r w:rsidR="003B017E">
        <w:rPr>
          <w:lang w:val="fr-CH"/>
        </w:rPr>
        <w:t xml:space="preserve"> dans le monde</w:t>
      </w:r>
      <w:r w:rsidR="000866E8" w:rsidRPr="000866E8">
        <w:rPr>
          <w:vertAlign w:val="superscript"/>
        </w:rPr>
        <w:footnoteReference w:id="2"/>
      </w:r>
      <w:r w:rsidR="00E82EF4">
        <w:rPr>
          <w:lang w:val="fr-CH"/>
        </w:rPr>
        <w:t>.</w:t>
      </w:r>
      <w:r w:rsidR="000866E8" w:rsidRPr="000D3542">
        <w:rPr>
          <w:lang w:val="fr-CH"/>
        </w:rPr>
        <w:t xml:space="preserve">  </w:t>
      </w:r>
      <w:r w:rsidR="00B253F1">
        <w:rPr>
          <w:lang w:val="fr-CH"/>
        </w:rPr>
        <w:t xml:space="preserve">Les études ont montré que les dessins </w:t>
      </w:r>
      <w:r w:rsidR="00903C77">
        <w:rPr>
          <w:lang w:val="fr-CH"/>
        </w:rPr>
        <w:t>et</w:t>
      </w:r>
      <w:r w:rsidR="00B253F1">
        <w:rPr>
          <w:lang w:val="fr-CH"/>
        </w:rPr>
        <w:t xml:space="preserve"> modèles industriels complètent souvent d</w:t>
      </w:r>
      <w:r w:rsidR="00C97A26">
        <w:rPr>
          <w:lang w:val="fr-CH"/>
        </w:rPr>
        <w:t>’</w:t>
      </w:r>
      <w:r w:rsidR="00B253F1">
        <w:rPr>
          <w:lang w:val="fr-CH"/>
        </w:rPr>
        <w:t xml:space="preserve">autres formes de droits de propriété </w:t>
      </w:r>
      <w:r w:rsidR="00B253F1" w:rsidRPr="00056A80">
        <w:rPr>
          <w:lang w:val="fr-CH"/>
        </w:rPr>
        <w:t xml:space="preserve">intellectuelle pour </w:t>
      </w:r>
      <w:r w:rsidR="00575F75" w:rsidRPr="00056A80">
        <w:rPr>
          <w:lang w:val="fr-CH"/>
        </w:rPr>
        <w:t>encourager</w:t>
      </w:r>
      <w:r w:rsidR="00B253F1" w:rsidRPr="00056A80">
        <w:rPr>
          <w:lang w:val="fr-CH"/>
        </w:rPr>
        <w:t xml:space="preserve"> la commercialisation de nouveaux produits incorporant des innovations technologiqu</w:t>
      </w:r>
      <w:r w:rsidR="00040DB0" w:rsidRPr="00056A80">
        <w:rPr>
          <w:lang w:val="fr-CH"/>
        </w:rPr>
        <w:t>es</w:t>
      </w:r>
      <w:r w:rsidR="00040DB0">
        <w:rPr>
          <w:lang w:val="fr-CH"/>
        </w:rPr>
        <w:t xml:space="preserve">.  </w:t>
      </w:r>
      <w:r w:rsidR="00040DB0" w:rsidRPr="00056A80">
        <w:rPr>
          <w:lang w:val="fr-CH"/>
        </w:rPr>
        <w:t>En</w:t>
      </w:r>
      <w:r w:rsidR="00B253F1" w:rsidRPr="00056A80">
        <w:rPr>
          <w:lang w:val="fr-CH"/>
        </w:rPr>
        <w:t xml:space="preserve"> outre, dans certaines </w:t>
      </w:r>
      <w:r w:rsidR="00B408B9" w:rsidRPr="00056A80">
        <w:rPr>
          <w:lang w:val="fr-CH"/>
        </w:rPr>
        <w:t xml:space="preserve">industries de biens de </w:t>
      </w:r>
      <w:r w:rsidR="00E8674E" w:rsidRPr="00056A80">
        <w:rPr>
          <w:lang w:val="fr-CH"/>
        </w:rPr>
        <w:t>consommation</w:t>
      </w:r>
      <w:r w:rsidR="00B408B9" w:rsidRPr="00056A80">
        <w:rPr>
          <w:lang w:val="fr-CH"/>
        </w:rPr>
        <w:t xml:space="preserve"> de </w:t>
      </w:r>
      <w:r w:rsidR="00C97A26">
        <w:rPr>
          <w:lang w:val="fr-CH"/>
        </w:rPr>
        <w:t>“</w:t>
      </w:r>
      <w:r w:rsidR="00C97A26" w:rsidRPr="00056A80">
        <w:rPr>
          <w:lang w:val="fr-CH"/>
        </w:rPr>
        <w:t>f</w:t>
      </w:r>
      <w:r w:rsidR="00B408B9" w:rsidRPr="00056A80">
        <w:rPr>
          <w:lang w:val="fr-CH"/>
        </w:rPr>
        <w:t>aible technologi</w:t>
      </w:r>
      <w:r w:rsidR="00C97A26" w:rsidRPr="00056A80">
        <w:rPr>
          <w:lang w:val="fr-CH"/>
        </w:rPr>
        <w:t>e</w:t>
      </w:r>
      <w:r w:rsidR="00C97A26">
        <w:rPr>
          <w:lang w:val="fr-CH"/>
        </w:rPr>
        <w:t>”</w:t>
      </w:r>
      <w:r w:rsidR="00B408B9" w:rsidRPr="00056A80">
        <w:rPr>
          <w:lang w:val="fr-CH"/>
        </w:rPr>
        <w:t xml:space="preserve">, </w:t>
      </w:r>
      <w:r w:rsidR="00561F63" w:rsidRPr="00056A80">
        <w:rPr>
          <w:lang w:val="fr-CH"/>
        </w:rPr>
        <w:t>l</w:t>
      </w:r>
      <w:r w:rsidR="00C97A26">
        <w:rPr>
          <w:lang w:val="fr-CH"/>
        </w:rPr>
        <w:t>’</w:t>
      </w:r>
      <w:r w:rsidR="00561F63" w:rsidRPr="00056A80">
        <w:rPr>
          <w:lang w:val="fr-CH"/>
        </w:rPr>
        <w:t xml:space="preserve">attrait du dessin ou modèle peut jouer un rôle important pour les entreprises </w:t>
      </w:r>
      <w:r w:rsidR="00575F75" w:rsidRPr="00056A80">
        <w:rPr>
          <w:lang w:val="fr-CH"/>
        </w:rPr>
        <w:t xml:space="preserve">qui, en </w:t>
      </w:r>
      <w:r w:rsidR="00561F63" w:rsidRPr="00056A80">
        <w:rPr>
          <w:lang w:val="fr-CH"/>
        </w:rPr>
        <w:t>créant une expérience unique pour les consommateur</w:t>
      </w:r>
      <w:r w:rsidR="00E8674E" w:rsidRPr="00056A80">
        <w:rPr>
          <w:lang w:val="fr-CH"/>
        </w:rPr>
        <w:t>s</w:t>
      </w:r>
      <w:r w:rsidR="00575F75" w:rsidRPr="00056A80">
        <w:rPr>
          <w:lang w:val="fr-CH"/>
        </w:rPr>
        <w:t xml:space="preserve">, </w:t>
      </w:r>
      <w:r w:rsidR="00D35EB0" w:rsidRPr="00056A80">
        <w:rPr>
          <w:lang w:val="fr-CH"/>
        </w:rPr>
        <w:t>gagne</w:t>
      </w:r>
      <w:r w:rsidR="00561F63" w:rsidRPr="00056A80">
        <w:rPr>
          <w:lang w:val="fr-CH"/>
        </w:rPr>
        <w:t xml:space="preserve">nt </w:t>
      </w:r>
      <w:r w:rsidR="009B72FE" w:rsidRPr="00056A80">
        <w:rPr>
          <w:lang w:val="fr-CH"/>
        </w:rPr>
        <w:t xml:space="preserve">du terrain </w:t>
      </w:r>
      <w:r w:rsidR="00575F75" w:rsidRPr="00056A80">
        <w:rPr>
          <w:lang w:val="fr-CH"/>
        </w:rPr>
        <w:t>par rapport à</w:t>
      </w:r>
      <w:r w:rsidR="009B72FE" w:rsidRPr="00056A80">
        <w:rPr>
          <w:lang w:val="fr-CH"/>
        </w:rPr>
        <w:t xml:space="preserve"> </w:t>
      </w:r>
      <w:r w:rsidR="00575F75" w:rsidRPr="00056A80">
        <w:rPr>
          <w:lang w:val="fr-CH"/>
        </w:rPr>
        <w:t>leurs</w:t>
      </w:r>
      <w:r w:rsidR="009B72FE" w:rsidRPr="00056A80">
        <w:rPr>
          <w:lang w:val="fr-CH"/>
        </w:rPr>
        <w:t xml:space="preserve"> concurrents</w:t>
      </w:r>
      <w:r w:rsidR="000866E8" w:rsidRPr="00056A80">
        <w:rPr>
          <w:vertAlign w:val="superscript"/>
        </w:rPr>
        <w:footnoteReference w:id="3"/>
      </w:r>
      <w:r w:rsidR="00E82EF4" w:rsidRPr="00056A80">
        <w:rPr>
          <w:lang w:val="fr-CH"/>
        </w:rPr>
        <w:t>.</w:t>
      </w:r>
    </w:p>
    <w:p w:rsidR="00E35762" w:rsidRDefault="009B72FE" w:rsidP="00E35762">
      <w:pPr>
        <w:spacing w:after="220"/>
        <w:rPr>
          <w:lang w:val="fr-CH"/>
        </w:rPr>
      </w:pPr>
      <w:r w:rsidRPr="00575F75">
        <w:rPr>
          <w:lang w:val="fr-CH"/>
        </w:rPr>
        <w:t xml:space="preserve">Dans les économies à </w:t>
      </w:r>
      <w:r w:rsidR="00FB5071" w:rsidRPr="00575F75">
        <w:rPr>
          <w:lang w:val="fr-CH"/>
        </w:rPr>
        <w:t>faible revenu et d</w:t>
      </w:r>
      <w:r w:rsidR="00C97A26">
        <w:rPr>
          <w:lang w:val="fr-CH"/>
        </w:rPr>
        <w:t>’</w:t>
      </w:r>
      <w:r w:rsidR="00FB5071" w:rsidRPr="00575F75">
        <w:rPr>
          <w:lang w:val="fr-CH"/>
        </w:rPr>
        <w:t>autres économies à</w:t>
      </w:r>
      <w:r w:rsidR="00FB5071" w:rsidRPr="00FB5071">
        <w:rPr>
          <w:lang w:val="fr-CH"/>
        </w:rPr>
        <w:t xml:space="preserve"> </w:t>
      </w:r>
      <w:r w:rsidR="00FB5071">
        <w:rPr>
          <w:lang w:val="fr-CH"/>
        </w:rPr>
        <w:t>revenu intermédiaire</w:t>
      </w:r>
      <w:r w:rsidR="000866E8" w:rsidRPr="00FB5071">
        <w:rPr>
          <w:lang w:val="fr-CH"/>
        </w:rPr>
        <w:t xml:space="preserve">, </w:t>
      </w:r>
      <w:r w:rsidR="00FB5071">
        <w:rPr>
          <w:lang w:val="fr-CH"/>
        </w:rPr>
        <w:t xml:space="preserve">le nombre de dépôts de dessins </w:t>
      </w:r>
      <w:r w:rsidR="00903C77">
        <w:rPr>
          <w:lang w:val="fr-CH"/>
        </w:rPr>
        <w:t>et</w:t>
      </w:r>
      <w:r w:rsidR="00FB5071">
        <w:rPr>
          <w:lang w:val="fr-CH"/>
        </w:rPr>
        <w:t xml:space="preserve"> modèles industriel</w:t>
      </w:r>
      <w:r w:rsidR="00575F75">
        <w:rPr>
          <w:lang w:val="fr-CH"/>
        </w:rPr>
        <w:t>s est souvent peu élevé</w:t>
      </w:r>
      <w:r w:rsidR="000866E8" w:rsidRPr="00FB5071">
        <w:rPr>
          <w:lang w:val="fr-CH"/>
        </w:rPr>
        <w:t xml:space="preserve">; </w:t>
      </w:r>
      <w:r w:rsidR="00E82EF4">
        <w:rPr>
          <w:lang w:val="fr-CH"/>
        </w:rPr>
        <w:t xml:space="preserve"> </w:t>
      </w:r>
      <w:r w:rsidR="00E8674E">
        <w:rPr>
          <w:lang w:val="fr-CH"/>
        </w:rPr>
        <w:t>parfois, les non</w:t>
      </w:r>
      <w:r w:rsidR="009B2FD7">
        <w:rPr>
          <w:lang w:val="fr-CH"/>
        </w:rPr>
        <w:noBreakHyphen/>
      </w:r>
      <w:r w:rsidR="00E8674E">
        <w:rPr>
          <w:lang w:val="fr-CH"/>
        </w:rPr>
        <w:t xml:space="preserve">résidents </w:t>
      </w:r>
      <w:r w:rsidR="00E8674E" w:rsidRPr="00607B04">
        <w:rPr>
          <w:lang w:val="fr-CH"/>
        </w:rPr>
        <w:t>déposent</w:t>
      </w:r>
      <w:r w:rsidR="00E8674E">
        <w:rPr>
          <w:lang w:val="fr-CH"/>
        </w:rPr>
        <w:t xml:space="preserve"> des demandes de protection national</w:t>
      </w:r>
      <w:r w:rsidR="00040DB0">
        <w:rPr>
          <w:lang w:val="fr-CH"/>
        </w:rPr>
        <w:t xml:space="preserve">es.  </w:t>
      </w:r>
      <w:r w:rsidR="00040DB0" w:rsidRPr="00E8674E">
        <w:rPr>
          <w:lang w:val="fr-CH"/>
        </w:rPr>
        <w:t>Il</w:t>
      </w:r>
      <w:r w:rsidR="00E8674E" w:rsidRPr="00E8674E">
        <w:rPr>
          <w:lang w:val="fr-CH"/>
        </w:rPr>
        <w:t xml:space="preserve"> existe cependant des exceptio</w:t>
      </w:r>
      <w:r w:rsidR="00040DB0" w:rsidRPr="00E8674E">
        <w:rPr>
          <w:lang w:val="fr-CH"/>
        </w:rPr>
        <w:t>ns</w:t>
      </w:r>
      <w:r w:rsidR="00040DB0">
        <w:rPr>
          <w:lang w:val="fr-CH"/>
        </w:rPr>
        <w:t xml:space="preserve">.  </w:t>
      </w:r>
      <w:r w:rsidR="00040DB0" w:rsidRPr="00E8674E">
        <w:rPr>
          <w:lang w:val="fr-CH"/>
        </w:rPr>
        <w:t>Ce</w:t>
      </w:r>
      <w:r w:rsidR="00E8674E" w:rsidRPr="00E8674E">
        <w:rPr>
          <w:lang w:val="fr-CH"/>
        </w:rPr>
        <w:t xml:space="preserve">rtains pays </w:t>
      </w:r>
      <w:r w:rsidR="00573C56">
        <w:rPr>
          <w:lang w:val="fr-CH"/>
        </w:rPr>
        <w:t>d</w:t>
      </w:r>
      <w:r w:rsidR="00C97A26">
        <w:rPr>
          <w:lang w:val="fr-CH"/>
        </w:rPr>
        <w:t>’</w:t>
      </w:r>
      <w:r w:rsidR="00573C56">
        <w:rPr>
          <w:lang w:val="fr-CH"/>
        </w:rPr>
        <w:t>Asie du Sud</w:t>
      </w:r>
      <w:r w:rsidR="009B2FD7">
        <w:rPr>
          <w:lang w:val="fr-CH"/>
        </w:rPr>
        <w:noBreakHyphen/>
      </w:r>
      <w:r w:rsidR="00573C56">
        <w:rPr>
          <w:lang w:val="fr-CH"/>
        </w:rPr>
        <w:t xml:space="preserve">Est </w:t>
      </w:r>
      <w:r w:rsidR="00E8674E" w:rsidRPr="00E8674E">
        <w:rPr>
          <w:lang w:val="fr-CH"/>
        </w:rPr>
        <w:t xml:space="preserve">à </w:t>
      </w:r>
      <w:r w:rsidR="00573C56">
        <w:rPr>
          <w:lang w:val="fr-CH"/>
        </w:rPr>
        <w:t>revenu</w:t>
      </w:r>
      <w:r w:rsidR="00E8674E" w:rsidRPr="00E8674E">
        <w:rPr>
          <w:lang w:val="fr-CH"/>
        </w:rPr>
        <w:t xml:space="preserve"> intermédiaire</w:t>
      </w:r>
      <w:r w:rsidR="00573C56">
        <w:rPr>
          <w:lang w:val="fr-CH"/>
        </w:rPr>
        <w:t>, notamment l</w:t>
      </w:r>
      <w:r w:rsidR="00C97A26">
        <w:rPr>
          <w:lang w:val="fr-CH"/>
        </w:rPr>
        <w:t>’</w:t>
      </w:r>
      <w:r w:rsidR="00573C56">
        <w:rPr>
          <w:lang w:val="fr-CH"/>
        </w:rPr>
        <w:t>Indonésie, les Philippines, la Thaïlande et le Viet</w:t>
      </w:r>
      <w:r w:rsidR="00E82EF4">
        <w:rPr>
          <w:lang w:val="fr-CH"/>
        </w:rPr>
        <w:t> </w:t>
      </w:r>
      <w:r w:rsidR="00573C56">
        <w:rPr>
          <w:lang w:val="fr-CH"/>
        </w:rPr>
        <w:t>Nam</w:t>
      </w:r>
      <w:r w:rsidR="00573C56" w:rsidRPr="00607B04">
        <w:rPr>
          <w:lang w:val="fr-CH"/>
        </w:rPr>
        <w:t>, montrent une utilisation intensive</w:t>
      </w:r>
      <w:r w:rsidR="00573C56" w:rsidRPr="00573C56">
        <w:rPr>
          <w:lang w:val="fr-CH"/>
        </w:rPr>
        <w:t xml:space="preserve"> </w:t>
      </w:r>
      <w:r w:rsidR="00573C56">
        <w:rPr>
          <w:lang w:val="fr-CH"/>
        </w:rPr>
        <w:t xml:space="preserve">du système avec plusieurs milliers de </w:t>
      </w:r>
      <w:r w:rsidR="00607B04">
        <w:rPr>
          <w:lang w:val="fr-CH"/>
        </w:rPr>
        <w:t>dessins et modèles déposé</w:t>
      </w:r>
      <w:r w:rsidR="00573C56">
        <w:rPr>
          <w:lang w:val="fr-CH"/>
        </w:rPr>
        <w:t>s chaque ann</w:t>
      </w:r>
      <w:r w:rsidR="00040DB0">
        <w:rPr>
          <w:lang w:val="fr-CH"/>
        </w:rPr>
        <w:t>ée.  En</w:t>
      </w:r>
      <w:r w:rsidR="00573C56">
        <w:rPr>
          <w:lang w:val="fr-CH"/>
        </w:rPr>
        <w:t xml:space="preserve"> outre, les utilisateurs locaux </w:t>
      </w:r>
      <w:r w:rsidR="00C56B9D">
        <w:rPr>
          <w:lang w:val="fr-CH"/>
        </w:rPr>
        <w:t>sont à l</w:t>
      </w:r>
      <w:r w:rsidR="00C97A26">
        <w:rPr>
          <w:lang w:val="fr-CH"/>
        </w:rPr>
        <w:t>’</w:t>
      </w:r>
      <w:r w:rsidR="00C56B9D">
        <w:rPr>
          <w:lang w:val="fr-CH"/>
        </w:rPr>
        <w:t>origine de</w:t>
      </w:r>
      <w:r w:rsidR="00573C56">
        <w:rPr>
          <w:lang w:val="fr-CH"/>
        </w:rPr>
        <w:t xml:space="preserve"> la plupart des demandes da</w:t>
      </w:r>
      <w:r w:rsidR="00607B04">
        <w:rPr>
          <w:lang w:val="fr-CH"/>
        </w:rPr>
        <w:t xml:space="preserve">ns ces pays, à la différence </w:t>
      </w:r>
      <w:r w:rsidR="00D57389">
        <w:rPr>
          <w:lang w:val="fr-CH"/>
        </w:rPr>
        <w:t xml:space="preserve">du système des </w:t>
      </w:r>
      <w:r w:rsidR="00573C56">
        <w:rPr>
          <w:lang w:val="fr-CH"/>
        </w:rPr>
        <w:t xml:space="preserve">brevets </w:t>
      </w:r>
      <w:r w:rsidR="00D57389">
        <w:rPr>
          <w:lang w:val="fr-CH"/>
        </w:rPr>
        <w:t>duquel</w:t>
      </w:r>
      <w:r w:rsidR="00573C56">
        <w:rPr>
          <w:lang w:val="fr-CH"/>
        </w:rPr>
        <w:t xml:space="preserve"> les non</w:t>
      </w:r>
      <w:r w:rsidR="009B2FD7">
        <w:rPr>
          <w:lang w:val="fr-CH"/>
        </w:rPr>
        <w:noBreakHyphen/>
      </w:r>
      <w:r w:rsidR="00573C56">
        <w:rPr>
          <w:lang w:val="fr-CH"/>
        </w:rPr>
        <w:t>résidents constituent le p</w:t>
      </w:r>
      <w:r w:rsidR="00C56B9D">
        <w:rPr>
          <w:lang w:val="fr-CH"/>
        </w:rPr>
        <w:t>lus grand groupe d</w:t>
      </w:r>
      <w:r w:rsidR="00C97A26">
        <w:rPr>
          <w:lang w:val="fr-CH"/>
        </w:rPr>
        <w:t>’</w:t>
      </w:r>
      <w:r w:rsidR="00C56B9D">
        <w:rPr>
          <w:lang w:val="fr-CH"/>
        </w:rPr>
        <w:t>utilisateurs</w:t>
      </w:r>
      <w:r w:rsidR="000866E8" w:rsidRPr="00C56B9D">
        <w:rPr>
          <w:lang w:val="fr-CH"/>
        </w:rPr>
        <w:t>.</w:t>
      </w:r>
    </w:p>
    <w:p w:rsidR="00E35762" w:rsidRDefault="00C56B9D" w:rsidP="00E35762">
      <w:pPr>
        <w:spacing w:after="220"/>
        <w:rPr>
          <w:lang w:val="fr-CH"/>
        </w:rPr>
      </w:pPr>
      <w:r w:rsidRPr="00C56B9D">
        <w:rPr>
          <w:lang w:val="fr-CH"/>
        </w:rPr>
        <w:t xml:space="preserve">Pour mieux comprendre la contribution de la protection des dessins et modèles industriels dans </w:t>
      </w:r>
      <w:r w:rsidR="00D57389" w:rsidRPr="00D57389">
        <w:rPr>
          <w:lang w:val="fr-CH"/>
        </w:rPr>
        <w:t>un contexte de</w:t>
      </w:r>
      <w:r w:rsidRPr="00D57389">
        <w:rPr>
          <w:lang w:val="fr-CH"/>
        </w:rPr>
        <w:t xml:space="preserve"> revenu intermédiaire</w:t>
      </w:r>
      <w:r w:rsidR="000866E8" w:rsidRPr="00C56B9D">
        <w:rPr>
          <w:lang w:val="fr-CH"/>
        </w:rPr>
        <w:t xml:space="preserve">, </w:t>
      </w:r>
      <w:r w:rsidR="00396BD7">
        <w:rPr>
          <w:lang w:val="fr-CH"/>
        </w:rPr>
        <w:t>la</w:t>
      </w:r>
      <w:r w:rsidR="009E149A">
        <w:rPr>
          <w:lang w:val="fr-CH"/>
        </w:rPr>
        <w:t xml:space="preserve"> D</w:t>
      </w:r>
      <w:r w:rsidR="00396BD7">
        <w:rPr>
          <w:lang w:val="fr-CH"/>
        </w:rPr>
        <w:t>ivision de l</w:t>
      </w:r>
      <w:r w:rsidR="00C97A26">
        <w:rPr>
          <w:lang w:val="fr-CH"/>
        </w:rPr>
        <w:t>’</w:t>
      </w:r>
      <w:r w:rsidR="00396BD7">
        <w:rPr>
          <w:lang w:val="fr-CH"/>
        </w:rPr>
        <w:t>économie et des statistiques de l</w:t>
      </w:r>
      <w:r w:rsidR="00C97A26">
        <w:rPr>
          <w:lang w:val="fr-CH"/>
        </w:rPr>
        <w:t>’</w:t>
      </w:r>
      <w:r w:rsidR="009E149A">
        <w:rPr>
          <w:lang w:val="fr-CH"/>
        </w:rPr>
        <w:t>OMPI a lancé une étude régionale impliquant trois</w:t>
      </w:r>
      <w:r w:rsidR="00E82EF4">
        <w:rPr>
          <w:lang w:val="fr-CH"/>
        </w:rPr>
        <w:t> </w:t>
      </w:r>
      <w:r w:rsidR="009E149A">
        <w:rPr>
          <w:lang w:val="fr-CH"/>
        </w:rPr>
        <w:t>pays d</w:t>
      </w:r>
      <w:r w:rsidR="00C97A26">
        <w:rPr>
          <w:lang w:val="fr-CH"/>
        </w:rPr>
        <w:t>’</w:t>
      </w:r>
      <w:r w:rsidR="009E149A">
        <w:rPr>
          <w:lang w:val="fr-CH"/>
        </w:rPr>
        <w:t>Asie du Sud</w:t>
      </w:r>
      <w:r w:rsidR="009B2FD7">
        <w:rPr>
          <w:lang w:val="fr-CH"/>
        </w:rPr>
        <w:noBreakHyphen/>
      </w:r>
      <w:r w:rsidR="009E149A">
        <w:rPr>
          <w:lang w:val="fr-CH"/>
        </w:rPr>
        <w:t xml:space="preserve">Est, </w:t>
      </w:r>
      <w:r w:rsidR="00C97A26">
        <w:rPr>
          <w:lang w:val="fr-CH"/>
        </w:rPr>
        <w:t>à savoir</w:t>
      </w:r>
      <w:r w:rsidR="009E149A">
        <w:rPr>
          <w:lang w:val="fr-CH"/>
        </w:rPr>
        <w:t xml:space="preserve"> l</w:t>
      </w:r>
      <w:r w:rsidR="00C97A26">
        <w:rPr>
          <w:lang w:val="fr-CH"/>
        </w:rPr>
        <w:t>’</w:t>
      </w:r>
      <w:r w:rsidR="009E149A">
        <w:rPr>
          <w:lang w:val="fr-CH"/>
        </w:rPr>
        <w:t>Indonésie, les Philippines et la Thaïlande</w:t>
      </w:r>
      <w:r w:rsidR="000866E8" w:rsidRPr="000866E8">
        <w:rPr>
          <w:vertAlign w:val="superscript"/>
        </w:rPr>
        <w:footnoteReference w:id="4"/>
      </w:r>
      <w:r w:rsidR="00E82EF4">
        <w:rPr>
          <w:lang w:val="fr-CH"/>
        </w:rPr>
        <w:t>.</w:t>
      </w:r>
      <w:r w:rsidR="001822C8">
        <w:rPr>
          <w:lang w:val="fr-CH"/>
        </w:rPr>
        <w:t xml:space="preserve">  </w:t>
      </w:r>
      <w:r w:rsidR="0076715C">
        <w:rPr>
          <w:lang w:val="fr-CH"/>
        </w:rPr>
        <w:t>L</w:t>
      </w:r>
      <w:r w:rsidR="00C97A26">
        <w:rPr>
          <w:lang w:val="fr-CH"/>
        </w:rPr>
        <w:t>’</w:t>
      </w:r>
      <w:r w:rsidR="00893C00" w:rsidRPr="00D57389">
        <w:rPr>
          <w:lang w:val="fr-CH"/>
        </w:rPr>
        <w:t xml:space="preserve">étude visait </w:t>
      </w:r>
      <w:r w:rsidR="0076715C">
        <w:rPr>
          <w:lang w:val="fr-CH"/>
        </w:rPr>
        <w:t xml:space="preserve">essentiellement </w:t>
      </w:r>
      <w:r w:rsidR="00893C00" w:rsidRPr="00D57389">
        <w:rPr>
          <w:lang w:val="fr-CH"/>
        </w:rPr>
        <w:t>à rassembler des données primaires relatives à l</w:t>
      </w:r>
      <w:r w:rsidR="00C97A26">
        <w:rPr>
          <w:lang w:val="fr-CH"/>
        </w:rPr>
        <w:t>’</w:t>
      </w:r>
      <w:r w:rsidR="00893C00" w:rsidRPr="00D57389">
        <w:rPr>
          <w:lang w:val="fr-CH"/>
        </w:rPr>
        <w:t xml:space="preserve">utilisation de la propriété intellectuelle </w:t>
      </w:r>
      <w:r w:rsidR="00893C00" w:rsidRPr="0076715C">
        <w:rPr>
          <w:lang w:val="fr-CH"/>
        </w:rPr>
        <w:t>dans les pays à revenu intermédiaire en interrogeant les utilisateurs</w:t>
      </w:r>
      <w:r w:rsidR="0076715C" w:rsidRPr="0076715C">
        <w:rPr>
          <w:lang w:val="fr-CH"/>
        </w:rPr>
        <w:t xml:space="preserve"> </w:t>
      </w:r>
      <w:r w:rsidR="00493BF8">
        <w:rPr>
          <w:lang w:val="fr-CH"/>
        </w:rPr>
        <w:t>de</w:t>
      </w:r>
      <w:r w:rsidR="0076715C" w:rsidRPr="0076715C">
        <w:rPr>
          <w:lang w:val="fr-CH"/>
        </w:rPr>
        <w:t xml:space="preserve"> </w:t>
      </w:r>
      <w:r w:rsidR="00893C00" w:rsidRPr="0076715C">
        <w:rPr>
          <w:lang w:val="fr-CH"/>
        </w:rPr>
        <w:t>dessins et modèles industriels dans ces trois</w:t>
      </w:r>
      <w:r w:rsidR="00E82EF4">
        <w:rPr>
          <w:lang w:val="fr-CH"/>
        </w:rPr>
        <w:t> </w:t>
      </w:r>
      <w:r w:rsidR="00893C00" w:rsidRPr="0076715C">
        <w:rPr>
          <w:lang w:val="fr-CH"/>
        </w:rPr>
        <w:t>pays.</w:t>
      </w:r>
    </w:p>
    <w:p w:rsidR="00E35762" w:rsidRDefault="00BF1F03" w:rsidP="00E35762">
      <w:pPr>
        <w:spacing w:after="220"/>
        <w:rPr>
          <w:lang w:val="fr-CH"/>
        </w:rPr>
      </w:pPr>
      <w:r>
        <w:rPr>
          <w:lang w:val="fr-CH"/>
        </w:rPr>
        <w:t>Il convient d</w:t>
      </w:r>
      <w:r w:rsidR="00893C00" w:rsidRPr="00BF1F03">
        <w:rPr>
          <w:lang w:val="fr-CH"/>
        </w:rPr>
        <w:t xml:space="preserve">e noter que la Thaïlande a déjà participé à la première phase </w:t>
      </w:r>
      <w:r w:rsidRPr="00BF1F03">
        <w:rPr>
          <w:lang w:val="fr-CH"/>
        </w:rPr>
        <w:t>du projet</w:t>
      </w:r>
      <w:r w:rsidR="009B2FD7">
        <w:rPr>
          <w:lang w:val="fr-CH"/>
        </w:rPr>
        <w:noBreakHyphen/>
      </w:r>
      <w:r w:rsidRPr="00BF1F03">
        <w:rPr>
          <w:lang w:val="fr-CH"/>
        </w:rPr>
        <w:t>ca</w:t>
      </w:r>
      <w:r>
        <w:rPr>
          <w:lang w:val="fr-CH"/>
        </w:rPr>
        <w:t>dre</w:t>
      </w:r>
      <w:r w:rsidR="00C97A26">
        <w:rPr>
          <w:lang w:val="fr-CH"/>
        </w:rPr>
        <w:t xml:space="preserve"> du CDI</w:t>
      </w:r>
      <w:r>
        <w:rPr>
          <w:lang w:val="fr-CH"/>
        </w:rPr>
        <w:t>P relatif à la propriété intellectuelle et au développement socioéconomique</w:t>
      </w:r>
      <w:r w:rsidR="000866E8" w:rsidRPr="000866E8">
        <w:rPr>
          <w:vertAlign w:val="superscript"/>
        </w:rPr>
        <w:footnoteReference w:id="5"/>
      </w:r>
      <w:r w:rsidR="00E82EF4">
        <w:rPr>
          <w:lang w:val="fr-CH"/>
        </w:rPr>
        <w:t>.</w:t>
      </w:r>
      <w:r w:rsidR="000866E8" w:rsidRPr="00BF1F03">
        <w:rPr>
          <w:lang w:val="fr-CH"/>
        </w:rPr>
        <w:t xml:space="preserve">  </w:t>
      </w:r>
      <w:r w:rsidRPr="00CB09B3">
        <w:rPr>
          <w:lang w:val="fr-CH"/>
        </w:rPr>
        <w:t>Les</w:t>
      </w:r>
      <w:r w:rsidR="00F27710">
        <w:rPr>
          <w:lang w:val="fr-CH"/>
        </w:rPr>
        <w:t> </w:t>
      </w:r>
      <w:r w:rsidRPr="00CB09B3">
        <w:rPr>
          <w:lang w:val="fr-CH"/>
        </w:rPr>
        <w:t>Philippines et l</w:t>
      </w:r>
      <w:r w:rsidR="00C97A26">
        <w:rPr>
          <w:lang w:val="fr-CH"/>
        </w:rPr>
        <w:t>’</w:t>
      </w:r>
      <w:r w:rsidRPr="00CB09B3">
        <w:rPr>
          <w:lang w:val="fr-CH"/>
        </w:rPr>
        <w:t>Indonésie</w:t>
      </w:r>
      <w:r w:rsidR="000866E8" w:rsidRPr="00CB09B3">
        <w:rPr>
          <w:lang w:val="fr-CH"/>
        </w:rPr>
        <w:t xml:space="preserve"> </w:t>
      </w:r>
      <w:r w:rsidR="00725020">
        <w:rPr>
          <w:lang w:val="fr-CH"/>
        </w:rPr>
        <w:t>sont de nouveaux pays dans ce projet</w:t>
      </w:r>
      <w:r w:rsidR="000866E8" w:rsidRPr="00CB09B3">
        <w:rPr>
          <w:lang w:val="fr-CH"/>
        </w:rPr>
        <w:t>.</w:t>
      </w:r>
    </w:p>
    <w:p w:rsidR="00E35762" w:rsidRDefault="00BF1F03" w:rsidP="00E35762">
      <w:pPr>
        <w:spacing w:after="220"/>
        <w:rPr>
          <w:lang w:val="fr-CH"/>
        </w:rPr>
      </w:pPr>
      <w:r w:rsidRPr="00B95E06">
        <w:rPr>
          <w:lang w:val="fr-CH"/>
        </w:rPr>
        <w:t>L</w:t>
      </w:r>
      <w:r w:rsidR="00C97A26">
        <w:rPr>
          <w:lang w:val="fr-CH"/>
        </w:rPr>
        <w:t>’</w:t>
      </w:r>
      <w:r w:rsidRPr="00B95E06">
        <w:rPr>
          <w:lang w:val="fr-CH"/>
        </w:rPr>
        <w:t xml:space="preserve">étude </w:t>
      </w:r>
      <w:r w:rsidR="00B95E06" w:rsidRPr="00725020">
        <w:rPr>
          <w:lang w:val="fr-CH"/>
        </w:rPr>
        <w:t>a été menée sur une durée</w:t>
      </w:r>
      <w:r w:rsidR="00B95E06" w:rsidRPr="00B95E06">
        <w:rPr>
          <w:lang w:val="fr-CH"/>
        </w:rPr>
        <w:t xml:space="preserve"> de 27</w:t>
      </w:r>
      <w:r w:rsidR="0090688F">
        <w:rPr>
          <w:lang w:val="fr-CH"/>
        </w:rPr>
        <w:t> </w:t>
      </w:r>
      <w:r w:rsidR="00B95E06">
        <w:rPr>
          <w:lang w:val="fr-CH"/>
        </w:rPr>
        <w:t xml:space="preserve">mois, de </w:t>
      </w:r>
      <w:r w:rsidR="00C97A26">
        <w:rPr>
          <w:lang w:val="fr-CH"/>
        </w:rPr>
        <w:t>mars 20</w:t>
      </w:r>
      <w:r w:rsidR="00B95E06">
        <w:rPr>
          <w:lang w:val="fr-CH"/>
        </w:rPr>
        <w:t xml:space="preserve">16 à </w:t>
      </w:r>
      <w:r w:rsidR="00C97A26">
        <w:rPr>
          <w:lang w:val="fr-CH"/>
        </w:rPr>
        <w:t>juin 20</w:t>
      </w:r>
      <w:r w:rsidR="00B95E06">
        <w:rPr>
          <w:lang w:val="fr-CH"/>
        </w:rPr>
        <w:t>18</w:t>
      </w:r>
      <w:r w:rsidR="000866E8" w:rsidRPr="00B95E06">
        <w:rPr>
          <w:lang w:val="fr-CH"/>
        </w:rPr>
        <w:t>.</w:t>
      </w:r>
    </w:p>
    <w:p w:rsidR="00E35762" w:rsidRDefault="00B95E06" w:rsidP="00E35762">
      <w:pPr>
        <w:spacing w:after="220"/>
        <w:rPr>
          <w:lang w:val="fr-CH"/>
        </w:rPr>
      </w:pPr>
      <w:r w:rsidRPr="00B95E06">
        <w:rPr>
          <w:lang w:val="fr-CH"/>
        </w:rPr>
        <w:t xml:space="preserve">Le présent document résume </w:t>
      </w:r>
      <w:r w:rsidRPr="00725020">
        <w:rPr>
          <w:lang w:val="fr-CH"/>
        </w:rPr>
        <w:t>la mise en œuvre de l</w:t>
      </w:r>
      <w:r w:rsidR="00C97A26">
        <w:rPr>
          <w:lang w:val="fr-CH"/>
        </w:rPr>
        <w:t>’</w:t>
      </w:r>
      <w:r w:rsidRPr="00725020">
        <w:rPr>
          <w:lang w:val="fr-CH"/>
        </w:rPr>
        <w:t>étude et ses principaux résultats</w:t>
      </w:r>
      <w:r w:rsidR="000866E8" w:rsidRPr="00725020">
        <w:rPr>
          <w:lang w:val="fr-CH"/>
        </w:rPr>
        <w:t>.</w:t>
      </w:r>
    </w:p>
    <w:p w:rsidR="00E35762" w:rsidRDefault="006C0A64" w:rsidP="005328BE">
      <w:pPr>
        <w:keepNext/>
        <w:keepLines/>
        <w:spacing w:before="360" w:after="180"/>
        <w:rPr>
          <w:b/>
          <w:bCs/>
          <w:lang w:val="fr-CH"/>
        </w:rPr>
      </w:pPr>
      <w:r w:rsidRPr="00CB09B3">
        <w:rPr>
          <w:b/>
          <w:bCs/>
          <w:lang w:val="fr-CH"/>
        </w:rPr>
        <w:lastRenderedPageBreak/>
        <w:t>Objectifs de l</w:t>
      </w:r>
      <w:r w:rsidR="00C97A26">
        <w:rPr>
          <w:b/>
          <w:bCs/>
          <w:lang w:val="fr-CH"/>
        </w:rPr>
        <w:t>’</w:t>
      </w:r>
      <w:r w:rsidRPr="00CB09B3">
        <w:rPr>
          <w:b/>
          <w:bCs/>
          <w:lang w:val="fr-CH"/>
        </w:rPr>
        <w:t>étude</w:t>
      </w:r>
    </w:p>
    <w:p w:rsidR="00E35762" w:rsidRDefault="00B95E06" w:rsidP="00F27710">
      <w:pPr>
        <w:keepNext/>
        <w:keepLines/>
        <w:spacing w:after="220"/>
        <w:rPr>
          <w:lang w:val="fr-CH"/>
        </w:rPr>
      </w:pPr>
      <w:r w:rsidRPr="00AE6CCA">
        <w:rPr>
          <w:lang w:val="fr-CH"/>
        </w:rPr>
        <w:t>L</w:t>
      </w:r>
      <w:r w:rsidR="00C97A26">
        <w:rPr>
          <w:lang w:val="fr-CH"/>
        </w:rPr>
        <w:t>’</w:t>
      </w:r>
      <w:r w:rsidRPr="00AE6CCA">
        <w:rPr>
          <w:lang w:val="fr-CH"/>
        </w:rPr>
        <w:t>étude avait pour ob</w:t>
      </w:r>
      <w:r w:rsidR="00062F9D">
        <w:rPr>
          <w:lang w:val="fr-CH"/>
        </w:rPr>
        <w:t xml:space="preserve">jectifs </w:t>
      </w:r>
      <w:r w:rsidR="00FB23C8">
        <w:rPr>
          <w:lang w:val="fr-CH"/>
        </w:rPr>
        <w:t>d</w:t>
      </w:r>
      <w:r w:rsidR="00C97A26">
        <w:rPr>
          <w:lang w:val="fr-CH"/>
        </w:rPr>
        <w:t>’</w:t>
      </w:r>
      <w:r w:rsidR="00FB23C8">
        <w:rPr>
          <w:lang w:val="fr-CH"/>
        </w:rPr>
        <w:t>acquérir une</w:t>
      </w:r>
      <w:r w:rsidR="00062F9D">
        <w:rPr>
          <w:lang w:val="fr-CH"/>
        </w:rPr>
        <w:t xml:space="preserve"> </w:t>
      </w:r>
      <w:r w:rsidR="00A67DB4">
        <w:rPr>
          <w:lang w:val="fr-CH"/>
        </w:rPr>
        <w:t xml:space="preserve">meilleure compréhension du contexte et </w:t>
      </w:r>
      <w:r w:rsidR="00493BF8">
        <w:rPr>
          <w:lang w:val="fr-CH"/>
        </w:rPr>
        <w:t xml:space="preserve">des procédures </w:t>
      </w:r>
      <w:r w:rsidR="00A67DB4">
        <w:rPr>
          <w:lang w:val="fr-CH"/>
        </w:rPr>
        <w:t>liés à l</w:t>
      </w:r>
      <w:r w:rsidR="00C97A26">
        <w:rPr>
          <w:lang w:val="fr-CH"/>
        </w:rPr>
        <w:t>’</w:t>
      </w:r>
      <w:r w:rsidRPr="00A67DB4">
        <w:rPr>
          <w:lang w:val="fr-CH"/>
        </w:rPr>
        <w:t>innovation en matière</w:t>
      </w:r>
      <w:r w:rsidRPr="00AE6CCA">
        <w:rPr>
          <w:lang w:val="fr-CH"/>
        </w:rPr>
        <w:t xml:space="preserve"> de dessins et modèles </w:t>
      </w:r>
      <w:r w:rsidR="00AE6CCA" w:rsidRPr="00AE6CCA">
        <w:rPr>
          <w:lang w:val="fr-CH"/>
        </w:rPr>
        <w:t xml:space="preserve">dans les pays concernés, </w:t>
      </w:r>
      <w:r w:rsidR="00FB23C8">
        <w:rPr>
          <w:lang w:val="fr-CH"/>
        </w:rPr>
        <w:t xml:space="preserve">des </w:t>
      </w:r>
      <w:r w:rsidR="00493BF8">
        <w:rPr>
          <w:lang w:val="fr-CH"/>
        </w:rPr>
        <w:t>motivations</w:t>
      </w:r>
      <w:r w:rsidR="00FB23C8">
        <w:rPr>
          <w:lang w:val="fr-CH"/>
        </w:rPr>
        <w:t xml:space="preserve"> </w:t>
      </w:r>
      <w:r w:rsidR="005E33D4">
        <w:rPr>
          <w:lang w:val="fr-CH"/>
        </w:rPr>
        <w:t>incitant</w:t>
      </w:r>
      <w:r w:rsidR="00FB23C8">
        <w:rPr>
          <w:lang w:val="fr-CH"/>
        </w:rPr>
        <w:t xml:space="preserve"> les</w:t>
      </w:r>
      <w:r w:rsidR="00AE6CCA" w:rsidRPr="00AE6CCA">
        <w:rPr>
          <w:lang w:val="fr-CH"/>
        </w:rPr>
        <w:t xml:space="preserve"> innovateurs en matière de dessins </w:t>
      </w:r>
      <w:r w:rsidR="00903C77">
        <w:rPr>
          <w:lang w:val="fr-CH"/>
        </w:rPr>
        <w:t>et</w:t>
      </w:r>
      <w:r w:rsidR="00AE6CCA" w:rsidRPr="00AE6CCA">
        <w:rPr>
          <w:lang w:val="fr-CH"/>
        </w:rPr>
        <w:t xml:space="preserve"> modèles à </w:t>
      </w:r>
      <w:r w:rsidR="00FB23C8">
        <w:rPr>
          <w:lang w:val="fr-CH"/>
        </w:rPr>
        <w:t>re</w:t>
      </w:r>
      <w:r w:rsidR="00AE6CCA" w:rsidRPr="00AE6CCA">
        <w:rPr>
          <w:lang w:val="fr-CH"/>
        </w:rPr>
        <w:t>cherc</w:t>
      </w:r>
      <w:r w:rsidR="00AE6CCA">
        <w:rPr>
          <w:lang w:val="fr-CH"/>
        </w:rPr>
        <w:t xml:space="preserve">her ce type </w:t>
      </w:r>
      <w:r w:rsidR="00AE6CCA" w:rsidRPr="00AE6CCA">
        <w:rPr>
          <w:lang w:val="fr-CH"/>
        </w:rPr>
        <w:t xml:space="preserve">de protection, </w:t>
      </w:r>
      <w:r w:rsidR="00FB23C8">
        <w:rPr>
          <w:lang w:val="fr-CH"/>
        </w:rPr>
        <w:t xml:space="preserve">du rôle des </w:t>
      </w:r>
      <w:r w:rsidR="00AE6CCA">
        <w:rPr>
          <w:lang w:val="fr-CH"/>
        </w:rPr>
        <w:t xml:space="preserve">droits </w:t>
      </w:r>
      <w:r w:rsidR="00474171">
        <w:rPr>
          <w:lang w:val="fr-CH"/>
        </w:rPr>
        <w:t>des</w:t>
      </w:r>
      <w:r w:rsidR="00AE6CCA">
        <w:rPr>
          <w:lang w:val="fr-CH"/>
        </w:rPr>
        <w:t xml:space="preserve"> dessins </w:t>
      </w:r>
      <w:r w:rsidR="00903C77">
        <w:rPr>
          <w:lang w:val="fr-CH"/>
        </w:rPr>
        <w:t>et</w:t>
      </w:r>
      <w:r w:rsidR="00AE6CCA">
        <w:rPr>
          <w:lang w:val="fr-CH"/>
        </w:rPr>
        <w:t xml:space="preserve"> modèles industriels </w:t>
      </w:r>
      <w:r w:rsidR="00FB23C8">
        <w:rPr>
          <w:lang w:val="fr-CH"/>
        </w:rPr>
        <w:t>dans</w:t>
      </w:r>
      <w:r w:rsidR="00AE6CCA">
        <w:rPr>
          <w:lang w:val="fr-CH"/>
        </w:rPr>
        <w:t xml:space="preserve"> </w:t>
      </w:r>
      <w:r w:rsidR="00FB23C8">
        <w:rPr>
          <w:lang w:val="fr-CH"/>
        </w:rPr>
        <w:t>la répartition</w:t>
      </w:r>
      <w:r w:rsidR="00AE6CCA">
        <w:rPr>
          <w:lang w:val="fr-CH"/>
        </w:rPr>
        <w:t xml:space="preserve"> des investissement</w:t>
      </w:r>
      <w:r w:rsidR="00FB23C8">
        <w:rPr>
          <w:lang w:val="fr-CH"/>
        </w:rPr>
        <w:t>s</w:t>
      </w:r>
      <w:r w:rsidR="00AE6CCA">
        <w:rPr>
          <w:lang w:val="fr-CH"/>
        </w:rPr>
        <w:t xml:space="preserve"> </w:t>
      </w:r>
      <w:r w:rsidR="00062F9D">
        <w:rPr>
          <w:lang w:val="fr-CH"/>
        </w:rPr>
        <w:t>dans le domaine de l</w:t>
      </w:r>
      <w:r w:rsidR="00C97A26">
        <w:rPr>
          <w:lang w:val="fr-CH"/>
        </w:rPr>
        <w:t>’</w:t>
      </w:r>
      <w:r w:rsidR="00062F9D">
        <w:rPr>
          <w:lang w:val="fr-CH"/>
        </w:rPr>
        <w:t>innovation</w:t>
      </w:r>
      <w:r w:rsidR="00AE6CCA">
        <w:rPr>
          <w:lang w:val="fr-CH"/>
        </w:rPr>
        <w:t xml:space="preserve"> relative aux dessins </w:t>
      </w:r>
      <w:r w:rsidR="00903C77">
        <w:rPr>
          <w:lang w:val="fr-CH"/>
        </w:rPr>
        <w:t>et</w:t>
      </w:r>
      <w:r w:rsidR="00AE6CCA">
        <w:rPr>
          <w:lang w:val="fr-CH"/>
        </w:rPr>
        <w:t xml:space="preserve"> modèles et</w:t>
      </w:r>
      <w:r w:rsidR="00FB23C8">
        <w:rPr>
          <w:lang w:val="fr-CH"/>
        </w:rPr>
        <w:t xml:space="preserve"> de</w:t>
      </w:r>
      <w:r w:rsidR="00AE6CCA">
        <w:rPr>
          <w:lang w:val="fr-CH"/>
        </w:rPr>
        <w:t xml:space="preserve"> la nature des défis auxquels étaient confron</w:t>
      </w:r>
      <w:r w:rsidR="00FB23C8">
        <w:rPr>
          <w:lang w:val="fr-CH"/>
        </w:rPr>
        <w:t>tés les demandeurs utilisant les systèmes de protection</w:t>
      </w:r>
      <w:r w:rsidR="00AE6CCA">
        <w:rPr>
          <w:lang w:val="fr-CH"/>
        </w:rPr>
        <w:t xml:space="preserve"> de</w:t>
      </w:r>
      <w:r w:rsidR="00FB23C8">
        <w:rPr>
          <w:lang w:val="fr-CH"/>
        </w:rPr>
        <w:t xml:space="preserve"> dessins et modèles industriels.</w:t>
      </w:r>
    </w:p>
    <w:p w:rsidR="00E35762" w:rsidRDefault="00A87BC5" w:rsidP="005328BE">
      <w:pPr>
        <w:spacing w:before="360" w:after="180"/>
        <w:rPr>
          <w:b/>
          <w:bCs/>
          <w:lang w:val="fr-CH"/>
        </w:rPr>
      </w:pPr>
      <w:r w:rsidRPr="00CB09B3">
        <w:rPr>
          <w:b/>
          <w:bCs/>
          <w:lang w:val="fr-CH"/>
        </w:rPr>
        <w:t>Coordination et exécution</w:t>
      </w:r>
    </w:p>
    <w:p w:rsidR="00E35762" w:rsidRDefault="002057E6" w:rsidP="00E35762">
      <w:pPr>
        <w:spacing w:after="220"/>
        <w:rPr>
          <w:lang w:val="fr-CH"/>
        </w:rPr>
      </w:pPr>
      <w:r w:rsidRPr="002057E6">
        <w:rPr>
          <w:lang w:val="fr-CH"/>
        </w:rPr>
        <w:t>La Division de l</w:t>
      </w:r>
      <w:r w:rsidR="00C97A26">
        <w:rPr>
          <w:lang w:val="fr-CH"/>
        </w:rPr>
        <w:t>’</w:t>
      </w:r>
      <w:r w:rsidRPr="002057E6">
        <w:rPr>
          <w:lang w:val="fr-CH"/>
        </w:rPr>
        <w:t>économie et des statistiques de l</w:t>
      </w:r>
      <w:r w:rsidR="00C97A26">
        <w:rPr>
          <w:lang w:val="fr-CH"/>
        </w:rPr>
        <w:t>’</w:t>
      </w:r>
      <w:r w:rsidRPr="002057E6">
        <w:rPr>
          <w:lang w:val="fr-CH"/>
        </w:rPr>
        <w:t>OMPI a présenté les objectifs de l</w:t>
      </w:r>
      <w:r w:rsidR="00C97A26">
        <w:rPr>
          <w:lang w:val="fr-CH"/>
        </w:rPr>
        <w:t>’</w:t>
      </w:r>
      <w:r w:rsidRPr="002057E6">
        <w:rPr>
          <w:lang w:val="fr-CH"/>
        </w:rPr>
        <w:t>étude aux trois</w:t>
      </w:r>
      <w:r w:rsidR="00E82EF4">
        <w:rPr>
          <w:lang w:val="fr-CH"/>
        </w:rPr>
        <w:t> </w:t>
      </w:r>
      <w:r w:rsidRPr="002057E6">
        <w:rPr>
          <w:lang w:val="fr-CH"/>
        </w:rPr>
        <w:t>pays au cours des</w:t>
      </w:r>
      <w:r>
        <w:rPr>
          <w:lang w:val="fr-CH"/>
        </w:rPr>
        <w:t xml:space="preserve"> assemblées</w:t>
      </w:r>
      <w:r w:rsidR="0090688F">
        <w:rPr>
          <w:lang w:val="fr-CH"/>
        </w:rPr>
        <w:t> </w:t>
      </w:r>
      <w:r>
        <w:rPr>
          <w:lang w:val="fr-CH"/>
        </w:rPr>
        <w:t>2015 de l</w:t>
      </w:r>
      <w:r w:rsidR="00C97A26">
        <w:rPr>
          <w:lang w:val="fr-CH"/>
        </w:rPr>
        <w:t>’</w:t>
      </w:r>
      <w:r>
        <w:rPr>
          <w:lang w:val="fr-CH"/>
        </w:rPr>
        <w:t>O</w:t>
      </w:r>
      <w:r w:rsidR="00040DB0">
        <w:rPr>
          <w:lang w:val="fr-CH"/>
        </w:rPr>
        <w:t xml:space="preserve">MPI.  </w:t>
      </w:r>
      <w:r w:rsidR="00040DB0" w:rsidRPr="002057E6">
        <w:rPr>
          <w:lang w:val="fr-CH"/>
        </w:rPr>
        <w:t>Le</w:t>
      </w:r>
      <w:r w:rsidRPr="002057E6">
        <w:rPr>
          <w:lang w:val="fr-CH"/>
        </w:rPr>
        <w:t xml:space="preserve">s </w:t>
      </w:r>
      <w:r w:rsidR="00503F54">
        <w:rPr>
          <w:lang w:val="fr-CH"/>
        </w:rPr>
        <w:t>trois</w:t>
      </w:r>
      <w:r w:rsidR="00E82EF4">
        <w:rPr>
          <w:lang w:val="fr-CH"/>
        </w:rPr>
        <w:t> </w:t>
      </w:r>
      <w:r w:rsidR="00503F54">
        <w:rPr>
          <w:lang w:val="fr-CH"/>
        </w:rPr>
        <w:t>pays ont manifesté leur souhait de participer à l</w:t>
      </w:r>
      <w:r w:rsidR="00C97A26">
        <w:rPr>
          <w:lang w:val="fr-CH"/>
        </w:rPr>
        <w:t>’</w:t>
      </w:r>
      <w:r w:rsidR="00503F54">
        <w:rPr>
          <w:lang w:val="fr-CH"/>
        </w:rPr>
        <w:t>étude</w:t>
      </w:r>
      <w:r w:rsidR="000866E8" w:rsidRPr="00503F54">
        <w:rPr>
          <w:lang w:val="fr-CH"/>
        </w:rPr>
        <w:t>.</w:t>
      </w:r>
    </w:p>
    <w:p w:rsidR="00E35762" w:rsidRDefault="00503F54" w:rsidP="00E35762">
      <w:pPr>
        <w:spacing w:after="220"/>
        <w:rPr>
          <w:lang w:val="fr-CH"/>
        </w:rPr>
      </w:pPr>
      <w:r>
        <w:rPr>
          <w:lang w:val="fr-CH"/>
        </w:rPr>
        <w:t>La Division de l</w:t>
      </w:r>
      <w:r w:rsidR="00C97A26">
        <w:rPr>
          <w:lang w:val="fr-CH"/>
        </w:rPr>
        <w:t>’</w:t>
      </w:r>
      <w:r>
        <w:rPr>
          <w:lang w:val="fr-CH"/>
        </w:rPr>
        <w:t>économie et des statistiques de l</w:t>
      </w:r>
      <w:r w:rsidR="00C97A26">
        <w:rPr>
          <w:lang w:val="fr-CH"/>
        </w:rPr>
        <w:t>’</w:t>
      </w:r>
      <w:r>
        <w:rPr>
          <w:lang w:val="fr-CH"/>
        </w:rPr>
        <w:t xml:space="preserve">OMPI était le centre de coordination pour les questions techniques et </w:t>
      </w:r>
      <w:r w:rsidR="0094632F">
        <w:rPr>
          <w:lang w:val="fr-CH"/>
        </w:rPr>
        <w:t>organisationnelles</w:t>
      </w:r>
      <w:r>
        <w:rPr>
          <w:lang w:val="fr-CH"/>
        </w:rPr>
        <w:t xml:space="preserve"> relatives à la mise en œuvre de l</w:t>
      </w:r>
      <w:r w:rsidR="00C97A26">
        <w:rPr>
          <w:lang w:val="fr-CH"/>
        </w:rPr>
        <w:t>’</w:t>
      </w:r>
      <w:r>
        <w:rPr>
          <w:lang w:val="fr-CH"/>
        </w:rPr>
        <w:t>étu</w:t>
      </w:r>
      <w:r w:rsidR="00040DB0">
        <w:rPr>
          <w:lang w:val="fr-CH"/>
        </w:rPr>
        <w:t xml:space="preserve">de.  </w:t>
      </w:r>
      <w:r w:rsidR="00040DB0" w:rsidRPr="00D737A2">
        <w:rPr>
          <w:lang w:val="fr-CH"/>
        </w:rPr>
        <w:t>El</w:t>
      </w:r>
      <w:r w:rsidRPr="00D737A2">
        <w:rPr>
          <w:lang w:val="fr-CH"/>
        </w:rPr>
        <w:t>le s</w:t>
      </w:r>
      <w:r w:rsidR="00C97A26">
        <w:rPr>
          <w:lang w:val="fr-CH"/>
        </w:rPr>
        <w:t>’</w:t>
      </w:r>
      <w:r w:rsidRPr="00D737A2">
        <w:rPr>
          <w:lang w:val="fr-CH"/>
        </w:rPr>
        <w:t xml:space="preserve">est associée </w:t>
      </w:r>
      <w:r w:rsidR="005E33D4">
        <w:rPr>
          <w:lang w:val="fr-CH"/>
        </w:rPr>
        <w:t>à</w:t>
      </w:r>
      <w:r w:rsidRPr="00D737A2">
        <w:rPr>
          <w:lang w:val="fr-CH"/>
        </w:rPr>
        <w:t xml:space="preserve"> des consultants locaux dans chacun des trois</w:t>
      </w:r>
      <w:r w:rsidR="00E82EF4">
        <w:rPr>
          <w:lang w:val="fr-CH"/>
        </w:rPr>
        <w:t> </w:t>
      </w:r>
      <w:r w:rsidRPr="00D737A2">
        <w:rPr>
          <w:lang w:val="fr-CH"/>
        </w:rPr>
        <w:t xml:space="preserve">pays pour </w:t>
      </w:r>
      <w:r w:rsidR="0094632F">
        <w:rPr>
          <w:lang w:val="fr-CH"/>
        </w:rPr>
        <w:t xml:space="preserve">mener </w:t>
      </w:r>
      <w:r w:rsidR="0094632F" w:rsidRPr="0094632F">
        <w:rPr>
          <w:lang w:val="fr-CH"/>
        </w:rPr>
        <w:t>l</w:t>
      </w:r>
      <w:r w:rsidR="00C97A26">
        <w:rPr>
          <w:lang w:val="fr-CH"/>
        </w:rPr>
        <w:t>’</w:t>
      </w:r>
      <w:r w:rsidR="0094632F" w:rsidRPr="0094632F">
        <w:rPr>
          <w:lang w:val="fr-CH"/>
        </w:rPr>
        <w:t xml:space="preserve">enquête </w:t>
      </w:r>
      <w:r w:rsidR="00D737A2" w:rsidRPr="0094632F">
        <w:rPr>
          <w:lang w:val="fr-CH"/>
        </w:rPr>
        <w:t xml:space="preserve">sur </w:t>
      </w:r>
      <w:r w:rsidR="0094632F" w:rsidRPr="0094632F">
        <w:rPr>
          <w:lang w:val="fr-CH"/>
        </w:rPr>
        <w:t>laquelle</w:t>
      </w:r>
      <w:r w:rsidR="00D737A2" w:rsidRPr="0094632F">
        <w:rPr>
          <w:lang w:val="fr-CH"/>
        </w:rPr>
        <w:t xml:space="preserve"> repose</w:t>
      </w:r>
      <w:r w:rsidR="00D737A2" w:rsidRPr="00D737A2">
        <w:rPr>
          <w:lang w:val="fr-CH"/>
        </w:rPr>
        <w:t xml:space="preserve"> </w:t>
      </w:r>
      <w:r w:rsidR="0094632F">
        <w:rPr>
          <w:lang w:val="fr-CH"/>
        </w:rPr>
        <w:t>l</w:t>
      </w:r>
      <w:r w:rsidR="00C97A26">
        <w:rPr>
          <w:lang w:val="fr-CH"/>
        </w:rPr>
        <w:t>’</w:t>
      </w:r>
      <w:r w:rsidR="0094632F">
        <w:rPr>
          <w:lang w:val="fr-CH"/>
        </w:rPr>
        <w:t>étude</w:t>
      </w:r>
      <w:r w:rsidR="00E82EF4">
        <w:rPr>
          <w:lang w:val="fr-CH"/>
        </w:rPr>
        <w:t> </w:t>
      </w:r>
      <w:r w:rsidR="00EF705B">
        <w:rPr>
          <w:lang w:val="fr-CH"/>
        </w:rPr>
        <w:t>:</w:t>
      </w:r>
      <w:r w:rsidR="000866E8" w:rsidRPr="00D737A2">
        <w:rPr>
          <w:lang w:val="fr-CH"/>
        </w:rPr>
        <w:t xml:space="preserve"> </w:t>
      </w:r>
      <w:r w:rsidR="00EF705B">
        <w:rPr>
          <w:lang w:val="fr-CH"/>
        </w:rPr>
        <w:t>M</w:t>
      </w:r>
      <w:r w:rsidR="000866E8" w:rsidRPr="00D737A2">
        <w:rPr>
          <w:lang w:val="fr-CH"/>
        </w:rPr>
        <w:t>.</w:t>
      </w:r>
      <w:r w:rsidR="00E82EF4">
        <w:rPr>
          <w:lang w:val="fr-CH"/>
        </w:rPr>
        <w:t> </w:t>
      </w:r>
      <w:r w:rsidR="000866E8" w:rsidRPr="00D737A2">
        <w:rPr>
          <w:lang w:val="fr-CH"/>
        </w:rPr>
        <w:t>Yose</w:t>
      </w:r>
      <w:r w:rsidR="0090688F">
        <w:rPr>
          <w:lang w:val="fr-CH"/>
        </w:rPr>
        <w:t> </w:t>
      </w:r>
      <w:r w:rsidR="000866E8" w:rsidRPr="00D737A2">
        <w:rPr>
          <w:lang w:val="fr-CH"/>
        </w:rPr>
        <w:t>Rizal</w:t>
      </w:r>
      <w:r w:rsidR="0090688F">
        <w:rPr>
          <w:lang w:val="fr-CH"/>
        </w:rPr>
        <w:t> </w:t>
      </w:r>
      <w:r w:rsidR="000866E8" w:rsidRPr="00D737A2">
        <w:rPr>
          <w:lang w:val="fr-CH"/>
        </w:rPr>
        <w:t xml:space="preserve">Daimuri, </w:t>
      </w:r>
      <w:r w:rsidR="00285B63">
        <w:rPr>
          <w:lang w:val="fr-CH"/>
        </w:rPr>
        <w:t>M.</w:t>
      </w:r>
      <w:r w:rsidR="00E82EF4">
        <w:rPr>
          <w:lang w:val="fr-CH"/>
        </w:rPr>
        <w:t> </w:t>
      </w:r>
      <w:r w:rsidR="000866E8" w:rsidRPr="00D737A2">
        <w:rPr>
          <w:lang w:val="fr-CH"/>
        </w:rPr>
        <w:t>Dandy</w:t>
      </w:r>
      <w:r w:rsidR="0090688F">
        <w:rPr>
          <w:lang w:val="fr-CH"/>
        </w:rPr>
        <w:t> </w:t>
      </w:r>
      <w:r w:rsidR="000866E8" w:rsidRPr="00D737A2">
        <w:rPr>
          <w:lang w:val="fr-CH"/>
        </w:rPr>
        <w:t xml:space="preserve">Rafitrandi </w:t>
      </w:r>
      <w:r w:rsidR="00D737A2" w:rsidRPr="00D737A2">
        <w:rPr>
          <w:lang w:val="fr-CH"/>
        </w:rPr>
        <w:t>et</w:t>
      </w:r>
      <w:r w:rsidR="000866E8" w:rsidRPr="00D737A2">
        <w:rPr>
          <w:lang w:val="fr-CH"/>
        </w:rPr>
        <w:t xml:space="preserve"> </w:t>
      </w:r>
      <w:r w:rsidR="00285B63">
        <w:rPr>
          <w:lang w:val="fr-CH"/>
        </w:rPr>
        <w:t>Mme</w:t>
      </w:r>
      <w:r w:rsidR="00E82EF4">
        <w:rPr>
          <w:lang w:val="fr-CH"/>
        </w:rPr>
        <w:t> </w:t>
      </w:r>
      <w:r w:rsidR="000866E8" w:rsidRPr="00D737A2">
        <w:rPr>
          <w:lang w:val="fr-CH"/>
        </w:rPr>
        <w:t>Ilma</w:t>
      </w:r>
      <w:r w:rsidR="0090688F">
        <w:rPr>
          <w:lang w:val="fr-CH"/>
        </w:rPr>
        <w:t> </w:t>
      </w:r>
      <w:r w:rsidR="000866E8" w:rsidRPr="00D737A2">
        <w:rPr>
          <w:lang w:val="fr-CH"/>
        </w:rPr>
        <w:t xml:space="preserve">Fadli </w:t>
      </w:r>
      <w:r w:rsidR="00D737A2">
        <w:rPr>
          <w:lang w:val="fr-CH"/>
        </w:rPr>
        <w:t>au</w:t>
      </w:r>
      <w:r w:rsidR="00EF705B">
        <w:rPr>
          <w:i/>
          <w:lang w:val="fr-CH"/>
        </w:rPr>
        <w:t xml:space="preserve"> </w:t>
      </w:r>
      <w:r w:rsidR="00EF705B">
        <w:rPr>
          <w:lang w:val="fr-CH"/>
        </w:rPr>
        <w:t>Centre d</w:t>
      </w:r>
      <w:r w:rsidR="00C97A26">
        <w:rPr>
          <w:lang w:val="fr-CH"/>
        </w:rPr>
        <w:t>’</w:t>
      </w:r>
      <w:r w:rsidR="00EF705B">
        <w:rPr>
          <w:lang w:val="fr-CH"/>
        </w:rPr>
        <w:t>études stratégiques et internationales</w:t>
      </w:r>
      <w:r w:rsidR="000866E8" w:rsidRPr="00D737A2">
        <w:rPr>
          <w:lang w:val="fr-CH"/>
        </w:rPr>
        <w:t xml:space="preserve"> </w:t>
      </w:r>
      <w:r w:rsidR="00D737A2">
        <w:rPr>
          <w:lang w:val="fr-CH"/>
        </w:rPr>
        <w:t>en</w:t>
      </w:r>
      <w:r w:rsidR="000866E8" w:rsidRPr="00D737A2">
        <w:rPr>
          <w:lang w:val="fr-CH"/>
        </w:rPr>
        <w:t xml:space="preserve"> </w:t>
      </w:r>
      <w:r w:rsidR="00D737A2">
        <w:rPr>
          <w:lang w:val="fr-CH"/>
        </w:rPr>
        <w:t>Indonésie</w:t>
      </w:r>
      <w:r w:rsidR="000866E8" w:rsidRPr="00D737A2">
        <w:rPr>
          <w:lang w:val="fr-CH"/>
        </w:rPr>
        <w:t xml:space="preserve">; </w:t>
      </w:r>
      <w:r w:rsidR="00E82EF4">
        <w:rPr>
          <w:lang w:val="fr-CH"/>
        </w:rPr>
        <w:t xml:space="preserve"> </w:t>
      </w:r>
      <w:r w:rsidR="00EF705B">
        <w:rPr>
          <w:lang w:val="fr-CH"/>
        </w:rPr>
        <w:t>M</w:t>
      </w:r>
      <w:r w:rsidR="000866E8" w:rsidRPr="00D737A2">
        <w:rPr>
          <w:lang w:val="fr-CH"/>
        </w:rPr>
        <w:t>.</w:t>
      </w:r>
      <w:r w:rsidR="00E82EF4">
        <w:rPr>
          <w:lang w:val="fr-CH"/>
        </w:rPr>
        <w:t> </w:t>
      </w:r>
      <w:r w:rsidR="000866E8" w:rsidRPr="00D737A2">
        <w:rPr>
          <w:lang w:val="fr-CH"/>
        </w:rPr>
        <w:t>George</w:t>
      </w:r>
      <w:r w:rsidR="0090688F">
        <w:rPr>
          <w:lang w:val="fr-CH"/>
        </w:rPr>
        <w:t> </w:t>
      </w:r>
      <w:r w:rsidR="000866E8" w:rsidRPr="00D737A2">
        <w:rPr>
          <w:lang w:val="fr-CH"/>
        </w:rPr>
        <w:t xml:space="preserve">Manzano, </w:t>
      </w:r>
      <w:r w:rsidR="00285B63">
        <w:rPr>
          <w:lang w:val="fr-CH"/>
        </w:rPr>
        <w:t>Mme</w:t>
      </w:r>
      <w:r w:rsidR="00E82EF4">
        <w:rPr>
          <w:lang w:val="fr-CH"/>
        </w:rPr>
        <w:t> </w:t>
      </w:r>
      <w:r w:rsidR="000866E8" w:rsidRPr="00D737A2">
        <w:rPr>
          <w:lang w:val="fr-CH"/>
        </w:rPr>
        <w:t>Mary</w:t>
      </w:r>
      <w:r w:rsidR="0090688F">
        <w:rPr>
          <w:lang w:val="fr-CH"/>
        </w:rPr>
        <w:t> </w:t>
      </w:r>
      <w:r w:rsidR="000866E8" w:rsidRPr="00D737A2">
        <w:rPr>
          <w:lang w:val="fr-CH"/>
        </w:rPr>
        <w:t>Grace</w:t>
      </w:r>
      <w:r w:rsidR="0090688F">
        <w:rPr>
          <w:lang w:val="fr-CH"/>
        </w:rPr>
        <w:t> </w:t>
      </w:r>
      <w:r w:rsidR="000866E8" w:rsidRPr="00D737A2">
        <w:rPr>
          <w:lang w:val="fr-CH"/>
        </w:rPr>
        <w:t xml:space="preserve">Agner </w:t>
      </w:r>
      <w:r w:rsidR="00D737A2">
        <w:rPr>
          <w:lang w:val="fr-CH"/>
        </w:rPr>
        <w:t>et</w:t>
      </w:r>
      <w:r w:rsidR="000866E8" w:rsidRPr="00D737A2">
        <w:rPr>
          <w:lang w:val="fr-CH"/>
        </w:rPr>
        <w:t xml:space="preserve"> </w:t>
      </w:r>
      <w:r w:rsidR="00285B63">
        <w:rPr>
          <w:lang w:val="fr-CH"/>
        </w:rPr>
        <w:t>Mme</w:t>
      </w:r>
      <w:r w:rsidR="00E82EF4">
        <w:rPr>
          <w:lang w:val="fr-CH"/>
        </w:rPr>
        <w:t> </w:t>
      </w:r>
      <w:r w:rsidR="000866E8" w:rsidRPr="00D737A2">
        <w:rPr>
          <w:lang w:val="fr-CH"/>
        </w:rPr>
        <w:t>Nikka</w:t>
      </w:r>
      <w:r w:rsidR="0090688F">
        <w:rPr>
          <w:lang w:val="fr-CH"/>
        </w:rPr>
        <w:t> </w:t>
      </w:r>
      <w:r w:rsidR="000866E8" w:rsidRPr="00D737A2">
        <w:rPr>
          <w:lang w:val="fr-CH"/>
        </w:rPr>
        <w:t xml:space="preserve">Pesa </w:t>
      </w:r>
      <w:r w:rsidR="00E02C64">
        <w:rPr>
          <w:lang w:val="fr-CH"/>
        </w:rPr>
        <w:t>à</w:t>
      </w:r>
      <w:r w:rsidR="00D737A2">
        <w:rPr>
          <w:lang w:val="fr-CH"/>
        </w:rPr>
        <w:t xml:space="preserve"> </w:t>
      </w:r>
      <w:r w:rsidR="00EF705B">
        <w:rPr>
          <w:lang w:val="fr-CH"/>
        </w:rPr>
        <w:t>l</w:t>
      </w:r>
      <w:r w:rsidR="00C97A26">
        <w:rPr>
          <w:lang w:val="fr-CH"/>
        </w:rPr>
        <w:t>’</w:t>
      </w:r>
      <w:r w:rsidR="00EF705B">
        <w:rPr>
          <w:lang w:val="fr-CH"/>
        </w:rPr>
        <w:t>Université de l</w:t>
      </w:r>
      <w:r w:rsidR="00C97A26">
        <w:rPr>
          <w:lang w:val="fr-CH"/>
        </w:rPr>
        <w:t>’</w:t>
      </w:r>
      <w:r w:rsidR="00EF705B">
        <w:rPr>
          <w:lang w:val="fr-CH"/>
        </w:rPr>
        <w:t>Asie et du Pacifique</w:t>
      </w:r>
      <w:r w:rsidR="000866E8" w:rsidRPr="00D737A2">
        <w:rPr>
          <w:lang w:val="fr-CH"/>
        </w:rPr>
        <w:t xml:space="preserve"> </w:t>
      </w:r>
      <w:r w:rsidR="00D737A2">
        <w:rPr>
          <w:lang w:val="fr-CH"/>
        </w:rPr>
        <w:t>aux Philippines</w:t>
      </w:r>
      <w:r w:rsidR="000866E8" w:rsidRPr="00D737A2">
        <w:rPr>
          <w:lang w:val="fr-CH"/>
        </w:rPr>
        <w:t xml:space="preserve">; </w:t>
      </w:r>
      <w:r w:rsidR="00E82EF4">
        <w:rPr>
          <w:lang w:val="fr-CH"/>
        </w:rPr>
        <w:t xml:space="preserve"> </w:t>
      </w:r>
      <w:r w:rsidR="00D737A2">
        <w:rPr>
          <w:lang w:val="fr-CH"/>
        </w:rPr>
        <w:t>et</w:t>
      </w:r>
      <w:r w:rsidR="000866E8" w:rsidRPr="00D737A2">
        <w:rPr>
          <w:lang w:val="fr-CH"/>
        </w:rPr>
        <w:t xml:space="preserve"> </w:t>
      </w:r>
      <w:r w:rsidR="00EF705B">
        <w:rPr>
          <w:lang w:val="fr-CH"/>
        </w:rPr>
        <w:t>M</w:t>
      </w:r>
      <w:r w:rsidR="00285B63">
        <w:rPr>
          <w:lang w:val="fr-CH"/>
        </w:rPr>
        <w:t>me</w:t>
      </w:r>
      <w:r w:rsidR="00E82EF4">
        <w:rPr>
          <w:lang w:val="fr-CH"/>
        </w:rPr>
        <w:t> </w:t>
      </w:r>
      <w:r w:rsidR="000866E8" w:rsidRPr="00D737A2">
        <w:rPr>
          <w:lang w:val="fr-CH"/>
        </w:rPr>
        <w:t>Deunden</w:t>
      </w:r>
      <w:r w:rsidR="00355861">
        <w:rPr>
          <w:lang w:val="fr-CH"/>
        </w:rPr>
        <w:t> </w:t>
      </w:r>
      <w:r w:rsidR="000866E8" w:rsidRPr="00D737A2">
        <w:rPr>
          <w:lang w:val="fr-CH"/>
        </w:rPr>
        <w:t xml:space="preserve">Nikomborirak </w:t>
      </w:r>
      <w:r w:rsidR="00D737A2">
        <w:rPr>
          <w:lang w:val="fr-CH"/>
        </w:rPr>
        <w:t>et</w:t>
      </w:r>
      <w:r w:rsidR="000866E8" w:rsidRPr="00D737A2">
        <w:rPr>
          <w:lang w:val="fr-CH"/>
        </w:rPr>
        <w:t xml:space="preserve"> </w:t>
      </w:r>
      <w:r w:rsidR="00285B63">
        <w:rPr>
          <w:lang w:val="fr-CH"/>
        </w:rPr>
        <w:t>Mme</w:t>
      </w:r>
      <w:r w:rsidR="00E82EF4">
        <w:rPr>
          <w:lang w:val="fr-CH"/>
        </w:rPr>
        <w:t> </w:t>
      </w:r>
      <w:r w:rsidR="000866E8" w:rsidRPr="00D737A2">
        <w:rPr>
          <w:lang w:val="fr-CH"/>
        </w:rPr>
        <w:t>Weerawan</w:t>
      </w:r>
      <w:r w:rsidR="00355861">
        <w:rPr>
          <w:lang w:val="fr-CH"/>
        </w:rPr>
        <w:t> </w:t>
      </w:r>
      <w:r w:rsidR="000866E8" w:rsidRPr="00D737A2">
        <w:rPr>
          <w:lang w:val="fr-CH"/>
        </w:rPr>
        <w:t>Paibunjitt</w:t>
      </w:r>
      <w:r w:rsidR="009B2FD7">
        <w:rPr>
          <w:lang w:val="fr-CH"/>
        </w:rPr>
        <w:noBreakHyphen/>
      </w:r>
      <w:r w:rsidR="000866E8" w:rsidRPr="00D737A2">
        <w:rPr>
          <w:lang w:val="fr-CH"/>
        </w:rPr>
        <w:t xml:space="preserve">aree </w:t>
      </w:r>
      <w:r w:rsidR="00EF705B">
        <w:rPr>
          <w:lang w:val="fr-CH"/>
        </w:rPr>
        <w:t>à l</w:t>
      </w:r>
      <w:r w:rsidR="00C97A26">
        <w:rPr>
          <w:lang w:val="fr-CH"/>
        </w:rPr>
        <w:t>’</w:t>
      </w:r>
      <w:r w:rsidR="00EF705B">
        <w:rPr>
          <w:lang w:val="fr-CH"/>
        </w:rPr>
        <w:t>Institut thaïlandais de recherches sur le développement</w:t>
      </w:r>
      <w:r w:rsidR="000866E8" w:rsidRPr="00D737A2">
        <w:rPr>
          <w:lang w:val="fr-CH"/>
        </w:rPr>
        <w:t xml:space="preserve"> </w:t>
      </w:r>
      <w:r w:rsidR="00D737A2">
        <w:rPr>
          <w:lang w:val="fr-CH"/>
        </w:rPr>
        <w:t>en Thaïlande</w:t>
      </w:r>
      <w:r w:rsidR="000866E8" w:rsidRPr="00D737A2">
        <w:rPr>
          <w:lang w:val="fr-CH"/>
        </w:rPr>
        <w:t>.</w:t>
      </w:r>
    </w:p>
    <w:p w:rsidR="00E35762" w:rsidRDefault="00EF705B" w:rsidP="00E35762">
      <w:pPr>
        <w:spacing w:after="220"/>
        <w:rPr>
          <w:lang w:val="fr-CH"/>
        </w:rPr>
      </w:pPr>
      <w:r w:rsidRPr="00EF705B">
        <w:rPr>
          <w:lang w:val="fr-CH"/>
        </w:rPr>
        <w:t>La Direction générale de la propriété intellectuelle</w:t>
      </w:r>
      <w:r w:rsidR="00285B63">
        <w:rPr>
          <w:lang w:val="fr-CH"/>
        </w:rPr>
        <w:t xml:space="preserve"> en </w:t>
      </w:r>
      <w:r w:rsidRPr="00EF705B">
        <w:rPr>
          <w:lang w:val="fr-CH"/>
        </w:rPr>
        <w:t>Indonésie</w:t>
      </w:r>
      <w:r w:rsidR="00040F5A" w:rsidRPr="00040F5A">
        <w:rPr>
          <w:lang w:val="fr-CH"/>
        </w:rPr>
        <w:t>, l</w:t>
      </w:r>
      <w:r w:rsidR="00C97A26">
        <w:rPr>
          <w:lang w:val="fr-CH"/>
        </w:rPr>
        <w:t>’</w:t>
      </w:r>
      <w:r w:rsidR="00040F5A" w:rsidRPr="00040F5A">
        <w:rPr>
          <w:lang w:val="fr-CH"/>
        </w:rPr>
        <w:t>Office de la propriété intellectuelle des Philippines</w:t>
      </w:r>
      <w:r w:rsidR="00040F5A" w:rsidRPr="00040F5A">
        <w:rPr>
          <w:i/>
          <w:lang w:val="fr-CH"/>
        </w:rPr>
        <w:t xml:space="preserve"> </w:t>
      </w:r>
      <w:r w:rsidR="00040F5A" w:rsidRPr="00040F5A">
        <w:rPr>
          <w:lang w:val="fr-CH"/>
        </w:rPr>
        <w:t>et</w:t>
      </w:r>
      <w:r w:rsidR="00040F5A">
        <w:rPr>
          <w:lang w:val="fr-CH"/>
        </w:rPr>
        <w:t xml:space="preserve"> le Département thaïlandais de la propriété intellectuelle</w:t>
      </w:r>
      <w:r w:rsidR="00040F5A" w:rsidRPr="00040F5A">
        <w:rPr>
          <w:lang w:val="fr-CH"/>
        </w:rPr>
        <w:t xml:space="preserve"> </w:t>
      </w:r>
      <w:r w:rsidR="00040F5A">
        <w:rPr>
          <w:lang w:val="fr-CH"/>
        </w:rPr>
        <w:t>ont</w:t>
      </w:r>
      <w:r w:rsidR="00D737A2" w:rsidRPr="00D737A2">
        <w:rPr>
          <w:lang w:val="fr-CH"/>
        </w:rPr>
        <w:t xml:space="preserve"> apporté </w:t>
      </w:r>
      <w:r w:rsidR="00E02C64">
        <w:rPr>
          <w:lang w:val="fr-CH"/>
        </w:rPr>
        <w:t xml:space="preserve">un </w:t>
      </w:r>
      <w:r w:rsidR="00285B63">
        <w:rPr>
          <w:lang w:val="fr-CH"/>
        </w:rPr>
        <w:t>important</w:t>
      </w:r>
      <w:r w:rsidR="00E02C64">
        <w:rPr>
          <w:lang w:val="fr-CH"/>
        </w:rPr>
        <w:t xml:space="preserve"> soutien</w:t>
      </w:r>
      <w:r w:rsidR="00D737A2" w:rsidRPr="00D737A2">
        <w:rPr>
          <w:lang w:val="fr-CH"/>
        </w:rPr>
        <w:t xml:space="preserve"> tout au long de la mise en </w:t>
      </w:r>
      <w:r w:rsidR="001E2EB3" w:rsidRPr="00D737A2">
        <w:rPr>
          <w:lang w:val="fr-CH"/>
        </w:rPr>
        <w:t>œuvre</w:t>
      </w:r>
      <w:r w:rsidR="00D737A2" w:rsidRPr="00D737A2">
        <w:rPr>
          <w:lang w:val="fr-CH"/>
        </w:rPr>
        <w:t xml:space="preserve"> de l</w:t>
      </w:r>
      <w:r w:rsidR="00C97A26">
        <w:rPr>
          <w:lang w:val="fr-CH"/>
        </w:rPr>
        <w:t>’</w:t>
      </w:r>
      <w:r w:rsidR="00D737A2" w:rsidRPr="00D737A2">
        <w:rPr>
          <w:lang w:val="fr-CH"/>
        </w:rPr>
        <w:t>enquê</w:t>
      </w:r>
      <w:r w:rsidR="00040DB0" w:rsidRPr="00D737A2">
        <w:rPr>
          <w:lang w:val="fr-CH"/>
        </w:rPr>
        <w:t>te</w:t>
      </w:r>
      <w:r w:rsidR="00040DB0">
        <w:rPr>
          <w:lang w:val="fr-CH"/>
        </w:rPr>
        <w:t xml:space="preserve">.  </w:t>
      </w:r>
      <w:r w:rsidR="00040DB0" w:rsidRPr="00E02C64">
        <w:rPr>
          <w:lang w:val="fr-CH"/>
        </w:rPr>
        <w:t>Le</w:t>
      </w:r>
      <w:r w:rsidR="00D737A2" w:rsidRPr="00E02C64">
        <w:rPr>
          <w:lang w:val="fr-CH"/>
        </w:rPr>
        <w:t xml:space="preserve"> Burea</w:t>
      </w:r>
      <w:r w:rsidR="00E02C64" w:rsidRPr="00E02C64">
        <w:rPr>
          <w:lang w:val="fr-CH"/>
        </w:rPr>
        <w:t xml:space="preserve">u </w:t>
      </w:r>
      <w:r w:rsidR="003068FB" w:rsidRPr="00E02C64">
        <w:rPr>
          <w:lang w:val="fr-CH"/>
        </w:rPr>
        <w:t>régional</w:t>
      </w:r>
      <w:r w:rsidR="00E02C64" w:rsidRPr="00E02C64">
        <w:rPr>
          <w:lang w:val="fr-CH"/>
        </w:rPr>
        <w:t xml:space="preserve"> pour l</w:t>
      </w:r>
      <w:r w:rsidR="00C97A26">
        <w:rPr>
          <w:lang w:val="fr-CH"/>
        </w:rPr>
        <w:t>’</w:t>
      </w:r>
      <w:r w:rsidR="00E02C64" w:rsidRPr="00E02C64">
        <w:rPr>
          <w:lang w:val="fr-CH"/>
        </w:rPr>
        <w:t>Asie et le Pacifique de l</w:t>
      </w:r>
      <w:r w:rsidR="00C97A26">
        <w:rPr>
          <w:lang w:val="fr-CH"/>
        </w:rPr>
        <w:t>’</w:t>
      </w:r>
      <w:r w:rsidR="00E02C64" w:rsidRPr="00E02C64">
        <w:rPr>
          <w:lang w:val="fr-CH"/>
        </w:rPr>
        <w:t xml:space="preserve">OMPI ont apporté </w:t>
      </w:r>
      <w:r w:rsidR="00E02C64" w:rsidRPr="003068FB">
        <w:rPr>
          <w:lang w:val="fr-CH"/>
        </w:rPr>
        <w:t>leur soutien en assurant la liaison avec les offices nationaux de propriété intellectuelle</w:t>
      </w:r>
      <w:r w:rsidR="000866E8" w:rsidRPr="003068FB">
        <w:rPr>
          <w:lang w:val="fr-CH"/>
        </w:rPr>
        <w:t>.</w:t>
      </w:r>
    </w:p>
    <w:p w:rsidR="00E35762" w:rsidRDefault="003068FB" w:rsidP="00E35762">
      <w:pPr>
        <w:spacing w:after="220"/>
        <w:rPr>
          <w:lang w:val="fr-CH"/>
        </w:rPr>
      </w:pPr>
      <w:r w:rsidRPr="003068FB">
        <w:rPr>
          <w:lang w:val="fr-CH"/>
        </w:rPr>
        <w:t>Enfin</w:t>
      </w:r>
      <w:r w:rsidR="000866E8" w:rsidRPr="003068FB">
        <w:rPr>
          <w:lang w:val="fr-CH"/>
        </w:rPr>
        <w:t>,</w:t>
      </w:r>
      <w:r w:rsidRPr="003068FB">
        <w:rPr>
          <w:lang w:val="fr-CH"/>
        </w:rPr>
        <w:t xml:space="preserve"> l</w:t>
      </w:r>
      <w:r w:rsidR="00C97A26">
        <w:rPr>
          <w:lang w:val="fr-CH"/>
        </w:rPr>
        <w:t>’</w:t>
      </w:r>
      <w:r w:rsidRPr="003068FB">
        <w:rPr>
          <w:lang w:val="fr-CH"/>
        </w:rPr>
        <w:t xml:space="preserve">étude a été réexaminée par </w:t>
      </w:r>
      <w:r w:rsidR="00040F5A" w:rsidRPr="00040F5A">
        <w:rPr>
          <w:lang w:val="fr-CH"/>
        </w:rPr>
        <w:t>Mme</w:t>
      </w:r>
      <w:r w:rsidR="00E82EF4">
        <w:rPr>
          <w:lang w:val="fr-CH"/>
        </w:rPr>
        <w:t> </w:t>
      </w:r>
      <w:r w:rsidR="000866E8" w:rsidRPr="00040F5A">
        <w:rPr>
          <w:lang w:val="fr-CH"/>
        </w:rPr>
        <w:t>Myriam</w:t>
      </w:r>
      <w:r w:rsidR="0090688F">
        <w:rPr>
          <w:lang w:val="fr-CH"/>
        </w:rPr>
        <w:t> </w:t>
      </w:r>
      <w:r w:rsidR="000866E8" w:rsidRPr="00040F5A">
        <w:rPr>
          <w:lang w:val="fr-CH"/>
        </w:rPr>
        <w:t xml:space="preserve">Mariani </w:t>
      </w:r>
      <w:r w:rsidR="00040F5A" w:rsidRPr="00040F5A">
        <w:rPr>
          <w:lang w:val="fr-CH"/>
        </w:rPr>
        <w:t>de l</w:t>
      </w:r>
      <w:r w:rsidR="00C97A26">
        <w:rPr>
          <w:lang w:val="fr-CH"/>
        </w:rPr>
        <w:t>’</w:t>
      </w:r>
      <w:r w:rsidR="00040F5A" w:rsidRPr="00040F5A">
        <w:rPr>
          <w:lang w:val="fr-CH"/>
        </w:rPr>
        <w:t>Université</w:t>
      </w:r>
      <w:r w:rsidR="00355861">
        <w:rPr>
          <w:lang w:val="fr-CH"/>
        </w:rPr>
        <w:t> </w:t>
      </w:r>
      <w:r w:rsidRPr="00040F5A">
        <w:rPr>
          <w:lang w:val="fr-CH"/>
        </w:rPr>
        <w:t xml:space="preserve">Bocconi </w:t>
      </w:r>
      <w:r w:rsidR="00040F5A" w:rsidRPr="00040F5A">
        <w:rPr>
          <w:lang w:val="fr-CH"/>
        </w:rPr>
        <w:t>à</w:t>
      </w:r>
      <w:r w:rsidRPr="00040F5A">
        <w:rPr>
          <w:lang w:val="fr-CH"/>
        </w:rPr>
        <w:t xml:space="preserve"> Milan</w:t>
      </w:r>
      <w:r w:rsidR="000866E8" w:rsidRPr="00040F5A">
        <w:rPr>
          <w:lang w:val="fr-CH"/>
        </w:rPr>
        <w:t xml:space="preserve"> </w:t>
      </w:r>
      <w:r w:rsidRPr="00040F5A">
        <w:rPr>
          <w:lang w:val="fr-CH"/>
        </w:rPr>
        <w:t>(</w:t>
      </w:r>
      <w:r w:rsidR="00285B63">
        <w:rPr>
          <w:lang w:val="fr-CH"/>
        </w:rPr>
        <w:t>Ital</w:t>
      </w:r>
      <w:r w:rsidR="00040DB0">
        <w:rPr>
          <w:lang w:val="fr-CH"/>
        </w:rPr>
        <w:t>ie</w:t>
      </w:r>
      <w:r w:rsidR="00040DB0" w:rsidRPr="00040F5A">
        <w:rPr>
          <w:lang w:val="fr-CH"/>
        </w:rPr>
        <w:t>)</w:t>
      </w:r>
      <w:r w:rsidR="00040DB0">
        <w:rPr>
          <w:lang w:val="fr-CH"/>
        </w:rPr>
        <w:t>.  Mm</w:t>
      </w:r>
      <w:r w:rsidR="00040F5A">
        <w:rPr>
          <w:lang w:val="fr-CH"/>
        </w:rPr>
        <w:t>e</w:t>
      </w:r>
      <w:r w:rsidR="00E82EF4">
        <w:rPr>
          <w:lang w:val="fr-CH"/>
        </w:rPr>
        <w:t> </w:t>
      </w:r>
      <w:r w:rsidR="000866E8" w:rsidRPr="003068FB">
        <w:rPr>
          <w:lang w:val="fr-CH"/>
        </w:rPr>
        <w:t xml:space="preserve">Mariani </w:t>
      </w:r>
      <w:r w:rsidR="00285B63">
        <w:rPr>
          <w:lang w:val="fr-CH"/>
        </w:rPr>
        <w:t>a apporté des observations critiques</w:t>
      </w:r>
      <w:r w:rsidRPr="003068FB">
        <w:rPr>
          <w:lang w:val="fr-CH"/>
        </w:rPr>
        <w:t xml:space="preserve"> sur la </w:t>
      </w:r>
      <w:r>
        <w:rPr>
          <w:lang w:val="fr-CH"/>
        </w:rPr>
        <w:t xml:space="preserve">conception du </w:t>
      </w:r>
      <w:r w:rsidR="00981C98">
        <w:rPr>
          <w:lang w:val="fr-CH"/>
        </w:rPr>
        <w:t>questionnaire d</w:t>
      </w:r>
      <w:r w:rsidR="00C97A26">
        <w:rPr>
          <w:lang w:val="fr-CH"/>
        </w:rPr>
        <w:t>’</w:t>
      </w:r>
      <w:r w:rsidR="00981C98">
        <w:rPr>
          <w:lang w:val="fr-CH"/>
        </w:rPr>
        <w:t>enquête</w:t>
      </w:r>
      <w:r>
        <w:rPr>
          <w:lang w:val="fr-CH"/>
        </w:rPr>
        <w:t>, l</w:t>
      </w:r>
      <w:r w:rsidR="00C97A26">
        <w:rPr>
          <w:lang w:val="fr-CH"/>
        </w:rPr>
        <w:t>’</w:t>
      </w:r>
      <w:r>
        <w:rPr>
          <w:lang w:val="fr-CH"/>
        </w:rPr>
        <w:t>analyse des résultats et les quatre</w:t>
      </w:r>
      <w:r w:rsidR="00E82EF4">
        <w:rPr>
          <w:lang w:val="fr-CH"/>
        </w:rPr>
        <w:t> </w:t>
      </w:r>
      <w:r>
        <w:rPr>
          <w:lang w:val="fr-CH"/>
        </w:rPr>
        <w:t>résultats de l</w:t>
      </w:r>
      <w:r w:rsidR="00C97A26">
        <w:rPr>
          <w:lang w:val="fr-CH"/>
        </w:rPr>
        <w:t>’</w:t>
      </w:r>
      <w:r>
        <w:rPr>
          <w:lang w:val="fr-CH"/>
        </w:rPr>
        <w:t>enquête</w:t>
      </w:r>
      <w:r w:rsidR="000866E8" w:rsidRPr="000866E8">
        <w:rPr>
          <w:vertAlign w:val="superscript"/>
        </w:rPr>
        <w:footnoteReference w:id="6"/>
      </w:r>
      <w:r w:rsidR="00E82EF4" w:rsidRPr="003068FB">
        <w:rPr>
          <w:lang w:val="fr-CH"/>
        </w:rPr>
        <w:t>.</w:t>
      </w:r>
    </w:p>
    <w:p w:rsidR="00E35762" w:rsidRDefault="0094632F" w:rsidP="005328BE">
      <w:pPr>
        <w:spacing w:before="360" w:after="180"/>
        <w:rPr>
          <w:b/>
          <w:bCs/>
          <w:lang w:val="fr-CH"/>
        </w:rPr>
      </w:pPr>
      <w:r>
        <w:rPr>
          <w:b/>
          <w:bCs/>
          <w:lang w:val="fr-CH"/>
        </w:rPr>
        <w:t>Déroulement de l</w:t>
      </w:r>
      <w:r w:rsidR="00C97A26">
        <w:rPr>
          <w:b/>
          <w:bCs/>
          <w:lang w:val="fr-CH"/>
        </w:rPr>
        <w:t>’</w:t>
      </w:r>
      <w:r>
        <w:rPr>
          <w:b/>
          <w:bCs/>
          <w:lang w:val="fr-CH"/>
        </w:rPr>
        <w:t xml:space="preserve">étude et </w:t>
      </w:r>
      <w:r w:rsidR="00040F5A">
        <w:rPr>
          <w:b/>
          <w:bCs/>
          <w:lang w:val="fr-CH"/>
        </w:rPr>
        <w:t>élaboration méthodologique</w:t>
      </w:r>
    </w:p>
    <w:p w:rsidR="00E35762" w:rsidRDefault="002057E6" w:rsidP="00E35762">
      <w:pPr>
        <w:spacing w:after="220"/>
        <w:rPr>
          <w:lang w:val="fr-CH"/>
        </w:rPr>
      </w:pPr>
      <w:r w:rsidRPr="002057E6">
        <w:rPr>
          <w:lang w:val="fr-CH"/>
        </w:rPr>
        <w:t>L</w:t>
      </w:r>
      <w:r w:rsidR="00C97A26">
        <w:rPr>
          <w:lang w:val="fr-CH"/>
        </w:rPr>
        <w:t>’</w:t>
      </w:r>
      <w:r w:rsidRPr="002057E6">
        <w:rPr>
          <w:lang w:val="fr-CH"/>
        </w:rPr>
        <w:t>étude a été menée en trois</w:t>
      </w:r>
      <w:r w:rsidR="00E82EF4">
        <w:rPr>
          <w:lang w:val="fr-CH"/>
        </w:rPr>
        <w:t> </w:t>
      </w:r>
      <w:r w:rsidRPr="002057E6">
        <w:rPr>
          <w:lang w:val="fr-CH"/>
        </w:rPr>
        <w:t>étap</w:t>
      </w:r>
      <w:r w:rsidR="00040DB0" w:rsidRPr="002057E6">
        <w:rPr>
          <w:lang w:val="fr-CH"/>
        </w:rPr>
        <w:t>es</w:t>
      </w:r>
      <w:r w:rsidR="00040DB0">
        <w:rPr>
          <w:lang w:val="fr-CH"/>
        </w:rPr>
        <w:t xml:space="preserve">.  </w:t>
      </w:r>
      <w:r w:rsidR="00040DB0" w:rsidRPr="007A383B">
        <w:rPr>
          <w:lang w:val="fr-CH"/>
        </w:rPr>
        <w:t>La</w:t>
      </w:r>
      <w:r w:rsidR="00EF4387" w:rsidRPr="007A383B">
        <w:rPr>
          <w:lang w:val="fr-CH"/>
        </w:rPr>
        <w:t xml:space="preserve"> première étape comprenait des consultations avec les collègues </w:t>
      </w:r>
      <w:r w:rsidR="005F2AD7">
        <w:rPr>
          <w:lang w:val="fr-CH"/>
        </w:rPr>
        <w:t>internes</w:t>
      </w:r>
      <w:r w:rsidR="00EF4387" w:rsidRPr="007A383B">
        <w:rPr>
          <w:lang w:val="fr-CH"/>
        </w:rPr>
        <w:t xml:space="preserve"> </w:t>
      </w:r>
      <w:r w:rsidR="005F2AD7">
        <w:rPr>
          <w:lang w:val="fr-CH"/>
        </w:rPr>
        <w:t>compétents</w:t>
      </w:r>
      <w:r w:rsidR="00EF4387" w:rsidRPr="007A383B">
        <w:rPr>
          <w:lang w:val="fr-CH"/>
        </w:rPr>
        <w:t xml:space="preserve"> de l</w:t>
      </w:r>
      <w:r w:rsidR="00C97A26">
        <w:rPr>
          <w:lang w:val="fr-CH"/>
        </w:rPr>
        <w:t>’</w:t>
      </w:r>
      <w:r w:rsidR="00EF4387" w:rsidRPr="007A383B">
        <w:rPr>
          <w:lang w:val="fr-CH"/>
        </w:rPr>
        <w:t xml:space="preserve">OMPI </w:t>
      </w:r>
      <w:r w:rsidR="007A383B" w:rsidRPr="007A383B">
        <w:rPr>
          <w:lang w:val="fr-CH"/>
        </w:rPr>
        <w:t xml:space="preserve">dans le Secteur des marques et des dessins et modèles industriels </w:t>
      </w:r>
      <w:r w:rsidR="007A383B">
        <w:rPr>
          <w:lang w:val="fr-CH"/>
        </w:rPr>
        <w:t>et avec le Bureau régional pour l</w:t>
      </w:r>
      <w:r w:rsidR="00C97A26">
        <w:rPr>
          <w:lang w:val="fr-CH"/>
        </w:rPr>
        <w:t>’</w:t>
      </w:r>
      <w:r w:rsidR="007A383B">
        <w:rPr>
          <w:lang w:val="fr-CH"/>
        </w:rPr>
        <w:t>Asie et le Pacifique de l</w:t>
      </w:r>
      <w:r w:rsidR="00C97A26">
        <w:rPr>
          <w:lang w:val="fr-CH"/>
        </w:rPr>
        <w:t>’</w:t>
      </w:r>
      <w:r w:rsidR="007A383B">
        <w:rPr>
          <w:lang w:val="fr-CH"/>
        </w:rPr>
        <w:t xml:space="preserve">OMPI </w:t>
      </w:r>
      <w:r w:rsidR="007A383B" w:rsidRPr="005F2AD7">
        <w:rPr>
          <w:lang w:val="fr-CH"/>
        </w:rPr>
        <w:t xml:space="preserve">pour </w:t>
      </w:r>
      <w:r w:rsidR="005F2AD7">
        <w:rPr>
          <w:lang w:val="fr-CH"/>
        </w:rPr>
        <w:t>définir</w:t>
      </w:r>
      <w:r w:rsidR="007A383B" w:rsidRPr="005F2AD7">
        <w:rPr>
          <w:lang w:val="fr-CH"/>
        </w:rPr>
        <w:t xml:space="preserve"> l</w:t>
      </w:r>
      <w:r w:rsidR="00C97A26">
        <w:rPr>
          <w:lang w:val="fr-CH"/>
        </w:rPr>
        <w:t>’</w:t>
      </w:r>
      <w:r w:rsidR="007A383B" w:rsidRPr="005F2AD7">
        <w:rPr>
          <w:lang w:val="fr-CH"/>
        </w:rPr>
        <w:t>orientation de l</w:t>
      </w:r>
      <w:r w:rsidR="00C97A26">
        <w:rPr>
          <w:lang w:val="fr-CH"/>
        </w:rPr>
        <w:t>’</w:t>
      </w:r>
      <w:r w:rsidR="007A383B" w:rsidRPr="005F2AD7">
        <w:rPr>
          <w:lang w:val="fr-CH"/>
        </w:rPr>
        <w:t>étu</w:t>
      </w:r>
      <w:r w:rsidR="00040DB0" w:rsidRPr="005F2AD7">
        <w:rPr>
          <w:lang w:val="fr-CH"/>
        </w:rPr>
        <w:t>de</w:t>
      </w:r>
      <w:r w:rsidR="00040DB0">
        <w:rPr>
          <w:lang w:val="fr-CH"/>
        </w:rPr>
        <w:t xml:space="preserve">.  </w:t>
      </w:r>
      <w:r w:rsidR="00040DB0" w:rsidRPr="005F2AD7">
        <w:rPr>
          <w:lang w:val="fr-CH"/>
        </w:rPr>
        <w:t>En</w:t>
      </w:r>
      <w:r w:rsidR="007A383B" w:rsidRPr="005F2AD7">
        <w:rPr>
          <w:lang w:val="fr-CH"/>
        </w:rPr>
        <w:t xml:space="preserve"> parallèle, le Secrétariat a mené une recherche documentaire</w:t>
      </w:r>
      <w:r w:rsidR="0002511B" w:rsidRPr="005F2AD7">
        <w:rPr>
          <w:lang w:val="fr-CH"/>
        </w:rPr>
        <w:t xml:space="preserve"> sur l</w:t>
      </w:r>
      <w:r w:rsidR="00C97A26">
        <w:rPr>
          <w:lang w:val="fr-CH"/>
        </w:rPr>
        <w:t>’</w:t>
      </w:r>
      <w:r w:rsidR="0002511B" w:rsidRPr="005F2AD7">
        <w:rPr>
          <w:lang w:val="fr-CH"/>
        </w:rPr>
        <w:t>élaboration du questionnaire d</w:t>
      </w:r>
      <w:r w:rsidR="00C97A26">
        <w:rPr>
          <w:lang w:val="fr-CH"/>
        </w:rPr>
        <w:t>’</w:t>
      </w:r>
      <w:r w:rsidR="0002511B" w:rsidRPr="005F2AD7">
        <w:rPr>
          <w:lang w:val="fr-CH"/>
        </w:rPr>
        <w:t>enquête en vue de sa mise en œuvre dans les trois</w:t>
      </w:r>
      <w:r w:rsidR="00E82EF4">
        <w:rPr>
          <w:lang w:val="fr-CH"/>
        </w:rPr>
        <w:t> </w:t>
      </w:r>
      <w:r w:rsidR="0002511B" w:rsidRPr="005F2AD7">
        <w:rPr>
          <w:lang w:val="fr-CH"/>
        </w:rPr>
        <w:t>pays</w:t>
      </w:r>
      <w:r w:rsidR="000866E8" w:rsidRPr="005F2AD7">
        <w:rPr>
          <w:lang w:val="fr-CH"/>
        </w:rPr>
        <w:t>.</w:t>
      </w:r>
    </w:p>
    <w:p w:rsidR="00E35762" w:rsidRDefault="0002511B" w:rsidP="00E35762">
      <w:pPr>
        <w:spacing w:after="220"/>
        <w:rPr>
          <w:lang w:val="fr-CH"/>
        </w:rPr>
      </w:pPr>
      <w:r w:rsidRPr="00702369">
        <w:rPr>
          <w:lang w:val="fr-CH"/>
        </w:rPr>
        <w:t>Les travaux relatifs à l</w:t>
      </w:r>
      <w:r w:rsidR="00C97A26">
        <w:rPr>
          <w:lang w:val="fr-CH"/>
        </w:rPr>
        <w:t>’</w:t>
      </w:r>
      <w:r w:rsidRPr="00702369">
        <w:rPr>
          <w:lang w:val="fr-CH"/>
        </w:rPr>
        <w:t xml:space="preserve">étude ont </w:t>
      </w:r>
      <w:r w:rsidR="00493BF8" w:rsidRPr="00702369">
        <w:rPr>
          <w:lang w:val="fr-CH"/>
        </w:rPr>
        <w:t xml:space="preserve">officiellement </w:t>
      </w:r>
      <w:r w:rsidRPr="00702369">
        <w:rPr>
          <w:lang w:val="fr-CH"/>
        </w:rPr>
        <w:t xml:space="preserve">été lancés en </w:t>
      </w:r>
      <w:r w:rsidR="00C97A26" w:rsidRPr="00702369">
        <w:rPr>
          <w:lang w:val="fr-CH"/>
        </w:rPr>
        <w:t>mars</w:t>
      </w:r>
      <w:r w:rsidR="00C97A26">
        <w:rPr>
          <w:lang w:val="fr-CH"/>
        </w:rPr>
        <w:t> </w:t>
      </w:r>
      <w:r w:rsidR="00C97A26" w:rsidRPr="00702369">
        <w:rPr>
          <w:lang w:val="fr-CH"/>
        </w:rPr>
        <w:t>20</w:t>
      </w:r>
      <w:r w:rsidRPr="00702369">
        <w:rPr>
          <w:lang w:val="fr-CH"/>
        </w:rPr>
        <w:t>16 avec des</w:t>
      </w:r>
      <w:r w:rsidR="00702369" w:rsidRPr="00702369">
        <w:rPr>
          <w:lang w:val="fr-CH"/>
        </w:rPr>
        <w:t xml:space="preserve"> </w:t>
      </w:r>
      <w:r w:rsidR="00F3668C" w:rsidRPr="00702369">
        <w:rPr>
          <w:lang w:val="fr-CH"/>
        </w:rPr>
        <w:t>réunions</w:t>
      </w:r>
      <w:r w:rsidR="00702369" w:rsidRPr="00702369">
        <w:rPr>
          <w:lang w:val="fr-CH"/>
        </w:rPr>
        <w:t xml:space="preserve"> et des ateliers consécutifs tenus aux Philippines et en Tha</w:t>
      </w:r>
      <w:r w:rsidR="00702369">
        <w:rPr>
          <w:lang w:val="fr-CH"/>
        </w:rPr>
        <w:t>ïlan</w:t>
      </w:r>
      <w:r w:rsidR="00040DB0">
        <w:rPr>
          <w:lang w:val="fr-CH"/>
        </w:rPr>
        <w:t xml:space="preserve">de.  </w:t>
      </w:r>
      <w:r w:rsidR="00040DB0" w:rsidRPr="00F3668C">
        <w:rPr>
          <w:lang w:val="fr-CH"/>
        </w:rPr>
        <w:t>Da</w:t>
      </w:r>
      <w:r w:rsidR="00702369" w:rsidRPr="00F3668C">
        <w:rPr>
          <w:lang w:val="fr-CH"/>
        </w:rPr>
        <w:t>ns chaque pays, un atelier d</w:t>
      </w:r>
      <w:r w:rsidR="00C97A26">
        <w:rPr>
          <w:lang w:val="fr-CH"/>
        </w:rPr>
        <w:t>’</w:t>
      </w:r>
      <w:r w:rsidR="00F3668C" w:rsidRPr="00F3668C">
        <w:rPr>
          <w:lang w:val="fr-CH"/>
        </w:rPr>
        <w:t>une demi</w:t>
      </w:r>
      <w:r w:rsidR="009B2FD7">
        <w:rPr>
          <w:lang w:val="fr-CH"/>
        </w:rPr>
        <w:noBreakHyphen/>
      </w:r>
      <w:r w:rsidR="00F3668C" w:rsidRPr="00F3668C">
        <w:rPr>
          <w:lang w:val="fr-CH"/>
        </w:rPr>
        <w:t xml:space="preserve">journée a été </w:t>
      </w:r>
      <w:r w:rsidR="00F3668C">
        <w:rPr>
          <w:lang w:val="fr-CH"/>
        </w:rPr>
        <w:t>organisé</w:t>
      </w:r>
      <w:r w:rsidR="00F3668C" w:rsidRPr="00F3668C">
        <w:rPr>
          <w:lang w:val="fr-CH"/>
        </w:rPr>
        <w:t xml:space="preserve"> pour rassembler les parties prenantes concernée</w:t>
      </w:r>
      <w:r w:rsidR="00F3668C">
        <w:rPr>
          <w:lang w:val="fr-CH"/>
        </w:rPr>
        <w:t>s</w:t>
      </w:r>
      <w:r w:rsidR="00F3668C" w:rsidRPr="00F3668C">
        <w:rPr>
          <w:lang w:val="fr-CH"/>
        </w:rPr>
        <w:t xml:space="preserve"> </w:t>
      </w:r>
      <w:r w:rsidR="005E33D4">
        <w:rPr>
          <w:lang w:val="fr-CH"/>
        </w:rPr>
        <w:t>du</w:t>
      </w:r>
      <w:r w:rsidR="00F3668C" w:rsidRPr="00F3668C">
        <w:rPr>
          <w:lang w:val="fr-CH"/>
        </w:rPr>
        <w:t xml:space="preserve"> système de</w:t>
      </w:r>
      <w:r w:rsidR="005F2AD7">
        <w:rPr>
          <w:lang w:val="fr-CH"/>
        </w:rPr>
        <w:t>s</w:t>
      </w:r>
      <w:r w:rsidR="00F3668C" w:rsidRPr="00F3668C">
        <w:rPr>
          <w:lang w:val="fr-CH"/>
        </w:rPr>
        <w:t xml:space="preserve"> </w:t>
      </w:r>
      <w:r w:rsidR="00F3668C" w:rsidRPr="005F2AD7">
        <w:rPr>
          <w:lang w:val="fr-CH"/>
        </w:rPr>
        <w:t>dessins et modèles</w:t>
      </w:r>
      <w:r w:rsidR="00F3668C">
        <w:rPr>
          <w:lang w:val="fr-CH"/>
        </w:rPr>
        <w:t xml:space="preserve"> industrie</w:t>
      </w:r>
      <w:r w:rsidR="00040DB0">
        <w:rPr>
          <w:lang w:val="fr-CH"/>
        </w:rPr>
        <w:t>ls.  L’a</w:t>
      </w:r>
      <w:r w:rsidR="00F3668C">
        <w:rPr>
          <w:lang w:val="fr-CH"/>
        </w:rPr>
        <w:t xml:space="preserve">telier avait pour objectif de recevoir des </w:t>
      </w:r>
      <w:r w:rsidR="005F2AD7">
        <w:rPr>
          <w:lang w:val="fr-CH"/>
        </w:rPr>
        <w:t>observations</w:t>
      </w:r>
      <w:r w:rsidR="00F3668C">
        <w:rPr>
          <w:lang w:val="fr-CH"/>
        </w:rPr>
        <w:t xml:space="preserve"> et r</w:t>
      </w:r>
      <w:r w:rsidR="00880E60">
        <w:rPr>
          <w:lang w:val="fr-CH"/>
        </w:rPr>
        <w:t>etours</w:t>
      </w:r>
      <w:r w:rsidR="005F2AD7">
        <w:rPr>
          <w:lang w:val="fr-CH"/>
        </w:rPr>
        <w:t xml:space="preserve"> d</w:t>
      </w:r>
      <w:r w:rsidR="00C97A26">
        <w:rPr>
          <w:lang w:val="fr-CH"/>
        </w:rPr>
        <w:t>’</w:t>
      </w:r>
      <w:r w:rsidR="005F2AD7">
        <w:rPr>
          <w:lang w:val="fr-CH"/>
        </w:rPr>
        <w:t>information</w:t>
      </w:r>
      <w:r w:rsidR="00880E60">
        <w:rPr>
          <w:lang w:val="fr-CH"/>
        </w:rPr>
        <w:t xml:space="preserve"> sur le questionnaire d</w:t>
      </w:r>
      <w:r w:rsidR="00C97A26">
        <w:rPr>
          <w:lang w:val="fr-CH"/>
        </w:rPr>
        <w:t>’</w:t>
      </w:r>
      <w:r w:rsidR="00F3668C">
        <w:rPr>
          <w:lang w:val="fr-CH"/>
        </w:rPr>
        <w:t>enquête</w:t>
      </w:r>
      <w:r w:rsidR="005F2AD7">
        <w:rPr>
          <w:lang w:val="fr-CH"/>
        </w:rPr>
        <w:t xml:space="preserve"> et sur</w:t>
      </w:r>
      <w:r w:rsidR="00880E60">
        <w:rPr>
          <w:lang w:val="fr-CH"/>
        </w:rPr>
        <w:t xml:space="preserve"> la </w:t>
      </w:r>
      <w:r w:rsidR="00880E60" w:rsidRPr="005F2AD7">
        <w:rPr>
          <w:lang w:val="fr-CH"/>
        </w:rPr>
        <w:t xml:space="preserve">stratégie de mise en œuvre </w:t>
      </w:r>
      <w:r w:rsidR="00981C98" w:rsidRPr="005F2AD7">
        <w:rPr>
          <w:lang w:val="fr-CH"/>
        </w:rPr>
        <w:t>de l</w:t>
      </w:r>
      <w:r w:rsidR="00C97A26">
        <w:rPr>
          <w:lang w:val="fr-CH"/>
        </w:rPr>
        <w:t>’</w:t>
      </w:r>
      <w:r w:rsidR="00981C98" w:rsidRPr="005F2AD7">
        <w:rPr>
          <w:lang w:val="fr-CH"/>
        </w:rPr>
        <w:t>enquê</w:t>
      </w:r>
      <w:r w:rsidR="00040DB0" w:rsidRPr="005F2AD7">
        <w:rPr>
          <w:lang w:val="fr-CH"/>
        </w:rPr>
        <w:t>te</w:t>
      </w:r>
      <w:r w:rsidR="00040DB0">
        <w:rPr>
          <w:lang w:val="fr-CH"/>
        </w:rPr>
        <w:t xml:space="preserve">.  </w:t>
      </w:r>
      <w:r w:rsidR="00040DB0" w:rsidRPr="00287673">
        <w:rPr>
          <w:lang w:val="fr-CH"/>
        </w:rPr>
        <w:t>Le</w:t>
      </w:r>
      <w:r w:rsidR="00287673" w:rsidRPr="00287673">
        <w:rPr>
          <w:lang w:val="fr-CH"/>
        </w:rPr>
        <w:t>s participants à l</w:t>
      </w:r>
      <w:r w:rsidR="00C97A26">
        <w:rPr>
          <w:lang w:val="fr-CH"/>
        </w:rPr>
        <w:t>’</w:t>
      </w:r>
      <w:r w:rsidR="00287673" w:rsidRPr="00287673">
        <w:rPr>
          <w:lang w:val="fr-CH"/>
        </w:rPr>
        <w:t xml:space="preserve">atelier comprenaient </w:t>
      </w:r>
      <w:r w:rsidR="00A9630A">
        <w:rPr>
          <w:lang w:val="fr-CH"/>
        </w:rPr>
        <w:t>des</w:t>
      </w:r>
      <w:r w:rsidR="00287673" w:rsidRPr="00287673">
        <w:rPr>
          <w:lang w:val="fr-CH"/>
        </w:rPr>
        <w:t xml:space="preserve"> </w:t>
      </w:r>
      <w:r w:rsidR="00A9630A">
        <w:rPr>
          <w:lang w:val="fr-CH"/>
        </w:rPr>
        <w:t>déposants</w:t>
      </w:r>
      <w:r w:rsidR="00287673" w:rsidRPr="00287673">
        <w:rPr>
          <w:lang w:val="fr-CH"/>
        </w:rPr>
        <w:t xml:space="preserve"> </w:t>
      </w:r>
      <w:r w:rsidR="00A9630A">
        <w:rPr>
          <w:lang w:val="fr-CH"/>
        </w:rPr>
        <w:t xml:space="preserve">de demandes </w:t>
      </w:r>
      <w:r w:rsidR="00493BF8">
        <w:rPr>
          <w:lang w:val="fr-CH"/>
        </w:rPr>
        <w:t>d</w:t>
      </w:r>
      <w:r w:rsidR="00C97A26">
        <w:rPr>
          <w:lang w:val="fr-CH"/>
        </w:rPr>
        <w:t>’</w:t>
      </w:r>
      <w:r w:rsidR="00493BF8">
        <w:rPr>
          <w:lang w:val="fr-CH"/>
        </w:rPr>
        <w:t xml:space="preserve">enregistrement </w:t>
      </w:r>
      <w:r w:rsidR="00A9630A">
        <w:rPr>
          <w:lang w:val="fr-CH"/>
        </w:rPr>
        <w:t>de</w:t>
      </w:r>
      <w:r w:rsidR="00287673" w:rsidRPr="00287673">
        <w:rPr>
          <w:lang w:val="fr-CH"/>
        </w:rPr>
        <w:t xml:space="preserve"> dessin</w:t>
      </w:r>
      <w:r w:rsidR="00287673" w:rsidRPr="00287673">
        <w:rPr>
          <w:b/>
          <w:lang w:val="fr-CH"/>
        </w:rPr>
        <w:t>s</w:t>
      </w:r>
      <w:r w:rsidR="00287673" w:rsidRPr="00287673">
        <w:rPr>
          <w:lang w:val="fr-CH"/>
        </w:rPr>
        <w:t xml:space="preserve"> </w:t>
      </w:r>
      <w:r w:rsidR="00903C77">
        <w:rPr>
          <w:lang w:val="fr-CH"/>
        </w:rPr>
        <w:t>et</w:t>
      </w:r>
      <w:r w:rsidR="00287673" w:rsidRPr="00287673">
        <w:rPr>
          <w:lang w:val="fr-CH"/>
        </w:rPr>
        <w:t xml:space="preserve"> modèles industriels</w:t>
      </w:r>
      <w:r w:rsidR="00226E66">
        <w:rPr>
          <w:lang w:val="fr-CH"/>
        </w:rPr>
        <w:t xml:space="preserve">, </w:t>
      </w:r>
      <w:r w:rsidR="00493BF8">
        <w:rPr>
          <w:lang w:val="fr-CH"/>
        </w:rPr>
        <w:t>des</w:t>
      </w:r>
      <w:r w:rsidR="00226E66">
        <w:rPr>
          <w:lang w:val="fr-CH"/>
        </w:rPr>
        <w:t xml:space="preserve"> associations de commerce et de </w:t>
      </w:r>
      <w:r w:rsidR="00226E66" w:rsidRPr="00892771">
        <w:rPr>
          <w:lang w:val="fr-CH"/>
        </w:rPr>
        <w:t>design</w:t>
      </w:r>
      <w:r w:rsidR="00226E66">
        <w:rPr>
          <w:lang w:val="fr-CH"/>
        </w:rPr>
        <w:t xml:space="preserve">, </w:t>
      </w:r>
      <w:r w:rsidR="00EB2E93">
        <w:rPr>
          <w:lang w:val="fr-CH"/>
        </w:rPr>
        <w:t>des</w:t>
      </w:r>
      <w:r w:rsidR="00226E66">
        <w:rPr>
          <w:lang w:val="fr-CH"/>
        </w:rPr>
        <w:t xml:space="preserve"> </w:t>
      </w:r>
      <w:r w:rsidR="00226E66" w:rsidRPr="00EB2E93">
        <w:rPr>
          <w:lang w:val="fr-CH"/>
        </w:rPr>
        <w:t>cabinets d</w:t>
      </w:r>
      <w:r w:rsidR="00C97A26">
        <w:rPr>
          <w:lang w:val="fr-CH"/>
        </w:rPr>
        <w:t>’</w:t>
      </w:r>
      <w:r w:rsidR="00226E66" w:rsidRPr="00EB2E93">
        <w:rPr>
          <w:lang w:val="fr-CH"/>
        </w:rPr>
        <w:t>avocat</w:t>
      </w:r>
      <w:r w:rsidR="00EB2E93">
        <w:rPr>
          <w:lang w:val="fr-CH"/>
        </w:rPr>
        <w:t>s</w:t>
      </w:r>
      <w:r w:rsidR="00226E66" w:rsidRPr="00EB2E93">
        <w:rPr>
          <w:lang w:val="fr-CH"/>
        </w:rPr>
        <w:t xml:space="preserve"> spécialisés dans les</w:t>
      </w:r>
      <w:r w:rsidR="00226E66">
        <w:rPr>
          <w:lang w:val="fr-CH"/>
        </w:rPr>
        <w:t xml:space="preserve"> demandes d</w:t>
      </w:r>
      <w:r w:rsidR="00C97A26">
        <w:rPr>
          <w:lang w:val="fr-CH"/>
        </w:rPr>
        <w:t>’</w:t>
      </w:r>
      <w:r w:rsidR="00226E66">
        <w:rPr>
          <w:lang w:val="fr-CH"/>
        </w:rPr>
        <w:t xml:space="preserve">enregistrement de dessins et modèles industriels </w:t>
      </w:r>
      <w:r w:rsidR="00287673" w:rsidRPr="00287673">
        <w:rPr>
          <w:lang w:val="fr-CH"/>
        </w:rPr>
        <w:t xml:space="preserve">et </w:t>
      </w:r>
      <w:r w:rsidR="00EB2E93">
        <w:rPr>
          <w:lang w:val="fr-CH"/>
        </w:rPr>
        <w:t>des</w:t>
      </w:r>
      <w:r w:rsidR="00287673" w:rsidRPr="00287673">
        <w:rPr>
          <w:lang w:val="fr-CH"/>
        </w:rPr>
        <w:t xml:space="preserve"> concepteu</w:t>
      </w:r>
      <w:r w:rsidR="00040DB0" w:rsidRPr="00287673">
        <w:rPr>
          <w:lang w:val="fr-CH"/>
        </w:rPr>
        <w:t>rs</w:t>
      </w:r>
      <w:r w:rsidR="00040DB0">
        <w:rPr>
          <w:lang w:val="fr-CH"/>
        </w:rPr>
        <w:t>.  De</w:t>
      </w:r>
      <w:r w:rsidR="00287673">
        <w:rPr>
          <w:lang w:val="fr-CH"/>
        </w:rPr>
        <w:t xml:space="preserve">s réunions bilatérales ont également été organisées avec des </w:t>
      </w:r>
      <w:r w:rsidR="00287673" w:rsidRPr="00EB2E93">
        <w:rPr>
          <w:lang w:val="fr-CH"/>
        </w:rPr>
        <w:t xml:space="preserve">fonctionnaires </w:t>
      </w:r>
      <w:r w:rsidR="00EB2E93">
        <w:rPr>
          <w:lang w:val="fr-CH"/>
        </w:rPr>
        <w:t>de deux</w:t>
      </w:r>
      <w:r w:rsidR="00E82EF4">
        <w:rPr>
          <w:lang w:val="fr-CH"/>
        </w:rPr>
        <w:t> </w:t>
      </w:r>
      <w:r w:rsidR="00287673" w:rsidRPr="00EB2E93">
        <w:rPr>
          <w:lang w:val="fr-CH"/>
        </w:rPr>
        <w:t>offices de</w:t>
      </w:r>
      <w:r w:rsidR="00EB2E93">
        <w:rPr>
          <w:lang w:val="fr-CH"/>
        </w:rPr>
        <w:t xml:space="preserve"> </w:t>
      </w:r>
      <w:r w:rsidR="00287673" w:rsidRPr="00EB2E93">
        <w:rPr>
          <w:lang w:val="fr-CH"/>
        </w:rPr>
        <w:t>propriété in</w:t>
      </w:r>
      <w:r w:rsidR="00287673" w:rsidRPr="00287673">
        <w:rPr>
          <w:lang w:val="fr-CH"/>
        </w:rPr>
        <w:t>tellectuelle</w:t>
      </w:r>
      <w:r w:rsidR="00287673">
        <w:rPr>
          <w:lang w:val="fr-CH"/>
        </w:rPr>
        <w:t xml:space="preserve">, tels que les examinateurs </w:t>
      </w:r>
      <w:r w:rsidR="00EB2E93">
        <w:rPr>
          <w:lang w:val="fr-CH"/>
        </w:rPr>
        <w:t xml:space="preserve">de </w:t>
      </w:r>
      <w:r w:rsidR="00C91215">
        <w:rPr>
          <w:lang w:val="fr-CH"/>
        </w:rPr>
        <w:t>demandes d</w:t>
      </w:r>
      <w:r w:rsidR="00C97A26">
        <w:rPr>
          <w:lang w:val="fr-CH"/>
        </w:rPr>
        <w:t>’</w:t>
      </w:r>
      <w:r w:rsidR="00C91215">
        <w:rPr>
          <w:lang w:val="fr-CH"/>
        </w:rPr>
        <w:t xml:space="preserve">enregistrement </w:t>
      </w:r>
      <w:r w:rsidR="00EB2E93">
        <w:rPr>
          <w:lang w:val="fr-CH"/>
        </w:rPr>
        <w:t>de</w:t>
      </w:r>
      <w:r w:rsidR="00287673">
        <w:rPr>
          <w:lang w:val="fr-CH"/>
        </w:rPr>
        <w:t xml:space="preserve"> dessins ou modèles industriels, pour mieux comprendre les </w:t>
      </w:r>
      <w:r w:rsidR="00EB2E93" w:rsidRPr="00EB2E93">
        <w:rPr>
          <w:lang w:val="fr-CH"/>
        </w:rPr>
        <w:t>procédures</w:t>
      </w:r>
      <w:r w:rsidR="00287673">
        <w:rPr>
          <w:b/>
          <w:lang w:val="fr-CH"/>
        </w:rPr>
        <w:t xml:space="preserve"> </w:t>
      </w:r>
      <w:r w:rsidR="00226E66">
        <w:rPr>
          <w:lang w:val="fr-CH"/>
        </w:rPr>
        <w:t>de demandes d</w:t>
      </w:r>
      <w:r w:rsidR="00C97A26">
        <w:rPr>
          <w:lang w:val="fr-CH"/>
        </w:rPr>
        <w:t>’</w:t>
      </w:r>
      <w:r w:rsidR="00226E66">
        <w:rPr>
          <w:lang w:val="fr-CH"/>
        </w:rPr>
        <w:t xml:space="preserve">enregistrement </w:t>
      </w:r>
      <w:r w:rsidR="00287673">
        <w:rPr>
          <w:lang w:val="fr-CH"/>
        </w:rPr>
        <w:t xml:space="preserve">de dessins </w:t>
      </w:r>
      <w:r w:rsidR="00EB2E93">
        <w:rPr>
          <w:lang w:val="fr-CH"/>
        </w:rPr>
        <w:t>et</w:t>
      </w:r>
      <w:r w:rsidR="00287673">
        <w:rPr>
          <w:lang w:val="fr-CH"/>
        </w:rPr>
        <w:t xml:space="preserve"> modèles industriels</w:t>
      </w:r>
      <w:r w:rsidR="000866E8" w:rsidRPr="00545E47">
        <w:rPr>
          <w:lang w:val="fr-CH"/>
        </w:rPr>
        <w:t>.</w:t>
      </w:r>
    </w:p>
    <w:p w:rsidR="00E35762" w:rsidRDefault="00545E47" w:rsidP="00E35762">
      <w:pPr>
        <w:spacing w:after="220"/>
        <w:rPr>
          <w:lang w:val="fr-CH"/>
        </w:rPr>
      </w:pPr>
      <w:r w:rsidRPr="00507A62">
        <w:rPr>
          <w:lang w:val="fr-CH"/>
        </w:rPr>
        <w:t>La deuxiè</w:t>
      </w:r>
      <w:r w:rsidR="00660734" w:rsidRPr="00507A62">
        <w:rPr>
          <w:lang w:val="fr-CH"/>
        </w:rPr>
        <w:t>me étape de l</w:t>
      </w:r>
      <w:r w:rsidR="00C97A26">
        <w:rPr>
          <w:lang w:val="fr-CH"/>
        </w:rPr>
        <w:t>’</w:t>
      </w:r>
      <w:r w:rsidR="00660734" w:rsidRPr="00507A62">
        <w:rPr>
          <w:lang w:val="fr-CH"/>
        </w:rPr>
        <w:t>étude consistait à recueillir des</w:t>
      </w:r>
      <w:r w:rsidR="00507A62" w:rsidRPr="00507A62">
        <w:rPr>
          <w:lang w:val="fr-CH"/>
        </w:rPr>
        <w:t xml:space="preserve"> </w:t>
      </w:r>
      <w:r w:rsidR="00507A62" w:rsidRPr="00D01AC7">
        <w:rPr>
          <w:lang w:val="fr-CH"/>
        </w:rPr>
        <w:t xml:space="preserve">données concernant des unités statistiques </w:t>
      </w:r>
      <w:r w:rsidR="00226E66" w:rsidRPr="00D01AC7">
        <w:rPr>
          <w:lang w:val="fr-CH"/>
        </w:rPr>
        <w:t xml:space="preserve">relatives aux demandes </w:t>
      </w:r>
      <w:r w:rsidR="00226E66">
        <w:rPr>
          <w:lang w:val="fr-CH"/>
        </w:rPr>
        <w:t>d</w:t>
      </w:r>
      <w:r w:rsidR="00C97A26">
        <w:rPr>
          <w:lang w:val="fr-CH"/>
        </w:rPr>
        <w:t>’</w:t>
      </w:r>
      <w:r w:rsidR="00226E66">
        <w:rPr>
          <w:lang w:val="fr-CH"/>
        </w:rPr>
        <w:t>enregistrement de</w:t>
      </w:r>
      <w:r w:rsidR="00507A62">
        <w:rPr>
          <w:lang w:val="fr-CH"/>
        </w:rPr>
        <w:t xml:space="preserve"> dessins </w:t>
      </w:r>
      <w:r w:rsidR="00A96BFB">
        <w:rPr>
          <w:lang w:val="fr-CH"/>
        </w:rPr>
        <w:t>et</w:t>
      </w:r>
      <w:r w:rsidR="00507A62">
        <w:rPr>
          <w:lang w:val="fr-CH"/>
        </w:rPr>
        <w:t xml:space="preserve"> modèles industriels afin d</w:t>
      </w:r>
      <w:r w:rsidR="00C97A26">
        <w:rPr>
          <w:lang w:val="fr-CH"/>
        </w:rPr>
        <w:t>’</w:t>
      </w:r>
      <w:r w:rsidR="00507A62">
        <w:rPr>
          <w:lang w:val="fr-CH"/>
        </w:rPr>
        <w:t xml:space="preserve">établir un aperçu théorique des dépôts de dessins </w:t>
      </w:r>
      <w:r w:rsidR="00903C77">
        <w:rPr>
          <w:lang w:val="fr-CH"/>
        </w:rPr>
        <w:t>et</w:t>
      </w:r>
      <w:r w:rsidR="00507A62">
        <w:rPr>
          <w:lang w:val="fr-CH"/>
        </w:rPr>
        <w:t xml:space="preserve"> modèles industriels dans les pa</w:t>
      </w:r>
      <w:r w:rsidR="00040DB0">
        <w:rPr>
          <w:lang w:val="fr-CH"/>
        </w:rPr>
        <w:t>ys.  Le</w:t>
      </w:r>
      <w:r w:rsidR="00AB6794">
        <w:rPr>
          <w:lang w:val="fr-CH"/>
        </w:rPr>
        <w:t>s</w:t>
      </w:r>
      <w:r w:rsidR="00F27710">
        <w:rPr>
          <w:lang w:val="fr-CH"/>
        </w:rPr>
        <w:t> </w:t>
      </w:r>
      <w:r w:rsidR="00AB6794">
        <w:rPr>
          <w:lang w:val="fr-CH"/>
        </w:rPr>
        <w:t xml:space="preserve">résultats de </w:t>
      </w:r>
      <w:r w:rsidR="00AB6794" w:rsidRPr="00D01AC7">
        <w:rPr>
          <w:lang w:val="fr-CH"/>
        </w:rPr>
        <w:t xml:space="preserve">cet exercice étaient utilisés pour identifier les </w:t>
      </w:r>
      <w:r w:rsidR="00D01AC7" w:rsidRPr="00D01AC7">
        <w:rPr>
          <w:lang w:val="fr-CH"/>
        </w:rPr>
        <w:t xml:space="preserve">déposants </w:t>
      </w:r>
      <w:r w:rsidR="00AB6794" w:rsidRPr="00D01AC7">
        <w:rPr>
          <w:lang w:val="fr-CH"/>
        </w:rPr>
        <w:t>cibles de</w:t>
      </w:r>
      <w:r w:rsidR="00D01AC7" w:rsidRPr="00D01AC7">
        <w:rPr>
          <w:lang w:val="fr-CH"/>
        </w:rPr>
        <w:t xml:space="preserve"> demandes de protection de</w:t>
      </w:r>
      <w:r w:rsidR="00AB6794" w:rsidRPr="00D01AC7">
        <w:rPr>
          <w:lang w:val="fr-CH"/>
        </w:rPr>
        <w:t xml:space="preserve"> dessins </w:t>
      </w:r>
      <w:r w:rsidR="00A96BFB" w:rsidRPr="00D01AC7">
        <w:rPr>
          <w:lang w:val="fr-CH"/>
        </w:rPr>
        <w:t>et</w:t>
      </w:r>
      <w:r w:rsidR="00AB6794" w:rsidRPr="00D01AC7">
        <w:rPr>
          <w:lang w:val="fr-CH"/>
        </w:rPr>
        <w:t xml:space="preserve"> modèle</w:t>
      </w:r>
      <w:r w:rsidR="00A96BFB" w:rsidRPr="00D01AC7">
        <w:rPr>
          <w:lang w:val="fr-CH"/>
        </w:rPr>
        <w:t>s</w:t>
      </w:r>
      <w:r w:rsidR="00AB6794" w:rsidRPr="00D01AC7">
        <w:rPr>
          <w:lang w:val="fr-CH"/>
        </w:rPr>
        <w:t xml:space="preserve"> industriels ainsi que </w:t>
      </w:r>
      <w:r w:rsidR="00D01AC7" w:rsidRPr="00D01AC7">
        <w:rPr>
          <w:lang w:val="fr-CH"/>
        </w:rPr>
        <w:t>leurs demandes d</w:t>
      </w:r>
      <w:r w:rsidR="00C97A26">
        <w:rPr>
          <w:lang w:val="fr-CH"/>
        </w:rPr>
        <w:t>’</w:t>
      </w:r>
      <w:r w:rsidR="00D01AC7" w:rsidRPr="00D01AC7">
        <w:rPr>
          <w:lang w:val="fr-CH"/>
        </w:rPr>
        <w:t xml:space="preserve">enregistrement </w:t>
      </w:r>
      <w:r w:rsidR="00AB6794" w:rsidRPr="00D01AC7">
        <w:rPr>
          <w:lang w:val="fr-CH"/>
        </w:rPr>
        <w:t>pour l</w:t>
      </w:r>
      <w:r w:rsidR="00C97A26">
        <w:rPr>
          <w:lang w:val="fr-CH"/>
        </w:rPr>
        <w:t>’</w:t>
      </w:r>
      <w:r w:rsidR="00AB6794" w:rsidRPr="00D01AC7">
        <w:rPr>
          <w:lang w:val="fr-CH"/>
        </w:rPr>
        <w:t>enquê</w:t>
      </w:r>
      <w:r w:rsidR="00040DB0" w:rsidRPr="00D01AC7">
        <w:rPr>
          <w:lang w:val="fr-CH"/>
        </w:rPr>
        <w:t>te</w:t>
      </w:r>
      <w:r w:rsidR="00040DB0">
        <w:rPr>
          <w:lang w:val="fr-CH"/>
        </w:rPr>
        <w:t xml:space="preserve">.  </w:t>
      </w:r>
      <w:r w:rsidR="00040DB0" w:rsidRPr="00AB6794">
        <w:rPr>
          <w:lang w:val="fr-CH"/>
        </w:rPr>
        <w:t>En</w:t>
      </w:r>
      <w:r w:rsidR="00AB6794" w:rsidRPr="00AB6794">
        <w:rPr>
          <w:lang w:val="fr-CH"/>
        </w:rPr>
        <w:t xml:space="preserve"> outre, l</w:t>
      </w:r>
      <w:r w:rsidR="00C97A26">
        <w:rPr>
          <w:lang w:val="fr-CH"/>
        </w:rPr>
        <w:t>’</w:t>
      </w:r>
      <w:r w:rsidR="00AB6794" w:rsidRPr="00AB6794">
        <w:rPr>
          <w:lang w:val="fr-CH"/>
        </w:rPr>
        <w:t xml:space="preserve">analyse </w:t>
      </w:r>
      <w:r w:rsidR="00AB6794" w:rsidRPr="00D01AC7">
        <w:rPr>
          <w:lang w:val="fr-CH"/>
        </w:rPr>
        <w:t xml:space="preserve">descriptive de cet exercice a aidé </w:t>
      </w:r>
      <w:r w:rsidR="00D01AC7" w:rsidRPr="00D01AC7">
        <w:rPr>
          <w:lang w:val="fr-CH"/>
        </w:rPr>
        <w:t>à repérer les biais éventuels</w:t>
      </w:r>
      <w:r w:rsidR="00AB6794" w:rsidRPr="00D01AC7">
        <w:rPr>
          <w:lang w:val="fr-CH"/>
        </w:rPr>
        <w:t xml:space="preserve"> dans les réponses obtenues à l</w:t>
      </w:r>
      <w:r w:rsidR="00C97A26">
        <w:rPr>
          <w:lang w:val="fr-CH"/>
        </w:rPr>
        <w:t>’</w:t>
      </w:r>
      <w:r w:rsidR="00AB6794" w:rsidRPr="00D01AC7">
        <w:rPr>
          <w:lang w:val="fr-CH"/>
        </w:rPr>
        <w:t>aide de l</w:t>
      </w:r>
      <w:r w:rsidR="00C97A26">
        <w:rPr>
          <w:lang w:val="fr-CH"/>
        </w:rPr>
        <w:t>’</w:t>
      </w:r>
      <w:r w:rsidR="00AB6794" w:rsidRPr="00D01AC7">
        <w:rPr>
          <w:lang w:val="fr-CH"/>
        </w:rPr>
        <w:t>instrument d</w:t>
      </w:r>
      <w:r w:rsidR="00C97A26">
        <w:rPr>
          <w:lang w:val="fr-CH"/>
        </w:rPr>
        <w:t>’</w:t>
      </w:r>
      <w:r w:rsidR="00AB6794" w:rsidRPr="00D01AC7">
        <w:rPr>
          <w:lang w:val="fr-CH"/>
        </w:rPr>
        <w:t>enquête</w:t>
      </w:r>
      <w:r w:rsidR="000866E8" w:rsidRPr="00AB6794">
        <w:rPr>
          <w:lang w:val="fr-CH"/>
        </w:rPr>
        <w:t>.</w:t>
      </w:r>
    </w:p>
    <w:p w:rsidR="00E35762" w:rsidRDefault="00AB6794" w:rsidP="00E35762">
      <w:pPr>
        <w:spacing w:after="220"/>
        <w:rPr>
          <w:lang w:val="fr-CH"/>
        </w:rPr>
      </w:pPr>
      <w:r w:rsidRPr="00AB6794">
        <w:rPr>
          <w:lang w:val="fr-CH"/>
        </w:rPr>
        <w:t>Les questionnaires d</w:t>
      </w:r>
      <w:r w:rsidR="00C97A26">
        <w:rPr>
          <w:lang w:val="fr-CH"/>
        </w:rPr>
        <w:t>’</w:t>
      </w:r>
      <w:r w:rsidRPr="00AB6794">
        <w:rPr>
          <w:lang w:val="fr-CH"/>
        </w:rPr>
        <w:t xml:space="preserve">enquête ont été </w:t>
      </w:r>
      <w:r w:rsidR="00053F7A">
        <w:rPr>
          <w:lang w:val="fr-CH"/>
        </w:rPr>
        <w:t>lancés</w:t>
      </w:r>
      <w:r w:rsidRPr="00AB6794">
        <w:rPr>
          <w:lang w:val="fr-CH"/>
        </w:rPr>
        <w:t xml:space="preserve"> durant </w:t>
      </w:r>
      <w:r w:rsidR="00A33311">
        <w:rPr>
          <w:lang w:val="fr-CH"/>
        </w:rPr>
        <w:t>la troisième étape de l</w:t>
      </w:r>
      <w:r w:rsidR="00C97A26">
        <w:rPr>
          <w:lang w:val="fr-CH"/>
        </w:rPr>
        <w:t>’</w:t>
      </w:r>
      <w:r w:rsidR="00A33311">
        <w:rPr>
          <w:lang w:val="fr-CH"/>
        </w:rPr>
        <w:t>étu</w:t>
      </w:r>
      <w:r w:rsidR="00040DB0">
        <w:rPr>
          <w:lang w:val="fr-CH"/>
        </w:rPr>
        <w:t xml:space="preserve">de.  </w:t>
      </w:r>
      <w:r w:rsidR="00040DB0" w:rsidRPr="00A33311">
        <w:rPr>
          <w:lang w:val="fr-CH"/>
        </w:rPr>
        <w:t>Il</w:t>
      </w:r>
      <w:r w:rsidR="00A33311" w:rsidRPr="00A33311">
        <w:rPr>
          <w:lang w:val="fr-CH"/>
        </w:rPr>
        <w:t xml:space="preserve">s ont été envoyés aux déposants </w:t>
      </w:r>
      <w:r w:rsidR="00053F7A">
        <w:rPr>
          <w:lang w:val="fr-CH"/>
        </w:rPr>
        <w:t xml:space="preserve">de demandes de </w:t>
      </w:r>
      <w:r w:rsidR="00053F7A" w:rsidRPr="00053F7A">
        <w:rPr>
          <w:lang w:val="fr-CH"/>
        </w:rPr>
        <w:t xml:space="preserve">protection </w:t>
      </w:r>
      <w:r w:rsidR="00A33311" w:rsidRPr="00053F7A">
        <w:rPr>
          <w:lang w:val="fr-CH"/>
        </w:rPr>
        <w:t>de dessins ou modèles industriels au moyen de leurs</w:t>
      </w:r>
      <w:r w:rsidR="00A33311" w:rsidRPr="00A33311">
        <w:rPr>
          <w:lang w:val="fr-CH"/>
        </w:rPr>
        <w:t xml:space="preserve"> </w:t>
      </w:r>
      <w:r w:rsidR="00A33311">
        <w:rPr>
          <w:lang w:val="fr-CH"/>
        </w:rPr>
        <w:t>ad</w:t>
      </w:r>
      <w:r w:rsidR="00A33311" w:rsidRPr="00A33311">
        <w:rPr>
          <w:lang w:val="fr-CH"/>
        </w:rPr>
        <w:t>resses</w:t>
      </w:r>
      <w:r w:rsidR="00A33311">
        <w:rPr>
          <w:lang w:val="fr-CH"/>
        </w:rPr>
        <w:t xml:space="preserve"> email </w:t>
      </w:r>
      <w:r w:rsidR="00200B72">
        <w:rPr>
          <w:lang w:val="fr-CH"/>
        </w:rPr>
        <w:t xml:space="preserve">extraites des </w:t>
      </w:r>
      <w:r w:rsidR="00A33311">
        <w:rPr>
          <w:lang w:val="fr-CH"/>
        </w:rPr>
        <w:t xml:space="preserve">données </w:t>
      </w:r>
      <w:r w:rsidR="00200B72">
        <w:rPr>
          <w:lang w:val="fr-CH"/>
        </w:rPr>
        <w:t>recueillies auprès des trois</w:t>
      </w:r>
      <w:r w:rsidR="00E82EF4">
        <w:rPr>
          <w:lang w:val="fr-CH"/>
        </w:rPr>
        <w:t> </w:t>
      </w:r>
      <w:r w:rsidR="00200B72">
        <w:rPr>
          <w:lang w:val="fr-CH"/>
        </w:rPr>
        <w:t>offices de propriété intellectuel</w:t>
      </w:r>
      <w:r w:rsidR="00040DB0">
        <w:rPr>
          <w:lang w:val="fr-CH"/>
        </w:rPr>
        <w:t>le.  Pa</w:t>
      </w:r>
      <w:r w:rsidR="00200B72">
        <w:rPr>
          <w:lang w:val="fr-CH"/>
        </w:rPr>
        <w:t>r la suite, deux</w:t>
      </w:r>
      <w:r w:rsidR="00E82EF4">
        <w:rPr>
          <w:lang w:val="fr-CH"/>
        </w:rPr>
        <w:t> </w:t>
      </w:r>
      <w:r w:rsidR="00200B72">
        <w:rPr>
          <w:lang w:val="fr-CH"/>
        </w:rPr>
        <w:t>rappels par email ont été envoyés,</w:t>
      </w:r>
      <w:r w:rsidR="00C91215">
        <w:rPr>
          <w:lang w:val="fr-CH"/>
        </w:rPr>
        <w:t xml:space="preserve"> puis</w:t>
      </w:r>
      <w:r w:rsidR="00200B72">
        <w:rPr>
          <w:lang w:val="fr-CH"/>
        </w:rPr>
        <w:t xml:space="preserve"> des exemplaires </w:t>
      </w:r>
      <w:r w:rsidR="00C40C70">
        <w:rPr>
          <w:lang w:val="fr-CH"/>
        </w:rPr>
        <w:t>papier</w:t>
      </w:r>
      <w:r w:rsidR="00200B72">
        <w:rPr>
          <w:lang w:val="fr-CH"/>
        </w:rPr>
        <w:t xml:space="preserve"> des questionnaires ont été envoyés aux </w:t>
      </w:r>
      <w:r w:rsidR="00200B72" w:rsidRPr="00EF705B">
        <w:rPr>
          <w:lang w:val="fr-CH"/>
        </w:rPr>
        <w:t>personnes interrogées restantes</w:t>
      </w:r>
      <w:r w:rsidR="00200B72">
        <w:rPr>
          <w:lang w:val="fr-CH"/>
        </w:rPr>
        <w:t xml:space="preserve"> à leurs adresses postales</w:t>
      </w:r>
      <w:r w:rsidR="00053F7A">
        <w:rPr>
          <w:lang w:val="fr-CH"/>
        </w:rPr>
        <w:t>,</w:t>
      </w:r>
      <w:r w:rsidR="00200B72">
        <w:rPr>
          <w:lang w:val="fr-CH"/>
        </w:rPr>
        <w:t xml:space="preserve"> </w:t>
      </w:r>
      <w:r w:rsidR="00C40C70" w:rsidRPr="00053F7A">
        <w:rPr>
          <w:lang w:val="fr-CH"/>
        </w:rPr>
        <w:t>indiquées</w:t>
      </w:r>
      <w:r w:rsidR="00200B72" w:rsidRPr="00053F7A">
        <w:rPr>
          <w:lang w:val="fr-CH"/>
        </w:rPr>
        <w:t xml:space="preserve"> dans </w:t>
      </w:r>
      <w:r w:rsidR="00226E66" w:rsidRPr="00053F7A">
        <w:rPr>
          <w:lang w:val="fr-CH"/>
        </w:rPr>
        <w:t>les demandes d</w:t>
      </w:r>
      <w:r w:rsidR="00C97A26">
        <w:rPr>
          <w:lang w:val="fr-CH"/>
        </w:rPr>
        <w:t>’</w:t>
      </w:r>
      <w:r w:rsidR="00226E66" w:rsidRPr="00053F7A">
        <w:rPr>
          <w:lang w:val="fr-CH"/>
        </w:rPr>
        <w:t xml:space="preserve">enregistrement de </w:t>
      </w:r>
      <w:r w:rsidR="00C40C70" w:rsidRPr="00053F7A">
        <w:rPr>
          <w:lang w:val="fr-CH"/>
        </w:rPr>
        <w:t xml:space="preserve">dessins </w:t>
      </w:r>
      <w:r w:rsidR="00226E66" w:rsidRPr="00053F7A">
        <w:rPr>
          <w:lang w:val="fr-CH"/>
        </w:rPr>
        <w:t>et</w:t>
      </w:r>
      <w:r w:rsidR="00C40C70" w:rsidRPr="00053F7A">
        <w:rPr>
          <w:lang w:val="fr-CH"/>
        </w:rPr>
        <w:t xml:space="preserve"> modèles industriels</w:t>
      </w:r>
      <w:r w:rsidR="000866E8" w:rsidRPr="00053F7A">
        <w:rPr>
          <w:lang w:val="fr-CH"/>
        </w:rPr>
        <w:t>.</w:t>
      </w:r>
    </w:p>
    <w:p w:rsidR="00E35762" w:rsidRDefault="00C40C70" w:rsidP="00E35762">
      <w:pPr>
        <w:spacing w:after="220"/>
        <w:rPr>
          <w:lang w:val="fr-CH"/>
        </w:rPr>
      </w:pPr>
      <w:r w:rsidRPr="00C40C70">
        <w:rPr>
          <w:lang w:val="fr-CH"/>
        </w:rPr>
        <w:t>La Thaïlande est le premier pays dans lequel l</w:t>
      </w:r>
      <w:r w:rsidR="00C97A26">
        <w:rPr>
          <w:lang w:val="fr-CH"/>
        </w:rPr>
        <w:t>’</w:t>
      </w:r>
      <w:r w:rsidRPr="00C40C70">
        <w:rPr>
          <w:lang w:val="fr-CH"/>
        </w:rPr>
        <w:t xml:space="preserve">enquête a été lancée, en </w:t>
      </w:r>
      <w:r w:rsidR="00C97A26" w:rsidRPr="00C40C70">
        <w:rPr>
          <w:lang w:val="fr-CH"/>
        </w:rPr>
        <w:t>mars</w:t>
      </w:r>
      <w:r w:rsidR="00C97A26">
        <w:rPr>
          <w:lang w:val="fr-CH"/>
        </w:rPr>
        <w:t> 20</w:t>
      </w:r>
      <w:r>
        <w:rPr>
          <w:lang w:val="fr-CH"/>
        </w:rPr>
        <w:t>17</w:t>
      </w:r>
      <w:r w:rsidR="000866E8" w:rsidRPr="00C40C70">
        <w:rPr>
          <w:lang w:val="fr-CH"/>
        </w:rPr>
        <w:t>.</w:t>
      </w:r>
      <w:r w:rsidR="00504D19" w:rsidRPr="00C40C70">
        <w:rPr>
          <w:lang w:val="fr-CH"/>
        </w:rPr>
        <w:t xml:space="preserve"> </w:t>
      </w:r>
      <w:r w:rsidR="000866E8" w:rsidRPr="00C40C70">
        <w:rPr>
          <w:lang w:val="fr-CH"/>
        </w:rPr>
        <w:t xml:space="preserve"> </w:t>
      </w:r>
      <w:r w:rsidRPr="00C40C70">
        <w:rPr>
          <w:lang w:val="fr-CH"/>
        </w:rPr>
        <w:t>L</w:t>
      </w:r>
      <w:r w:rsidR="00C97A26">
        <w:rPr>
          <w:lang w:val="fr-CH"/>
        </w:rPr>
        <w:t>’</w:t>
      </w:r>
      <w:r w:rsidRPr="00C40C70">
        <w:rPr>
          <w:lang w:val="fr-CH"/>
        </w:rPr>
        <w:t>enquête a ensuite été la</w:t>
      </w:r>
      <w:r>
        <w:rPr>
          <w:lang w:val="fr-CH"/>
        </w:rPr>
        <w:t xml:space="preserve">ncée aux Philippines en juillet, puis en </w:t>
      </w:r>
      <w:r w:rsidRPr="00C40C70">
        <w:rPr>
          <w:lang w:val="fr-CH"/>
        </w:rPr>
        <w:t>Indonésie en octobre de la m</w:t>
      </w:r>
      <w:r>
        <w:rPr>
          <w:lang w:val="fr-CH"/>
        </w:rPr>
        <w:t>ême année</w:t>
      </w:r>
      <w:r w:rsidR="000866E8" w:rsidRPr="00C40C70">
        <w:rPr>
          <w:lang w:val="fr-CH"/>
        </w:rPr>
        <w:t>.</w:t>
      </w:r>
    </w:p>
    <w:p w:rsidR="00E35762" w:rsidRDefault="00C40C70" w:rsidP="00E35762">
      <w:pPr>
        <w:spacing w:after="220"/>
        <w:rPr>
          <w:lang w:val="fr-CH"/>
        </w:rPr>
      </w:pPr>
      <w:r w:rsidRPr="00C40C70">
        <w:rPr>
          <w:lang w:val="fr-CH"/>
        </w:rPr>
        <w:t>Les consultants dans les trois</w:t>
      </w:r>
      <w:r w:rsidR="00E82EF4">
        <w:rPr>
          <w:lang w:val="fr-CH"/>
        </w:rPr>
        <w:t> </w:t>
      </w:r>
      <w:r w:rsidRPr="00C40C70">
        <w:rPr>
          <w:lang w:val="fr-CH"/>
        </w:rPr>
        <w:t xml:space="preserve">pays ont eu recours à différentes stratégies pour </w:t>
      </w:r>
      <w:r>
        <w:rPr>
          <w:lang w:val="fr-CH"/>
        </w:rPr>
        <w:t xml:space="preserve">amener les </w:t>
      </w:r>
      <w:r w:rsidR="002C164C">
        <w:rPr>
          <w:lang w:val="fr-CH"/>
        </w:rPr>
        <w:t>personnes interrogées dans le cadre de l</w:t>
      </w:r>
      <w:r w:rsidR="00C97A26">
        <w:rPr>
          <w:lang w:val="fr-CH"/>
        </w:rPr>
        <w:t>’</w:t>
      </w:r>
      <w:r w:rsidR="002C164C">
        <w:rPr>
          <w:lang w:val="fr-CH"/>
        </w:rPr>
        <w:t>enquête à remplir le questionnai</w:t>
      </w:r>
      <w:r w:rsidR="00040DB0">
        <w:rPr>
          <w:lang w:val="fr-CH"/>
        </w:rPr>
        <w:t xml:space="preserve">re.  </w:t>
      </w:r>
      <w:r w:rsidR="00040DB0" w:rsidRPr="002C164C">
        <w:rPr>
          <w:lang w:val="fr-CH"/>
        </w:rPr>
        <w:t>En</w:t>
      </w:r>
      <w:r w:rsidR="002C164C" w:rsidRPr="002C164C">
        <w:rPr>
          <w:lang w:val="fr-CH"/>
        </w:rPr>
        <w:t xml:space="preserve"> Thaïlande, l</w:t>
      </w:r>
      <w:r w:rsidR="00C97A26">
        <w:rPr>
          <w:lang w:val="fr-CH"/>
        </w:rPr>
        <w:t>’</w:t>
      </w:r>
      <w:r w:rsidR="002C164C" w:rsidRPr="002C164C">
        <w:rPr>
          <w:lang w:val="fr-CH"/>
        </w:rPr>
        <w:t xml:space="preserve">équipe de </w:t>
      </w:r>
      <w:r w:rsidR="00053F7A">
        <w:rPr>
          <w:lang w:val="fr-CH"/>
        </w:rPr>
        <w:t>l</w:t>
      </w:r>
      <w:r w:rsidR="00C97A26">
        <w:rPr>
          <w:lang w:val="fr-CH"/>
        </w:rPr>
        <w:t>’</w:t>
      </w:r>
      <w:r w:rsidR="00053F7A">
        <w:rPr>
          <w:lang w:val="fr-CH"/>
        </w:rPr>
        <w:t>Institut thaïlandais de recherches sur le développement</w:t>
      </w:r>
      <w:r w:rsidR="002C164C" w:rsidRPr="002C164C">
        <w:rPr>
          <w:lang w:val="fr-CH"/>
        </w:rPr>
        <w:t xml:space="preserve"> a pu appeler les déposants de dessins ou modèles industriels </w:t>
      </w:r>
      <w:r w:rsidR="009A6197">
        <w:rPr>
          <w:lang w:val="fr-CH"/>
        </w:rPr>
        <w:t xml:space="preserve">pour les </w:t>
      </w:r>
      <w:r w:rsidR="00053F7A">
        <w:rPr>
          <w:lang w:val="fr-CH"/>
        </w:rPr>
        <w:t>encourager</w:t>
      </w:r>
      <w:r w:rsidR="009A6197">
        <w:rPr>
          <w:lang w:val="fr-CH"/>
        </w:rPr>
        <w:t xml:space="preserve"> à participer à l</w:t>
      </w:r>
      <w:r w:rsidR="00C97A26">
        <w:rPr>
          <w:lang w:val="fr-CH"/>
        </w:rPr>
        <w:t>’</w:t>
      </w:r>
      <w:r w:rsidR="009A6197">
        <w:rPr>
          <w:lang w:val="fr-CH"/>
        </w:rPr>
        <w:t>enquê</w:t>
      </w:r>
      <w:r w:rsidR="00040DB0">
        <w:rPr>
          <w:lang w:val="fr-CH"/>
        </w:rPr>
        <w:t>te.  Au</w:t>
      </w:r>
      <w:r w:rsidR="00053F7A">
        <w:rPr>
          <w:lang w:val="fr-CH"/>
        </w:rPr>
        <w:t>x</w:t>
      </w:r>
      <w:r w:rsidR="009A6197" w:rsidRPr="009A6197">
        <w:rPr>
          <w:lang w:val="fr-CH"/>
        </w:rPr>
        <w:t xml:space="preserve"> Philippines </w:t>
      </w:r>
      <w:r w:rsidR="00053F7A">
        <w:rPr>
          <w:lang w:val="fr-CH"/>
        </w:rPr>
        <w:t>et</w:t>
      </w:r>
      <w:r w:rsidR="009A6197" w:rsidRPr="009A6197">
        <w:rPr>
          <w:lang w:val="fr-CH"/>
        </w:rPr>
        <w:t xml:space="preserve"> en Indonésie, les équipes </w:t>
      </w:r>
      <w:r w:rsidR="00040F5A">
        <w:rPr>
          <w:lang w:val="fr-CH"/>
        </w:rPr>
        <w:t>de l</w:t>
      </w:r>
      <w:r w:rsidR="00C97A26">
        <w:rPr>
          <w:lang w:val="fr-CH"/>
        </w:rPr>
        <w:t>’</w:t>
      </w:r>
      <w:r w:rsidR="00040F5A">
        <w:rPr>
          <w:lang w:val="fr-CH"/>
        </w:rPr>
        <w:t>Université de l</w:t>
      </w:r>
      <w:r w:rsidR="00C97A26">
        <w:rPr>
          <w:lang w:val="fr-CH"/>
        </w:rPr>
        <w:t>’</w:t>
      </w:r>
      <w:r w:rsidR="00040F5A">
        <w:rPr>
          <w:lang w:val="fr-CH"/>
        </w:rPr>
        <w:t>Asie et du Pacifique et du Centre d</w:t>
      </w:r>
      <w:r w:rsidR="00C97A26">
        <w:rPr>
          <w:lang w:val="fr-CH"/>
        </w:rPr>
        <w:t>’</w:t>
      </w:r>
      <w:r w:rsidR="00040F5A">
        <w:rPr>
          <w:lang w:val="fr-CH"/>
        </w:rPr>
        <w:t>études stratégiques et internationales</w:t>
      </w:r>
      <w:r w:rsidR="000866E8" w:rsidRPr="009A6197">
        <w:rPr>
          <w:lang w:val="fr-CH"/>
        </w:rPr>
        <w:t xml:space="preserve"> </w:t>
      </w:r>
      <w:r w:rsidR="009A6197" w:rsidRPr="009A6197">
        <w:rPr>
          <w:lang w:val="fr-CH"/>
        </w:rPr>
        <w:t xml:space="preserve">ont chacune organisé un atelier supplémentaire, ciblant les déposants </w:t>
      </w:r>
      <w:r w:rsidR="00053F7A">
        <w:rPr>
          <w:lang w:val="fr-CH"/>
        </w:rPr>
        <w:t xml:space="preserve">de demandes de protection </w:t>
      </w:r>
      <w:r w:rsidR="009A6197" w:rsidRPr="009A6197">
        <w:rPr>
          <w:lang w:val="fr-CH"/>
        </w:rPr>
        <w:t xml:space="preserve">de dessins </w:t>
      </w:r>
      <w:r w:rsidR="00053F7A">
        <w:rPr>
          <w:lang w:val="fr-CH"/>
        </w:rPr>
        <w:t>et</w:t>
      </w:r>
      <w:r w:rsidR="009A6197" w:rsidRPr="009A6197">
        <w:rPr>
          <w:lang w:val="fr-CH"/>
        </w:rPr>
        <w:t xml:space="preserve"> brevets industriels</w:t>
      </w:r>
      <w:r w:rsidR="00053F7A">
        <w:rPr>
          <w:lang w:val="fr-CH"/>
        </w:rPr>
        <w:t xml:space="preserve"> sélectionnés</w:t>
      </w:r>
      <w:r w:rsidR="009A6197" w:rsidRPr="009A6197">
        <w:rPr>
          <w:lang w:val="fr-CH"/>
        </w:rPr>
        <w:t xml:space="preserve"> pour l</w:t>
      </w:r>
      <w:r w:rsidR="00C97A26">
        <w:rPr>
          <w:lang w:val="fr-CH"/>
        </w:rPr>
        <w:t>’</w:t>
      </w:r>
      <w:r w:rsidR="009A6197" w:rsidRPr="009A6197">
        <w:rPr>
          <w:lang w:val="fr-CH"/>
        </w:rPr>
        <w:t>enqu</w:t>
      </w:r>
      <w:r w:rsidR="009A6197">
        <w:rPr>
          <w:lang w:val="fr-CH"/>
        </w:rPr>
        <w:t>ête, afin de les encourager à y répond</w:t>
      </w:r>
      <w:r w:rsidR="00040DB0">
        <w:rPr>
          <w:lang w:val="fr-CH"/>
        </w:rPr>
        <w:t xml:space="preserve">re.  </w:t>
      </w:r>
      <w:r w:rsidR="00040DB0" w:rsidRPr="00B125CA">
        <w:rPr>
          <w:lang w:val="fr-CH"/>
        </w:rPr>
        <w:t>L</w:t>
      </w:r>
      <w:r w:rsidR="00040DB0">
        <w:rPr>
          <w:lang w:val="fr-CH"/>
        </w:rPr>
        <w:t>’</w:t>
      </w:r>
      <w:r w:rsidR="00040DB0" w:rsidRPr="00B125CA">
        <w:rPr>
          <w:lang w:val="fr-CH"/>
        </w:rPr>
        <w:t>é</w:t>
      </w:r>
      <w:r w:rsidR="00B125CA" w:rsidRPr="00B125CA">
        <w:rPr>
          <w:lang w:val="fr-CH"/>
        </w:rPr>
        <w:t xml:space="preserve">quipe </w:t>
      </w:r>
      <w:r w:rsidR="00053F7A">
        <w:rPr>
          <w:lang w:val="fr-CH"/>
        </w:rPr>
        <w:t>indonésienne</w:t>
      </w:r>
      <w:r w:rsidR="00B125CA" w:rsidRPr="00B125CA">
        <w:rPr>
          <w:lang w:val="fr-CH"/>
        </w:rPr>
        <w:t xml:space="preserve"> a ensuite envoyé des chercheurs pour conduire des entretiens en t</w:t>
      </w:r>
      <w:r w:rsidR="00B125CA">
        <w:rPr>
          <w:lang w:val="fr-CH"/>
        </w:rPr>
        <w:t>ête à tête avec les déposan</w:t>
      </w:r>
      <w:r w:rsidR="00040DB0">
        <w:rPr>
          <w:lang w:val="fr-CH"/>
        </w:rPr>
        <w:t>ts.  Le</w:t>
      </w:r>
      <w:r w:rsidR="00B125CA">
        <w:rPr>
          <w:lang w:val="fr-CH"/>
        </w:rPr>
        <w:t>s stratégies précitées ont donné des résultats plus ou moins concluants</w:t>
      </w:r>
      <w:r w:rsidR="000866E8" w:rsidRPr="00B125CA">
        <w:rPr>
          <w:lang w:val="fr-CH"/>
        </w:rPr>
        <w:t>.</w:t>
      </w:r>
    </w:p>
    <w:p w:rsidR="00E35762" w:rsidRDefault="00660734" w:rsidP="005328BE">
      <w:pPr>
        <w:spacing w:after="360"/>
        <w:rPr>
          <w:lang w:val="fr-CH"/>
        </w:rPr>
      </w:pPr>
      <w:r w:rsidRPr="00660734">
        <w:rPr>
          <w:lang w:val="fr-CH"/>
        </w:rPr>
        <w:t>Le tableau ci</w:t>
      </w:r>
      <w:r w:rsidR="009B2FD7">
        <w:rPr>
          <w:lang w:val="fr-CH"/>
        </w:rPr>
        <w:noBreakHyphen/>
      </w:r>
      <w:r>
        <w:rPr>
          <w:lang w:val="fr-CH"/>
        </w:rPr>
        <w:t>après</w:t>
      </w:r>
      <w:r w:rsidRPr="00660734">
        <w:rPr>
          <w:lang w:val="fr-CH"/>
        </w:rPr>
        <w:t xml:space="preserve"> présent</w:t>
      </w:r>
      <w:r>
        <w:rPr>
          <w:lang w:val="fr-CH"/>
        </w:rPr>
        <w:t>e un résumé des réponses reçu</w:t>
      </w:r>
      <w:r w:rsidR="00040DB0">
        <w:rPr>
          <w:lang w:val="fr-CH"/>
        </w:rPr>
        <w:t xml:space="preserve">es.  </w:t>
      </w:r>
      <w:r w:rsidR="00040DB0" w:rsidRPr="00660734">
        <w:rPr>
          <w:lang w:val="fr-CH"/>
        </w:rPr>
        <w:t>Au</w:t>
      </w:r>
      <w:r w:rsidRPr="00660734">
        <w:rPr>
          <w:lang w:val="fr-CH"/>
        </w:rPr>
        <w:t xml:space="preserve"> total, 268</w:t>
      </w:r>
      <w:r w:rsidR="0090688F">
        <w:rPr>
          <w:lang w:val="fr-CH"/>
        </w:rPr>
        <w:t> </w:t>
      </w:r>
      <w:r w:rsidRPr="00660734">
        <w:rPr>
          <w:lang w:val="fr-CH"/>
        </w:rPr>
        <w:t xml:space="preserve">demandeurs ont </w:t>
      </w:r>
      <w:r w:rsidR="00981C98">
        <w:rPr>
          <w:lang w:val="fr-CH"/>
        </w:rPr>
        <w:t xml:space="preserve">soumis </w:t>
      </w:r>
      <w:r w:rsidR="00402AF2">
        <w:rPr>
          <w:lang w:val="fr-CH"/>
        </w:rPr>
        <w:t xml:space="preserve">un </w:t>
      </w:r>
      <w:r w:rsidR="00981C98">
        <w:rPr>
          <w:lang w:val="fr-CH"/>
        </w:rPr>
        <w:t>questionnaire d</w:t>
      </w:r>
      <w:r w:rsidR="00C97A26">
        <w:rPr>
          <w:lang w:val="fr-CH"/>
        </w:rPr>
        <w:t>’</w:t>
      </w:r>
      <w:r w:rsidR="00981C98">
        <w:rPr>
          <w:lang w:val="fr-CH"/>
        </w:rPr>
        <w:t xml:space="preserve">enquête </w:t>
      </w:r>
      <w:r w:rsidRPr="00660734">
        <w:rPr>
          <w:lang w:val="fr-CH"/>
        </w:rPr>
        <w:t>partiellement ou totalement remp</w:t>
      </w:r>
      <w:r w:rsidR="00040DB0" w:rsidRPr="00660734">
        <w:rPr>
          <w:lang w:val="fr-CH"/>
        </w:rPr>
        <w:t>li</w:t>
      </w:r>
      <w:r w:rsidR="00040DB0">
        <w:rPr>
          <w:lang w:val="fr-CH"/>
        </w:rPr>
        <w:t xml:space="preserve">.  </w:t>
      </w:r>
      <w:r w:rsidR="00040DB0" w:rsidRPr="00660734">
        <w:rPr>
          <w:lang w:val="fr-CH"/>
        </w:rPr>
        <w:t>Ce</w:t>
      </w:r>
      <w:r w:rsidRPr="00660734">
        <w:rPr>
          <w:lang w:val="fr-CH"/>
        </w:rPr>
        <w:t>s 268</w:t>
      </w:r>
      <w:r w:rsidR="0090688F">
        <w:rPr>
          <w:lang w:val="fr-CH"/>
        </w:rPr>
        <w:t> </w:t>
      </w:r>
      <w:r w:rsidRPr="00660734">
        <w:rPr>
          <w:lang w:val="fr-CH"/>
        </w:rPr>
        <w:t xml:space="preserve">demandeurs </w:t>
      </w:r>
      <w:r>
        <w:rPr>
          <w:lang w:val="fr-CH"/>
        </w:rPr>
        <w:t>étaient à l</w:t>
      </w:r>
      <w:r w:rsidR="00C97A26">
        <w:rPr>
          <w:lang w:val="fr-CH"/>
        </w:rPr>
        <w:t>’</w:t>
      </w:r>
      <w:r>
        <w:rPr>
          <w:lang w:val="fr-CH"/>
        </w:rPr>
        <w:t>origine de</w:t>
      </w:r>
      <w:r w:rsidRPr="00660734">
        <w:rPr>
          <w:lang w:val="fr-CH"/>
        </w:rPr>
        <w:t xml:space="preserve"> 512</w:t>
      </w:r>
      <w:r w:rsidR="0090688F">
        <w:rPr>
          <w:lang w:val="fr-CH"/>
        </w:rPr>
        <w:t> </w:t>
      </w:r>
      <w:r w:rsidRPr="00660734">
        <w:rPr>
          <w:lang w:val="fr-CH"/>
        </w:rPr>
        <w:t>demandes</w:t>
      </w:r>
      <w:r w:rsidR="00226E66">
        <w:rPr>
          <w:lang w:val="fr-CH"/>
        </w:rPr>
        <w:t xml:space="preserve"> d</w:t>
      </w:r>
      <w:r w:rsidR="00C97A26">
        <w:rPr>
          <w:lang w:val="fr-CH"/>
        </w:rPr>
        <w:t>’</w:t>
      </w:r>
      <w:r w:rsidR="00226E66">
        <w:rPr>
          <w:lang w:val="fr-CH"/>
        </w:rPr>
        <w:t>enregistrement de</w:t>
      </w:r>
      <w:r>
        <w:rPr>
          <w:lang w:val="fr-CH"/>
        </w:rPr>
        <w:t xml:space="preserve"> dessins </w:t>
      </w:r>
      <w:r w:rsidR="00226E66">
        <w:rPr>
          <w:lang w:val="fr-CH"/>
        </w:rPr>
        <w:t>et</w:t>
      </w:r>
      <w:r>
        <w:rPr>
          <w:lang w:val="fr-CH"/>
        </w:rPr>
        <w:t xml:space="preserve"> </w:t>
      </w:r>
      <w:r w:rsidR="00226E66">
        <w:rPr>
          <w:lang w:val="fr-CH"/>
        </w:rPr>
        <w:t>modèles industriels</w:t>
      </w:r>
      <w:r>
        <w:rPr>
          <w:lang w:val="fr-CH"/>
        </w:rPr>
        <w:t xml:space="preserve"> au tot</w:t>
      </w:r>
      <w:r w:rsidR="00040DB0">
        <w:rPr>
          <w:lang w:val="fr-CH"/>
        </w:rPr>
        <w:t>al.  L’e</w:t>
      </w:r>
      <w:r w:rsidR="0094632F">
        <w:rPr>
          <w:lang w:val="fr-CH"/>
        </w:rPr>
        <w:t>nquête relative</w:t>
      </w:r>
      <w:r w:rsidRPr="00660734">
        <w:rPr>
          <w:lang w:val="fr-CH"/>
        </w:rPr>
        <w:t xml:space="preserve"> </w:t>
      </w:r>
      <w:r w:rsidR="00402AF2">
        <w:rPr>
          <w:lang w:val="fr-CH"/>
        </w:rPr>
        <w:t>à la protection des</w:t>
      </w:r>
      <w:r w:rsidRPr="00660734">
        <w:rPr>
          <w:lang w:val="fr-CH"/>
        </w:rPr>
        <w:t xml:space="preserve"> dessins </w:t>
      </w:r>
      <w:r w:rsidR="00402AF2">
        <w:rPr>
          <w:lang w:val="fr-CH"/>
        </w:rPr>
        <w:t>et</w:t>
      </w:r>
      <w:r w:rsidRPr="00660734">
        <w:rPr>
          <w:lang w:val="fr-CH"/>
        </w:rPr>
        <w:t xml:space="preserve"> modèles industriels a été envoyé</w:t>
      </w:r>
      <w:r w:rsidR="0094632F">
        <w:rPr>
          <w:lang w:val="fr-CH"/>
        </w:rPr>
        <w:t>e</w:t>
      </w:r>
      <w:r w:rsidRPr="00660734">
        <w:rPr>
          <w:lang w:val="fr-CH"/>
        </w:rPr>
        <w:t xml:space="preserve"> </w:t>
      </w:r>
      <w:r>
        <w:rPr>
          <w:lang w:val="fr-CH"/>
        </w:rPr>
        <w:t>aussi bien</w:t>
      </w:r>
      <w:r w:rsidRPr="00660734">
        <w:rPr>
          <w:lang w:val="fr-CH"/>
        </w:rPr>
        <w:t xml:space="preserve"> aux </w:t>
      </w:r>
      <w:r w:rsidR="00402AF2">
        <w:rPr>
          <w:lang w:val="fr-CH"/>
        </w:rPr>
        <w:t>déposants</w:t>
      </w:r>
      <w:r w:rsidRPr="00660734">
        <w:rPr>
          <w:lang w:val="fr-CH"/>
        </w:rPr>
        <w:t xml:space="preserve"> individuels qu</w:t>
      </w:r>
      <w:r w:rsidR="00C97A26">
        <w:rPr>
          <w:lang w:val="fr-CH"/>
        </w:rPr>
        <w:t>’</w:t>
      </w:r>
      <w:r w:rsidRPr="00660734">
        <w:rPr>
          <w:lang w:val="fr-CH"/>
        </w:rPr>
        <w:t>aux entrepris</w:t>
      </w:r>
      <w:r w:rsidR="00040DB0" w:rsidRPr="00660734">
        <w:rPr>
          <w:lang w:val="fr-CH"/>
        </w:rPr>
        <w:t>es</w:t>
      </w:r>
      <w:r w:rsidR="00040DB0">
        <w:rPr>
          <w:lang w:val="fr-CH"/>
        </w:rPr>
        <w:t xml:space="preserve">.  </w:t>
      </w:r>
      <w:r w:rsidR="00040DB0" w:rsidRPr="00981C98">
        <w:rPr>
          <w:lang w:val="fr-CH"/>
        </w:rPr>
        <w:t>Le</w:t>
      </w:r>
      <w:r w:rsidR="00981C98" w:rsidRPr="00981C98">
        <w:rPr>
          <w:lang w:val="fr-CH"/>
        </w:rPr>
        <w:t>s</w:t>
      </w:r>
      <w:r w:rsidR="000866E8" w:rsidRPr="00981C98">
        <w:rPr>
          <w:lang w:val="fr-CH"/>
        </w:rPr>
        <w:t xml:space="preserve"> Philippines</w:t>
      </w:r>
      <w:r w:rsidR="00981C98" w:rsidRPr="00981C98">
        <w:rPr>
          <w:lang w:val="fr-CH"/>
        </w:rPr>
        <w:t xml:space="preserve"> avaient le plus haut taux de répon</w:t>
      </w:r>
      <w:r w:rsidR="00402AF2">
        <w:rPr>
          <w:lang w:val="fr-CH"/>
        </w:rPr>
        <w:t>se, qui s</w:t>
      </w:r>
      <w:r w:rsidR="00C97A26">
        <w:rPr>
          <w:lang w:val="fr-CH"/>
        </w:rPr>
        <w:t>’</w:t>
      </w:r>
      <w:r w:rsidR="00402AF2">
        <w:rPr>
          <w:lang w:val="fr-CH"/>
        </w:rPr>
        <w:t>élevait à 12%, comparé</w:t>
      </w:r>
      <w:r w:rsidR="00981C98" w:rsidRPr="00981C98">
        <w:rPr>
          <w:lang w:val="fr-CH"/>
        </w:rPr>
        <w:t xml:space="preserve"> </w:t>
      </w:r>
      <w:r w:rsidR="00402AF2">
        <w:rPr>
          <w:lang w:val="fr-CH"/>
        </w:rPr>
        <w:t xml:space="preserve">à 8% </w:t>
      </w:r>
      <w:r w:rsidR="005E33D4">
        <w:rPr>
          <w:lang w:val="fr-CH"/>
        </w:rPr>
        <w:t>pour</w:t>
      </w:r>
      <w:r w:rsidR="00981C98" w:rsidRPr="00981C98">
        <w:rPr>
          <w:lang w:val="fr-CH"/>
        </w:rPr>
        <w:t xml:space="preserve"> </w:t>
      </w:r>
      <w:r w:rsidR="00402AF2">
        <w:rPr>
          <w:lang w:val="fr-CH"/>
        </w:rPr>
        <w:t>l</w:t>
      </w:r>
      <w:r w:rsidR="00C97A26">
        <w:rPr>
          <w:lang w:val="fr-CH"/>
        </w:rPr>
        <w:t>’</w:t>
      </w:r>
      <w:r w:rsidR="00402AF2">
        <w:rPr>
          <w:lang w:val="fr-CH"/>
        </w:rPr>
        <w:t xml:space="preserve">Indonésie </w:t>
      </w:r>
      <w:r w:rsidR="00981C98">
        <w:rPr>
          <w:lang w:val="fr-CH"/>
        </w:rPr>
        <w:t>et</w:t>
      </w:r>
      <w:r w:rsidR="00402AF2">
        <w:rPr>
          <w:lang w:val="fr-CH"/>
        </w:rPr>
        <w:t xml:space="preserve"> 9% </w:t>
      </w:r>
      <w:r w:rsidR="00922038">
        <w:rPr>
          <w:lang w:val="fr-CH"/>
        </w:rPr>
        <w:t>pour la Thaïlan</w:t>
      </w:r>
      <w:r w:rsidR="00040DB0">
        <w:rPr>
          <w:lang w:val="fr-CH"/>
        </w:rPr>
        <w:t>de.  Ce</w:t>
      </w:r>
      <w:r w:rsidR="00402AF2">
        <w:rPr>
          <w:lang w:val="fr-CH"/>
        </w:rPr>
        <w:t>pendant, avec un nombre plus important de déposants</w:t>
      </w:r>
      <w:r w:rsidR="00922038" w:rsidRPr="00922038">
        <w:rPr>
          <w:lang w:val="fr-CH"/>
        </w:rPr>
        <w:t>, l</w:t>
      </w:r>
      <w:r w:rsidR="00C97A26">
        <w:rPr>
          <w:lang w:val="fr-CH"/>
        </w:rPr>
        <w:t>’</w:t>
      </w:r>
      <w:r w:rsidR="00922038" w:rsidRPr="00922038">
        <w:rPr>
          <w:lang w:val="fr-CH"/>
        </w:rPr>
        <w:t xml:space="preserve">Indonésie </w:t>
      </w:r>
      <w:r w:rsidR="00922038">
        <w:rPr>
          <w:lang w:val="fr-CH"/>
        </w:rPr>
        <w:t>a compté le</w:t>
      </w:r>
      <w:r w:rsidR="00922038" w:rsidRPr="00922038">
        <w:rPr>
          <w:lang w:val="fr-CH"/>
        </w:rPr>
        <w:t xml:space="preserve"> plus grand nombre de réponses, suivie </w:t>
      </w:r>
      <w:r w:rsidR="00922038" w:rsidRPr="00402AF2">
        <w:rPr>
          <w:lang w:val="fr-CH"/>
        </w:rPr>
        <w:t>par la Thaïlande et les</w:t>
      </w:r>
      <w:r w:rsidR="00922038">
        <w:rPr>
          <w:lang w:val="fr-CH"/>
        </w:rPr>
        <w:t xml:space="preserve"> Philippines</w:t>
      </w:r>
      <w:r w:rsidR="000866E8" w:rsidRPr="00922038">
        <w:rPr>
          <w:lang w:val="fr-CH"/>
        </w:rPr>
        <w:t>.</w:t>
      </w:r>
    </w:p>
    <w:tbl>
      <w:tblPr>
        <w:tblStyle w:val="TableClassic1"/>
        <w:tblW w:w="9351" w:type="dxa"/>
        <w:tblLayout w:type="fixed"/>
        <w:tblLook w:val="04A0" w:firstRow="1" w:lastRow="0" w:firstColumn="1" w:lastColumn="0" w:noHBand="0" w:noVBand="1"/>
      </w:tblPr>
      <w:tblGrid>
        <w:gridCol w:w="1368"/>
        <w:gridCol w:w="725"/>
        <w:gridCol w:w="990"/>
        <w:gridCol w:w="630"/>
        <w:gridCol w:w="720"/>
        <w:gridCol w:w="1080"/>
        <w:gridCol w:w="810"/>
        <w:gridCol w:w="731"/>
        <w:gridCol w:w="990"/>
        <w:gridCol w:w="679"/>
        <w:gridCol w:w="628"/>
      </w:tblGrid>
      <w:tr w:rsidR="000866E8" w:rsidRPr="00355861" w:rsidTr="00F27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0866E8" w:rsidRPr="00355861" w:rsidRDefault="00B125CA" w:rsidP="00922038">
            <w:pPr>
              <w:rPr>
                <w:b/>
                <w:sz w:val="18"/>
                <w:lang w:val="fr-CH"/>
              </w:rPr>
            </w:pPr>
            <w:r w:rsidRPr="00355861">
              <w:rPr>
                <w:b/>
                <w:sz w:val="18"/>
                <w:lang w:val="fr-CH"/>
              </w:rPr>
              <w:t>Nombre</w:t>
            </w:r>
            <w:r w:rsidR="00922038" w:rsidRPr="00355861">
              <w:rPr>
                <w:b/>
                <w:sz w:val="18"/>
                <w:lang w:val="fr-CH"/>
              </w:rPr>
              <w:t xml:space="preserve"> de demandes</w:t>
            </w:r>
          </w:p>
        </w:tc>
        <w:tc>
          <w:tcPr>
            <w:tcW w:w="2345" w:type="dxa"/>
            <w:gridSpan w:val="3"/>
            <w:tcBorders>
              <w:top w:val="single" w:sz="12" w:space="0" w:color="000000"/>
              <w:right w:val="single" w:sz="4" w:space="0" w:color="auto"/>
            </w:tcBorders>
          </w:tcPr>
          <w:p w:rsidR="000866E8" w:rsidRPr="00355861" w:rsidRDefault="00030F5F" w:rsidP="000866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355861">
              <w:rPr>
                <w:b/>
                <w:sz w:val="18"/>
              </w:rPr>
              <w:t>Indonésie</w:t>
            </w:r>
          </w:p>
        </w:tc>
        <w:tc>
          <w:tcPr>
            <w:tcW w:w="2610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0866E8" w:rsidRPr="00355861" w:rsidRDefault="000866E8" w:rsidP="000866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355861">
              <w:rPr>
                <w:b/>
                <w:sz w:val="18"/>
              </w:rPr>
              <w:t>Philippines</w:t>
            </w:r>
          </w:p>
        </w:tc>
        <w:tc>
          <w:tcPr>
            <w:tcW w:w="2400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0866E8" w:rsidRPr="00355861" w:rsidRDefault="00030F5F" w:rsidP="000866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355861">
              <w:rPr>
                <w:b/>
                <w:sz w:val="18"/>
              </w:rPr>
              <w:t>Thaïlande</w:t>
            </w:r>
          </w:p>
        </w:tc>
        <w:tc>
          <w:tcPr>
            <w:tcW w:w="628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:rsidR="000866E8" w:rsidRPr="00355861" w:rsidRDefault="000866E8" w:rsidP="000866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0866E8" w:rsidRPr="00355861" w:rsidTr="00F27710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vMerge/>
            <w:tcBorders>
              <w:left w:val="single" w:sz="12" w:space="0" w:color="000000"/>
              <w:bottom w:val="single" w:sz="4" w:space="0" w:color="auto"/>
            </w:tcBorders>
          </w:tcPr>
          <w:p w:rsidR="000866E8" w:rsidRPr="00355861" w:rsidRDefault="000866E8" w:rsidP="000866E8">
            <w:pPr>
              <w:rPr>
                <w:b/>
                <w:sz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0866E8" w:rsidRPr="00F27710" w:rsidRDefault="000C0D4E" w:rsidP="00F277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F27710">
              <w:rPr>
                <w:b/>
                <w:sz w:val="16"/>
              </w:rPr>
              <w:t>Société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866E8" w:rsidRPr="00F27710" w:rsidRDefault="000C0D4E" w:rsidP="00F27710">
            <w:pPr>
              <w:ind w:righ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F27710">
              <w:rPr>
                <w:b/>
                <w:sz w:val="16"/>
              </w:rPr>
              <w:t>Particulier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0866E8" w:rsidRPr="00F27710" w:rsidRDefault="000866E8" w:rsidP="00086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F27710">
              <w:rPr>
                <w:b/>
                <w:sz w:val="16"/>
              </w:rPr>
              <w:t>Total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0866E8" w:rsidRPr="00F27710" w:rsidRDefault="000C0D4E" w:rsidP="00F27710">
            <w:pPr>
              <w:ind w:right="-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F27710">
              <w:rPr>
                <w:b/>
                <w:sz w:val="16"/>
              </w:rPr>
              <w:t>Société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866E8" w:rsidRPr="00F27710" w:rsidRDefault="000C0D4E" w:rsidP="00F27710">
            <w:pPr>
              <w:ind w:righ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F27710">
              <w:rPr>
                <w:b/>
                <w:sz w:val="16"/>
              </w:rPr>
              <w:t>Particulier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0866E8" w:rsidRPr="00F27710" w:rsidRDefault="000866E8" w:rsidP="00086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F27710">
              <w:rPr>
                <w:b/>
                <w:sz w:val="16"/>
              </w:rPr>
              <w:t>Total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</w:tcBorders>
          </w:tcPr>
          <w:p w:rsidR="000866E8" w:rsidRPr="00F27710" w:rsidRDefault="000C0D4E" w:rsidP="00F2771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F27710">
              <w:rPr>
                <w:b/>
                <w:sz w:val="16"/>
              </w:rPr>
              <w:t>Société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866E8" w:rsidRPr="00F27710" w:rsidRDefault="000C0D4E" w:rsidP="00F27710">
            <w:pPr>
              <w:ind w:righ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F27710">
              <w:rPr>
                <w:b/>
                <w:sz w:val="16"/>
              </w:rPr>
              <w:t>Particulier</w:t>
            </w:r>
          </w:p>
        </w:tc>
        <w:tc>
          <w:tcPr>
            <w:tcW w:w="679" w:type="dxa"/>
            <w:tcBorders>
              <w:bottom w:val="single" w:sz="4" w:space="0" w:color="auto"/>
              <w:right w:val="single" w:sz="4" w:space="0" w:color="auto"/>
            </w:tcBorders>
          </w:tcPr>
          <w:p w:rsidR="000866E8" w:rsidRPr="00F27710" w:rsidRDefault="000866E8" w:rsidP="00086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F27710">
              <w:rPr>
                <w:b/>
                <w:sz w:val="16"/>
              </w:rPr>
              <w:t>Total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866E8" w:rsidRPr="00F27710" w:rsidRDefault="008C6DEE" w:rsidP="00086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F27710">
              <w:rPr>
                <w:b/>
                <w:sz w:val="16"/>
              </w:rPr>
              <w:t>Total</w:t>
            </w:r>
          </w:p>
        </w:tc>
      </w:tr>
      <w:tr w:rsidR="000866E8" w:rsidRPr="00355861" w:rsidTr="00F277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left w:val="single" w:sz="12" w:space="0" w:color="000000"/>
            </w:tcBorders>
          </w:tcPr>
          <w:p w:rsidR="000866E8" w:rsidRPr="00355861" w:rsidRDefault="00922038" w:rsidP="00F27710">
            <w:pPr>
              <w:spacing w:before="60" w:after="60"/>
              <w:rPr>
                <w:b/>
                <w:sz w:val="18"/>
              </w:rPr>
            </w:pPr>
            <w:r w:rsidRPr="00355861">
              <w:rPr>
                <w:b/>
                <w:sz w:val="18"/>
              </w:rPr>
              <w:t>1</w:t>
            </w:r>
            <w:r w:rsidR="0090688F" w:rsidRPr="00355861">
              <w:rPr>
                <w:b/>
                <w:sz w:val="18"/>
                <w:vertAlign w:val="superscript"/>
              </w:rPr>
              <w:t>re</w:t>
            </w:r>
            <w:r w:rsidR="0090688F" w:rsidRPr="00355861">
              <w:rPr>
                <w:b/>
                <w:sz w:val="18"/>
              </w:rPr>
              <w:t> </w:t>
            </w:r>
            <w:r w:rsidRPr="00355861">
              <w:rPr>
                <w:b/>
                <w:sz w:val="18"/>
              </w:rPr>
              <w:t>demande</w:t>
            </w:r>
          </w:p>
        </w:tc>
        <w:tc>
          <w:tcPr>
            <w:tcW w:w="725" w:type="dxa"/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57</w:t>
            </w:r>
          </w:p>
        </w:tc>
        <w:tc>
          <w:tcPr>
            <w:tcW w:w="990" w:type="dxa"/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55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112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23</w:t>
            </w:r>
          </w:p>
        </w:tc>
        <w:tc>
          <w:tcPr>
            <w:tcW w:w="1080" w:type="dxa"/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28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51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45</w:t>
            </w:r>
          </w:p>
        </w:tc>
        <w:tc>
          <w:tcPr>
            <w:tcW w:w="990" w:type="dxa"/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60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105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12" w:space="0" w:color="000000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268</w:t>
            </w:r>
          </w:p>
        </w:tc>
      </w:tr>
      <w:tr w:rsidR="000866E8" w:rsidRPr="00355861" w:rsidTr="00F277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left w:val="single" w:sz="12" w:space="0" w:color="000000"/>
            </w:tcBorders>
          </w:tcPr>
          <w:p w:rsidR="000866E8" w:rsidRPr="00355861" w:rsidRDefault="000866E8" w:rsidP="00F27710">
            <w:pPr>
              <w:spacing w:before="60" w:after="60"/>
              <w:rPr>
                <w:b/>
                <w:sz w:val="18"/>
              </w:rPr>
            </w:pPr>
            <w:r w:rsidRPr="00355861">
              <w:rPr>
                <w:b/>
                <w:sz w:val="18"/>
              </w:rPr>
              <w:t>2</w:t>
            </w:r>
            <w:r w:rsidR="00922038" w:rsidRPr="00355861">
              <w:rPr>
                <w:b/>
                <w:sz w:val="18"/>
                <w:vertAlign w:val="superscript"/>
              </w:rPr>
              <w:t>e</w:t>
            </w:r>
            <w:r w:rsidR="0090688F" w:rsidRPr="00355861">
              <w:rPr>
                <w:b/>
                <w:sz w:val="18"/>
              </w:rPr>
              <w:t> </w:t>
            </w:r>
            <w:r w:rsidR="00922038" w:rsidRPr="00355861">
              <w:rPr>
                <w:b/>
                <w:sz w:val="18"/>
              </w:rPr>
              <w:t>demande</w:t>
            </w:r>
          </w:p>
        </w:tc>
        <w:tc>
          <w:tcPr>
            <w:tcW w:w="725" w:type="dxa"/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31</w:t>
            </w:r>
          </w:p>
        </w:tc>
        <w:tc>
          <w:tcPr>
            <w:tcW w:w="990" w:type="dxa"/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20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51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15</w:t>
            </w:r>
          </w:p>
        </w:tc>
        <w:tc>
          <w:tcPr>
            <w:tcW w:w="1080" w:type="dxa"/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10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25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26</w:t>
            </w:r>
          </w:p>
        </w:tc>
        <w:tc>
          <w:tcPr>
            <w:tcW w:w="990" w:type="dxa"/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23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49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12" w:space="0" w:color="000000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125</w:t>
            </w:r>
          </w:p>
        </w:tc>
      </w:tr>
      <w:tr w:rsidR="000866E8" w:rsidRPr="00355861" w:rsidTr="00F277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left w:val="single" w:sz="12" w:space="0" w:color="000000"/>
            </w:tcBorders>
          </w:tcPr>
          <w:p w:rsidR="000866E8" w:rsidRPr="00355861" w:rsidRDefault="000866E8" w:rsidP="00F27710">
            <w:pPr>
              <w:spacing w:before="60" w:after="60"/>
              <w:rPr>
                <w:b/>
                <w:sz w:val="18"/>
              </w:rPr>
            </w:pPr>
            <w:r w:rsidRPr="00355861">
              <w:rPr>
                <w:b/>
                <w:sz w:val="18"/>
              </w:rPr>
              <w:t>3</w:t>
            </w:r>
            <w:r w:rsidR="00922038" w:rsidRPr="00355861">
              <w:rPr>
                <w:b/>
                <w:sz w:val="18"/>
                <w:vertAlign w:val="superscript"/>
              </w:rPr>
              <w:t>e</w:t>
            </w:r>
            <w:r w:rsidR="0090688F" w:rsidRPr="00355861">
              <w:rPr>
                <w:b/>
                <w:sz w:val="18"/>
              </w:rPr>
              <w:t> </w:t>
            </w:r>
            <w:r w:rsidR="00922038" w:rsidRPr="00355861">
              <w:rPr>
                <w:b/>
                <w:sz w:val="18"/>
              </w:rPr>
              <w:t>demande</w:t>
            </w:r>
          </w:p>
        </w:tc>
        <w:tc>
          <w:tcPr>
            <w:tcW w:w="725" w:type="dxa"/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20</w:t>
            </w:r>
          </w:p>
        </w:tc>
        <w:tc>
          <w:tcPr>
            <w:tcW w:w="990" w:type="dxa"/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7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27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11</w:t>
            </w:r>
          </w:p>
        </w:tc>
        <w:tc>
          <w:tcPr>
            <w:tcW w:w="1080" w:type="dxa"/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6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17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13</w:t>
            </w:r>
          </w:p>
        </w:tc>
        <w:tc>
          <w:tcPr>
            <w:tcW w:w="990" w:type="dxa"/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10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23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12" w:space="0" w:color="000000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67</w:t>
            </w:r>
          </w:p>
        </w:tc>
      </w:tr>
      <w:tr w:rsidR="000866E8" w:rsidRPr="00355861" w:rsidTr="00F2771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left w:val="single" w:sz="12" w:space="0" w:color="000000"/>
            </w:tcBorders>
          </w:tcPr>
          <w:p w:rsidR="000866E8" w:rsidRPr="00355861" w:rsidRDefault="000866E8" w:rsidP="00F27710">
            <w:pPr>
              <w:spacing w:before="60" w:after="60"/>
              <w:rPr>
                <w:b/>
                <w:sz w:val="18"/>
              </w:rPr>
            </w:pPr>
            <w:r w:rsidRPr="00355861">
              <w:rPr>
                <w:b/>
                <w:sz w:val="18"/>
              </w:rPr>
              <w:t>4</w:t>
            </w:r>
            <w:r w:rsidR="00922038" w:rsidRPr="00355861">
              <w:rPr>
                <w:b/>
                <w:sz w:val="18"/>
                <w:vertAlign w:val="superscript"/>
              </w:rPr>
              <w:t>e</w:t>
            </w:r>
            <w:r w:rsidR="0090688F" w:rsidRPr="00355861">
              <w:rPr>
                <w:b/>
                <w:sz w:val="18"/>
              </w:rPr>
              <w:t> </w:t>
            </w:r>
            <w:r w:rsidR="00922038" w:rsidRPr="00355861">
              <w:rPr>
                <w:b/>
                <w:sz w:val="18"/>
              </w:rPr>
              <w:t>demande</w:t>
            </w:r>
          </w:p>
        </w:tc>
        <w:tc>
          <w:tcPr>
            <w:tcW w:w="725" w:type="dxa"/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16</w:t>
            </w:r>
          </w:p>
        </w:tc>
        <w:tc>
          <w:tcPr>
            <w:tcW w:w="990" w:type="dxa"/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4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20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9</w:t>
            </w:r>
          </w:p>
        </w:tc>
        <w:tc>
          <w:tcPr>
            <w:tcW w:w="1080" w:type="dxa"/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6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15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9</w:t>
            </w:r>
          </w:p>
        </w:tc>
        <w:tc>
          <w:tcPr>
            <w:tcW w:w="990" w:type="dxa"/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8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17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12" w:space="0" w:color="000000"/>
            </w:tcBorders>
            <w:vAlign w:val="bottom"/>
          </w:tcPr>
          <w:p w:rsidR="000866E8" w:rsidRPr="00355861" w:rsidRDefault="000866E8" w:rsidP="00F277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52</w:t>
            </w:r>
          </w:p>
        </w:tc>
      </w:tr>
      <w:tr w:rsidR="000866E8" w:rsidRPr="00355861" w:rsidTr="00F27710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</w:tcPr>
          <w:p w:rsidR="000866E8" w:rsidRPr="00355861" w:rsidRDefault="008C6DEE" w:rsidP="000866E8">
            <w:pPr>
              <w:rPr>
                <w:b/>
                <w:sz w:val="18"/>
              </w:rPr>
            </w:pPr>
            <w:r w:rsidRPr="00355861">
              <w:rPr>
                <w:b/>
                <w:sz w:val="18"/>
              </w:rPr>
              <w:t>Total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12" w:space="0" w:color="000000"/>
            </w:tcBorders>
            <w:vAlign w:val="bottom"/>
          </w:tcPr>
          <w:p w:rsidR="000866E8" w:rsidRPr="00355861" w:rsidRDefault="000866E8" w:rsidP="00086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124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12" w:space="0" w:color="000000"/>
            </w:tcBorders>
            <w:vAlign w:val="bottom"/>
          </w:tcPr>
          <w:p w:rsidR="000866E8" w:rsidRPr="00355861" w:rsidRDefault="000866E8" w:rsidP="00086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86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bottom"/>
          </w:tcPr>
          <w:p w:rsidR="000866E8" w:rsidRPr="00355861" w:rsidRDefault="000866E8" w:rsidP="00086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vAlign w:val="bottom"/>
          </w:tcPr>
          <w:p w:rsidR="000866E8" w:rsidRPr="00355861" w:rsidRDefault="000866E8" w:rsidP="00086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000000"/>
            </w:tcBorders>
            <w:vAlign w:val="bottom"/>
          </w:tcPr>
          <w:p w:rsidR="000866E8" w:rsidRPr="00355861" w:rsidRDefault="000866E8" w:rsidP="00086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bottom"/>
          </w:tcPr>
          <w:p w:rsidR="000866E8" w:rsidRPr="00355861" w:rsidRDefault="000866E8" w:rsidP="00086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108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vAlign w:val="bottom"/>
          </w:tcPr>
          <w:p w:rsidR="000866E8" w:rsidRPr="00355861" w:rsidRDefault="000866E8" w:rsidP="00086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93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12" w:space="0" w:color="000000"/>
            </w:tcBorders>
            <w:vAlign w:val="bottom"/>
          </w:tcPr>
          <w:p w:rsidR="000866E8" w:rsidRPr="00355861" w:rsidRDefault="000866E8" w:rsidP="00086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101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bottom"/>
          </w:tcPr>
          <w:p w:rsidR="000866E8" w:rsidRPr="00355861" w:rsidRDefault="000866E8" w:rsidP="00086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194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bottom"/>
          </w:tcPr>
          <w:p w:rsidR="000866E8" w:rsidRPr="00355861" w:rsidRDefault="000866E8" w:rsidP="00086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55861">
              <w:rPr>
                <w:sz w:val="18"/>
              </w:rPr>
              <w:t>512</w:t>
            </w:r>
          </w:p>
        </w:tc>
      </w:tr>
    </w:tbl>
    <w:p w:rsidR="00E35762" w:rsidRDefault="00EF0AC9" w:rsidP="005328BE">
      <w:pPr>
        <w:spacing w:before="360" w:after="180"/>
        <w:rPr>
          <w:b/>
          <w:bCs/>
          <w:lang w:val="fr-CH"/>
        </w:rPr>
      </w:pPr>
      <w:r>
        <w:rPr>
          <w:b/>
          <w:bCs/>
          <w:lang w:val="fr-CH"/>
        </w:rPr>
        <w:t>É</w:t>
      </w:r>
      <w:r w:rsidR="00731349">
        <w:rPr>
          <w:b/>
          <w:bCs/>
          <w:lang w:val="fr-CH"/>
        </w:rPr>
        <w:t>laboration</w:t>
      </w:r>
      <w:r w:rsidR="00922038" w:rsidRPr="00922038">
        <w:rPr>
          <w:b/>
          <w:bCs/>
          <w:lang w:val="fr-CH"/>
        </w:rPr>
        <w:t xml:space="preserve"> de l</w:t>
      </w:r>
      <w:r w:rsidR="00C97A26">
        <w:rPr>
          <w:b/>
          <w:bCs/>
          <w:lang w:val="fr-CH"/>
        </w:rPr>
        <w:t>’</w:t>
      </w:r>
      <w:r w:rsidR="00922038" w:rsidRPr="00922038">
        <w:rPr>
          <w:b/>
          <w:bCs/>
          <w:lang w:val="fr-CH"/>
        </w:rPr>
        <w:t>enquête</w:t>
      </w:r>
    </w:p>
    <w:p w:rsidR="00E35762" w:rsidRDefault="008C6DEE" w:rsidP="00E35762">
      <w:pPr>
        <w:spacing w:after="220"/>
        <w:rPr>
          <w:lang w:val="fr-CH"/>
        </w:rPr>
      </w:pPr>
      <w:r w:rsidRPr="00AE1C5B">
        <w:rPr>
          <w:lang w:val="fr-CH"/>
        </w:rPr>
        <w:t>L</w:t>
      </w:r>
      <w:r w:rsidR="00C97A26">
        <w:rPr>
          <w:lang w:val="fr-CH"/>
        </w:rPr>
        <w:t>’</w:t>
      </w:r>
      <w:r w:rsidRPr="00AE1C5B">
        <w:rPr>
          <w:lang w:val="fr-CH"/>
        </w:rPr>
        <w:t>équipe de recherche de l</w:t>
      </w:r>
      <w:r w:rsidR="00C97A26">
        <w:rPr>
          <w:lang w:val="fr-CH"/>
        </w:rPr>
        <w:t>’</w:t>
      </w:r>
      <w:r w:rsidRPr="00AE1C5B">
        <w:rPr>
          <w:lang w:val="fr-CH"/>
        </w:rPr>
        <w:t>OMPI</w:t>
      </w:r>
      <w:r w:rsidR="00AE1C5B" w:rsidRPr="00AE1C5B">
        <w:rPr>
          <w:lang w:val="fr-CH"/>
        </w:rPr>
        <w:t xml:space="preserve"> a consacré un temps </w:t>
      </w:r>
      <w:r w:rsidR="00731349" w:rsidRPr="00AE1C5B">
        <w:rPr>
          <w:lang w:val="fr-CH"/>
        </w:rPr>
        <w:t>considérable</w:t>
      </w:r>
      <w:r w:rsidR="00977232">
        <w:rPr>
          <w:lang w:val="fr-CH"/>
        </w:rPr>
        <w:t xml:space="preserve"> à la préparation</w:t>
      </w:r>
      <w:r w:rsidR="00AE1C5B" w:rsidRPr="00AE1C5B">
        <w:rPr>
          <w:lang w:val="fr-CH"/>
        </w:rPr>
        <w:t xml:space="preserve"> </w:t>
      </w:r>
      <w:r w:rsidR="00EF0AC9">
        <w:rPr>
          <w:lang w:val="fr-CH"/>
        </w:rPr>
        <w:t>au début de l</w:t>
      </w:r>
      <w:r w:rsidR="00C97A26">
        <w:rPr>
          <w:lang w:val="fr-CH"/>
        </w:rPr>
        <w:t>’</w:t>
      </w:r>
      <w:r w:rsidR="00731349">
        <w:rPr>
          <w:lang w:val="fr-CH"/>
        </w:rPr>
        <w:t>élaboration</w:t>
      </w:r>
      <w:r w:rsidR="00AE1C5B">
        <w:rPr>
          <w:lang w:val="fr-CH"/>
        </w:rPr>
        <w:t xml:space="preserve"> du questionnaire d</w:t>
      </w:r>
      <w:r w:rsidR="00C97A26">
        <w:rPr>
          <w:lang w:val="fr-CH"/>
        </w:rPr>
        <w:t>’</w:t>
      </w:r>
      <w:r w:rsidR="00AE1C5B">
        <w:rPr>
          <w:lang w:val="fr-CH"/>
        </w:rPr>
        <w:t>enqu</w:t>
      </w:r>
      <w:r w:rsidR="008A517C">
        <w:rPr>
          <w:lang w:val="fr-CH"/>
        </w:rPr>
        <w:t>ê</w:t>
      </w:r>
      <w:r w:rsidR="00040DB0">
        <w:rPr>
          <w:lang w:val="fr-CH"/>
        </w:rPr>
        <w:t xml:space="preserve">te.  </w:t>
      </w:r>
      <w:r w:rsidR="00040DB0" w:rsidRPr="008A517C">
        <w:rPr>
          <w:lang w:val="fr-CH"/>
        </w:rPr>
        <w:t>Pl</w:t>
      </w:r>
      <w:r w:rsidR="008A517C" w:rsidRPr="008A517C">
        <w:rPr>
          <w:lang w:val="fr-CH"/>
        </w:rPr>
        <w:t xml:space="preserve">usieurs questionnaires conçus de manière spécifique, tels </w:t>
      </w:r>
      <w:r w:rsidR="008A517C">
        <w:rPr>
          <w:lang w:val="fr-CH"/>
        </w:rPr>
        <w:t xml:space="preserve">que </w:t>
      </w:r>
      <w:r w:rsidR="00C91215">
        <w:rPr>
          <w:lang w:val="fr-CH"/>
        </w:rPr>
        <w:t>les questionnaires</w:t>
      </w:r>
      <w:r w:rsidR="008A517C">
        <w:rPr>
          <w:lang w:val="fr-CH"/>
        </w:rPr>
        <w:t xml:space="preserve"> employés au Danemark et au </w:t>
      </w:r>
      <w:r w:rsidR="00C91215">
        <w:rPr>
          <w:lang w:val="fr-CH"/>
        </w:rPr>
        <w:t>Royaume</w:t>
      </w:r>
      <w:r w:rsidR="009B2FD7">
        <w:rPr>
          <w:lang w:val="fr-CH"/>
        </w:rPr>
        <w:noBreakHyphen/>
      </w:r>
      <w:r w:rsidR="00C91215">
        <w:rPr>
          <w:lang w:val="fr-CH"/>
        </w:rPr>
        <w:t>Uni,</w:t>
      </w:r>
      <w:r w:rsidR="008A517C">
        <w:rPr>
          <w:lang w:val="fr-CH"/>
        </w:rPr>
        <w:t xml:space="preserve"> ont été réexamin</w:t>
      </w:r>
      <w:r w:rsidR="00040DB0">
        <w:rPr>
          <w:lang w:val="fr-CH"/>
        </w:rPr>
        <w:t xml:space="preserve">és.  </w:t>
      </w:r>
      <w:r w:rsidR="00040DB0" w:rsidRPr="000C5CE0">
        <w:rPr>
          <w:lang w:val="fr-CH"/>
        </w:rPr>
        <w:t>De</w:t>
      </w:r>
      <w:r w:rsidR="00977232">
        <w:rPr>
          <w:lang w:val="fr-CH"/>
        </w:rPr>
        <w:t>s</w:t>
      </w:r>
      <w:r w:rsidR="008A517C" w:rsidRPr="000C5CE0">
        <w:rPr>
          <w:lang w:val="fr-CH"/>
        </w:rPr>
        <w:t xml:space="preserve"> enquêtes</w:t>
      </w:r>
      <w:r w:rsidR="000C5CE0" w:rsidRPr="000C5CE0">
        <w:rPr>
          <w:lang w:val="fr-CH"/>
        </w:rPr>
        <w:t xml:space="preserve"> </w:t>
      </w:r>
      <w:r w:rsidR="00977232" w:rsidRPr="000C5CE0">
        <w:rPr>
          <w:lang w:val="fr-CH"/>
        </w:rPr>
        <w:t xml:space="preserve">précédentes </w:t>
      </w:r>
      <w:r w:rsidR="000C5CE0" w:rsidRPr="000C5CE0">
        <w:rPr>
          <w:lang w:val="fr-CH"/>
        </w:rPr>
        <w:t>menées</w:t>
      </w:r>
      <w:r w:rsidR="000C5CE0">
        <w:rPr>
          <w:lang w:val="fr-CH"/>
        </w:rPr>
        <w:t xml:space="preserve"> par l</w:t>
      </w:r>
      <w:r w:rsidR="00C97A26">
        <w:rPr>
          <w:lang w:val="fr-CH"/>
        </w:rPr>
        <w:t>’</w:t>
      </w:r>
      <w:r w:rsidR="000C5CE0">
        <w:rPr>
          <w:lang w:val="fr-CH"/>
        </w:rPr>
        <w:t>OMPI et portant sur</w:t>
      </w:r>
      <w:r w:rsidR="000C5CE0" w:rsidRPr="000C5CE0">
        <w:rPr>
          <w:lang w:val="fr-CH"/>
        </w:rPr>
        <w:t xml:space="preserve"> l</w:t>
      </w:r>
      <w:r w:rsidR="00C97A26">
        <w:rPr>
          <w:lang w:val="fr-CH"/>
        </w:rPr>
        <w:t>’</w:t>
      </w:r>
      <w:r w:rsidR="000C5CE0" w:rsidRPr="000C5CE0">
        <w:rPr>
          <w:lang w:val="fr-CH"/>
        </w:rPr>
        <w:t xml:space="preserve">utilisation </w:t>
      </w:r>
      <w:r w:rsidR="00EF0AC9" w:rsidRPr="00EF0AC9">
        <w:rPr>
          <w:lang w:val="fr-CH"/>
        </w:rPr>
        <w:t>des</w:t>
      </w:r>
      <w:r w:rsidR="000C5CE0" w:rsidRPr="00EF0AC9">
        <w:rPr>
          <w:lang w:val="fr-CH"/>
        </w:rPr>
        <w:t xml:space="preserve"> dessins et modèles industriels en Argentine et au Maroc ont également été consulté</w:t>
      </w:r>
      <w:r w:rsidR="00040DB0">
        <w:rPr>
          <w:lang w:val="fr-CH"/>
        </w:rPr>
        <w:t>e</w:t>
      </w:r>
      <w:r w:rsidR="00040DB0" w:rsidRPr="00EF0AC9">
        <w:rPr>
          <w:lang w:val="fr-CH"/>
        </w:rPr>
        <w:t>s</w:t>
      </w:r>
      <w:r w:rsidR="00040DB0">
        <w:rPr>
          <w:lang w:val="fr-CH"/>
        </w:rPr>
        <w:t xml:space="preserve">.  </w:t>
      </w:r>
      <w:r w:rsidR="00040DB0" w:rsidRPr="00EF0AC9">
        <w:rPr>
          <w:lang w:val="fr-CH"/>
        </w:rPr>
        <w:t>Bi</w:t>
      </w:r>
      <w:r w:rsidR="000C5CE0" w:rsidRPr="00EF0AC9">
        <w:rPr>
          <w:lang w:val="fr-CH"/>
        </w:rPr>
        <w:t>en</w:t>
      </w:r>
      <w:r w:rsidR="00F27710">
        <w:rPr>
          <w:lang w:val="fr-CH"/>
        </w:rPr>
        <w:t> </w:t>
      </w:r>
      <w:r w:rsidR="000C5CE0" w:rsidRPr="00EF0AC9">
        <w:rPr>
          <w:lang w:val="fr-CH"/>
        </w:rPr>
        <w:t>qu</w:t>
      </w:r>
      <w:r w:rsidR="00C97A26">
        <w:rPr>
          <w:lang w:val="fr-CH"/>
        </w:rPr>
        <w:t>’</w:t>
      </w:r>
      <w:r w:rsidR="000C5CE0" w:rsidRPr="00EF0AC9">
        <w:rPr>
          <w:lang w:val="fr-CH"/>
        </w:rPr>
        <w:t xml:space="preserve">ils se soient révélés instructifs, ces questionnaires ne traitaient </w:t>
      </w:r>
      <w:r w:rsidR="00EF0AC9" w:rsidRPr="00EF0AC9">
        <w:rPr>
          <w:lang w:val="fr-CH"/>
        </w:rPr>
        <w:t>que partiellement</w:t>
      </w:r>
      <w:r w:rsidR="000C5CE0" w:rsidRPr="00EF0AC9">
        <w:rPr>
          <w:lang w:val="fr-CH"/>
        </w:rPr>
        <w:t xml:space="preserve"> les questions de recherche de l</w:t>
      </w:r>
      <w:r w:rsidR="00C97A26">
        <w:rPr>
          <w:lang w:val="fr-CH"/>
        </w:rPr>
        <w:t>’</w:t>
      </w:r>
      <w:r w:rsidR="000C5CE0" w:rsidRPr="00EF0AC9">
        <w:rPr>
          <w:lang w:val="fr-CH"/>
        </w:rPr>
        <w:t>étude</w:t>
      </w:r>
      <w:r w:rsidR="000866E8" w:rsidRPr="000C5CE0">
        <w:rPr>
          <w:lang w:val="fr-CH"/>
        </w:rPr>
        <w:t>.</w:t>
      </w:r>
    </w:p>
    <w:p w:rsidR="00E35762" w:rsidRDefault="000C5CE0" w:rsidP="00E35762">
      <w:pPr>
        <w:spacing w:after="220"/>
        <w:rPr>
          <w:lang w:val="fr-CH"/>
        </w:rPr>
      </w:pPr>
      <w:r w:rsidRPr="000C5CE0">
        <w:rPr>
          <w:lang w:val="fr-CH"/>
        </w:rPr>
        <w:t>L</w:t>
      </w:r>
      <w:r w:rsidR="00C97A26">
        <w:rPr>
          <w:lang w:val="fr-CH"/>
        </w:rPr>
        <w:t>’</w:t>
      </w:r>
      <w:r w:rsidRPr="000C5CE0">
        <w:rPr>
          <w:lang w:val="fr-CH"/>
        </w:rPr>
        <w:t>équipe de recherche s</w:t>
      </w:r>
      <w:r w:rsidR="00C97A26">
        <w:rPr>
          <w:lang w:val="fr-CH"/>
        </w:rPr>
        <w:t>’</w:t>
      </w:r>
      <w:r w:rsidRPr="000C5CE0">
        <w:rPr>
          <w:lang w:val="fr-CH"/>
        </w:rPr>
        <w:t xml:space="preserve">est ensuite tournée vers une </w:t>
      </w:r>
      <w:r w:rsidR="00FF244C">
        <w:rPr>
          <w:lang w:val="fr-CH"/>
        </w:rPr>
        <w:t>série d</w:t>
      </w:r>
      <w:r w:rsidR="00C97A26">
        <w:rPr>
          <w:lang w:val="fr-CH"/>
        </w:rPr>
        <w:t>’</w:t>
      </w:r>
      <w:r w:rsidR="00FF244C">
        <w:rPr>
          <w:lang w:val="fr-CH"/>
        </w:rPr>
        <w:t>enquêtes</w:t>
      </w:r>
      <w:r w:rsidRPr="000C5CE0">
        <w:rPr>
          <w:lang w:val="fr-CH"/>
        </w:rPr>
        <w:t xml:space="preserve"> </w:t>
      </w:r>
      <w:r w:rsidR="00977232">
        <w:rPr>
          <w:lang w:val="fr-CH"/>
        </w:rPr>
        <w:t>ciblant</w:t>
      </w:r>
      <w:r w:rsidR="00FF244C">
        <w:rPr>
          <w:lang w:val="fr-CH"/>
        </w:rPr>
        <w:t xml:space="preserve"> des inventeurs</w:t>
      </w:r>
      <w:r w:rsidRPr="000C5CE0">
        <w:rPr>
          <w:lang w:val="fr-CH"/>
        </w:rPr>
        <w:t xml:space="preserve"> dans plusieurs pays à </w:t>
      </w:r>
      <w:r w:rsidR="00F94F26">
        <w:rPr>
          <w:lang w:val="fr-CH"/>
        </w:rPr>
        <w:t>revenu</w:t>
      </w:r>
      <w:r w:rsidRPr="000C5CE0">
        <w:rPr>
          <w:lang w:val="fr-CH"/>
        </w:rPr>
        <w:t xml:space="preserve"> élevé, notamment l</w:t>
      </w:r>
      <w:r w:rsidR="00C97A26">
        <w:rPr>
          <w:lang w:val="fr-CH"/>
        </w:rPr>
        <w:t>’</w:t>
      </w:r>
      <w:r w:rsidRPr="000C5CE0">
        <w:rPr>
          <w:lang w:val="fr-CH"/>
        </w:rPr>
        <w:t>enqu</w:t>
      </w:r>
      <w:r>
        <w:rPr>
          <w:lang w:val="fr-CH"/>
        </w:rPr>
        <w:t xml:space="preserve">ête </w:t>
      </w:r>
      <w:r w:rsidR="00F94F26">
        <w:rPr>
          <w:lang w:val="fr-CH"/>
        </w:rPr>
        <w:t xml:space="preserve">européenne </w:t>
      </w:r>
      <w:r w:rsidR="00C97A26">
        <w:rPr>
          <w:lang w:val="fr-CH"/>
        </w:rPr>
        <w:t>“</w:t>
      </w:r>
      <w:r w:rsidR="00C97A26" w:rsidRPr="00F94F26">
        <w:rPr>
          <w:lang w:val="fr-CH"/>
        </w:rPr>
        <w:t>P</w:t>
      </w:r>
      <w:r w:rsidR="00F94F26" w:rsidRPr="00F94F26">
        <w:rPr>
          <w:lang w:val="fr-CH"/>
        </w:rPr>
        <w:t>atVal</w:t>
      </w:r>
      <w:r w:rsidR="009B2FD7">
        <w:rPr>
          <w:lang w:val="fr-CH"/>
        </w:rPr>
        <w:noBreakHyphen/>
      </w:r>
      <w:r w:rsidR="00F94F26" w:rsidRPr="00F94F26">
        <w:rPr>
          <w:lang w:val="fr-CH"/>
        </w:rPr>
        <w:t>E</w:t>
      </w:r>
      <w:r w:rsidR="00C97A26" w:rsidRPr="00F94F26">
        <w:rPr>
          <w:lang w:val="fr-CH"/>
        </w:rPr>
        <w:t>U</w:t>
      </w:r>
      <w:r w:rsidR="00C97A26">
        <w:rPr>
          <w:lang w:val="fr-CH"/>
        </w:rPr>
        <w:t>”</w:t>
      </w:r>
      <w:r w:rsidR="000866E8" w:rsidRPr="000C5CE0">
        <w:rPr>
          <w:lang w:val="fr-CH"/>
        </w:rPr>
        <w:t>.</w:t>
      </w:r>
    </w:p>
    <w:p w:rsidR="00E35762" w:rsidRDefault="00F94F26" w:rsidP="00E35762">
      <w:pPr>
        <w:spacing w:after="220"/>
        <w:rPr>
          <w:lang w:val="fr-CH"/>
        </w:rPr>
      </w:pPr>
      <w:r w:rsidRPr="00F94F26">
        <w:rPr>
          <w:lang w:val="fr-CH"/>
        </w:rPr>
        <w:t xml:space="preserve">Contrairement aux enquêtes </w:t>
      </w:r>
      <w:r w:rsidR="00FF244C">
        <w:rPr>
          <w:lang w:val="fr-CH"/>
        </w:rPr>
        <w:t>ciblant les inventeurs</w:t>
      </w:r>
      <w:r w:rsidRPr="00F94F26">
        <w:rPr>
          <w:lang w:val="fr-CH"/>
        </w:rPr>
        <w:t>, l</w:t>
      </w:r>
      <w:r w:rsidR="00C97A26">
        <w:rPr>
          <w:lang w:val="fr-CH"/>
        </w:rPr>
        <w:t>’</w:t>
      </w:r>
      <w:r w:rsidRPr="00F94F26">
        <w:rPr>
          <w:lang w:val="fr-CH"/>
        </w:rPr>
        <w:t>instrument d</w:t>
      </w:r>
      <w:r w:rsidR="00C97A26">
        <w:rPr>
          <w:lang w:val="fr-CH"/>
        </w:rPr>
        <w:t>’</w:t>
      </w:r>
      <w:r w:rsidRPr="00F94F26">
        <w:rPr>
          <w:lang w:val="fr-CH"/>
        </w:rPr>
        <w:t xml:space="preserve">enquête </w:t>
      </w:r>
      <w:r w:rsidR="00977232">
        <w:rPr>
          <w:lang w:val="fr-CH"/>
        </w:rPr>
        <w:t xml:space="preserve">actuel </w:t>
      </w:r>
      <w:r w:rsidRPr="00FF244C">
        <w:rPr>
          <w:lang w:val="fr-CH"/>
        </w:rPr>
        <w:t>était destiné au</w:t>
      </w:r>
      <w:r w:rsidR="00F73E11" w:rsidRPr="00FF244C">
        <w:rPr>
          <w:lang w:val="fr-CH"/>
        </w:rPr>
        <w:t xml:space="preserve"> déposant plutôt qu</w:t>
      </w:r>
      <w:r w:rsidR="00C97A26">
        <w:rPr>
          <w:lang w:val="fr-CH"/>
        </w:rPr>
        <w:t>’</w:t>
      </w:r>
      <w:r w:rsidR="00F73E11" w:rsidRPr="00FF244C">
        <w:rPr>
          <w:lang w:val="fr-CH"/>
        </w:rPr>
        <w:t>au concepte</w:t>
      </w:r>
      <w:r w:rsidR="00040DB0" w:rsidRPr="00FF244C">
        <w:rPr>
          <w:lang w:val="fr-CH"/>
        </w:rPr>
        <w:t>ur</w:t>
      </w:r>
      <w:r w:rsidR="00040DB0">
        <w:rPr>
          <w:lang w:val="fr-CH"/>
        </w:rPr>
        <w:t xml:space="preserve">.  </w:t>
      </w:r>
      <w:r w:rsidR="00040DB0" w:rsidRPr="00FF244C">
        <w:rPr>
          <w:lang w:val="fr-CH"/>
        </w:rPr>
        <w:t>De</w:t>
      </w:r>
      <w:r w:rsidR="00F73E11" w:rsidRPr="00FF244C">
        <w:rPr>
          <w:lang w:val="fr-CH"/>
        </w:rPr>
        <w:t xml:space="preserve"> plus, le processus d</w:t>
      </w:r>
      <w:r w:rsidR="00C97A26">
        <w:rPr>
          <w:lang w:val="fr-CH"/>
        </w:rPr>
        <w:t>’</w:t>
      </w:r>
      <w:r w:rsidR="00F73E11" w:rsidRPr="00FF244C">
        <w:rPr>
          <w:lang w:val="fr-CH"/>
        </w:rPr>
        <w:t>innovation en m</w:t>
      </w:r>
      <w:r w:rsidR="00F73E11" w:rsidRPr="00F73E11">
        <w:rPr>
          <w:lang w:val="fr-CH"/>
        </w:rPr>
        <w:t>atière d</w:t>
      </w:r>
      <w:r w:rsidR="00FF244C">
        <w:rPr>
          <w:lang w:val="fr-CH"/>
        </w:rPr>
        <w:t>e conception est différent</w:t>
      </w:r>
      <w:r w:rsidR="00977232">
        <w:rPr>
          <w:lang w:val="fr-CH"/>
        </w:rPr>
        <w:t xml:space="preserve"> du processus d</w:t>
      </w:r>
      <w:r w:rsidR="00C97A26">
        <w:rPr>
          <w:lang w:val="fr-CH"/>
        </w:rPr>
        <w:t>’</w:t>
      </w:r>
      <w:r w:rsidR="00F73E11" w:rsidRPr="00F73E11">
        <w:rPr>
          <w:lang w:val="fr-CH"/>
        </w:rPr>
        <w:t xml:space="preserve">innovation </w:t>
      </w:r>
      <w:r w:rsidR="007A37B1">
        <w:rPr>
          <w:lang w:val="fr-CH"/>
        </w:rPr>
        <w:t>en matière de technologie</w:t>
      </w:r>
      <w:r w:rsidR="00F73E11" w:rsidRPr="00F73E11">
        <w:rPr>
          <w:lang w:val="fr-CH"/>
        </w:rPr>
        <w:t xml:space="preserve"> et cette </w:t>
      </w:r>
      <w:r w:rsidR="00826D05" w:rsidRPr="00F73E11">
        <w:rPr>
          <w:lang w:val="fr-CH"/>
        </w:rPr>
        <w:t>différence</w:t>
      </w:r>
      <w:r w:rsidR="00F73E11" w:rsidRPr="00F73E11">
        <w:rPr>
          <w:lang w:val="fr-CH"/>
        </w:rPr>
        <w:t xml:space="preserve"> pouvait </w:t>
      </w:r>
      <w:r w:rsidR="00F73E11">
        <w:rPr>
          <w:lang w:val="fr-CH"/>
        </w:rPr>
        <w:t>être observée dans la liste finale de questions inclu</w:t>
      </w:r>
      <w:r w:rsidR="0090688F">
        <w:rPr>
          <w:lang w:val="fr-CH"/>
        </w:rPr>
        <w:t>se</w:t>
      </w:r>
      <w:r w:rsidR="00F73E11">
        <w:rPr>
          <w:lang w:val="fr-CH"/>
        </w:rPr>
        <w:t>s dans le questionnai</w:t>
      </w:r>
      <w:r w:rsidR="00040DB0">
        <w:rPr>
          <w:lang w:val="fr-CH"/>
        </w:rPr>
        <w:t xml:space="preserve">re.  </w:t>
      </w:r>
      <w:r w:rsidR="00040DB0" w:rsidRPr="00F73E11">
        <w:rPr>
          <w:lang w:val="fr-CH"/>
        </w:rPr>
        <w:t>Ce</w:t>
      </w:r>
      <w:r w:rsidR="00F73E11" w:rsidRPr="00F73E11">
        <w:rPr>
          <w:lang w:val="fr-CH"/>
        </w:rPr>
        <w:t>rtaines questions portaient sur l</w:t>
      </w:r>
      <w:r w:rsidR="00C97A26">
        <w:rPr>
          <w:lang w:val="fr-CH"/>
        </w:rPr>
        <w:t>’</w:t>
      </w:r>
      <w:r w:rsidR="00F73E11" w:rsidRPr="00F73E11">
        <w:rPr>
          <w:lang w:val="fr-CH"/>
        </w:rPr>
        <w:t>importance des dessins ou modèles dans l</w:t>
      </w:r>
      <w:r w:rsidR="00C97A26">
        <w:rPr>
          <w:lang w:val="fr-CH"/>
        </w:rPr>
        <w:t>’</w:t>
      </w:r>
      <w:r w:rsidR="00F73E11" w:rsidRPr="00F73E11">
        <w:rPr>
          <w:lang w:val="fr-CH"/>
        </w:rPr>
        <w:t>activité de l</w:t>
      </w:r>
      <w:r w:rsidR="00C97A26">
        <w:rPr>
          <w:lang w:val="fr-CH"/>
        </w:rPr>
        <w:t>’</w:t>
      </w:r>
      <w:r w:rsidR="00F73E11" w:rsidRPr="00F73E11">
        <w:rPr>
          <w:lang w:val="fr-CH"/>
        </w:rPr>
        <w:t>entrepri</w:t>
      </w:r>
      <w:r w:rsidR="00040DB0" w:rsidRPr="00F73E11">
        <w:rPr>
          <w:lang w:val="fr-CH"/>
        </w:rPr>
        <w:t>se</w:t>
      </w:r>
      <w:r w:rsidR="00040DB0">
        <w:rPr>
          <w:lang w:val="fr-CH"/>
        </w:rPr>
        <w:t>.  Pa</w:t>
      </w:r>
      <w:r w:rsidR="00FF244C">
        <w:rPr>
          <w:lang w:val="fr-CH"/>
        </w:rPr>
        <w:t>r exemple, il était demandé si</w:t>
      </w:r>
      <w:r w:rsidR="00F73E11">
        <w:rPr>
          <w:lang w:val="fr-CH"/>
        </w:rPr>
        <w:t xml:space="preserve"> le département des dessins </w:t>
      </w:r>
      <w:r w:rsidR="00FF244C">
        <w:rPr>
          <w:lang w:val="fr-CH"/>
        </w:rPr>
        <w:t>et</w:t>
      </w:r>
      <w:r w:rsidR="00F73E11">
        <w:rPr>
          <w:lang w:val="fr-CH"/>
        </w:rPr>
        <w:t xml:space="preserve"> modèles appartenait au département </w:t>
      </w:r>
      <w:r w:rsidR="00040F5A" w:rsidRPr="00040F5A">
        <w:rPr>
          <w:lang w:val="fr-CH"/>
        </w:rPr>
        <w:t xml:space="preserve">recherche et </w:t>
      </w:r>
      <w:r w:rsidR="00826D05" w:rsidRPr="00040F5A">
        <w:rPr>
          <w:lang w:val="fr-CH"/>
        </w:rPr>
        <w:t>développement</w:t>
      </w:r>
      <w:r w:rsidR="00040F5A" w:rsidRPr="00040F5A">
        <w:rPr>
          <w:lang w:val="fr-CH"/>
        </w:rPr>
        <w:t xml:space="preserve"> </w:t>
      </w:r>
      <w:r w:rsidR="00826D05">
        <w:rPr>
          <w:lang w:val="fr-CH"/>
        </w:rPr>
        <w:t>ou s</w:t>
      </w:r>
      <w:r w:rsidR="00C97A26">
        <w:rPr>
          <w:lang w:val="fr-CH"/>
        </w:rPr>
        <w:t>’</w:t>
      </w:r>
      <w:r w:rsidR="00826D05">
        <w:rPr>
          <w:lang w:val="fr-CH"/>
        </w:rPr>
        <w:t>il était plus proche du département marketing, et s</w:t>
      </w:r>
      <w:r w:rsidR="00C97A26">
        <w:rPr>
          <w:lang w:val="fr-CH"/>
        </w:rPr>
        <w:t>’</w:t>
      </w:r>
      <w:r w:rsidR="00826D05">
        <w:rPr>
          <w:lang w:val="fr-CH"/>
        </w:rPr>
        <w:t>il était pourvu d</w:t>
      </w:r>
      <w:r w:rsidR="00C97A26">
        <w:rPr>
          <w:lang w:val="fr-CH"/>
        </w:rPr>
        <w:t>’</w:t>
      </w:r>
      <w:r w:rsidR="00826D05">
        <w:rPr>
          <w:lang w:val="fr-CH"/>
        </w:rPr>
        <w:t xml:space="preserve">un budget </w:t>
      </w:r>
      <w:r w:rsidR="00826D05" w:rsidRPr="00FF244C">
        <w:rPr>
          <w:lang w:val="fr-CH"/>
        </w:rPr>
        <w:t>prop</w:t>
      </w:r>
      <w:r w:rsidR="00040DB0" w:rsidRPr="00FF244C">
        <w:rPr>
          <w:lang w:val="fr-CH"/>
        </w:rPr>
        <w:t>re</w:t>
      </w:r>
      <w:r w:rsidR="00040DB0">
        <w:rPr>
          <w:lang w:val="fr-CH"/>
        </w:rPr>
        <w:t xml:space="preserve">.  </w:t>
      </w:r>
      <w:r w:rsidR="00040DB0" w:rsidRPr="00FF244C">
        <w:rPr>
          <w:lang w:val="fr-CH"/>
        </w:rPr>
        <w:t>D</w:t>
      </w:r>
      <w:r w:rsidR="00040DB0">
        <w:rPr>
          <w:lang w:val="fr-CH"/>
        </w:rPr>
        <w:t>’</w:t>
      </w:r>
      <w:r w:rsidR="00040DB0" w:rsidRPr="00FF244C">
        <w:rPr>
          <w:lang w:val="fr-CH"/>
        </w:rPr>
        <w:t>a</w:t>
      </w:r>
      <w:r w:rsidR="00826D05" w:rsidRPr="00FF244C">
        <w:rPr>
          <w:lang w:val="fr-CH"/>
        </w:rPr>
        <w:t>utres questions portaient sur les différentes sources d</w:t>
      </w:r>
      <w:r w:rsidR="00C97A26">
        <w:rPr>
          <w:lang w:val="fr-CH"/>
        </w:rPr>
        <w:t>’</w:t>
      </w:r>
      <w:r w:rsidR="00826D05" w:rsidRPr="00FF244C">
        <w:rPr>
          <w:lang w:val="fr-CH"/>
        </w:rPr>
        <w:t>inspiration donnant lieu à des innovations en matière de conception, tel</w:t>
      </w:r>
      <w:r w:rsidR="0090688F">
        <w:rPr>
          <w:lang w:val="fr-CH"/>
        </w:rPr>
        <w:t>les</w:t>
      </w:r>
      <w:r w:rsidR="00826D05" w:rsidRPr="00FF244C">
        <w:rPr>
          <w:lang w:val="fr-CH"/>
        </w:rPr>
        <w:t xml:space="preserve"> que les retours de clients ou les salons dédiés</w:t>
      </w:r>
      <w:r w:rsidR="00FF244C">
        <w:rPr>
          <w:lang w:val="fr-CH"/>
        </w:rPr>
        <w:t xml:space="preserve"> à la conception (</w:t>
      </w:r>
      <w:r w:rsidR="00FF244C" w:rsidRPr="00744DA9">
        <w:rPr>
          <w:lang w:val="fr-CH"/>
        </w:rPr>
        <w:t>salons du design)</w:t>
      </w:r>
      <w:r w:rsidR="000866E8" w:rsidRPr="00744DA9">
        <w:rPr>
          <w:lang w:val="fr-CH"/>
        </w:rPr>
        <w:t>.</w:t>
      </w:r>
    </w:p>
    <w:p w:rsidR="00E35762" w:rsidRDefault="007A37B1" w:rsidP="00E35762">
      <w:pPr>
        <w:spacing w:after="220"/>
        <w:rPr>
          <w:lang w:val="fr-CH"/>
        </w:rPr>
      </w:pPr>
      <w:r w:rsidRPr="00744DA9">
        <w:rPr>
          <w:lang w:val="fr-CH"/>
        </w:rPr>
        <w:t>Le questionnaire d</w:t>
      </w:r>
      <w:r w:rsidR="00C97A26">
        <w:rPr>
          <w:lang w:val="fr-CH"/>
        </w:rPr>
        <w:t>’</w:t>
      </w:r>
      <w:r w:rsidRPr="00744DA9">
        <w:rPr>
          <w:lang w:val="fr-CH"/>
        </w:rPr>
        <w:t>enquête était divisé en deux</w:t>
      </w:r>
      <w:r w:rsidR="00E82EF4">
        <w:rPr>
          <w:lang w:val="fr-CH"/>
        </w:rPr>
        <w:t> </w:t>
      </w:r>
      <w:r w:rsidRPr="00744DA9">
        <w:rPr>
          <w:lang w:val="fr-CH"/>
        </w:rPr>
        <w:t>parti</w:t>
      </w:r>
      <w:r w:rsidR="00040DB0" w:rsidRPr="00744DA9">
        <w:rPr>
          <w:lang w:val="fr-CH"/>
        </w:rPr>
        <w:t>es</w:t>
      </w:r>
      <w:r w:rsidR="00040DB0">
        <w:rPr>
          <w:lang w:val="fr-CH"/>
        </w:rPr>
        <w:t xml:space="preserve">.  </w:t>
      </w:r>
      <w:r w:rsidR="00040DB0" w:rsidRPr="00744DA9">
        <w:rPr>
          <w:lang w:val="fr-CH"/>
        </w:rPr>
        <w:t>La</w:t>
      </w:r>
      <w:r w:rsidRPr="00744DA9">
        <w:rPr>
          <w:lang w:val="fr-CH"/>
        </w:rPr>
        <w:t xml:space="preserve"> première partie portait sur les caractéristiques du déposant et </w:t>
      </w:r>
      <w:r w:rsidR="00FF244C" w:rsidRPr="00744DA9">
        <w:rPr>
          <w:lang w:val="fr-CH"/>
        </w:rPr>
        <w:t>comportait</w:t>
      </w:r>
      <w:r w:rsidRPr="00744DA9">
        <w:rPr>
          <w:lang w:val="fr-CH"/>
        </w:rPr>
        <w:t xml:space="preserve"> des questions visant à déterminer ses caractéristiques telles que son secteur d</w:t>
      </w:r>
      <w:r w:rsidR="00C97A26">
        <w:rPr>
          <w:lang w:val="fr-CH"/>
        </w:rPr>
        <w:t>’</w:t>
      </w:r>
      <w:r w:rsidRPr="00744DA9">
        <w:rPr>
          <w:lang w:val="fr-CH"/>
        </w:rPr>
        <w:t xml:space="preserve">activité, </w:t>
      </w:r>
      <w:r w:rsidR="00744DA9" w:rsidRPr="00744DA9">
        <w:rPr>
          <w:lang w:val="fr-CH"/>
        </w:rPr>
        <w:t>l</w:t>
      </w:r>
      <w:r w:rsidR="00C97A26">
        <w:rPr>
          <w:lang w:val="fr-CH"/>
        </w:rPr>
        <w:t>’</w:t>
      </w:r>
      <w:r w:rsidR="00744DA9" w:rsidRPr="00744DA9">
        <w:rPr>
          <w:lang w:val="fr-CH"/>
        </w:rPr>
        <w:t>existence d</w:t>
      </w:r>
      <w:r w:rsidR="00C97A26">
        <w:rPr>
          <w:lang w:val="fr-CH"/>
        </w:rPr>
        <w:t>’</w:t>
      </w:r>
      <w:r w:rsidR="00744DA9" w:rsidRPr="00744DA9">
        <w:rPr>
          <w:lang w:val="fr-CH"/>
        </w:rPr>
        <w:t>activités d</w:t>
      </w:r>
      <w:r w:rsidR="00C97A26">
        <w:rPr>
          <w:lang w:val="fr-CH"/>
        </w:rPr>
        <w:t>’</w:t>
      </w:r>
      <w:r w:rsidR="00744DA9" w:rsidRPr="00744DA9">
        <w:rPr>
          <w:lang w:val="fr-CH"/>
        </w:rPr>
        <w:t>exportation</w:t>
      </w:r>
      <w:r w:rsidRPr="00744DA9">
        <w:rPr>
          <w:lang w:val="fr-CH"/>
        </w:rPr>
        <w:t xml:space="preserve"> et sa tail</w:t>
      </w:r>
      <w:r w:rsidR="00040DB0" w:rsidRPr="00744DA9">
        <w:rPr>
          <w:lang w:val="fr-CH"/>
        </w:rPr>
        <w:t>le</w:t>
      </w:r>
      <w:r w:rsidR="00040DB0">
        <w:rPr>
          <w:lang w:val="fr-CH"/>
        </w:rPr>
        <w:t xml:space="preserve">.  </w:t>
      </w:r>
      <w:r w:rsidR="00040DB0" w:rsidRPr="00744DA9">
        <w:rPr>
          <w:lang w:val="fr-CH"/>
        </w:rPr>
        <w:t>Si</w:t>
      </w:r>
      <w:r w:rsidRPr="00744DA9">
        <w:rPr>
          <w:lang w:val="fr-CH"/>
        </w:rPr>
        <w:t xml:space="preserve"> le déposant était un particulier, un questionnaire légèrement</w:t>
      </w:r>
      <w:r>
        <w:rPr>
          <w:lang w:val="fr-CH"/>
        </w:rPr>
        <w:t xml:space="preserve"> adapté était utili</w:t>
      </w:r>
      <w:r w:rsidR="00040DB0">
        <w:rPr>
          <w:lang w:val="fr-CH"/>
        </w:rPr>
        <w:t>sé.  Le</w:t>
      </w:r>
      <w:r w:rsidR="00355861">
        <w:rPr>
          <w:lang w:val="fr-CH"/>
        </w:rPr>
        <w:t> </w:t>
      </w:r>
      <w:r w:rsidR="00DD5232">
        <w:rPr>
          <w:lang w:val="fr-CH"/>
        </w:rPr>
        <w:t xml:space="preserve">questionnaire adapté </w:t>
      </w:r>
      <w:r w:rsidR="00744DA9">
        <w:rPr>
          <w:lang w:val="fr-CH"/>
        </w:rPr>
        <w:t>comportait</w:t>
      </w:r>
      <w:r w:rsidR="00DD5232">
        <w:rPr>
          <w:lang w:val="fr-CH"/>
        </w:rPr>
        <w:t xml:space="preserve"> </w:t>
      </w:r>
      <w:r w:rsidR="00744DA9">
        <w:rPr>
          <w:lang w:val="fr-CH"/>
        </w:rPr>
        <w:t xml:space="preserve">notamment </w:t>
      </w:r>
      <w:r w:rsidR="00DD5232">
        <w:rPr>
          <w:lang w:val="fr-CH"/>
        </w:rPr>
        <w:t xml:space="preserve">des questions </w:t>
      </w:r>
      <w:r w:rsidR="00744DA9">
        <w:rPr>
          <w:lang w:val="fr-CH"/>
        </w:rPr>
        <w:t xml:space="preserve">portant sur la </w:t>
      </w:r>
      <w:r w:rsidR="00DD5232">
        <w:rPr>
          <w:lang w:val="fr-CH"/>
        </w:rPr>
        <w:t xml:space="preserve">situation professionnelle du particulier et </w:t>
      </w:r>
      <w:r w:rsidR="00744DA9">
        <w:rPr>
          <w:lang w:val="fr-CH"/>
        </w:rPr>
        <w:t>s</w:t>
      </w:r>
      <w:r w:rsidR="00C97A26">
        <w:rPr>
          <w:lang w:val="fr-CH"/>
        </w:rPr>
        <w:t>’</w:t>
      </w:r>
      <w:r w:rsidR="00744DA9">
        <w:rPr>
          <w:lang w:val="fr-CH"/>
        </w:rPr>
        <w:t>intéressant à l</w:t>
      </w:r>
      <w:r w:rsidR="00C97A26">
        <w:rPr>
          <w:lang w:val="fr-CH"/>
        </w:rPr>
        <w:t>’</w:t>
      </w:r>
      <w:r w:rsidR="00744DA9">
        <w:rPr>
          <w:lang w:val="fr-CH"/>
        </w:rPr>
        <w:t>existence éventuelle</w:t>
      </w:r>
      <w:r w:rsidR="00DD5232">
        <w:rPr>
          <w:lang w:val="fr-CH"/>
        </w:rPr>
        <w:t xml:space="preserve"> </w:t>
      </w:r>
      <w:r w:rsidR="00744DA9">
        <w:rPr>
          <w:lang w:val="fr-CH"/>
        </w:rPr>
        <w:t>d</w:t>
      </w:r>
      <w:r w:rsidR="00C97A26">
        <w:rPr>
          <w:lang w:val="fr-CH"/>
        </w:rPr>
        <w:t>’</w:t>
      </w:r>
      <w:r w:rsidR="00DD5232">
        <w:rPr>
          <w:lang w:val="fr-CH"/>
        </w:rPr>
        <w:t>un lien entre le particulier et l</w:t>
      </w:r>
      <w:r w:rsidR="00C97A26">
        <w:rPr>
          <w:lang w:val="fr-CH"/>
        </w:rPr>
        <w:t>’</w:t>
      </w:r>
      <w:r w:rsidR="00DD5232">
        <w:rPr>
          <w:lang w:val="fr-CH"/>
        </w:rPr>
        <w:t xml:space="preserve">entité commerciale </w:t>
      </w:r>
      <w:r w:rsidR="00744DA9">
        <w:rPr>
          <w:lang w:val="fr-CH"/>
        </w:rPr>
        <w:t>produisant</w:t>
      </w:r>
      <w:r w:rsidR="00DD5232">
        <w:rPr>
          <w:lang w:val="fr-CH"/>
        </w:rPr>
        <w:t xml:space="preserve"> </w:t>
      </w:r>
      <w:r w:rsidR="00DD5232" w:rsidRPr="00744DA9">
        <w:rPr>
          <w:lang w:val="fr-CH"/>
        </w:rPr>
        <w:t xml:space="preserve">la conception protégée </w:t>
      </w:r>
      <w:r w:rsidR="00CB09B3" w:rsidRPr="00744DA9">
        <w:rPr>
          <w:lang w:val="fr-CH"/>
        </w:rPr>
        <w:t>au titre de</w:t>
      </w:r>
      <w:r w:rsidR="008F225C" w:rsidRPr="00744DA9">
        <w:rPr>
          <w:lang w:val="fr-CH"/>
        </w:rPr>
        <w:t xml:space="preserve"> dessin ou modèle industriel</w:t>
      </w:r>
      <w:r w:rsidR="000866E8" w:rsidRPr="00744DA9">
        <w:rPr>
          <w:lang w:val="fr-CH"/>
        </w:rPr>
        <w:t>.</w:t>
      </w:r>
    </w:p>
    <w:p w:rsidR="00E35762" w:rsidRDefault="00DD5232" w:rsidP="00E35762">
      <w:pPr>
        <w:spacing w:after="220"/>
        <w:rPr>
          <w:lang w:val="fr-CH"/>
        </w:rPr>
      </w:pPr>
      <w:r w:rsidRPr="008F225C">
        <w:rPr>
          <w:lang w:val="fr-CH"/>
        </w:rPr>
        <w:t>La seconde partie du questio</w:t>
      </w:r>
      <w:r w:rsidR="00744DA9">
        <w:rPr>
          <w:lang w:val="fr-CH"/>
        </w:rPr>
        <w:t xml:space="preserve">nnaire se concentrait </w:t>
      </w:r>
      <w:r w:rsidR="008F225C" w:rsidRPr="008F225C">
        <w:rPr>
          <w:lang w:val="fr-CH"/>
        </w:rPr>
        <w:t>sur l</w:t>
      </w:r>
      <w:r w:rsidR="00C97A26">
        <w:rPr>
          <w:lang w:val="fr-CH"/>
        </w:rPr>
        <w:t>’</w:t>
      </w:r>
      <w:r w:rsidR="008F225C" w:rsidRPr="008F225C">
        <w:rPr>
          <w:lang w:val="fr-CH"/>
        </w:rPr>
        <w:t xml:space="preserve">examen des </w:t>
      </w:r>
      <w:r w:rsidR="008F225C" w:rsidRPr="00744DA9">
        <w:rPr>
          <w:lang w:val="fr-CH"/>
        </w:rPr>
        <w:t>conceptions de</w:t>
      </w:r>
      <w:r w:rsidR="00744DA9" w:rsidRPr="00744DA9">
        <w:rPr>
          <w:lang w:val="fr-CH"/>
        </w:rPr>
        <w:t>s</w:t>
      </w:r>
      <w:r w:rsidR="008F225C" w:rsidRPr="00744DA9">
        <w:rPr>
          <w:lang w:val="fr-CH"/>
        </w:rPr>
        <w:t xml:space="preserve"> utilisateurs, protégées au titre de dessins ou modèles industrie</w:t>
      </w:r>
      <w:r w:rsidR="00040DB0" w:rsidRPr="00744DA9">
        <w:rPr>
          <w:lang w:val="fr-CH"/>
        </w:rPr>
        <w:t>ls</w:t>
      </w:r>
      <w:r w:rsidR="00040DB0">
        <w:rPr>
          <w:lang w:val="fr-CH"/>
        </w:rPr>
        <w:t xml:space="preserve">.  </w:t>
      </w:r>
      <w:r w:rsidR="00040DB0" w:rsidRPr="00B2514C">
        <w:rPr>
          <w:lang w:val="fr-CH"/>
        </w:rPr>
        <w:t>En</w:t>
      </w:r>
      <w:r w:rsidR="00B2514C" w:rsidRPr="00B2514C">
        <w:rPr>
          <w:lang w:val="fr-CH"/>
        </w:rPr>
        <w:t xml:space="preserve"> autres, </w:t>
      </w:r>
      <w:r w:rsidR="00744DA9">
        <w:rPr>
          <w:lang w:val="fr-CH"/>
        </w:rPr>
        <w:t>les questions portaient sur les</w:t>
      </w:r>
      <w:r w:rsidR="00B2514C" w:rsidRPr="00B2514C">
        <w:rPr>
          <w:lang w:val="fr-CH"/>
        </w:rPr>
        <w:t xml:space="preserve"> caractéristiques </w:t>
      </w:r>
      <w:r w:rsidR="00B2514C" w:rsidRPr="00744DA9">
        <w:rPr>
          <w:lang w:val="fr-CH"/>
        </w:rPr>
        <w:t>des concepteurs</w:t>
      </w:r>
      <w:r w:rsidR="00B2514C" w:rsidRPr="00B2514C">
        <w:rPr>
          <w:lang w:val="fr-CH"/>
        </w:rPr>
        <w:t xml:space="preserve"> </w:t>
      </w:r>
      <w:r w:rsidR="00744DA9">
        <w:rPr>
          <w:lang w:val="fr-CH"/>
        </w:rPr>
        <w:t>répertoriés</w:t>
      </w:r>
      <w:r w:rsidR="00B2514C" w:rsidRPr="00B2514C">
        <w:rPr>
          <w:lang w:val="fr-CH"/>
        </w:rPr>
        <w:t xml:space="preserve"> dans les</w:t>
      </w:r>
      <w:r w:rsidR="00744DA9">
        <w:rPr>
          <w:lang w:val="fr-CH"/>
        </w:rPr>
        <w:t xml:space="preserve"> demandes de protection des</w:t>
      </w:r>
      <w:r w:rsidR="00B2514C" w:rsidRPr="00B2514C">
        <w:rPr>
          <w:lang w:val="fr-CH"/>
        </w:rPr>
        <w:t xml:space="preserve"> dessins </w:t>
      </w:r>
      <w:r w:rsidR="00744DA9" w:rsidRPr="00C1652B">
        <w:rPr>
          <w:lang w:val="fr-CH"/>
        </w:rPr>
        <w:t>et</w:t>
      </w:r>
      <w:r w:rsidR="00977232">
        <w:rPr>
          <w:lang w:val="fr-CH"/>
        </w:rPr>
        <w:t xml:space="preserve"> modèles industriels</w:t>
      </w:r>
      <w:r w:rsidR="00B2514C" w:rsidRPr="00C1652B">
        <w:rPr>
          <w:lang w:val="fr-CH"/>
        </w:rPr>
        <w:t xml:space="preserve"> </w:t>
      </w:r>
      <w:r w:rsidR="00744DA9" w:rsidRPr="00C1652B">
        <w:rPr>
          <w:lang w:val="fr-CH"/>
        </w:rPr>
        <w:t>et visaient à déterminer si et comment</w:t>
      </w:r>
      <w:r w:rsidR="00B2514C" w:rsidRPr="00C1652B">
        <w:rPr>
          <w:lang w:val="fr-CH"/>
        </w:rPr>
        <w:t xml:space="preserve"> les dessins et modèles industriels étaient commercialisés, leur valeur de marché et si le dessin ou modèle sous</w:t>
      </w:r>
      <w:r w:rsidR="009B2FD7">
        <w:rPr>
          <w:lang w:val="fr-CH"/>
        </w:rPr>
        <w:noBreakHyphen/>
      </w:r>
      <w:r w:rsidR="00B2514C" w:rsidRPr="00C1652B">
        <w:rPr>
          <w:lang w:val="fr-CH"/>
        </w:rPr>
        <w:t xml:space="preserve">jacent était </w:t>
      </w:r>
      <w:r w:rsidR="00C1652B">
        <w:rPr>
          <w:lang w:val="fr-CH"/>
        </w:rPr>
        <w:t>imité</w:t>
      </w:r>
      <w:r w:rsidR="000866E8" w:rsidRPr="00C1652B">
        <w:rPr>
          <w:lang w:val="fr-CH"/>
        </w:rPr>
        <w:t>.</w:t>
      </w:r>
    </w:p>
    <w:p w:rsidR="00E35762" w:rsidRDefault="00C745D8" w:rsidP="00E35762">
      <w:pPr>
        <w:spacing w:after="220"/>
        <w:rPr>
          <w:lang w:val="fr-CH"/>
        </w:rPr>
      </w:pPr>
      <w:r w:rsidRPr="00C745D8">
        <w:rPr>
          <w:lang w:val="fr-CH"/>
        </w:rPr>
        <w:t xml:space="preserve">La plupart des personnes interrogées ont reçu un questionnaire sur mesure </w:t>
      </w:r>
      <w:r w:rsidR="00744DA9">
        <w:rPr>
          <w:lang w:val="fr-CH"/>
        </w:rPr>
        <w:t>comprenant</w:t>
      </w:r>
      <w:r w:rsidRPr="00C745D8">
        <w:rPr>
          <w:lang w:val="fr-CH"/>
        </w:rPr>
        <w:t xml:space="preserve"> l</w:t>
      </w:r>
      <w:r w:rsidR="00C97A26">
        <w:rPr>
          <w:lang w:val="fr-CH"/>
        </w:rPr>
        <w:t>’</w:t>
      </w:r>
      <w:r w:rsidRPr="00C745D8">
        <w:rPr>
          <w:lang w:val="fr-CH"/>
        </w:rPr>
        <w:t xml:space="preserve">image </w:t>
      </w:r>
      <w:r w:rsidR="00977232">
        <w:rPr>
          <w:lang w:val="fr-CH"/>
        </w:rPr>
        <w:t>du</w:t>
      </w:r>
      <w:r w:rsidRPr="00C745D8">
        <w:rPr>
          <w:lang w:val="fr-CH"/>
        </w:rPr>
        <w:t xml:space="preserve"> modèle ou dessin pour lequel une </w:t>
      </w:r>
      <w:r w:rsidRPr="00744DA9">
        <w:rPr>
          <w:lang w:val="fr-CH"/>
        </w:rPr>
        <w:t xml:space="preserve">demande </w:t>
      </w:r>
      <w:r w:rsidR="00226E66" w:rsidRPr="00744DA9">
        <w:rPr>
          <w:lang w:val="fr-CH"/>
        </w:rPr>
        <w:t>d</w:t>
      </w:r>
      <w:r w:rsidR="00C97A26">
        <w:rPr>
          <w:lang w:val="fr-CH"/>
        </w:rPr>
        <w:t>’</w:t>
      </w:r>
      <w:r w:rsidR="00226E66" w:rsidRPr="00744DA9">
        <w:rPr>
          <w:lang w:val="fr-CH"/>
        </w:rPr>
        <w:t xml:space="preserve">enregistrement </w:t>
      </w:r>
      <w:r w:rsidRPr="00744DA9">
        <w:rPr>
          <w:lang w:val="fr-CH"/>
        </w:rPr>
        <w:t xml:space="preserve">de dessin ou modèle </w:t>
      </w:r>
      <w:r w:rsidR="00226E66" w:rsidRPr="00744DA9">
        <w:rPr>
          <w:lang w:val="fr-CH"/>
        </w:rPr>
        <w:t>avait été</w:t>
      </w:r>
      <w:r w:rsidRPr="00744DA9">
        <w:rPr>
          <w:lang w:val="fr-CH"/>
        </w:rPr>
        <w:t xml:space="preserve"> dépos</w:t>
      </w:r>
      <w:r w:rsidR="00040DB0" w:rsidRPr="00744DA9">
        <w:rPr>
          <w:lang w:val="fr-CH"/>
        </w:rPr>
        <w:t>ée</w:t>
      </w:r>
      <w:r w:rsidR="00040DB0">
        <w:rPr>
          <w:lang w:val="fr-CH"/>
        </w:rPr>
        <w:t xml:space="preserve">.  </w:t>
      </w:r>
      <w:r w:rsidR="00040DB0" w:rsidRPr="00744DA9">
        <w:rPr>
          <w:lang w:val="fr-CH"/>
        </w:rPr>
        <w:t>Po</w:t>
      </w:r>
      <w:r w:rsidRPr="00744DA9">
        <w:rPr>
          <w:lang w:val="fr-CH"/>
        </w:rPr>
        <w:t>ur les quelques personnes interrogées</w:t>
      </w:r>
      <w:r>
        <w:rPr>
          <w:lang w:val="fr-CH"/>
        </w:rPr>
        <w:t xml:space="preserve"> ayant déposé plus d</w:t>
      </w:r>
      <w:r w:rsidR="00C97A26">
        <w:rPr>
          <w:lang w:val="fr-CH"/>
        </w:rPr>
        <w:t>’</w:t>
      </w:r>
      <w:r>
        <w:rPr>
          <w:lang w:val="fr-CH"/>
        </w:rPr>
        <w:t>une demande</w:t>
      </w:r>
      <w:r w:rsidR="00226E66">
        <w:rPr>
          <w:lang w:val="fr-CH"/>
        </w:rPr>
        <w:t xml:space="preserve"> d</w:t>
      </w:r>
      <w:r w:rsidR="00C97A26">
        <w:rPr>
          <w:lang w:val="fr-CH"/>
        </w:rPr>
        <w:t>’</w:t>
      </w:r>
      <w:r w:rsidR="00226E66">
        <w:rPr>
          <w:lang w:val="fr-CH"/>
        </w:rPr>
        <w:t>enregistrement</w:t>
      </w:r>
      <w:r>
        <w:rPr>
          <w:lang w:val="fr-CH"/>
        </w:rPr>
        <w:t xml:space="preserve"> de dessin ou modèle industriel au cours des années sur lesquelles portait l</w:t>
      </w:r>
      <w:r w:rsidR="00C97A26">
        <w:rPr>
          <w:lang w:val="fr-CH"/>
        </w:rPr>
        <w:t>’</w:t>
      </w:r>
      <w:r>
        <w:rPr>
          <w:lang w:val="fr-CH"/>
        </w:rPr>
        <w:t>enquête, il était demandé à chaque pe</w:t>
      </w:r>
      <w:r w:rsidR="0094632F">
        <w:rPr>
          <w:lang w:val="fr-CH"/>
        </w:rPr>
        <w:t>rsonne interrogée de répondre à des questionnaires distincts</w:t>
      </w:r>
      <w:r>
        <w:rPr>
          <w:lang w:val="fr-CH"/>
        </w:rPr>
        <w:t xml:space="preserve"> pour </w:t>
      </w:r>
      <w:r w:rsidR="00226E66">
        <w:rPr>
          <w:lang w:val="fr-CH"/>
        </w:rPr>
        <w:t>un maximum de quatre</w:t>
      </w:r>
      <w:r w:rsidR="00E82EF4">
        <w:rPr>
          <w:lang w:val="fr-CH"/>
        </w:rPr>
        <w:t> </w:t>
      </w:r>
      <w:r w:rsidR="00226E66">
        <w:rPr>
          <w:lang w:val="fr-CH"/>
        </w:rPr>
        <w:t>demandes d</w:t>
      </w:r>
      <w:r w:rsidR="00C97A26">
        <w:rPr>
          <w:lang w:val="fr-CH"/>
        </w:rPr>
        <w:t>’</w:t>
      </w:r>
      <w:r w:rsidR="00226E66">
        <w:rPr>
          <w:lang w:val="fr-CH"/>
        </w:rPr>
        <w:t>enregistrement de</w:t>
      </w:r>
      <w:r>
        <w:rPr>
          <w:lang w:val="fr-CH"/>
        </w:rPr>
        <w:t xml:space="preserve"> dessin ou modèle</w:t>
      </w:r>
      <w:r w:rsidR="000866E8" w:rsidRPr="00C745D8">
        <w:rPr>
          <w:lang w:val="fr-CH"/>
        </w:rPr>
        <w:t>.</w:t>
      </w:r>
    </w:p>
    <w:p w:rsidR="00E35762" w:rsidRDefault="00620A92" w:rsidP="005328BE">
      <w:pPr>
        <w:spacing w:before="360" w:after="180"/>
        <w:rPr>
          <w:b/>
          <w:bCs/>
          <w:lang w:val="fr-CH"/>
        </w:rPr>
      </w:pPr>
      <w:r w:rsidRPr="005E33D4">
        <w:rPr>
          <w:b/>
          <w:bCs/>
          <w:lang w:val="fr-CH"/>
        </w:rPr>
        <w:t>Principales conclusions</w:t>
      </w:r>
    </w:p>
    <w:p w:rsidR="00E35762" w:rsidRDefault="00C745D8" w:rsidP="00E35762">
      <w:pPr>
        <w:spacing w:after="220"/>
        <w:rPr>
          <w:lang w:val="fr-CH"/>
        </w:rPr>
      </w:pPr>
      <w:r w:rsidRPr="009A76EF">
        <w:rPr>
          <w:lang w:val="fr-CH"/>
        </w:rPr>
        <w:t>L</w:t>
      </w:r>
      <w:r w:rsidR="00C97A26">
        <w:rPr>
          <w:lang w:val="fr-CH"/>
        </w:rPr>
        <w:t>’</w:t>
      </w:r>
      <w:r w:rsidRPr="009A76EF">
        <w:rPr>
          <w:lang w:val="fr-CH"/>
        </w:rPr>
        <w:t>analyse desc</w:t>
      </w:r>
      <w:r w:rsidR="009A76EF" w:rsidRPr="009A76EF">
        <w:rPr>
          <w:lang w:val="fr-CH"/>
        </w:rPr>
        <w:t>riptive des résultats de l</w:t>
      </w:r>
      <w:r w:rsidR="00C97A26">
        <w:rPr>
          <w:lang w:val="fr-CH"/>
        </w:rPr>
        <w:t>’</w:t>
      </w:r>
      <w:r w:rsidR="009A76EF" w:rsidRPr="009A76EF">
        <w:rPr>
          <w:lang w:val="fr-CH"/>
        </w:rPr>
        <w:t xml:space="preserve">enquête offre un large éventail de connaissances qui peuvent être résumés </w:t>
      </w:r>
      <w:r w:rsidR="009A76EF">
        <w:rPr>
          <w:lang w:val="fr-CH"/>
        </w:rPr>
        <w:t>comme suit</w:t>
      </w:r>
      <w:r w:rsidR="00E82EF4">
        <w:rPr>
          <w:lang w:val="fr-CH"/>
        </w:rPr>
        <w:t> </w:t>
      </w:r>
      <w:r w:rsidR="000866E8" w:rsidRPr="009A76EF">
        <w:rPr>
          <w:lang w:val="fr-CH"/>
        </w:rPr>
        <w:t>:</w:t>
      </w:r>
    </w:p>
    <w:p w:rsidR="000866E8" w:rsidRPr="00167DD1" w:rsidRDefault="009A76EF" w:rsidP="00A97834">
      <w:pPr>
        <w:numPr>
          <w:ilvl w:val="0"/>
          <w:numId w:val="9"/>
        </w:numPr>
        <w:spacing w:after="180"/>
        <w:ind w:left="1134" w:hanging="567"/>
        <w:rPr>
          <w:lang w:val="fr-CH"/>
        </w:rPr>
      </w:pPr>
      <w:r w:rsidRPr="009A76EF">
        <w:rPr>
          <w:lang w:val="fr-CH"/>
        </w:rPr>
        <w:t xml:space="preserve">La plupart des utilisateurs de dessins et modèles sont des </w:t>
      </w:r>
      <w:r>
        <w:rPr>
          <w:lang w:val="fr-CH"/>
        </w:rPr>
        <w:t>entreprises</w:t>
      </w:r>
      <w:r w:rsidRPr="009A76EF">
        <w:rPr>
          <w:lang w:val="fr-CH"/>
        </w:rPr>
        <w:t xml:space="preserve"> privées </w:t>
      </w:r>
      <w:r>
        <w:rPr>
          <w:lang w:val="fr-CH"/>
        </w:rPr>
        <w:t>et locales</w:t>
      </w:r>
      <w:r w:rsidR="00977232">
        <w:rPr>
          <w:lang w:val="fr-CH"/>
        </w:rPr>
        <w:t>,</w:t>
      </w:r>
      <w:r>
        <w:rPr>
          <w:lang w:val="fr-CH"/>
        </w:rPr>
        <w:t xml:space="preserve"> les </w:t>
      </w:r>
      <w:r w:rsidRPr="0072217F">
        <w:rPr>
          <w:lang w:val="fr-CH"/>
        </w:rPr>
        <w:t xml:space="preserve">entreprises </w:t>
      </w:r>
      <w:r w:rsidR="0072217F" w:rsidRPr="0072217F">
        <w:rPr>
          <w:lang w:val="fr-CH"/>
        </w:rPr>
        <w:t>publiques</w:t>
      </w:r>
      <w:r w:rsidRPr="0072217F">
        <w:rPr>
          <w:lang w:val="fr-CH"/>
        </w:rPr>
        <w:t xml:space="preserve"> et les</w:t>
      </w:r>
      <w:r>
        <w:rPr>
          <w:lang w:val="fr-CH"/>
        </w:rPr>
        <w:t xml:space="preserve"> filiales des entreprises étrangères jouant un rôle relativement mine</w:t>
      </w:r>
      <w:r w:rsidR="00040DB0">
        <w:rPr>
          <w:lang w:val="fr-CH"/>
        </w:rPr>
        <w:t xml:space="preserve">ur.  </w:t>
      </w:r>
      <w:r w:rsidR="00040DB0" w:rsidRPr="003A7CB9">
        <w:rPr>
          <w:lang w:val="fr-CH"/>
        </w:rPr>
        <w:t>La</w:t>
      </w:r>
      <w:r w:rsidR="003A7CB9" w:rsidRPr="003A7CB9">
        <w:rPr>
          <w:lang w:val="fr-CH"/>
        </w:rPr>
        <w:t xml:space="preserve"> plupart des entreprises avaient 21</w:t>
      </w:r>
      <w:r w:rsidR="0090688F">
        <w:rPr>
          <w:lang w:val="fr-CH"/>
        </w:rPr>
        <w:t> </w:t>
      </w:r>
      <w:r w:rsidR="003A7CB9" w:rsidRPr="003A7CB9">
        <w:rPr>
          <w:lang w:val="fr-CH"/>
        </w:rPr>
        <w:t>ans ou pl</w:t>
      </w:r>
      <w:r w:rsidR="00040DB0" w:rsidRPr="003A7CB9">
        <w:rPr>
          <w:lang w:val="fr-CH"/>
        </w:rPr>
        <w:t>us</w:t>
      </w:r>
      <w:r w:rsidR="00040DB0">
        <w:rPr>
          <w:lang w:val="fr-CH"/>
        </w:rPr>
        <w:t xml:space="preserve">.  </w:t>
      </w:r>
      <w:r w:rsidR="00040DB0" w:rsidRPr="003A7CB9">
        <w:rPr>
          <w:lang w:val="fr-CH"/>
        </w:rPr>
        <w:t>Le</w:t>
      </w:r>
      <w:r w:rsidR="003A7CB9" w:rsidRPr="003A7CB9">
        <w:rPr>
          <w:lang w:val="fr-CH"/>
        </w:rPr>
        <w:t>s</w:t>
      </w:r>
      <w:r w:rsidR="00F27710">
        <w:rPr>
          <w:lang w:val="fr-CH"/>
        </w:rPr>
        <w:t> </w:t>
      </w:r>
      <w:r w:rsidR="003A7CB9" w:rsidRPr="003A7CB9">
        <w:rPr>
          <w:lang w:val="fr-CH"/>
        </w:rPr>
        <w:t xml:space="preserve">petites </w:t>
      </w:r>
      <w:r w:rsidR="003A7CB9">
        <w:rPr>
          <w:lang w:val="fr-CH"/>
        </w:rPr>
        <w:t>entreprises</w:t>
      </w:r>
      <w:r w:rsidR="003A7CB9" w:rsidRPr="003A7CB9">
        <w:rPr>
          <w:lang w:val="fr-CH"/>
        </w:rPr>
        <w:t xml:space="preserve"> comptaient le plus grand nombre d</w:t>
      </w:r>
      <w:r w:rsidR="00C97A26">
        <w:rPr>
          <w:lang w:val="fr-CH"/>
        </w:rPr>
        <w:t>’</w:t>
      </w:r>
      <w:r w:rsidR="003A7CB9" w:rsidRPr="003A7CB9">
        <w:rPr>
          <w:lang w:val="fr-CH"/>
        </w:rPr>
        <w:t xml:space="preserve">utilisateurs, suivies par les </w:t>
      </w:r>
      <w:r w:rsidR="003A7CB9">
        <w:rPr>
          <w:lang w:val="fr-CH"/>
        </w:rPr>
        <w:t>entreprises</w:t>
      </w:r>
      <w:r w:rsidR="003A7CB9" w:rsidRPr="003A7CB9">
        <w:rPr>
          <w:lang w:val="fr-CH"/>
        </w:rPr>
        <w:t xml:space="preserve"> de taille moyenne et les grandes </w:t>
      </w:r>
      <w:r w:rsidR="003A7CB9">
        <w:rPr>
          <w:lang w:val="fr-CH"/>
        </w:rPr>
        <w:t>entreprises</w:t>
      </w:r>
      <w:r w:rsidR="000866E8" w:rsidRPr="00167DD1">
        <w:rPr>
          <w:lang w:val="fr-CH"/>
        </w:rPr>
        <w:t>.</w:t>
      </w:r>
    </w:p>
    <w:p w:rsidR="00C97A26" w:rsidRDefault="00167DD1" w:rsidP="00A97834">
      <w:pPr>
        <w:numPr>
          <w:ilvl w:val="0"/>
          <w:numId w:val="9"/>
        </w:numPr>
        <w:spacing w:after="180"/>
        <w:ind w:left="1134" w:hanging="567"/>
        <w:rPr>
          <w:lang w:val="fr-CH"/>
        </w:rPr>
      </w:pPr>
      <w:r w:rsidRPr="00167DD1">
        <w:rPr>
          <w:lang w:val="fr-CH"/>
        </w:rPr>
        <w:t xml:space="preserve">Environ 22% des utilisateurs de dessins et modèles </w:t>
      </w:r>
      <w:r w:rsidRPr="008852E5">
        <w:rPr>
          <w:lang w:val="fr-CH"/>
        </w:rPr>
        <w:t xml:space="preserve">industriels ont indiqué </w:t>
      </w:r>
      <w:r w:rsidR="00AB0106" w:rsidRPr="008852E5">
        <w:rPr>
          <w:lang w:val="fr-CH"/>
        </w:rPr>
        <w:t>avoir des activités d</w:t>
      </w:r>
      <w:r w:rsidR="00C97A26">
        <w:rPr>
          <w:lang w:val="fr-CH"/>
        </w:rPr>
        <w:t>’</w:t>
      </w:r>
      <w:r w:rsidR="00AB0106" w:rsidRPr="008852E5">
        <w:rPr>
          <w:lang w:val="fr-CH"/>
        </w:rPr>
        <w:t>exportation</w:t>
      </w:r>
      <w:r w:rsidRPr="008852E5">
        <w:rPr>
          <w:lang w:val="fr-CH"/>
        </w:rPr>
        <w:t>, avec une répartition relativement large des</w:t>
      </w:r>
      <w:r>
        <w:rPr>
          <w:lang w:val="fr-CH"/>
        </w:rPr>
        <w:t xml:space="preserve"> revenus d</w:t>
      </w:r>
      <w:r w:rsidR="00C97A26">
        <w:rPr>
          <w:lang w:val="fr-CH"/>
        </w:rPr>
        <w:t>’</w:t>
      </w:r>
      <w:r>
        <w:rPr>
          <w:lang w:val="fr-CH"/>
        </w:rPr>
        <w:t>exportati</w:t>
      </w:r>
      <w:r w:rsidR="00040DB0">
        <w:rPr>
          <w:lang w:val="fr-CH"/>
        </w:rPr>
        <w:t xml:space="preserve">on.  </w:t>
      </w:r>
      <w:r w:rsidR="00040DB0" w:rsidRPr="001C1E79">
        <w:rPr>
          <w:lang w:val="fr-CH"/>
        </w:rPr>
        <w:t>Ce</w:t>
      </w:r>
      <w:r w:rsidR="001C1E79" w:rsidRPr="001C1E79">
        <w:rPr>
          <w:lang w:val="fr-CH"/>
        </w:rPr>
        <w:t xml:space="preserve">tte part dépasse la part </w:t>
      </w:r>
      <w:r w:rsidR="008852E5">
        <w:rPr>
          <w:lang w:val="fr-CH"/>
        </w:rPr>
        <w:t>ordinaire</w:t>
      </w:r>
      <w:r w:rsidR="001C1E79" w:rsidRPr="001C1E79">
        <w:rPr>
          <w:lang w:val="fr-CH"/>
        </w:rPr>
        <w:t xml:space="preserve"> des exportations</w:t>
      </w:r>
      <w:r w:rsidR="001C1E79">
        <w:rPr>
          <w:lang w:val="fr-CH"/>
        </w:rPr>
        <w:t xml:space="preserve"> des entrepris</w:t>
      </w:r>
      <w:r w:rsidR="00040DB0">
        <w:rPr>
          <w:lang w:val="fr-CH"/>
        </w:rPr>
        <w:t>es.  Il</w:t>
      </w:r>
      <w:r w:rsidR="001C1E79">
        <w:rPr>
          <w:lang w:val="fr-CH"/>
        </w:rPr>
        <w:t xml:space="preserve"> en ressort que l</w:t>
      </w:r>
      <w:r w:rsidR="00C97A26">
        <w:rPr>
          <w:lang w:val="fr-CH"/>
        </w:rPr>
        <w:t>’</w:t>
      </w:r>
      <w:r w:rsidR="001C1E79">
        <w:rPr>
          <w:lang w:val="fr-CH"/>
        </w:rPr>
        <w:t xml:space="preserve">innovation </w:t>
      </w:r>
      <w:r w:rsidR="001C1E79" w:rsidRPr="00AB0106">
        <w:rPr>
          <w:lang w:val="fr-CH"/>
        </w:rPr>
        <w:t xml:space="preserve">en matière de dessins et modèles peut être une manière de </w:t>
      </w:r>
      <w:r w:rsidR="00B0777F" w:rsidRPr="00AB0106">
        <w:rPr>
          <w:lang w:val="fr-CH"/>
        </w:rPr>
        <w:t>prendre pied sur les marchés étrange</w:t>
      </w:r>
      <w:r w:rsidR="00040DB0" w:rsidRPr="00AB0106">
        <w:rPr>
          <w:lang w:val="fr-CH"/>
        </w:rPr>
        <w:t>rs</w:t>
      </w:r>
      <w:r w:rsidR="00040DB0">
        <w:rPr>
          <w:lang w:val="fr-CH"/>
        </w:rPr>
        <w:t>.  D’</w:t>
      </w:r>
      <w:r w:rsidR="00040DB0" w:rsidRPr="00B0777F">
        <w:rPr>
          <w:lang w:val="fr-CH"/>
        </w:rPr>
        <w:t>a</w:t>
      </w:r>
      <w:r w:rsidR="00B0777F" w:rsidRPr="00B0777F">
        <w:rPr>
          <w:lang w:val="fr-CH"/>
        </w:rPr>
        <w:t>utres pays de l</w:t>
      </w:r>
      <w:r w:rsidR="00C97A26">
        <w:rPr>
          <w:lang w:val="fr-CH"/>
        </w:rPr>
        <w:t>’</w:t>
      </w:r>
      <w:r w:rsidR="00B0777F" w:rsidRPr="00B0777F">
        <w:rPr>
          <w:lang w:val="fr-CH"/>
        </w:rPr>
        <w:t>ASEAN</w:t>
      </w:r>
      <w:r w:rsidR="00B0777F">
        <w:rPr>
          <w:lang w:val="fr-CH"/>
        </w:rPr>
        <w:t xml:space="preserve"> constituaient les principales destinations d</w:t>
      </w:r>
      <w:r w:rsidR="00C97A26">
        <w:rPr>
          <w:lang w:val="fr-CH"/>
        </w:rPr>
        <w:t>’</w:t>
      </w:r>
      <w:r w:rsidR="00B0777F">
        <w:rPr>
          <w:lang w:val="fr-CH"/>
        </w:rPr>
        <w:t>exportation, suivies par d</w:t>
      </w:r>
      <w:r w:rsidR="00C97A26">
        <w:rPr>
          <w:lang w:val="fr-CH"/>
        </w:rPr>
        <w:t>’</w:t>
      </w:r>
      <w:r w:rsidR="00B0777F">
        <w:rPr>
          <w:lang w:val="fr-CH"/>
        </w:rPr>
        <w:t>autres économies asiatiques</w:t>
      </w:r>
      <w:r w:rsidR="000866E8" w:rsidRPr="00B0777F">
        <w:rPr>
          <w:lang w:val="fr-CH"/>
        </w:rPr>
        <w:t>.</w:t>
      </w:r>
    </w:p>
    <w:p w:rsidR="000866E8" w:rsidRPr="00611671" w:rsidRDefault="00B0777F" w:rsidP="00A97834">
      <w:pPr>
        <w:numPr>
          <w:ilvl w:val="0"/>
          <w:numId w:val="9"/>
        </w:numPr>
        <w:tabs>
          <w:tab w:val="left" w:pos="434"/>
        </w:tabs>
        <w:spacing w:after="180"/>
        <w:ind w:left="1134" w:hanging="567"/>
        <w:rPr>
          <w:lang w:val="fr-CH"/>
        </w:rPr>
      </w:pPr>
      <w:r>
        <w:rPr>
          <w:lang w:val="fr-CH"/>
        </w:rPr>
        <w:t>L</w:t>
      </w:r>
      <w:r w:rsidR="00C97A26">
        <w:rPr>
          <w:lang w:val="fr-CH"/>
        </w:rPr>
        <w:t>’</w:t>
      </w:r>
      <w:r>
        <w:rPr>
          <w:lang w:val="fr-CH"/>
        </w:rPr>
        <w:t xml:space="preserve">innovation en matière de dessins et modèles </w:t>
      </w:r>
      <w:r w:rsidR="00CE18C0">
        <w:rPr>
          <w:lang w:val="fr-CH"/>
        </w:rPr>
        <w:t xml:space="preserve">est </w:t>
      </w:r>
      <w:r w:rsidR="00611671">
        <w:rPr>
          <w:lang w:val="fr-CH"/>
        </w:rPr>
        <w:t xml:space="preserve">essentiellement un processus </w:t>
      </w:r>
      <w:r w:rsidR="008852E5">
        <w:rPr>
          <w:lang w:val="fr-CH"/>
        </w:rPr>
        <w:t>interne à</w:t>
      </w:r>
      <w:r w:rsidR="00611671">
        <w:rPr>
          <w:lang w:val="fr-CH"/>
        </w:rPr>
        <w:t xml:space="preserve"> l</w:t>
      </w:r>
      <w:r w:rsidR="00C97A26">
        <w:rPr>
          <w:lang w:val="fr-CH"/>
        </w:rPr>
        <w:t>’</w:t>
      </w:r>
      <w:r w:rsidR="00611671">
        <w:rPr>
          <w:lang w:val="fr-CH"/>
        </w:rPr>
        <w:t>entrepri</w:t>
      </w:r>
      <w:r w:rsidR="00040DB0">
        <w:rPr>
          <w:lang w:val="fr-CH"/>
        </w:rPr>
        <w:t>se.  Ce</w:t>
      </w:r>
      <w:r w:rsidR="00611671">
        <w:rPr>
          <w:lang w:val="fr-CH"/>
        </w:rPr>
        <w:t xml:space="preserve">pendant, pour certains dessins </w:t>
      </w:r>
      <w:r w:rsidR="008852E5">
        <w:rPr>
          <w:lang w:val="fr-CH"/>
        </w:rPr>
        <w:t>et</w:t>
      </w:r>
      <w:r w:rsidR="00611671">
        <w:rPr>
          <w:lang w:val="fr-CH"/>
        </w:rPr>
        <w:t xml:space="preserve"> modèles, les entreprises </w:t>
      </w:r>
      <w:r w:rsidR="008852E5">
        <w:rPr>
          <w:lang w:val="fr-CH"/>
        </w:rPr>
        <w:t>fon</w:t>
      </w:r>
      <w:r w:rsidR="00977232">
        <w:rPr>
          <w:lang w:val="fr-CH"/>
        </w:rPr>
        <w:t>t</w:t>
      </w:r>
      <w:r w:rsidR="008852E5">
        <w:rPr>
          <w:lang w:val="fr-CH"/>
        </w:rPr>
        <w:t xml:space="preserve"> appel</w:t>
      </w:r>
      <w:r w:rsidR="0090688F">
        <w:rPr>
          <w:lang w:val="fr-CH"/>
        </w:rPr>
        <w:t xml:space="preserve"> à un mélange de compétences </w:t>
      </w:r>
      <w:r w:rsidR="00611671">
        <w:rPr>
          <w:lang w:val="fr-CH"/>
        </w:rPr>
        <w:t>ou d</w:t>
      </w:r>
      <w:r w:rsidR="00C97A26">
        <w:rPr>
          <w:lang w:val="fr-CH"/>
        </w:rPr>
        <w:t>’</w:t>
      </w:r>
      <w:r w:rsidR="00611671">
        <w:rPr>
          <w:lang w:val="fr-CH"/>
        </w:rPr>
        <w:t xml:space="preserve">inspiration </w:t>
      </w:r>
      <w:r w:rsidR="008852E5">
        <w:rPr>
          <w:lang w:val="fr-CH"/>
        </w:rPr>
        <w:t>à l</w:t>
      </w:r>
      <w:r w:rsidR="00C97A26">
        <w:rPr>
          <w:lang w:val="fr-CH"/>
        </w:rPr>
        <w:t>’</w:t>
      </w:r>
      <w:r w:rsidR="00611671" w:rsidRPr="008852E5">
        <w:rPr>
          <w:lang w:val="fr-CH"/>
        </w:rPr>
        <w:t xml:space="preserve">interne et </w:t>
      </w:r>
      <w:r w:rsidR="008852E5">
        <w:rPr>
          <w:lang w:val="fr-CH"/>
        </w:rPr>
        <w:t>à l</w:t>
      </w:r>
      <w:r w:rsidR="00C97A26">
        <w:rPr>
          <w:lang w:val="fr-CH"/>
        </w:rPr>
        <w:t>’</w:t>
      </w:r>
      <w:r w:rsidR="00611671" w:rsidRPr="008852E5">
        <w:rPr>
          <w:lang w:val="fr-CH"/>
        </w:rPr>
        <w:t>externe</w:t>
      </w:r>
      <w:r w:rsidR="000866E8" w:rsidRPr="00611671">
        <w:rPr>
          <w:lang w:val="fr-CH"/>
        </w:rPr>
        <w:t>.</w:t>
      </w:r>
    </w:p>
    <w:p w:rsidR="000866E8" w:rsidRPr="00B53F7D" w:rsidRDefault="00611671" w:rsidP="00A97834">
      <w:pPr>
        <w:numPr>
          <w:ilvl w:val="0"/>
          <w:numId w:val="9"/>
        </w:numPr>
        <w:spacing w:after="180"/>
        <w:ind w:left="1134" w:hanging="567"/>
        <w:rPr>
          <w:lang w:val="fr-CH"/>
        </w:rPr>
      </w:pPr>
      <w:r w:rsidRPr="00611671">
        <w:rPr>
          <w:lang w:val="fr-CH"/>
        </w:rPr>
        <w:t>À l</w:t>
      </w:r>
      <w:r w:rsidR="00C97A26">
        <w:rPr>
          <w:lang w:val="fr-CH"/>
        </w:rPr>
        <w:t>’</w:t>
      </w:r>
      <w:r w:rsidRPr="00611671">
        <w:rPr>
          <w:lang w:val="fr-CH"/>
        </w:rPr>
        <w:t xml:space="preserve">exception des Philippines, la plupart des </w:t>
      </w:r>
      <w:r w:rsidR="00B53F7D">
        <w:rPr>
          <w:lang w:val="fr-CH"/>
        </w:rPr>
        <w:t>concepteurs</w:t>
      </w:r>
      <w:r w:rsidRPr="00611671">
        <w:rPr>
          <w:lang w:val="fr-CH"/>
        </w:rPr>
        <w:t xml:space="preserve"> </w:t>
      </w:r>
      <w:r w:rsidR="008852E5">
        <w:rPr>
          <w:lang w:val="fr-CH"/>
        </w:rPr>
        <w:t>avaient entre</w:t>
      </w:r>
      <w:r>
        <w:rPr>
          <w:lang w:val="fr-CH"/>
        </w:rPr>
        <w:t xml:space="preserve"> 35 </w:t>
      </w:r>
      <w:r w:rsidR="008852E5">
        <w:rPr>
          <w:lang w:val="fr-CH"/>
        </w:rPr>
        <w:t>et</w:t>
      </w:r>
      <w:r>
        <w:rPr>
          <w:lang w:val="fr-CH"/>
        </w:rPr>
        <w:t xml:space="preserve"> 50</w:t>
      </w:r>
      <w:r w:rsidR="0090688F">
        <w:rPr>
          <w:lang w:val="fr-CH"/>
        </w:rPr>
        <w:t> </w:t>
      </w:r>
      <w:r>
        <w:rPr>
          <w:lang w:val="fr-CH"/>
        </w:rPr>
        <w:t>a</w:t>
      </w:r>
      <w:r w:rsidR="00040DB0">
        <w:rPr>
          <w:lang w:val="fr-CH"/>
        </w:rPr>
        <w:t xml:space="preserve">ns.  </w:t>
      </w:r>
      <w:r w:rsidR="00040DB0" w:rsidRPr="00B53F7D">
        <w:rPr>
          <w:lang w:val="fr-CH"/>
        </w:rPr>
        <w:t>Au</w:t>
      </w:r>
      <w:r w:rsidR="00B53F7D" w:rsidRPr="00B53F7D">
        <w:rPr>
          <w:lang w:val="fr-CH"/>
        </w:rPr>
        <w:t xml:space="preserve">x Philippines, la plupart des concepteurs étaient même </w:t>
      </w:r>
      <w:r w:rsidR="008852E5">
        <w:rPr>
          <w:lang w:val="fr-CH"/>
        </w:rPr>
        <w:t>âgés de plus de</w:t>
      </w:r>
      <w:r w:rsidR="00B53F7D">
        <w:rPr>
          <w:lang w:val="fr-CH"/>
        </w:rPr>
        <w:t xml:space="preserve"> 50</w:t>
      </w:r>
      <w:r w:rsidR="0090688F">
        <w:rPr>
          <w:lang w:val="fr-CH"/>
        </w:rPr>
        <w:t> </w:t>
      </w:r>
      <w:r w:rsidR="00B53F7D">
        <w:rPr>
          <w:lang w:val="fr-CH"/>
        </w:rPr>
        <w:t>a</w:t>
      </w:r>
      <w:r w:rsidR="00040DB0">
        <w:rPr>
          <w:lang w:val="fr-CH"/>
        </w:rPr>
        <w:t xml:space="preserve">ns.  </w:t>
      </w:r>
      <w:r w:rsidR="00040DB0" w:rsidRPr="00B53F7D">
        <w:rPr>
          <w:lang w:val="fr-CH"/>
        </w:rPr>
        <w:t>Il</w:t>
      </w:r>
      <w:r w:rsidR="00355861">
        <w:rPr>
          <w:lang w:val="fr-CH"/>
        </w:rPr>
        <w:t> </w:t>
      </w:r>
      <w:r w:rsidR="00B53F7D" w:rsidRPr="00B53F7D">
        <w:rPr>
          <w:lang w:val="fr-CH"/>
        </w:rPr>
        <w:t>ressort</w:t>
      </w:r>
      <w:r w:rsidR="00620A92">
        <w:rPr>
          <w:lang w:val="fr-CH"/>
        </w:rPr>
        <w:t xml:space="preserve"> de cette conclusion </w:t>
      </w:r>
      <w:r w:rsidR="00B53F7D" w:rsidRPr="00B53F7D">
        <w:rPr>
          <w:lang w:val="fr-CH"/>
        </w:rPr>
        <w:t>que l</w:t>
      </w:r>
      <w:r w:rsidR="00C97A26">
        <w:rPr>
          <w:lang w:val="fr-CH"/>
        </w:rPr>
        <w:t>’</w:t>
      </w:r>
      <w:r w:rsidR="00B53F7D" w:rsidRPr="00B53F7D">
        <w:rPr>
          <w:lang w:val="fr-CH"/>
        </w:rPr>
        <w:t xml:space="preserve">expérience professionnelle accumulée </w:t>
      </w:r>
      <w:r w:rsidR="008852E5">
        <w:rPr>
          <w:lang w:val="fr-CH"/>
        </w:rPr>
        <w:t>semble</w:t>
      </w:r>
      <w:r w:rsidR="00B53F7D" w:rsidRPr="00B53F7D">
        <w:rPr>
          <w:lang w:val="fr-CH"/>
        </w:rPr>
        <w:t xml:space="preserve"> avoir de l</w:t>
      </w:r>
      <w:r w:rsidR="00C97A26">
        <w:rPr>
          <w:lang w:val="fr-CH"/>
        </w:rPr>
        <w:t>’</w:t>
      </w:r>
      <w:r w:rsidR="00B53F7D" w:rsidRPr="00B53F7D">
        <w:rPr>
          <w:lang w:val="fr-CH"/>
        </w:rPr>
        <w:t>importance pour l</w:t>
      </w:r>
      <w:r w:rsidR="00C97A26">
        <w:rPr>
          <w:lang w:val="fr-CH"/>
        </w:rPr>
        <w:t>’</w:t>
      </w:r>
      <w:r w:rsidR="00B53F7D" w:rsidRPr="00B53F7D">
        <w:rPr>
          <w:lang w:val="fr-CH"/>
        </w:rPr>
        <w:t>inn</w:t>
      </w:r>
      <w:r w:rsidR="00B53F7D">
        <w:rPr>
          <w:lang w:val="fr-CH"/>
        </w:rPr>
        <w:t>ovation en matière de dessin ou</w:t>
      </w:r>
      <w:r w:rsidR="00B53F7D" w:rsidRPr="00B53F7D">
        <w:rPr>
          <w:lang w:val="fr-CH"/>
        </w:rPr>
        <w:t xml:space="preserve"> modèle.</w:t>
      </w:r>
    </w:p>
    <w:p w:rsidR="000866E8" w:rsidRPr="003530E9" w:rsidRDefault="008852E5" w:rsidP="00A97834">
      <w:pPr>
        <w:numPr>
          <w:ilvl w:val="0"/>
          <w:numId w:val="9"/>
        </w:numPr>
        <w:spacing w:after="180"/>
        <w:ind w:left="1134" w:hanging="567"/>
        <w:rPr>
          <w:lang w:val="fr-CH"/>
        </w:rPr>
      </w:pPr>
      <w:r>
        <w:rPr>
          <w:lang w:val="fr-CH"/>
        </w:rPr>
        <w:t>Les sources d</w:t>
      </w:r>
      <w:r w:rsidR="00C97A26">
        <w:rPr>
          <w:lang w:val="fr-CH"/>
        </w:rPr>
        <w:t>’</w:t>
      </w:r>
      <w:r w:rsidR="00B53F7D" w:rsidRPr="00B53F7D">
        <w:rPr>
          <w:lang w:val="fr-CH"/>
        </w:rPr>
        <w:t>inspiration pour de nouveaux</w:t>
      </w:r>
      <w:r w:rsidR="00B53F7D">
        <w:rPr>
          <w:lang w:val="fr-CH"/>
        </w:rPr>
        <w:t xml:space="preserve"> dessins et modèles </w:t>
      </w:r>
      <w:r>
        <w:rPr>
          <w:lang w:val="fr-CH"/>
        </w:rPr>
        <w:t>sont divers</w:t>
      </w:r>
      <w:r w:rsidR="00040DB0">
        <w:rPr>
          <w:lang w:val="fr-CH"/>
        </w:rPr>
        <w:t xml:space="preserve">es.  </w:t>
      </w:r>
      <w:r w:rsidR="00040DB0" w:rsidRPr="00DB1052">
        <w:rPr>
          <w:lang w:val="fr-CH"/>
        </w:rPr>
        <w:t>Le</w:t>
      </w:r>
      <w:r w:rsidR="00F27710">
        <w:rPr>
          <w:lang w:val="fr-CH"/>
        </w:rPr>
        <w:t> </w:t>
      </w:r>
      <w:r w:rsidR="00DB1052">
        <w:rPr>
          <w:lang w:val="fr-CH"/>
        </w:rPr>
        <w:t>retour</w:t>
      </w:r>
      <w:r w:rsidR="00DB1052" w:rsidRPr="00DB1052">
        <w:rPr>
          <w:lang w:val="fr-CH"/>
        </w:rPr>
        <w:t xml:space="preserve"> des clients apparaît comme la plus importante d</w:t>
      </w:r>
      <w:r w:rsidR="00C97A26">
        <w:rPr>
          <w:lang w:val="fr-CH"/>
        </w:rPr>
        <w:t>’</w:t>
      </w:r>
      <w:r w:rsidR="00DB1052" w:rsidRPr="00DB1052">
        <w:rPr>
          <w:lang w:val="fr-CH"/>
        </w:rPr>
        <w:t>entre ell</w:t>
      </w:r>
      <w:r w:rsidR="00040DB0" w:rsidRPr="00DB1052">
        <w:rPr>
          <w:lang w:val="fr-CH"/>
        </w:rPr>
        <w:t>es</w:t>
      </w:r>
      <w:r w:rsidR="00040DB0">
        <w:rPr>
          <w:lang w:val="fr-CH"/>
        </w:rPr>
        <w:t xml:space="preserve">.  </w:t>
      </w:r>
      <w:r w:rsidR="00040DB0" w:rsidRPr="00951008">
        <w:rPr>
          <w:lang w:val="fr-CH"/>
        </w:rPr>
        <w:t>Au</w:t>
      </w:r>
      <w:r w:rsidR="00951008" w:rsidRPr="00951008">
        <w:rPr>
          <w:lang w:val="fr-CH"/>
        </w:rPr>
        <w:t xml:space="preserve"> sein des entreprises, </w:t>
      </w:r>
      <w:r w:rsidR="00DB1052" w:rsidRPr="00951008">
        <w:rPr>
          <w:lang w:val="fr-CH"/>
        </w:rPr>
        <w:t>deux</w:t>
      </w:r>
      <w:r w:rsidR="00E82EF4">
        <w:rPr>
          <w:lang w:val="fr-CH"/>
        </w:rPr>
        <w:t> </w:t>
      </w:r>
      <w:r w:rsidR="00DB1052" w:rsidRPr="00951008">
        <w:rPr>
          <w:lang w:val="fr-CH"/>
        </w:rPr>
        <w:t>sources</w:t>
      </w:r>
      <w:r w:rsidR="00951008" w:rsidRPr="00951008">
        <w:rPr>
          <w:lang w:val="fr-CH"/>
        </w:rPr>
        <w:t xml:space="preserve"> d</w:t>
      </w:r>
      <w:r w:rsidR="00C97A26">
        <w:rPr>
          <w:lang w:val="fr-CH"/>
        </w:rPr>
        <w:t>’</w:t>
      </w:r>
      <w:r w:rsidR="00951008" w:rsidRPr="00951008">
        <w:rPr>
          <w:lang w:val="fr-CH"/>
        </w:rPr>
        <w:t>inspiration</w:t>
      </w:r>
      <w:r w:rsidR="00DB1052" w:rsidRPr="00951008">
        <w:rPr>
          <w:lang w:val="fr-CH"/>
        </w:rPr>
        <w:t xml:space="preserve"> </w:t>
      </w:r>
      <w:r w:rsidR="00951008" w:rsidRPr="00951008">
        <w:rPr>
          <w:lang w:val="fr-CH"/>
        </w:rPr>
        <w:t>principales donnent</w:t>
      </w:r>
      <w:r w:rsidR="00DB1052" w:rsidRPr="00951008">
        <w:rPr>
          <w:lang w:val="fr-CH"/>
        </w:rPr>
        <w:t xml:space="preserve"> lieu aux idées </w:t>
      </w:r>
      <w:r w:rsidR="00951008" w:rsidRPr="00951008">
        <w:rPr>
          <w:lang w:val="fr-CH"/>
        </w:rPr>
        <w:t>dont découlent</w:t>
      </w:r>
      <w:r w:rsidR="00DB1052" w:rsidRPr="00951008">
        <w:rPr>
          <w:lang w:val="fr-CH"/>
        </w:rPr>
        <w:t xml:space="preserve"> les nouveaux dessins ou modèl</w:t>
      </w:r>
      <w:r w:rsidR="00040DB0" w:rsidRPr="00951008">
        <w:rPr>
          <w:lang w:val="fr-CH"/>
        </w:rPr>
        <w:t>es</w:t>
      </w:r>
      <w:r w:rsidR="00040DB0">
        <w:rPr>
          <w:lang w:val="fr-CH"/>
        </w:rPr>
        <w:t xml:space="preserve">.  </w:t>
      </w:r>
      <w:r w:rsidR="00040DB0" w:rsidRPr="00951008">
        <w:rPr>
          <w:lang w:val="fr-CH"/>
        </w:rPr>
        <w:t>Un</w:t>
      </w:r>
      <w:r w:rsidR="00DB1052" w:rsidRPr="00951008">
        <w:rPr>
          <w:lang w:val="fr-CH"/>
        </w:rPr>
        <w:t xml:space="preserve">e source </w:t>
      </w:r>
      <w:r w:rsidR="00951008" w:rsidRPr="00951008">
        <w:rPr>
          <w:lang w:val="fr-CH"/>
        </w:rPr>
        <w:t>d</w:t>
      </w:r>
      <w:r w:rsidR="00C97A26">
        <w:rPr>
          <w:lang w:val="fr-CH"/>
        </w:rPr>
        <w:t>’</w:t>
      </w:r>
      <w:r w:rsidR="00951008" w:rsidRPr="00951008">
        <w:rPr>
          <w:lang w:val="fr-CH"/>
        </w:rPr>
        <w:t xml:space="preserve">inspiration </w:t>
      </w:r>
      <w:r w:rsidR="00DB1052" w:rsidRPr="00951008">
        <w:rPr>
          <w:lang w:val="fr-CH"/>
        </w:rPr>
        <w:t>est l</w:t>
      </w:r>
      <w:r w:rsidR="00DB1052" w:rsidRPr="00DB1052">
        <w:rPr>
          <w:lang w:val="fr-CH"/>
        </w:rPr>
        <w:t>e département responsable de l</w:t>
      </w:r>
      <w:r w:rsidR="00C97A26">
        <w:rPr>
          <w:lang w:val="fr-CH"/>
        </w:rPr>
        <w:t>’</w:t>
      </w:r>
      <w:r w:rsidR="00DB1052" w:rsidRPr="00DB1052">
        <w:rPr>
          <w:lang w:val="fr-CH"/>
        </w:rPr>
        <w:t xml:space="preserve">innovation en matière de dessins et modèles ou, plus généralement le département </w:t>
      </w:r>
      <w:r w:rsidR="00040F5A">
        <w:rPr>
          <w:lang w:val="fr-CH"/>
        </w:rPr>
        <w:t>recherche et développeme</w:t>
      </w:r>
      <w:r w:rsidR="00040DB0">
        <w:rPr>
          <w:lang w:val="fr-CH"/>
        </w:rPr>
        <w:t xml:space="preserve">nt.  </w:t>
      </w:r>
      <w:r w:rsidR="00040DB0" w:rsidRPr="00DB1052">
        <w:rPr>
          <w:lang w:val="fr-CH"/>
        </w:rPr>
        <w:t>L</w:t>
      </w:r>
      <w:r w:rsidR="00040DB0">
        <w:rPr>
          <w:lang w:val="fr-CH"/>
        </w:rPr>
        <w:t>’</w:t>
      </w:r>
      <w:r w:rsidR="00040DB0" w:rsidRPr="00DB1052">
        <w:rPr>
          <w:lang w:val="fr-CH"/>
        </w:rPr>
        <w:t>a</w:t>
      </w:r>
      <w:r w:rsidR="00DB1052" w:rsidRPr="00DB1052">
        <w:rPr>
          <w:lang w:val="fr-CH"/>
        </w:rPr>
        <w:t xml:space="preserve">utre source est </w:t>
      </w:r>
      <w:r w:rsidR="00DB1052" w:rsidRPr="00951008">
        <w:rPr>
          <w:lang w:val="fr-CH"/>
        </w:rPr>
        <w:t xml:space="preserve">la haute direction, </w:t>
      </w:r>
      <w:r w:rsidR="003530E9" w:rsidRPr="00951008">
        <w:rPr>
          <w:lang w:val="fr-CH"/>
        </w:rPr>
        <w:t>notamment</w:t>
      </w:r>
      <w:r w:rsidR="00DB1052" w:rsidRPr="00951008">
        <w:rPr>
          <w:lang w:val="fr-CH"/>
        </w:rPr>
        <w:t xml:space="preserve"> le bureau du </w:t>
      </w:r>
      <w:r w:rsidR="003530E9" w:rsidRPr="00951008">
        <w:rPr>
          <w:lang w:val="fr-CH"/>
        </w:rPr>
        <w:t>directeur génér</w:t>
      </w:r>
      <w:r w:rsidR="00040DB0" w:rsidRPr="00951008">
        <w:rPr>
          <w:lang w:val="fr-CH"/>
        </w:rPr>
        <w:t>al</w:t>
      </w:r>
      <w:r w:rsidR="00040DB0">
        <w:rPr>
          <w:lang w:val="fr-CH"/>
        </w:rPr>
        <w:t xml:space="preserve">.  </w:t>
      </w:r>
      <w:r w:rsidR="00040DB0" w:rsidRPr="00951008">
        <w:rPr>
          <w:lang w:val="fr-CH"/>
        </w:rPr>
        <w:t>Ou</w:t>
      </w:r>
      <w:r w:rsidR="003530E9" w:rsidRPr="00951008">
        <w:rPr>
          <w:lang w:val="fr-CH"/>
        </w:rPr>
        <w:t>tre ces deux</w:t>
      </w:r>
      <w:r w:rsidR="00E82EF4">
        <w:rPr>
          <w:lang w:val="fr-CH"/>
        </w:rPr>
        <w:t> </w:t>
      </w:r>
      <w:r w:rsidR="003530E9" w:rsidRPr="00951008">
        <w:rPr>
          <w:lang w:val="fr-CH"/>
        </w:rPr>
        <w:t>prin</w:t>
      </w:r>
      <w:r w:rsidR="00951008" w:rsidRPr="00951008">
        <w:rPr>
          <w:lang w:val="fr-CH"/>
        </w:rPr>
        <w:t>cipales sources d</w:t>
      </w:r>
      <w:r w:rsidR="00C97A26">
        <w:rPr>
          <w:lang w:val="fr-CH"/>
        </w:rPr>
        <w:t>’</w:t>
      </w:r>
      <w:r w:rsidR="00951008" w:rsidRPr="00951008">
        <w:rPr>
          <w:lang w:val="fr-CH"/>
        </w:rPr>
        <w:t>inspiration</w:t>
      </w:r>
      <w:r w:rsidR="003530E9" w:rsidRPr="00951008">
        <w:rPr>
          <w:lang w:val="fr-CH"/>
        </w:rPr>
        <w:t>, les départements ventes et commercialisation représentaient des sources d</w:t>
      </w:r>
      <w:r w:rsidR="00C97A26">
        <w:rPr>
          <w:lang w:val="fr-CH"/>
        </w:rPr>
        <w:t>’</w:t>
      </w:r>
      <w:r w:rsidR="003530E9" w:rsidRPr="00951008">
        <w:rPr>
          <w:lang w:val="fr-CH"/>
        </w:rPr>
        <w:t>idées pour un nombre co</w:t>
      </w:r>
      <w:r w:rsidR="00951008" w:rsidRPr="00951008">
        <w:rPr>
          <w:lang w:val="fr-CH"/>
        </w:rPr>
        <w:t>nséquent de dessins et modèles</w:t>
      </w:r>
      <w:r w:rsidR="00951008">
        <w:rPr>
          <w:lang w:val="fr-CH"/>
        </w:rPr>
        <w:t xml:space="preserve"> auxquels s</w:t>
      </w:r>
      <w:r w:rsidR="00C97A26">
        <w:rPr>
          <w:lang w:val="fr-CH"/>
        </w:rPr>
        <w:t>’</w:t>
      </w:r>
      <w:r w:rsidR="00951008">
        <w:rPr>
          <w:lang w:val="fr-CH"/>
        </w:rPr>
        <w:t>est intéressée l</w:t>
      </w:r>
      <w:r w:rsidR="00C97A26">
        <w:rPr>
          <w:lang w:val="fr-CH"/>
        </w:rPr>
        <w:t>’</w:t>
      </w:r>
      <w:r w:rsidR="00951008">
        <w:rPr>
          <w:lang w:val="fr-CH"/>
        </w:rPr>
        <w:t>enquête.</w:t>
      </w:r>
    </w:p>
    <w:p w:rsidR="000866E8" w:rsidRPr="007E3770" w:rsidRDefault="001C12A4" w:rsidP="00A97834">
      <w:pPr>
        <w:numPr>
          <w:ilvl w:val="0"/>
          <w:numId w:val="9"/>
        </w:numPr>
        <w:spacing w:after="180"/>
        <w:ind w:left="1134" w:hanging="567"/>
        <w:rPr>
          <w:lang w:val="fr-CH"/>
        </w:rPr>
      </w:pPr>
      <w:r w:rsidRPr="001C12A4">
        <w:rPr>
          <w:lang w:val="fr-CH"/>
        </w:rPr>
        <w:t>Les titulaires de dessins et modèles industriels attribuent une val</w:t>
      </w:r>
      <w:r>
        <w:rPr>
          <w:lang w:val="fr-CH"/>
        </w:rPr>
        <w:t xml:space="preserve">eur importante aux </w:t>
      </w:r>
      <w:r w:rsidRPr="00DB39D3">
        <w:rPr>
          <w:lang w:val="fr-CH"/>
        </w:rPr>
        <w:t xml:space="preserve">droits </w:t>
      </w:r>
      <w:r w:rsidR="00DB39D3" w:rsidRPr="00DB39D3">
        <w:rPr>
          <w:lang w:val="fr-CH"/>
        </w:rPr>
        <w:t>de</w:t>
      </w:r>
      <w:r w:rsidRPr="00DB39D3">
        <w:rPr>
          <w:lang w:val="fr-CH"/>
        </w:rPr>
        <w:t xml:space="preserve"> leur</w:t>
      </w:r>
      <w:r w:rsidR="00DB39D3" w:rsidRPr="00DB39D3">
        <w:rPr>
          <w:lang w:val="fr-CH"/>
        </w:rPr>
        <w:t>s</w:t>
      </w:r>
      <w:r w:rsidRPr="00DB39D3">
        <w:rPr>
          <w:lang w:val="fr-CH"/>
        </w:rPr>
        <w:t xml:space="preserve"> dessins et modèles industriels</w:t>
      </w:r>
      <w:r w:rsidR="00DB39D3">
        <w:rPr>
          <w:lang w:val="fr-CH"/>
        </w:rPr>
        <w:t xml:space="preserve">, dont la </w:t>
      </w:r>
      <w:r w:rsidRPr="00DB39D3">
        <w:rPr>
          <w:lang w:val="fr-CH"/>
        </w:rPr>
        <w:t xml:space="preserve">valeur </w:t>
      </w:r>
      <w:r w:rsidR="00C7428A" w:rsidRPr="00DB39D3">
        <w:rPr>
          <w:lang w:val="fr-CH"/>
        </w:rPr>
        <w:t>moyenne</w:t>
      </w:r>
      <w:r w:rsidRPr="00DB39D3">
        <w:rPr>
          <w:lang w:val="fr-CH"/>
        </w:rPr>
        <w:t xml:space="preserve"> </w:t>
      </w:r>
      <w:r w:rsidR="00C7428A" w:rsidRPr="00DB39D3">
        <w:rPr>
          <w:lang w:val="fr-CH"/>
        </w:rPr>
        <w:t>est comprise entre</w:t>
      </w:r>
      <w:r w:rsidRPr="00DB39D3">
        <w:rPr>
          <w:lang w:val="fr-CH"/>
        </w:rPr>
        <w:t xml:space="preserve"> 30</w:t>
      </w:r>
      <w:r w:rsidR="00E82EF4">
        <w:rPr>
          <w:lang w:val="fr-CH"/>
        </w:rPr>
        <w:t> </w:t>
      </w:r>
      <w:r w:rsidRPr="00DB39D3">
        <w:rPr>
          <w:lang w:val="fr-CH"/>
        </w:rPr>
        <w:t xml:space="preserve">000 </w:t>
      </w:r>
      <w:r w:rsidR="00C7428A" w:rsidRPr="00DB39D3">
        <w:rPr>
          <w:lang w:val="fr-CH"/>
        </w:rPr>
        <w:t>et</w:t>
      </w:r>
      <w:r w:rsidRPr="00C7428A">
        <w:rPr>
          <w:lang w:val="fr-CH"/>
        </w:rPr>
        <w:t xml:space="preserve"> 100</w:t>
      </w:r>
      <w:r w:rsidR="00E82EF4">
        <w:rPr>
          <w:lang w:val="fr-CH"/>
        </w:rPr>
        <w:t> </w:t>
      </w:r>
      <w:r w:rsidRPr="00C7428A">
        <w:rPr>
          <w:lang w:val="fr-CH"/>
        </w:rPr>
        <w:t>000</w:t>
      </w:r>
      <w:r w:rsidR="0090688F">
        <w:rPr>
          <w:lang w:val="fr-CH"/>
        </w:rPr>
        <w:t> </w:t>
      </w:r>
      <w:r w:rsidR="00040DB0" w:rsidRPr="00C7428A">
        <w:rPr>
          <w:lang w:val="fr-CH"/>
        </w:rPr>
        <w:t>USD</w:t>
      </w:r>
      <w:r w:rsidR="00040DB0">
        <w:rPr>
          <w:lang w:val="fr-CH"/>
        </w:rPr>
        <w:t xml:space="preserve">.  </w:t>
      </w:r>
      <w:r w:rsidR="00040DB0" w:rsidRPr="00C7428A">
        <w:rPr>
          <w:lang w:val="fr-CH"/>
        </w:rPr>
        <w:t>La</w:t>
      </w:r>
      <w:r w:rsidRPr="00C7428A">
        <w:rPr>
          <w:lang w:val="fr-CH"/>
        </w:rPr>
        <w:t xml:space="preserve"> répartition des valeu</w:t>
      </w:r>
      <w:r>
        <w:rPr>
          <w:lang w:val="fr-CH"/>
        </w:rPr>
        <w:t xml:space="preserve">rs des dessins et modèles industriels </w:t>
      </w:r>
      <w:r w:rsidR="007E3770" w:rsidRPr="00C7428A">
        <w:rPr>
          <w:lang w:val="fr-CH"/>
        </w:rPr>
        <w:t xml:space="preserve">est </w:t>
      </w:r>
      <w:r w:rsidR="00C7428A" w:rsidRPr="00C7428A">
        <w:rPr>
          <w:lang w:val="fr-CH"/>
        </w:rPr>
        <w:t>désaxée</w:t>
      </w:r>
      <w:r w:rsidR="007E3770" w:rsidRPr="00C7428A">
        <w:rPr>
          <w:lang w:val="fr-CH"/>
        </w:rPr>
        <w:t xml:space="preserve"> vers la droi</w:t>
      </w:r>
      <w:r w:rsidR="00040DB0" w:rsidRPr="00C7428A">
        <w:rPr>
          <w:lang w:val="fr-CH"/>
        </w:rPr>
        <w:t>te</w:t>
      </w:r>
      <w:r w:rsidR="00040DB0">
        <w:rPr>
          <w:lang w:val="fr-CH"/>
        </w:rPr>
        <w:t xml:space="preserve">.  </w:t>
      </w:r>
      <w:r w:rsidR="00040DB0" w:rsidRPr="00C7428A">
        <w:rPr>
          <w:lang w:val="fr-CH"/>
        </w:rPr>
        <w:t>Ce</w:t>
      </w:r>
      <w:r w:rsidR="007E3770" w:rsidRPr="00C7428A">
        <w:rPr>
          <w:lang w:val="fr-CH"/>
        </w:rPr>
        <w:t>pendant, comparée à l</w:t>
      </w:r>
      <w:r w:rsidR="00C97A26">
        <w:rPr>
          <w:lang w:val="fr-CH"/>
        </w:rPr>
        <w:t>’</w:t>
      </w:r>
      <w:r w:rsidR="007E3770" w:rsidRPr="00C7428A">
        <w:rPr>
          <w:lang w:val="fr-CH"/>
        </w:rPr>
        <w:t>innovation en matière de technologie, l</w:t>
      </w:r>
      <w:r w:rsidR="00C97A26">
        <w:rPr>
          <w:lang w:val="fr-CH"/>
        </w:rPr>
        <w:t>’</w:t>
      </w:r>
      <w:r w:rsidR="007E3770" w:rsidRPr="00C7428A">
        <w:rPr>
          <w:lang w:val="fr-CH"/>
        </w:rPr>
        <w:t>innovation en</w:t>
      </w:r>
      <w:r w:rsidR="007E3770" w:rsidRPr="007E3770">
        <w:rPr>
          <w:lang w:val="fr-CH"/>
        </w:rPr>
        <w:t xml:space="preserve"> matière de dessin ou modèle semble moins risqué</w:t>
      </w:r>
      <w:r w:rsidR="007E3770">
        <w:rPr>
          <w:lang w:val="fr-CH"/>
        </w:rPr>
        <w:t>e.</w:t>
      </w:r>
    </w:p>
    <w:p w:rsidR="000866E8" w:rsidRPr="00105BED" w:rsidRDefault="007E3770" w:rsidP="00A97834">
      <w:pPr>
        <w:numPr>
          <w:ilvl w:val="0"/>
          <w:numId w:val="9"/>
        </w:numPr>
        <w:spacing w:after="180"/>
        <w:ind w:left="1134" w:hanging="567"/>
        <w:rPr>
          <w:lang w:val="fr-CH"/>
        </w:rPr>
      </w:pPr>
      <w:r>
        <w:rPr>
          <w:lang w:val="fr-CH"/>
        </w:rPr>
        <w:t xml:space="preserve">La principale motivation conduisant à </w:t>
      </w:r>
      <w:r w:rsidR="00977232">
        <w:rPr>
          <w:lang w:val="fr-CH"/>
        </w:rPr>
        <w:t>re</w:t>
      </w:r>
      <w:r>
        <w:rPr>
          <w:lang w:val="fr-CH"/>
        </w:rPr>
        <w:t xml:space="preserve">chercher la protection des dessins et modèles industriels </w:t>
      </w:r>
      <w:r w:rsidR="00105BED">
        <w:rPr>
          <w:lang w:val="fr-CH"/>
        </w:rPr>
        <w:t>résulte</w:t>
      </w:r>
      <w:r>
        <w:rPr>
          <w:lang w:val="fr-CH"/>
        </w:rPr>
        <w:t xml:space="preserve"> </w:t>
      </w:r>
      <w:r w:rsidR="00105BED">
        <w:rPr>
          <w:lang w:val="fr-CH"/>
        </w:rPr>
        <w:t>de</w:t>
      </w:r>
      <w:r w:rsidR="00977232">
        <w:rPr>
          <w:lang w:val="fr-CH"/>
        </w:rPr>
        <w:t xml:space="preserve"> la logique classique qui est d</w:t>
      </w:r>
      <w:r w:rsidR="00C97A26">
        <w:rPr>
          <w:lang w:val="fr-CH"/>
        </w:rPr>
        <w:t>’</w:t>
      </w:r>
      <w:r w:rsidR="00977232">
        <w:rPr>
          <w:lang w:val="fr-CH"/>
        </w:rPr>
        <w:t xml:space="preserve">empêcher </w:t>
      </w:r>
      <w:r>
        <w:rPr>
          <w:lang w:val="fr-CH"/>
        </w:rPr>
        <w:t>l</w:t>
      </w:r>
      <w:r w:rsidR="00C97A26">
        <w:rPr>
          <w:lang w:val="fr-CH"/>
        </w:rPr>
        <w:t>’</w:t>
      </w:r>
      <w:r>
        <w:rPr>
          <w:lang w:val="fr-CH"/>
        </w:rPr>
        <w:t xml:space="preserve">imitation et de garantir la </w:t>
      </w:r>
      <w:r w:rsidR="00105BED">
        <w:rPr>
          <w:lang w:val="fr-CH"/>
        </w:rPr>
        <w:t>liberté d</w:t>
      </w:r>
      <w:r w:rsidR="00C97A26">
        <w:rPr>
          <w:lang w:val="fr-CH"/>
        </w:rPr>
        <w:t>’</w:t>
      </w:r>
      <w:r w:rsidR="00105BED">
        <w:rPr>
          <w:lang w:val="fr-CH"/>
        </w:rPr>
        <w:t>exploitati</w:t>
      </w:r>
      <w:r w:rsidR="00040DB0">
        <w:rPr>
          <w:lang w:val="fr-CH"/>
        </w:rPr>
        <w:t>on.  La</w:t>
      </w:r>
      <w:r w:rsidR="00105BED">
        <w:rPr>
          <w:lang w:val="fr-CH"/>
        </w:rPr>
        <w:t xml:space="preserve"> concession de licences sur les droits </w:t>
      </w:r>
      <w:r w:rsidR="00474171">
        <w:rPr>
          <w:lang w:val="fr-CH"/>
        </w:rPr>
        <w:t>des</w:t>
      </w:r>
      <w:r w:rsidR="00105BED">
        <w:rPr>
          <w:lang w:val="fr-CH"/>
        </w:rPr>
        <w:t xml:space="preserve"> dessins et modèles industriels ou </w:t>
      </w:r>
      <w:r w:rsidR="00DB39D3">
        <w:rPr>
          <w:lang w:val="fr-CH"/>
        </w:rPr>
        <w:t>la</w:t>
      </w:r>
      <w:r w:rsidR="00105BED">
        <w:rPr>
          <w:lang w:val="fr-CH"/>
        </w:rPr>
        <w:t xml:space="preserve"> vente de ces droits est rare, mais elles peuvent se produire.</w:t>
      </w:r>
    </w:p>
    <w:p w:rsidR="00C97A26" w:rsidRDefault="00105BED" w:rsidP="00A97834">
      <w:pPr>
        <w:numPr>
          <w:ilvl w:val="0"/>
          <w:numId w:val="9"/>
        </w:numPr>
        <w:spacing w:after="180"/>
        <w:ind w:left="1134" w:hanging="567"/>
        <w:rPr>
          <w:lang w:val="fr-CH"/>
        </w:rPr>
      </w:pPr>
      <w:r w:rsidRPr="00105BED">
        <w:rPr>
          <w:lang w:val="fr-CH"/>
        </w:rPr>
        <w:t>D</w:t>
      </w:r>
      <w:r w:rsidR="00C97A26">
        <w:rPr>
          <w:lang w:val="fr-CH"/>
        </w:rPr>
        <w:t>’</w:t>
      </w:r>
      <w:r w:rsidRPr="00105BED">
        <w:rPr>
          <w:lang w:val="fr-CH"/>
        </w:rPr>
        <w:t>après le taux d</w:t>
      </w:r>
      <w:r w:rsidR="00C97A26">
        <w:rPr>
          <w:lang w:val="fr-CH"/>
        </w:rPr>
        <w:t>’</w:t>
      </w:r>
      <w:r w:rsidRPr="00105BED">
        <w:rPr>
          <w:lang w:val="fr-CH"/>
        </w:rPr>
        <w:t>imitation, qui s</w:t>
      </w:r>
      <w:r w:rsidR="00C97A26">
        <w:rPr>
          <w:lang w:val="fr-CH"/>
        </w:rPr>
        <w:t>’</w:t>
      </w:r>
      <w:r w:rsidRPr="00105BED">
        <w:rPr>
          <w:lang w:val="fr-CH"/>
        </w:rPr>
        <w:t>élève à environ 1/5</w:t>
      </w:r>
      <w:r>
        <w:rPr>
          <w:lang w:val="fr-CH"/>
        </w:rPr>
        <w:t>, le risque d</w:t>
      </w:r>
      <w:r w:rsidR="00C97A26">
        <w:rPr>
          <w:lang w:val="fr-CH"/>
        </w:rPr>
        <w:t>’</w:t>
      </w:r>
      <w:r>
        <w:rPr>
          <w:lang w:val="fr-CH"/>
        </w:rPr>
        <w:t>imitation est ré</w:t>
      </w:r>
      <w:r w:rsidR="00040DB0">
        <w:rPr>
          <w:lang w:val="fr-CH"/>
        </w:rPr>
        <w:t xml:space="preserve">el.  </w:t>
      </w:r>
      <w:r w:rsidR="00040DB0" w:rsidRPr="00AD6A45">
        <w:rPr>
          <w:lang w:val="fr-CH"/>
        </w:rPr>
        <w:t>De</w:t>
      </w:r>
      <w:r w:rsidR="00355861">
        <w:rPr>
          <w:lang w:val="fr-CH"/>
        </w:rPr>
        <w:t> </w:t>
      </w:r>
      <w:r w:rsidR="00AD6A45" w:rsidRPr="00AD6A45">
        <w:rPr>
          <w:lang w:val="fr-CH"/>
        </w:rPr>
        <w:t xml:space="preserve">plus, les titulaires de dessins </w:t>
      </w:r>
      <w:r w:rsidR="00AD6A45">
        <w:rPr>
          <w:lang w:val="fr-CH"/>
        </w:rPr>
        <w:t xml:space="preserve">et modèles industriels considèrent </w:t>
      </w:r>
      <w:r w:rsidR="00AD6A45" w:rsidRPr="00DB39D3">
        <w:rPr>
          <w:lang w:val="fr-CH"/>
        </w:rPr>
        <w:t>qu</w:t>
      </w:r>
      <w:r w:rsidR="00C97A26">
        <w:rPr>
          <w:lang w:val="fr-CH"/>
        </w:rPr>
        <w:t>’</w:t>
      </w:r>
      <w:r w:rsidR="00AD6A45" w:rsidRPr="00DB39D3">
        <w:rPr>
          <w:lang w:val="fr-CH"/>
        </w:rPr>
        <w:t xml:space="preserve">une </w:t>
      </w:r>
      <w:r w:rsidR="00DB39D3" w:rsidRPr="00DB39D3">
        <w:rPr>
          <w:lang w:val="fr-CH"/>
        </w:rPr>
        <w:t xml:space="preserve">imitation </w:t>
      </w:r>
      <w:r w:rsidR="00DB39D3">
        <w:rPr>
          <w:lang w:val="fr-CH"/>
        </w:rPr>
        <w:t xml:space="preserve">implique une </w:t>
      </w:r>
      <w:r w:rsidR="00AD6A45" w:rsidRPr="00DB39D3">
        <w:rPr>
          <w:lang w:val="fr-CH"/>
        </w:rPr>
        <w:t>importante perte financière.</w:t>
      </w:r>
    </w:p>
    <w:p w:rsidR="000866E8" w:rsidRPr="008D7930" w:rsidRDefault="00AD6A45" w:rsidP="00A97834">
      <w:pPr>
        <w:numPr>
          <w:ilvl w:val="0"/>
          <w:numId w:val="9"/>
        </w:numPr>
        <w:spacing w:after="180"/>
        <w:ind w:left="1134" w:hanging="567"/>
        <w:rPr>
          <w:lang w:val="fr-CH"/>
        </w:rPr>
      </w:pPr>
      <w:r w:rsidRPr="00AD6A45">
        <w:rPr>
          <w:lang w:val="fr-CH"/>
        </w:rPr>
        <w:t>Les coûts juridiques élevés de l</w:t>
      </w:r>
      <w:r w:rsidR="00C97A26">
        <w:rPr>
          <w:lang w:val="fr-CH"/>
        </w:rPr>
        <w:t>’</w:t>
      </w:r>
      <w:r w:rsidRPr="00AD6A45">
        <w:rPr>
          <w:lang w:val="fr-CH"/>
        </w:rPr>
        <w:t xml:space="preserve">application des dessins et modèles industriels découragent de nombreux </w:t>
      </w:r>
      <w:r>
        <w:rPr>
          <w:lang w:val="fr-CH"/>
        </w:rPr>
        <w:t xml:space="preserve">déposants de tenter de faire cesser la </w:t>
      </w:r>
      <w:r w:rsidR="00DB39D3">
        <w:rPr>
          <w:lang w:val="fr-CH"/>
        </w:rPr>
        <w:t>violation</w:t>
      </w:r>
      <w:r>
        <w:rPr>
          <w:lang w:val="fr-CH"/>
        </w:rPr>
        <w:t xml:space="preserve"> de leur modèle ou dess</w:t>
      </w:r>
      <w:r w:rsidR="00040DB0">
        <w:rPr>
          <w:lang w:val="fr-CH"/>
        </w:rPr>
        <w:t xml:space="preserve">in.  </w:t>
      </w:r>
      <w:r w:rsidR="00040DB0" w:rsidRPr="008D7930">
        <w:rPr>
          <w:lang w:val="fr-CH"/>
        </w:rPr>
        <w:t>Lo</w:t>
      </w:r>
      <w:r w:rsidRPr="008D7930">
        <w:rPr>
          <w:lang w:val="fr-CH"/>
        </w:rPr>
        <w:t>rsqu</w:t>
      </w:r>
      <w:r w:rsidR="00C97A26">
        <w:rPr>
          <w:lang w:val="fr-CH"/>
        </w:rPr>
        <w:t>’</w:t>
      </w:r>
      <w:r w:rsidRPr="008D7930">
        <w:rPr>
          <w:lang w:val="fr-CH"/>
        </w:rPr>
        <w:t xml:space="preserve">ils </w:t>
      </w:r>
      <w:r w:rsidR="008D7930" w:rsidRPr="008D7930">
        <w:rPr>
          <w:lang w:val="fr-CH"/>
        </w:rPr>
        <w:t xml:space="preserve">poursuivent les </w:t>
      </w:r>
      <w:r w:rsidR="000F2B43">
        <w:rPr>
          <w:lang w:val="fr-CH"/>
        </w:rPr>
        <w:t>auteurs de l</w:t>
      </w:r>
      <w:r w:rsidR="00C97A26">
        <w:rPr>
          <w:lang w:val="fr-CH"/>
        </w:rPr>
        <w:t>’</w:t>
      </w:r>
      <w:r w:rsidR="000F2B43">
        <w:rPr>
          <w:lang w:val="fr-CH"/>
        </w:rPr>
        <w:t>atteinte</w:t>
      </w:r>
      <w:r w:rsidR="008D7930" w:rsidRPr="008D7930">
        <w:rPr>
          <w:lang w:val="fr-CH"/>
        </w:rPr>
        <w:t xml:space="preserve">, les </w:t>
      </w:r>
      <w:r w:rsidR="000F2B43">
        <w:rPr>
          <w:lang w:val="fr-CH"/>
        </w:rPr>
        <w:t>sanctions</w:t>
      </w:r>
      <w:r w:rsidR="008D7930">
        <w:rPr>
          <w:lang w:val="fr-CH"/>
        </w:rPr>
        <w:t xml:space="preserve"> ont un taux de réussite variable.</w:t>
      </w:r>
    </w:p>
    <w:p w:rsidR="00E35762" w:rsidRDefault="008D7930" w:rsidP="00E35762">
      <w:pPr>
        <w:numPr>
          <w:ilvl w:val="0"/>
          <w:numId w:val="9"/>
        </w:numPr>
        <w:spacing w:after="220"/>
        <w:ind w:left="1134" w:hanging="567"/>
        <w:rPr>
          <w:lang w:val="fr-CH"/>
        </w:rPr>
      </w:pPr>
      <w:r w:rsidRPr="008D7930">
        <w:rPr>
          <w:lang w:val="fr-CH"/>
        </w:rPr>
        <w:t xml:space="preserve">Les plupart des demandes </w:t>
      </w:r>
      <w:r w:rsidR="00226E66">
        <w:rPr>
          <w:lang w:val="fr-CH"/>
        </w:rPr>
        <w:t>d</w:t>
      </w:r>
      <w:r w:rsidR="00C97A26">
        <w:rPr>
          <w:lang w:val="fr-CH"/>
        </w:rPr>
        <w:t>’</w:t>
      </w:r>
      <w:r w:rsidR="00226E66">
        <w:rPr>
          <w:lang w:val="fr-CH"/>
        </w:rPr>
        <w:t xml:space="preserve">enregistrement </w:t>
      </w:r>
      <w:r w:rsidRPr="008D7930">
        <w:rPr>
          <w:lang w:val="fr-CH"/>
        </w:rPr>
        <w:t>de dessin</w:t>
      </w:r>
      <w:r w:rsidR="00226E66">
        <w:rPr>
          <w:lang w:val="fr-CH"/>
        </w:rPr>
        <w:t>s</w:t>
      </w:r>
      <w:r w:rsidRPr="008D7930">
        <w:rPr>
          <w:lang w:val="fr-CH"/>
        </w:rPr>
        <w:t xml:space="preserve"> </w:t>
      </w:r>
      <w:r w:rsidR="00226E66">
        <w:rPr>
          <w:lang w:val="fr-CH"/>
        </w:rPr>
        <w:t>et</w:t>
      </w:r>
      <w:r w:rsidRPr="008D7930">
        <w:rPr>
          <w:lang w:val="fr-CH"/>
        </w:rPr>
        <w:t xml:space="preserve"> modèle</w:t>
      </w:r>
      <w:r w:rsidR="00226E66">
        <w:rPr>
          <w:lang w:val="fr-CH"/>
        </w:rPr>
        <w:t>s</w:t>
      </w:r>
      <w:r w:rsidRPr="008D7930">
        <w:rPr>
          <w:lang w:val="fr-CH"/>
        </w:rPr>
        <w:t xml:space="preserve"> sont remplies sans avoir recours aux agents extern</w:t>
      </w:r>
      <w:r w:rsidR="00040DB0">
        <w:rPr>
          <w:lang w:val="fr-CH"/>
        </w:rPr>
        <w:t>e</w:t>
      </w:r>
      <w:r w:rsidR="00040DB0" w:rsidRPr="008D7930">
        <w:rPr>
          <w:lang w:val="fr-CH"/>
        </w:rPr>
        <w:t>s</w:t>
      </w:r>
      <w:r w:rsidR="00040DB0">
        <w:rPr>
          <w:lang w:val="fr-CH"/>
        </w:rPr>
        <w:t xml:space="preserve">.  </w:t>
      </w:r>
      <w:r w:rsidR="00040DB0" w:rsidRPr="008D7930">
        <w:rPr>
          <w:lang w:val="fr-CH"/>
        </w:rPr>
        <w:t>Le</w:t>
      </w:r>
      <w:r w:rsidRPr="008D7930">
        <w:rPr>
          <w:lang w:val="fr-CH"/>
        </w:rPr>
        <w:t>s déposants rencontre</w:t>
      </w:r>
      <w:r w:rsidR="000F2B43">
        <w:rPr>
          <w:lang w:val="fr-CH"/>
        </w:rPr>
        <w:t>nt</w:t>
      </w:r>
      <w:r w:rsidRPr="008D7930">
        <w:rPr>
          <w:lang w:val="fr-CH"/>
        </w:rPr>
        <w:t xml:space="preserve"> par </w:t>
      </w:r>
      <w:r w:rsidR="001E312F" w:rsidRPr="008D7930">
        <w:rPr>
          <w:lang w:val="fr-CH"/>
        </w:rPr>
        <w:t>conséquent</w:t>
      </w:r>
      <w:r w:rsidRPr="008D7930">
        <w:rPr>
          <w:lang w:val="fr-CH"/>
        </w:rPr>
        <w:t xml:space="preserve"> des difficultés à </w:t>
      </w:r>
      <w:r w:rsidR="001E312F">
        <w:rPr>
          <w:lang w:val="fr-CH"/>
        </w:rPr>
        <w:t>s</w:t>
      </w:r>
      <w:r w:rsidR="00C97A26">
        <w:rPr>
          <w:lang w:val="fr-CH"/>
        </w:rPr>
        <w:t>’</w:t>
      </w:r>
      <w:r w:rsidR="001E312F">
        <w:rPr>
          <w:lang w:val="fr-CH"/>
        </w:rPr>
        <w:t>y retrouver dans ce qu</w:t>
      </w:r>
      <w:r w:rsidR="00C97A26">
        <w:rPr>
          <w:lang w:val="fr-CH"/>
        </w:rPr>
        <w:t>’</w:t>
      </w:r>
      <w:r w:rsidR="001E312F">
        <w:rPr>
          <w:lang w:val="fr-CH"/>
        </w:rPr>
        <w:t>ils considèrent comme un processus de demande long et complexe</w:t>
      </w:r>
      <w:r w:rsidR="000866E8" w:rsidRPr="001E312F">
        <w:rPr>
          <w:lang w:val="fr-CH"/>
        </w:rPr>
        <w:t>.</w:t>
      </w:r>
    </w:p>
    <w:p w:rsidR="00E35762" w:rsidRDefault="001E312F" w:rsidP="00E35762">
      <w:pPr>
        <w:spacing w:after="220"/>
        <w:rPr>
          <w:lang w:val="fr-CH"/>
        </w:rPr>
      </w:pPr>
      <w:r w:rsidRPr="001E312F">
        <w:rPr>
          <w:lang w:val="fr-CH"/>
        </w:rPr>
        <w:t xml:space="preserve">Ces </w:t>
      </w:r>
      <w:r w:rsidR="00620A92">
        <w:rPr>
          <w:lang w:val="fr-CH"/>
        </w:rPr>
        <w:t>conclusions</w:t>
      </w:r>
      <w:r w:rsidRPr="001E312F">
        <w:rPr>
          <w:lang w:val="fr-CH"/>
        </w:rPr>
        <w:t xml:space="preserve"> </w:t>
      </w:r>
      <w:r w:rsidR="00EF0AC9">
        <w:rPr>
          <w:lang w:val="fr-CH"/>
        </w:rPr>
        <w:t>descriptives</w:t>
      </w:r>
      <w:r w:rsidRPr="001E312F">
        <w:rPr>
          <w:lang w:val="fr-CH"/>
        </w:rPr>
        <w:t xml:space="preserve"> devront être validé</w:t>
      </w:r>
      <w:r w:rsidR="00620A92">
        <w:rPr>
          <w:lang w:val="fr-CH"/>
        </w:rPr>
        <w:t>e</w:t>
      </w:r>
      <w:r w:rsidRPr="001E312F">
        <w:rPr>
          <w:lang w:val="fr-CH"/>
        </w:rPr>
        <w:t>s et étudié</w:t>
      </w:r>
      <w:r w:rsidR="00620A92">
        <w:rPr>
          <w:lang w:val="fr-CH"/>
        </w:rPr>
        <w:t>e</w:t>
      </w:r>
      <w:r w:rsidRPr="001E312F">
        <w:rPr>
          <w:lang w:val="fr-CH"/>
        </w:rPr>
        <w:t xml:space="preserve">s plus avant </w:t>
      </w:r>
      <w:r>
        <w:rPr>
          <w:lang w:val="fr-CH"/>
        </w:rPr>
        <w:t>dans</w:t>
      </w:r>
      <w:r w:rsidRPr="001E312F">
        <w:rPr>
          <w:lang w:val="fr-CH"/>
        </w:rPr>
        <w:t xml:space="preserve"> des recherches approfondi</w:t>
      </w:r>
      <w:r w:rsidR="00040DB0" w:rsidRPr="001E312F">
        <w:rPr>
          <w:lang w:val="fr-CH"/>
        </w:rPr>
        <w:t>es</w:t>
      </w:r>
      <w:r w:rsidR="00040DB0">
        <w:rPr>
          <w:lang w:val="fr-CH"/>
        </w:rPr>
        <w:t xml:space="preserve">.  </w:t>
      </w:r>
      <w:r w:rsidR="00040DB0" w:rsidRPr="001E312F">
        <w:rPr>
          <w:lang w:val="fr-CH"/>
        </w:rPr>
        <w:t>En</w:t>
      </w:r>
      <w:r w:rsidRPr="001E312F">
        <w:rPr>
          <w:lang w:val="fr-CH"/>
        </w:rPr>
        <w:t xml:space="preserve"> particulier, la division de l</w:t>
      </w:r>
      <w:r w:rsidR="00C97A26">
        <w:rPr>
          <w:lang w:val="fr-CH"/>
        </w:rPr>
        <w:t>’</w:t>
      </w:r>
      <w:r w:rsidRPr="001E312F">
        <w:rPr>
          <w:lang w:val="fr-CH"/>
        </w:rPr>
        <w:t>économie et des statistiques de l</w:t>
      </w:r>
      <w:r w:rsidR="00C97A26">
        <w:rPr>
          <w:lang w:val="fr-CH"/>
        </w:rPr>
        <w:t>’</w:t>
      </w:r>
      <w:r w:rsidRPr="001E312F">
        <w:rPr>
          <w:lang w:val="fr-CH"/>
        </w:rPr>
        <w:t>OMPI</w:t>
      </w:r>
      <w:r>
        <w:rPr>
          <w:lang w:val="fr-CH"/>
        </w:rPr>
        <w:t xml:space="preserve"> prévoit d</w:t>
      </w:r>
      <w:r w:rsidR="00C97A26">
        <w:rPr>
          <w:lang w:val="fr-CH"/>
        </w:rPr>
        <w:t>’</w:t>
      </w:r>
      <w:r>
        <w:rPr>
          <w:lang w:val="fr-CH"/>
        </w:rPr>
        <w:t xml:space="preserve">analyser les réponses </w:t>
      </w:r>
      <w:r w:rsidR="001F45C6">
        <w:rPr>
          <w:lang w:val="fr-CH"/>
        </w:rPr>
        <w:t>à l</w:t>
      </w:r>
      <w:r w:rsidR="00C97A26">
        <w:rPr>
          <w:lang w:val="fr-CH"/>
        </w:rPr>
        <w:t>’</w:t>
      </w:r>
      <w:r>
        <w:rPr>
          <w:lang w:val="fr-CH"/>
        </w:rPr>
        <w:t xml:space="preserve">enquête </w:t>
      </w:r>
      <w:r w:rsidR="000F2B43">
        <w:rPr>
          <w:lang w:val="fr-CH"/>
        </w:rPr>
        <w:t>à l</w:t>
      </w:r>
      <w:r w:rsidR="00C97A26">
        <w:rPr>
          <w:lang w:val="fr-CH"/>
        </w:rPr>
        <w:t>’</w:t>
      </w:r>
      <w:r w:rsidR="000F2B43">
        <w:rPr>
          <w:lang w:val="fr-CH"/>
        </w:rPr>
        <w:t xml:space="preserve">aide de paramètres </w:t>
      </w:r>
      <w:r w:rsidR="00FD1CCC">
        <w:rPr>
          <w:lang w:val="fr-CH"/>
        </w:rPr>
        <w:t>économétrique</w:t>
      </w:r>
      <w:r w:rsidR="000F2B43">
        <w:rPr>
          <w:lang w:val="fr-CH"/>
        </w:rPr>
        <w:t>s</w:t>
      </w:r>
      <w:r w:rsidR="00FD1CCC">
        <w:rPr>
          <w:lang w:val="fr-CH"/>
        </w:rPr>
        <w:t xml:space="preserve">, </w:t>
      </w:r>
      <w:r w:rsidR="000F2B43">
        <w:rPr>
          <w:lang w:val="fr-CH"/>
        </w:rPr>
        <w:t xml:space="preserve">au moyen desquels </w:t>
      </w:r>
      <w:r w:rsidR="00FD1CCC">
        <w:rPr>
          <w:lang w:val="fr-CH"/>
        </w:rPr>
        <w:t>la signification statistique</w:t>
      </w:r>
      <w:r>
        <w:rPr>
          <w:lang w:val="fr-CH"/>
        </w:rPr>
        <w:t xml:space="preserve"> de différent</w:t>
      </w:r>
      <w:r w:rsidR="00EF0AC9">
        <w:rPr>
          <w:lang w:val="fr-CH"/>
        </w:rPr>
        <w:t>e</w:t>
      </w:r>
      <w:r>
        <w:rPr>
          <w:lang w:val="fr-CH"/>
        </w:rPr>
        <w:t xml:space="preserve">s hypothèses </w:t>
      </w:r>
      <w:r w:rsidR="000F2B43">
        <w:rPr>
          <w:lang w:val="fr-CH"/>
        </w:rPr>
        <w:t>peut être testée</w:t>
      </w:r>
      <w:r>
        <w:rPr>
          <w:lang w:val="fr-CH"/>
        </w:rPr>
        <w:t xml:space="preserve"> d</w:t>
      </w:r>
      <w:r w:rsidR="00C97A26">
        <w:rPr>
          <w:lang w:val="fr-CH"/>
        </w:rPr>
        <w:t>’</w:t>
      </w:r>
      <w:r>
        <w:rPr>
          <w:lang w:val="fr-CH"/>
        </w:rPr>
        <w:t>une façon plus formelle</w:t>
      </w:r>
      <w:r w:rsidR="000866E8" w:rsidRPr="001F45C6">
        <w:rPr>
          <w:lang w:val="fr-CH"/>
        </w:rPr>
        <w:t>.</w:t>
      </w:r>
    </w:p>
    <w:p w:rsidR="00E35762" w:rsidRDefault="00030F5F" w:rsidP="005328BE">
      <w:pPr>
        <w:spacing w:before="360" w:after="180"/>
        <w:rPr>
          <w:b/>
          <w:bCs/>
          <w:lang w:val="fr-CH"/>
        </w:rPr>
      </w:pPr>
      <w:r w:rsidRPr="00030F5F">
        <w:rPr>
          <w:b/>
          <w:bCs/>
          <w:lang w:val="fr-CH"/>
        </w:rPr>
        <w:t>Enseignements de l</w:t>
      </w:r>
      <w:r w:rsidR="00C97A26">
        <w:rPr>
          <w:b/>
          <w:bCs/>
          <w:lang w:val="fr-CH"/>
        </w:rPr>
        <w:t>’</w:t>
      </w:r>
      <w:r w:rsidRPr="00030F5F">
        <w:rPr>
          <w:b/>
          <w:bCs/>
          <w:lang w:val="fr-CH"/>
        </w:rPr>
        <w:t>étude et</w:t>
      </w:r>
      <w:r w:rsidR="000866E8" w:rsidRPr="00030F5F">
        <w:rPr>
          <w:b/>
          <w:bCs/>
          <w:lang w:val="fr-CH"/>
        </w:rPr>
        <w:t xml:space="preserve"> </w:t>
      </w:r>
      <w:r w:rsidR="00C1652B">
        <w:rPr>
          <w:b/>
          <w:bCs/>
          <w:lang w:val="fr-CH"/>
        </w:rPr>
        <w:t>implications</w:t>
      </w:r>
      <w:r w:rsidR="00620A92">
        <w:rPr>
          <w:b/>
          <w:bCs/>
          <w:lang w:val="fr-CH"/>
        </w:rPr>
        <w:t xml:space="preserve"> stratégiques</w:t>
      </w:r>
    </w:p>
    <w:p w:rsidR="00E35762" w:rsidRDefault="002B7B63" w:rsidP="00E35762">
      <w:pPr>
        <w:keepNext/>
        <w:spacing w:after="220"/>
        <w:rPr>
          <w:lang w:val="fr-CH"/>
        </w:rPr>
      </w:pPr>
      <w:r>
        <w:rPr>
          <w:lang w:val="fr-CH"/>
        </w:rPr>
        <w:t>Afin de mener une enquête régionale, des ressources importantes sont nécessair</w:t>
      </w:r>
      <w:r w:rsidR="00040DB0">
        <w:rPr>
          <w:lang w:val="fr-CH"/>
        </w:rPr>
        <w:t>es.  La</w:t>
      </w:r>
      <w:r>
        <w:rPr>
          <w:lang w:val="fr-CH"/>
        </w:rPr>
        <w:t xml:space="preserve"> mise en œuvre d</w:t>
      </w:r>
      <w:r w:rsidR="00C97A26">
        <w:rPr>
          <w:lang w:val="fr-CH"/>
        </w:rPr>
        <w:t>’</w:t>
      </w:r>
      <w:r>
        <w:rPr>
          <w:lang w:val="fr-CH"/>
        </w:rPr>
        <w:t>une telle enquête a pris plus de temps qu</w:t>
      </w:r>
      <w:r w:rsidR="00C97A26">
        <w:rPr>
          <w:lang w:val="fr-CH"/>
        </w:rPr>
        <w:t>’</w:t>
      </w:r>
      <w:r>
        <w:rPr>
          <w:lang w:val="fr-CH"/>
        </w:rPr>
        <w:t>initialement pré</w:t>
      </w:r>
      <w:r w:rsidR="00040DB0">
        <w:rPr>
          <w:lang w:val="fr-CH"/>
        </w:rPr>
        <w:t>vu.  Pl</w:t>
      </w:r>
      <w:r>
        <w:rPr>
          <w:lang w:val="fr-CH"/>
        </w:rPr>
        <w:t xml:space="preserve">usieurs enseignements tirés au cours </w:t>
      </w:r>
      <w:r w:rsidRPr="000F2B43">
        <w:rPr>
          <w:lang w:val="fr-CH"/>
        </w:rPr>
        <w:t xml:space="preserve">de la mise en </w:t>
      </w:r>
      <w:r w:rsidR="001F45C6" w:rsidRPr="000F2B43">
        <w:rPr>
          <w:lang w:val="fr-CH"/>
        </w:rPr>
        <w:t>œuvre</w:t>
      </w:r>
      <w:r w:rsidRPr="000F2B43">
        <w:rPr>
          <w:lang w:val="fr-CH"/>
        </w:rPr>
        <w:t xml:space="preserve"> </w:t>
      </w:r>
      <w:r>
        <w:rPr>
          <w:lang w:val="fr-CH"/>
        </w:rPr>
        <w:t>de cette enquête peuvent être ut</w:t>
      </w:r>
      <w:r w:rsidR="00732E55">
        <w:rPr>
          <w:lang w:val="fr-CH"/>
        </w:rPr>
        <w:t>ilisé</w:t>
      </w:r>
      <w:r>
        <w:rPr>
          <w:lang w:val="fr-CH"/>
        </w:rPr>
        <w:t>s pour de futures é</w:t>
      </w:r>
      <w:r w:rsidR="000F2B43">
        <w:rPr>
          <w:lang w:val="fr-CH"/>
        </w:rPr>
        <w:t>tudes</w:t>
      </w:r>
      <w:r w:rsidR="000866E8" w:rsidRPr="002B7B63">
        <w:rPr>
          <w:lang w:val="fr-CH"/>
        </w:rPr>
        <w:t>.</w:t>
      </w:r>
    </w:p>
    <w:p w:rsidR="00E35762" w:rsidRDefault="001F45C6" w:rsidP="00E35762">
      <w:pPr>
        <w:spacing w:after="220"/>
        <w:rPr>
          <w:lang w:val="fr-CH"/>
        </w:rPr>
      </w:pPr>
      <w:r w:rsidRPr="000F2B43">
        <w:rPr>
          <w:lang w:val="fr-CH"/>
        </w:rPr>
        <w:t xml:space="preserve">Premièrement, les données concernant des unités statistiques utilisées pour </w:t>
      </w:r>
      <w:r w:rsidR="00620A92" w:rsidRPr="000F2B43">
        <w:rPr>
          <w:lang w:val="fr-CH"/>
        </w:rPr>
        <w:t>recenser</w:t>
      </w:r>
      <w:r w:rsidRPr="000F2B43">
        <w:rPr>
          <w:lang w:val="fr-CH"/>
        </w:rPr>
        <w:t xml:space="preserve"> les </w:t>
      </w:r>
      <w:r w:rsidR="00620A92" w:rsidRPr="000F2B43">
        <w:rPr>
          <w:lang w:val="fr-CH"/>
        </w:rPr>
        <w:t xml:space="preserve">personnes interrogées dans le cadre </w:t>
      </w:r>
      <w:r w:rsidR="0094632F" w:rsidRPr="000F2B43">
        <w:rPr>
          <w:lang w:val="fr-CH"/>
        </w:rPr>
        <w:t>de l</w:t>
      </w:r>
      <w:r w:rsidR="00C97A26">
        <w:rPr>
          <w:lang w:val="fr-CH"/>
        </w:rPr>
        <w:t>’</w:t>
      </w:r>
      <w:r w:rsidR="0094632F" w:rsidRPr="000F2B43">
        <w:rPr>
          <w:lang w:val="fr-CH"/>
        </w:rPr>
        <w:t>enquête</w:t>
      </w:r>
      <w:r w:rsidR="00620A92" w:rsidRPr="000F2B43">
        <w:rPr>
          <w:lang w:val="fr-CH"/>
        </w:rPr>
        <w:t xml:space="preserve"> n</w:t>
      </w:r>
      <w:r w:rsidR="00C97A26">
        <w:rPr>
          <w:lang w:val="fr-CH"/>
        </w:rPr>
        <w:t>’</w:t>
      </w:r>
      <w:r w:rsidR="00620A92" w:rsidRPr="000F2B43">
        <w:rPr>
          <w:lang w:val="fr-CH"/>
        </w:rPr>
        <w:t>étaient pas toujours exhaustiv</w:t>
      </w:r>
      <w:r w:rsidR="00040DB0" w:rsidRPr="000F2B43">
        <w:rPr>
          <w:lang w:val="fr-CH"/>
        </w:rPr>
        <w:t>es</w:t>
      </w:r>
      <w:r w:rsidR="00040DB0">
        <w:rPr>
          <w:lang w:val="fr-CH"/>
        </w:rPr>
        <w:t xml:space="preserve">.  </w:t>
      </w:r>
      <w:r w:rsidR="00040DB0" w:rsidRPr="00620A92">
        <w:rPr>
          <w:lang w:val="fr-CH"/>
        </w:rPr>
        <w:t>C</w:t>
      </w:r>
      <w:r w:rsidR="00040DB0">
        <w:rPr>
          <w:lang w:val="fr-CH"/>
        </w:rPr>
        <w:t>’</w:t>
      </w:r>
      <w:r w:rsidR="00040DB0" w:rsidRPr="00620A92">
        <w:rPr>
          <w:lang w:val="fr-CH"/>
        </w:rPr>
        <w:t>é</w:t>
      </w:r>
      <w:r w:rsidR="00620A92" w:rsidRPr="00620A92">
        <w:rPr>
          <w:lang w:val="fr-CH"/>
        </w:rPr>
        <w:t xml:space="preserve">tait en particulier le cas </w:t>
      </w:r>
      <w:r w:rsidR="000F2B43">
        <w:rPr>
          <w:lang w:val="fr-CH"/>
        </w:rPr>
        <w:t>des</w:t>
      </w:r>
      <w:r w:rsidR="00620A92">
        <w:rPr>
          <w:lang w:val="fr-CH"/>
        </w:rPr>
        <w:t xml:space="preserve"> coordonnées des déposan</w:t>
      </w:r>
      <w:r w:rsidR="00040DB0">
        <w:rPr>
          <w:lang w:val="fr-CH"/>
        </w:rPr>
        <w:t xml:space="preserve">ts.  </w:t>
      </w:r>
      <w:r w:rsidR="00040DB0" w:rsidRPr="00F653C5">
        <w:rPr>
          <w:lang w:val="fr-CH"/>
        </w:rPr>
        <w:t>Av</w:t>
      </w:r>
      <w:r w:rsidR="00620A92" w:rsidRPr="00F653C5">
        <w:rPr>
          <w:lang w:val="fr-CH"/>
        </w:rPr>
        <w:t>ant le lancement de l</w:t>
      </w:r>
      <w:r w:rsidR="00C97A26">
        <w:rPr>
          <w:lang w:val="fr-CH"/>
        </w:rPr>
        <w:t>’</w:t>
      </w:r>
      <w:r w:rsidR="00620A92" w:rsidRPr="00F653C5">
        <w:rPr>
          <w:lang w:val="fr-CH"/>
        </w:rPr>
        <w:t>instrument d</w:t>
      </w:r>
      <w:r w:rsidR="00C97A26">
        <w:rPr>
          <w:lang w:val="fr-CH"/>
        </w:rPr>
        <w:t>’</w:t>
      </w:r>
      <w:r w:rsidR="00620A92" w:rsidRPr="00F653C5">
        <w:rPr>
          <w:lang w:val="fr-CH"/>
        </w:rPr>
        <w:t>enquête</w:t>
      </w:r>
      <w:r w:rsidR="00F653C5" w:rsidRPr="00F653C5">
        <w:rPr>
          <w:lang w:val="fr-CH"/>
        </w:rPr>
        <w:t xml:space="preserve"> dans les pays, les équipes de recherches ont </w:t>
      </w:r>
      <w:r w:rsidR="00F653C5">
        <w:rPr>
          <w:lang w:val="fr-CH"/>
        </w:rPr>
        <w:t>investi</w:t>
      </w:r>
      <w:r w:rsidR="00F653C5" w:rsidRPr="00F653C5">
        <w:rPr>
          <w:lang w:val="fr-CH"/>
        </w:rPr>
        <w:t xml:space="preserve"> </w:t>
      </w:r>
      <w:r w:rsidR="00F653C5">
        <w:rPr>
          <w:lang w:val="fr-CH"/>
        </w:rPr>
        <w:t xml:space="preserve">beaucoup de temps afin de récupérer les coordonnées manquantes </w:t>
      </w:r>
      <w:r w:rsidR="00DC7EA7">
        <w:rPr>
          <w:lang w:val="fr-CH"/>
        </w:rPr>
        <w:t>à l</w:t>
      </w:r>
      <w:r w:rsidR="00C97A26">
        <w:rPr>
          <w:lang w:val="fr-CH"/>
        </w:rPr>
        <w:t>’</w:t>
      </w:r>
      <w:r w:rsidR="00DC7EA7">
        <w:rPr>
          <w:lang w:val="fr-CH"/>
        </w:rPr>
        <w:t xml:space="preserve">aide </w:t>
      </w:r>
      <w:r w:rsidR="00DC7EA7" w:rsidRPr="00C1652B">
        <w:rPr>
          <w:lang w:val="fr-CH"/>
        </w:rPr>
        <w:t>d</w:t>
      </w:r>
      <w:r w:rsidR="00C97A26">
        <w:rPr>
          <w:lang w:val="fr-CH"/>
        </w:rPr>
        <w:t>’</w:t>
      </w:r>
      <w:r w:rsidR="00DC7EA7" w:rsidRPr="00C1652B">
        <w:rPr>
          <w:lang w:val="fr-CH"/>
        </w:rPr>
        <w:t>informations librement accessibl</w:t>
      </w:r>
      <w:r w:rsidR="00040DB0" w:rsidRPr="00C1652B">
        <w:rPr>
          <w:lang w:val="fr-CH"/>
        </w:rPr>
        <w:t>es</w:t>
      </w:r>
      <w:r w:rsidR="00040DB0">
        <w:rPr>
          <w:lang w:val="fr-CH"/>
        </w:rPr>
        <w:t xml:space="preserve">.  </w:t>
      </w:r>
      <w:r w:rsidR="00040DB0" w:rsidRPr="00C1652B">
        <w:rPr>
          <w:lang w:val="fr-CH"/>
        </w:rPr>
        <w:t>Gr</w:t>
      </w:r>
      <w:r w:rsidR="00DC7EA7" w:rsidRPr="00C1652B">
        <w:rPr>
          <w:lang w:val="fr-CH"/>
        </w:rPr>
        <w:t>âce au fort soutien des offices nationaux de propriété intellectuelle, les</w:t>
      </w:r>
      <w:r w:rsidR="00DC7EA7" w:rsidRPr="00DC7EA7">
        <w:rPr>
          <w:lang w:val="fr-CH"/>
        </w:rPr>
        <w:t xml:space="preserve"> chercheurs ont pu s</w:t>
      </w:r>
      <w:r w:rsidR="00C97A26">
        <w:rPr>
          <w:lang w:val="fr-CH"/>
        </w:rPr>
        <w:t>’</w:t>
      </w:r>
      <w:r w:rsidR="00DC7EA7" w:rsidRPr="00DC7EA7">
        <w:rPr>
          <w:lang w:val="fr-CH"/>
        </w:rPr>
        <w:t xml:space="preserve">adresser aux </w:t>
      </w:r>
      <w:r w:rsidR="00DC7EA7">
        <w:rPr>
          <w:lang w:val="fr-CH"/>
        </w:rPr>
        <w:t xml:space="preserve">associations de commerce et </w:t>
      </w:r>
      <w:r w:rsidR="00C1652B">
        <w:rPr>
          <w:lang w:val="fr-CH"/>
        </w:rPr>
        <w:t>de design</w:t>
      </w:r>
      <w:r w:rsidR="00DC7EA7">
        <w:rPr>
          <w:lang w:val="fr-CH"/>
        </w:rPr>
        <w:t xml:space="preserve"> pour compléter les coordonnées des personnes interrogées dans le cadre de l</w:t>
      </w:r>
      <w:r w:rsidR="00C97A26">
        <w:rPr>
          <w:lang w:val="fr-CH"/>
        </w:rPr>
        <w:t>’</w:t>
      </w:r>
      <w:r w:rsidR="00DC7EA7">
        <w:rPr>
          <w:lang w:val="fr-CH"/>
        </w:rPr>
        <w:t>enquête</w:t>
      </w:r>
      <w:r w:rsidR="000866E8" w:rsidRPr="00DC7EA7">
        <w:rPr>
          <w:lang w:val="fr-CH"/>
        </w:rPr>
        <w:t>.</w:t>
      </w:r>
    </w:p>
    <w:p w:rsidR="00E35762" w:rsidRDefault="00DC7EA7" w:rsidP="00E35762">
      <w:pPr>
        <w:spacing w:after="220"/>
        <w:rPr>
          <w:lang w:val="fr-CH"/>
        </w:rPr>
      </w:pPr>
      <w:r w:rsidRPr="00DC7EA7">
        <w:rPr>
          <w:lang w:val="fr-CH"/>
        </w:rPr>
        <w:t>Deuxièmement, la Division de l</w:t>
      </w:r>
      <w:r w:rsidR="00C97A26">
        <w:rPr>
          <w:lang w:val="fr-CH"/>
        </w:rPr>
        <w:t>’</w:t>
      </w:r>
      <w:r w:rsidRPr="00DC7EA7">
        <w:rPr>
          <w:lang w:val="fr-CH"/>
        </w:rPr>
        <w:t>économie et des statistiques de l</w:t>
      </w:r>
      <w:r w:rsidR="00C97A26">
        <w:rPr>
          <w:lang w:val="fr-CH"/>
        </w:rPr>
        <w:t>’</w:t>
      </w:r>
      <w:r w:rsidRPr="00DC7EA7">
        <w:rPr>
          <w:lang w:val="fr-CH"/>
        </w:rPr>
        <w:t>OMPI</w:t>
      </w:r>
      <w:r w:rsidR="00133E05">
        <w:rPr>
          <w:lang w:val="fr-CH"/>
        </w:rPr>
        <w:t xml:space="preserve"> ainsi que les équipes de recherche locales étaient préoccupées quant à la longueur du questionnaire d</w:t>
      </w:r>
      <w:r w:rsidR="00C97A26">
        <w:rPr>
          <w:lang w:val="fr-CH"/>
        </w:rPr>
        <w:t>’</w:t>
      </w:r>
      <w:r w:rsidR="00133E05">
        <w:rPr>
          <w:lang w:val="fr-CH"/>
        </w:rPr>
        <w:t>enquê</w:t>
      </w:r>
      <w:r w:rsidR="00040DB0">
        <w:rPr>
          <w:lang w:val="fr-CH"/>
        </w:rPr>
        <w:t xml:space="preserve">te.  </w:t>
      </w:r>
      <w:r w:rsidR="00040DB0" w:rsidRPr="00133E05">
        <w:rPr>
          <w:lang w:val="fr-CH"/>
        </w:rPr>
        <w:t>De</w:t>
      </w:r>
      <w:r w:rsidR="00133E05" w:rsidRPr="00133E05">
        <w:rPr>
          <w:lang w:val="fr-CH"/>
        </w:rPr>
        <w:t>ux</w:t>
      </w:r>
      <w:r w:rsidR="00E82EF4">
        <w:rPr>
          <w:lang w:val="fr-CH"/>
        </w:rPr>
        <w:t> </w:t>
      </w:r>
      <w:r w:rsidR="00133E05" w:rsidRPr="00C1652B">
        <w:rPr>
          <w:lang w:val="fr-CH"/>
        </w:rPr>
        <w:t>te</w:t>
      </w:r>
      <w:r w:rsidR="00133E05" w:rsidRPr="00133E05">
        <w:rPr>
          <w:lang w:val="fr-CH"/>
        </w:rPr>
        <w:t>sts pilotes ont été menés avant le lancement de l</w:t>
      </w:r>
      <w:r w:rsidR="00C97A26">
        <w:rPr>
          <w:lang w:val="fr-CH"/>
        </w:rPr>
        <w:t>’</w:t>
      </w:r>
      <w:r w:rsidR="00133E05" w:rsidRPr="00133E05">
        <w:rPr>
          <w:lang w:val="fr-CH"/>
        </w:rPr>
        <w:t>enqu</w:t>
      </w:r>
      <w:r w:rsidR="00133E05">
        <w:rPr>
          <w:lang w:val="fr-CH"/>
        </w:rPr>
        <w:t>ê</w:t>
      </w:r>
      <w:r w:rsidR="00040DB0">
        <w:rPr>
          <w:lang w:val="fr-CH"/>
        </w:rPr>
        <w:t>te.  La</w:t>
      </w:r>
      <w:r w:rsidR="00133E05">
        <w:rPr>
          <w:lang w:val="fr-CH"/>
        </w:rPr>
        <w:t xml:space="preserve"> première série d</w:t>
      </w:r>
      <w:r w:rsidR="00C97A26">
        <w:rPr>
          <w:lang w:val="fr-CH"/>
        </w:rPr>
        <w:t>’</w:t>
      </w:r>
      <w:r w:rsidR="00133E05">
        <w:rPr>
          <w:lang w:val="fr-CH"/>
        </w:rPr>
        <w:t>entretiens avec des concepteurs a été menée lors de deux</w:t>
      </w:r>
      <w:r w:rsidR="00E82EF4">
        <w:rPr>
          <w:lang w:val="fr-CH"/>
        </w:rPr>
        <w:t> </w:t>
      </w:r>
      <w:r w:rsidR="00133E05">
        <w:rPr>
          <w:lang w:val="fr-CH"/>
        </w:rPr>
        <w:t>conventions relatives aux dessins et modèles d</w:t>
      </w:r>
      <w:r w:rsidR="00C97A26">
        <w:rPr>
          <w:lang w:val="fr-CH"/>
        </w:rPr>
        <w:t>’</w:t>
      </w:r>
      <w:r w:rsidR="00133E05">
        <w:rPr>
          <w:lang w:val="fr-CH"/>
        </w:rPr>
        <w:t>envergure internationale</w:t>
      </w:r>
      <w:r w:rsidR="00C1652B">
        <w:rPr>
          <w:lang w:val="fr-CH"/>
        </w:rPr>
        <w:t xml:space="preserve"> </w:t>
      </w:r>
      <w:r w:rsidR="00133E05">
        <w:rPr>
          <w:lang w:val="fr-CH"/>
        </w:rPr>
        <w:t>organisées chaque année à Milan (Italie)</w:t>
      </w:r>
      <w:r w:rsidR="000866E8" w:rsidRPr="000866E8">
        <w:rPr>
          <w:vertAlign w:val="superscript"/>
        </w:rPr>
        <w:footnoteReference w:id="7"/>
      </w:r>
      <w:r w:rsidR="00E82EF4">
        <w:rPr>
          <w:lang w:val="fr-CH"/>
        </w:rPr>
        <w:t xml:space="preserve">. </w:t>
      </w:r>
      <w:r w:rsidR="000866E8" w:rsidRPr="00133E05">
        <w:rPr>
          <w:lang w:val="fr-CH"/>
        </w:rPr>
        <w:t xml:space="preserve"> </w:t>
      </w:r>
      <w:r w:rsidR="00133E05">
        <w:rPr>
          <w:lang w:val="fr-CH"/>
        </w:rPr>
        <w:t>Le second test pilote a été mené aux Philippines avec un petit groupe de déposants de dessins et modèles philippi</w:t>
      </w:r>
      <w:r w:rsidR="00040DB0">
        <w:rPr>
          <w:lang w:val="fr-CH"/>
        </w:rPr>
        <w:t>ns.  Da</w:t>
      </w:r>
      <w:r w:rsidR="00133E05">
        <w:rPr>
          <w:lang w:val="fr-CH"/>
        </w:rPr>
        <w:t>ns les deux</w:t>
      </w:r>
      <w:r w:rsidR="00E82EF4">
        <w:rPr>
          <w:lang w:val="fr-CH"/>
        </w:rPr>
        <w:t> </w:t>
      </w:r>
      <w:r w:rsidR="00133E05">
        <w:rPr>
          <w:lang w:val="fr-CH"/>
        </w:rPr>
        <w:t>cas, les personnes interrogées dans le cadre de l</w:t>
      </w:r>
      <w:r w:rsidR="00C97A26">
        <w:rPr>
          <w:lang w:val="fr-CH"/>
        </w:rPr>
        <w:t>’</w:t>
      </w:r>
      <w:r w:rsidR="00133E05">
        <w:rPr>
          <w:lang w:val="fr-CH"/>
        </w:rPr>
        <w:t>enquête ont été en mesure de remplir le q</w:t>
      </w:r>
      <w:r w:rsidR="00BF13B8">
        <w:rPr>
          <w:lang w:val="fr-CH"/>
        </w:rPr>
        <w:t>uestionnaire malgré sa longueur</w:t>
      </w:r>
      <w:r w:rsidR="000866E8" w:rsidRPr="00BF13B8">
        <w:rPr>
          <w:lang w:val="fr-CH"/>
        </w:rPr>
        <w:t>.</w:t>
      </w:r>
    </w:p>
    <w:p w:rsidR="00E35762" w:rsidRDefault="00BF13B8" w:rsidP="00E35762">
      <w:pPr>
        <w:spacing w:after="220"/>
        <w:rPr>
          <w:lang w:val="fr-CH"/>
        </w:rPr>
      </w:pPr>
      <w:r w:rsidRPr="00BF13B8">
        <w:rPr>
          <w:lang w:val="fr-CH"/>
        </w:rPr>
        <w:t xml:space="preserve">Durant la mise en œuvre des enquêtes, les équipes de recherche locales </w:t>
      </w:r>
      <w:r w:rsidR="00C1652B">
        <w:rPr>
          <w:lang w:val="fr-CH"/>
        </w:rPr>
        <w:t xml:space="preserve">ont proposé aux personnes interrogées </w:t>
      </w:r>
      <w:r>
        <w:rPr>
          <w:lang w:val="fr-CH"/>
        </w:rPr>
        <w:t xml:space="preserve">de remplir une version </w:t>
      </w:r>
      <w:r w:rsidR="0090688F">
        <w:rPr>
          <w:lang w:val="fr-CH"/>
        </w:rPr>
        <w:t xml:space="preserve">plus courte du questionnaire </w:t>
      </w:r>
      <w:r>
        <w:rPr>
          <w:lang w:val="fr-CH"/>
        </w:rPr>
        <w:t>ou de participer à un entretien téléphonique afin de</w:t>
      </w:r>
      <w:r w:rsidR="00C1652B">
        <w:rPr>
          <w:lang w:val="fr-CH"/>
        </w:rPr>
        <w:t xml:space="preserve"> les</w:t>
      </w:r>
      <w:r>
        <w:rPr>
          <w:lang w:val="fr-CH"/>
        </w:rPr>
        <w:t xml:space="preserve"> </w:t>
      </w:r>
      <w:r w:rsidR="00732E55">
        <w:rPr>
          <w:lang w:val="fr-CH"/>
        </w:rPr>
        <w:t>encourager</w:t>
      </w:r>
      <w:r>
        <w:rPr>
          <w:lang w:val="fr-CH"/>
        </w:rPr>
        <w:t xml:space="preserve"> à répondre à l</w:t>
      </w:r>
      <w:r w:rsidR="00C97A26">
        <w:rPr>
          <w:lang w:val="fr-CH"/>
        </w:rPr>
        <w:t>’</w:t>
      </w:r>
      <w:r>
        <w:rPr>
          <w:lang w:val="fr-CH"/>
        </w:rPr>
        <w:t>enquête</w:t>
      </w:r>
      <w:r w:rsidR="000866E8" w:rsidRPr="00BF13B8">
        <w:rPr>
          <w:lang w:val="fr-CH"/>
        </w:rPr>
        <w:t>.</w:t>
      </w:r>
    </w:p>
    <w:p w:rsidR="00E35762" w:rsidRDefault="00BF13B8" w:rsidP="00E35762">
      <w:pPr>
        <w:spacing w:after="220"/>
        <w:rPr>
          <w:lang w:val="fr-CH"/>
        </w:rPr>
      </w:pPr>
      <w:r w:rsidRPr="0079298F">
        <w:rPr>
          <w:lang w:val="fr-CH"/>
        </w:rPr>
        <w:t xml:space="preserve">De plus, le </w:t>
      </w:r>
      <w:r w:rsidR="0079298F" w:rsidRPr="0079298F">
        <w:rPr>
          <w:lang w:val="fr-CH"/>
        </w:rPr>
        <w:t>lancement échelonné de questionnaires d</w:t>
      </w:r>
      <w:r w:rsidR="00C97A26">
        <w:rPr>
          <w:lang w:val="fr-CH"/>
        </w:rPr>
        <w:t>’</w:t>
      </w:r>
      <w:r w:rsidR="0079298F" w:rsidRPr="0079298F">
        <w:rPr>
          <w:lang w:val="fr-CH"/>
        </w:rPr>
        <w:t>enquête dans les trois</w:t>
      </w:r>
      <w:r w:rsidR="00E82EF4">
        <w:rPr>
          <w:lang w:val="fr-CH"/>
        </w:rPr>
        <w:t> </w:t>
      </w:r>
      <w:r w:rsidR="0079298F" w:rsidRPr="0079298F">
        <w:rPr>
          <w:lang w:val="fr-CH"/>
        </w:rPr>
        <w:t>pays s</w:t>
      </w:r>
      <w:r w:rsidR="00C97A26">
        <w:rPr>
          <w:lang w:val="fr-CH"/>
        </w:rPr>
        <w:t>’</w:t>
      </w:r>
      <w:r w:rsidR="0079298F" w:rsidRPr="0079298F">
        <w:rPr>
          <w:lang w:val="fr-CH"/>
        </w:rPr>
        <w:t>est révélé utile car il a permis à chaque équipe de recherche d</w:t>
      </w:r>
      <w:r w:rsidR="00C97A26">
        <w:rPr>
          <w:lang w:val="fr-CH"/>
        </w:rPr>
        <w:t>’</w:t>
      </w:r>
      <w:r w:rsidR="0079298F" w:rsidRPr="0079298F">
        <w:rPr>
          <w:lang w:val="fr-CH"/>
        </w:rPr>
        <w:t xml:space="preserve">apprendre de leurs différentes </w:t>
      </w:r>
      <w:r w:rsidR="0079298F">
        <w:rPr>
          <w:lang w:val="fr-CH"/>
        </w:rPr>
        <w:t>expériences lorsqu</w:t>
      </w:r>
      <w:r w:rsidR="00C97A26">
        <w:rPr>
          <w:lang w:val="fr-CH"/>
        </w:rPr>
        <w:t>’</w:t>
      </w:r>
      <w:r w:rsidR="0079298F">
        <w:rPr>
          <w:lang w:val="fr-CH"/>
        </w:rPr>
        <w:t>elles s</w:t>
      </w:r>
      <w:r w:rsidR="00C97A26">
        <w:rPr>
          <w:lang w:val="fr-CH"/>
        </w:rPr>
        <w:t>’</w:t>
      </w:r>
      <w:r w:rsidR="0079298F">
        <w:rPr>
          <w:lang w:val="fr-CH"/>
        </w:rPr>
        <w:t>adressaient aux personnes interrogées</w:t>
      </w:r>
      <w:r w:rsidR="000866E8" w:rsidRPr="0079298F">
        <w:rPr>
          <w:lang w:val="fr-CH"/>
        </w:rPr>
        <w:t>.</w:t>
      </w:r>
    </w:p>
    <w:p w:rsidR="00E35762" w:rsidRDefault="0079298F" w:rsidP="00E35762">
      <w:pPr>
        <w:spacing w:after="220"/>
        <w:rPr>
          <w:lang w:val="fr-CH"/>
        </w:rPr>
      </w:pPr>
      <w:r>
        <w:rPr>
          <w:lang w:val="fr-CH"/>
        </w:rPr>
        <w:t>Troisièmement, de nombreuses personnes interrogées hésitaient à remplir le questionnai</w:t>
      </w:r>
      <w:r w:rsidR="00040DB0">
        <w:rPr>
          <w:lang w:val="fr-CH"/>
        </w:rPr>
        <w:t>re.  Le</w:t>
      </w:r>
      <w:r w:rsidR="00355861">
        <w:rPr>
          <w:lang w:val="fr-CH"/>
        </w:rPr>
        <w:t> </w:t>
      </w:r>
      <w:r>
        <w:rPr>
          <w:lang w:val="fr-CH"/>
        </w:rPr>
        <w:t>fort soutien reçu par les trois</w:t>
      </w:r>
      <w:r w:rsidR="00E82EF4">
        <w:rPr>
          <w:lang w:val="fr-CH"/>
        </w:rPr>
        <w:t> </w:t>
      </w:r>
      <w:r>
        <w:rPr>
          <w:lang w:val="fr-CH"/>
        </w:rPr>
        <w:t>offices de propriété intellectuelle s</w:t>
      </w:r>
      <w:r w:rsidR="00C97A26">
        <w:rPr>
          <w:lang w:val="fr-CH"/>
        </w:rPr>
        <w:t>’</w:t>
      </w:r>
      <w:r>
        <w:rPr>
          <w:lang w:val="fr-CH"/>
        </w:rPr>
        <w:t xml:space="preserve">est révélé décisif </w:t>
      </w:r>
      <w:r w:rsidR="00C1652B">
        <w:rPr>
          <w:lang w:val="fr-CH"/>
        </w:rPr>
        <w:t xml:space="preserve">et </w:t>
      </w:r>
      <w:r w:rsidR="00040DB0">
        <w:rPr>
          <w:lang w:val="fr-CH"/>
        </w:rPr>
        <w:t>a</w:t>
      </w:r>
      <w:r w:rsidR="00C1652B">
        <w:rPr>
          <w:lang w:val="fr-CH"/>
        </w:rPr>
        <w:t xml:space="preserve"> permis</w:t>
      </w:r>
      <w:r>
        <w:rPr>
          <w:lang w:val="fr-CH"/>
        </w:rPr>
        <w:t xml:space="preserve"> obtenir des réponses supplémentaires à l</w:t>
      </w:r>
      <w:r w:rsidR="00C97A26">
        <w:rPr>
          <w:lang w:val="fr-CH"/>
        </w:rPr>
        <w:t>’</w:t>
      </w:r>
      <w:r>
        <w:rPr>
          <w:lang w:val="fr-CH"/>
        </w:rPr>
        <w:t>enquê</w:t>
      </w:r>
      <w:r w:rsidR="00040DB0">
        <w:rPr>
          <w:lang w:val="fr-CH"/>
        </w:rPr>
        <w:t>te.  Le</w:t>
      </w:r>
      <w:r>
        <w:rPr>
          <w:lang w:val="fr-CH"/>
        </w:rPr>
        <w:t>s ateliers supplémentaires organisés aux Philippines et en Indonésie ont aidé les équipes de recherche locales à entrer directement en contact avec les personnes interrogées dans le cadre de l</w:t>
      </w:r>
      <w:r w:rsidR="00C97A26">
        <w:rPr>
          <w:lang w:val="fr-CH"/>
        </w:rPr>
        <w:t>’</w:t>
      </w:r>
      <w:r>
        <w:rPr>
          <w:lang w:val="fr-CH"/>
        </w:rPr>
        <w:t>enquête</w:t>
      </w:r>
      <w:r w:rsidR="000866E8" w:rsidRPr="0079298F">
        <w:rPr>
          <w:lang w:val="fr-CH"/>
        </w:rPr>
        <w:t>.</w:t>
      </w:r>
    </w:p>
    <w:p w:rsidR="00E35762" w:rsidRDefault="0079298F" w:rsidP="00E35762">
      <w:pPr>
        <w:spacing w:after="220"/>
        <w:rPr>
          <w:lang w:val="fr-CH"/>
        </w:rPr>
      </w:pPr>
      <w:r w:rsidRPr="0079298F">
        <w:rPr>
          <w:lang w:val="fr-CH"/>
        </w:rPr>
        <w:t xml:space="preserve">En ce qui concerne les </w:t>
      </w:r>
      <w:r w:rsidR="00C1652B">
        <w:rPr>
          <w:lang w:val="fr-CH"/>
        </w:rPr>
        <w:t>implications</w:t>
      </w:r>
      <w:r w:rsidRPr="0079298F">
        <w:rPr>
          <w:lang w:val="fr-CH"/>
        </w:rPr>
        <w:t xml:space="preserve"> stratégiques, les réponses à l</w:t>
      </w:r>
      <w:r w:rsidR="00C97A26">
        <w:rPr>
          <w:lang w:val="fr-CH"/>
        </w:rPr>
        <w:t>’</w:t>
      </w:r>
      <w:r w:rsidRPr="0079298F">
        <w:rPr>
          <w:lang w:val="fr-CH"/>
        </w:rPr>
        <w:t xml:space="preserve">enquête </w:t>
      </w:r>
      <w:r w:rsidR="0060266A">
        <w:rPr>
          <w:lang w:val="fr-CH"/>
        </w:rPr>
        <w:t>montrent</w:t>
      </w:r>
      <w:r w:rsidRPr="0079298F">
        <w:rPr>
          <w:lang w:val="fr-CH"/>
        </w:rPr>
        <w:t xml:space="preserve"> que les innovateurs en </w:t>
      </w:r>
      <w:r w:rsidR="0060266A" w:rsidRPr="0079298F">
        <w:rPr>
          <w:lang w:val="fr-CH"/>
        </w:rPr>
        <w:t>matière</w:t>
      </w:r>
      <w:r w:rsidRPr="0079298F">
        <w:rPr>
          <w:lang w:val="fr-CH"/>
        </w:rPr>
        <w:t xml:space="preserve"> de </w:t>
      </w:r>
      <w:r>
        <w:rPr>
          <w:lang w:val="fr-CH"/>
        </w:rPr>
        <w:t>d</w:t>
      </w:r>
      <w:r w:rsidR="0060266A">
        <w:rPr>
          <w:lang w:val="fr-CH"/>
        </w:rPr>
        <w:t>essins et modèles ont recours aux droits de</w:t>
      </w:r>
      <w:r w:rsidR="00474171">
        <w:rPr>
          <w:lang w:val="fr-CH"/>
        </w:rPr>
        <w:t>s</w:t>
      </w:r>
      <w:r w:rsidR="0060266A">
        <w:rPr>
          <w:lang w:val="fr-CH"/>
        </w:rPr>
        <w:t xml:space="preserve"> dessins et modèles</w:t>
      </w:r>
      <w:r w:rsidR="00474171">
        <w:rPr>
          <w:lang w:val="fr-CH"/>
        </w:rPr>
        <w:t xml:space="preserve"> industriels</w:t>
      </w:r>
      <w:r w:rsidR="0060266A">
        <w:rPr>
          <w:lang w:val="fr-CH"/>
        </w:rPr>
        <w:t xml:space="preserve"> </w:t>
      </w:r>
      <w:r w:rsidR="0060266A" w:rsidRPr="00C1652B">
        <w:rPr>
          <w:lang w:val="fr-CH"/>
        </w:rPr>
        <w:t>afin d</w:t>
      </w:r>
      <w:r w:rsidR="00C97A26">
        <w:rPr>
          <w:lang w:val="fr-CH"/>
        </w:rPr>
        <w:t>’</w:t>
      </w:r>
      <w:r w:rsidR="0060266A" w:rsidRPr="00C1652B">
        <w:rPr>
          <w:lang w:val="fr-CH"/>
        </w:rPr>
        <w:t>obtenir un retour sur investissement par la création de nouveaux dessins et modèl</w:t>
      </w:r>
      <w:r w:rsidR="00040DB0" w:rsidRPr="00C1652B">
        <w:rPr>
          <w:lang w:val="fr-CH"/>
        </w:rPr>
        <w:t>es</w:t>
      </w:r>
      <w:r w:rsidR="00040DB0">
        <w:rPr>
          <w:lang w:val="fr-CH"/>
        </w:rPr>
        <w:t xml:space="preserve">.  </w:t>
      </w:r>
      <w:r w:rsidR="00040DB0" w:rsidRPr="00C1652B">
        <w:rPr>
          <w:lang w:val="fr-CH"/>
        </w:rPr>
        <w:t>El</w:t>
      </w:r>
      <w:r w:rsidR="0060266A" w:rsidRPr="00C1652B">
        <w:rPr>
          <w:lang w:val="fr-CH"/>
        </w:rPr>
        <w:t>les révèlent également</w:t>
      </w:r>
      <w:r w:rsidR="0060266A" w:rsidRPr="0060266A">
        <w:rPr>
          <w:lang w:val="fr-CH"/>
        </w:rPr>
        <w:t xml:space="preserve"> que les innovateurs en matière de dessin ou modèle sont exposés à un </w:t>
      </w:r>
      <w:r w:rsidR="00C1652B">
        <w:rPr>
          <w:lang w:val="fr-CH"/>
        </w:rPr>
        <w:t>risque réel</w:t>
      </w:r>
      <w:r w:rsidR="0060266A" w:rsidRPr="0060266A">
        <w:rPr>
          <w:lang w:val="fr-CH"/>
        </w:rPr>
        <w:t xml:space="preserve"> d</w:t>
      </w:r>
      <w:r w:rsidR="00C97A26">
        <w:rPr>
          <w:lang w:val="fr-CH"/>
        </w:rPr>
        <w:t>’</w:t>
      </w:r>
      <w:r w:rsidR="0060266A" w:rsidRPr="0060266A">
        <w:rPr>
          <w:lang w:val="fr-CH"/>
        </w:rPr>
        <w:t>imitation.</w:t>
      </w:r>
      <w:r w:rsidR="0060266A">
        <w:rPr>
          <w:lang w:val="fr-CH"/>
        </w:rPr>
        <w:t xml:space="preserve">  </w:t>
      </w:r>
      <w:r w:rsidR="006261A9" w:rsidRPr="006261A9">
        <w:rPr>
          <w:lang w:val="fr-CH"/>
        </w:rPr>
        <w:t>Dans l</w:t>
      </w:r>
      <w:r w:rsidR="00C97A26">
        <w:rPr>
          <w:lang w:val="fr-CH"/>
        </w:rPr>
        <w:t>’</w:t>
      </w:r>
      <w:r w:rsidR="006261A9" w:rsidRPr="006261A9">
        <w:rPr>
          <w:lang w:val="fr-CH"/>
        </w:rPr>
        <w:t xml:space="preserve">ensemble, le système des dessins et modèles industriels </w:t>
      </w:r>
      <w:r w:rsidR="006261A9">
        <w:rPr>
          <w:lang w:val="fr-CH"/>
        </w:rPr>
        <w:t>joue ainsi un rôle de soutien en enco</w:t>
      </w:r>
      <w:r w:rsidR="00C1652B">
        <w:rPr>
          <w:lang w:val="fr-CH"/>
        </w:rPr>
        <w:t>urageant une forme d</w:t>
      </w:r>
      <w:r w:rsidR="00C97A26">
        <w:rPr>
          <w:lang w:val="fr-CH"/>
        </w:rPr>
        <w:t>’</w:t>
      </w:r>
      <w:r w:rsidR="00C1652B">
        <w:rPr>
          <w:lang w:val="fr-CH"/>
        </w:rPr>
        <w:t>innovation</w:t>
      </w:r>
      <w:r w:rsidR="006261A9">
        <w:rPr>
          <w:lang w:val="fr-CH"/>
        </w:rPr>
        <w:t xml:space="preserve"> que des entreprises des pays à revenu intermédiaire, notamment les petites et moyennes entreprises, </w:t>
      </w:r>
      <w:r w:rsidR="006261A9" w:rsidRPr="00C1652B">
        <w:rPr>
          <w:lang w:val="fr-CH"/>
        </w:rPr>
        <w:t>entreprennent.  Contrairement à la situation dans le domaine des brevets, il n</w:t>
      </w:r>
      <w:r w:rsidR="00C97A26">
        <w:rPr>
          <w:lang w:val="fr-CH"/>
        </w:rPr>
        <w:t>’</w:t>
      </w:r>
      <w:r w:rsidR="006261A9" w:rsidRPr="00C1652B">
        <w:rPr>
          <w:lang w:val="fr-CH"/>
        </w:rPr>
        <w:t>est pas nécessaire que les entreprises soient à la pointe de la technologie pour créer avec succès de nouveaux dessins et modèl</w:t>
      </w:r>
      <w:r w:rsidR="00040DB0" w:rsidRPr="00C1652B">
        <w:rPr>
          <w:lang w:val="fr-CH"/>
        </w:rPr>
        <w:t>es</w:t>
      </w:r>
      <w:r w:rsidR="00040DB0">
        <w:rPr>
          <w:lang w:val="fr-CH"/>
        </w:rPr>
        <w:t>.  El</w:t>
      </w:r>
      <w:r w:rsidR="00732E55">
        <w:rPr>
          <w:lang w:val="fr-CH"/>
        </w:rPr>
        <w:t>les</w:t>
      </w:r>
      <w:r w:rsidR="006261A9" w:rsidRPr="00C1652B">
        <w:rPr>
          <w:lang w:val="fr-CH"/>
        </w:rPr>
        <w:t xml:space="preserve"> ont principalement besoin de talent humain, qui ne manque pas, même dans des milieux </w:t>
      </w:r>
      <w:r w:rsidR="00C1652B">
        <w:rPr>
          <w:lang w:val="fr-CH"/>
        </w:rPr>
        <w:t>disposant de</w:t>
      </w:r>
      <w:r w:rsidR="006261A9">
        <w:rPr>
          <w:lang w:val="fr-CH"/>
        </w:rPr>
        <w:t xml:space="preserve"> ressources plus limitées</w:t>
      </w:r>
      <w:r w:rsidR="000866E8" w:rsidRPr="006261A9">
        <w:rPr>
          <w:lang w:val="fr-CH"/>
        </w:rPr>
        <w:t>.</w:t>
      </w:r>
    </w:p>
    <w:p w:rsidR="00E35762" w:rsidRDefault="006261A9" w:rsidP="00E35762">
      <w:pPr>
        <w:spacing w:after="220"/>
        <w:rPr>
          <w:lang w:val="fr-CH"/>
        </w:rPr>
      </w:pPr>
      <w:r w:rsidRPr="00DB60EB">
        <w:rPr>
          <w:lang w:val="fr-CH"/>
        </w:rPr>
        <w:t>Enfin, l</w:t>
      </w:r>
      <w:r w:rsidR="00C97A26">
        <w:rPr>
          <w:lang w:val="fr-CH"/>
        </w:rPr>
        <w:t>’</w:t>
      </w:r>
      <w:r w:rsidRPr="00DB60EB">
        <w:rPr>
          <w:lang w:val="fr-CH"/>
        </w:rPr>
        <w:t xml:space="preserve">étude </w:t>
      </w:r>
      <w:r w:rsidR="00732E55">
        <w:rPr>
          <w:lang w:val="fr-CH"/>
        </w:rPr>
        <w:t>fournit</w:t>
      </w:r>
      <w:r w:rsidR="00DB60EB" w:rsidRPr="00DB60EB">
        <w:rPr>
          <w:lang w:val="fr-CH"/>
        </w:rPr>
        <w:t xml:space="preserve"> des éléments provisoires attestant que l</w:t>
      </w:r>
      <w:r w:rsidR="00C97A26">
        <w:rPr>
          <w:lang w:val="fr-CH"/>
        </w:rPr>
        <w:t>’</w:t>
      </w:r>
      <w:r w:rsidR="00DB60EB" w:rsidRPr="00DB60EB">
        <w:rPr>
          <w:lang w:val="fr-CH"/>
        </w:rPr>
        <w:t xml:space="preserve">innovation en matière de dessins et modèles peut </w:t>
      </w:r>
      <w:r w:rsidR="00DB60EB">
        <w:rPr>
          <w:lang w:val="fr-CH"/>
        </w:rPr>
        <w:t>être une manière de prendre pied sur les marchés étrangers et augmenter les exportatio</w:t>
      </w:r>
      <w:r w:rsidR="00040DB0">
        <w:rPr>
          <w:lang w:val="fr-CH"/>
        </w:rPr>
        <w:t>ns.  Ce</w:t>
      </w:r>
      <w:r w:rsidR="00C1652B">
        <w:rPr>
          <w:lang w:val="fr-CH"/>
        </w:rPr>
        <w:t>tte conclusion</w:t>
      </w:r>
      <w:r w:rsidR="00DB60EB">
        <w:rPr>
          <w:lang w:val="fr-CH"/>
        </w:rPr>
        <w:t xml:space="preserve"> rejoint la recherche dans le domaine du commerce international</w:t>
      </w:r>
      <w:r w:rsidR="00C1652B">
        <w:rPr>
          <w:lang w:val="fr-CH"/>
        </w:rPr>
        <w:t>,</w:t>
      </w:r>
      <w:r w:rsidR="00DB60EB">
        <w:rPr>
          <w:lang w:val="fr-CH"/>
        </w:rPr>
        <w:t xml:space="preserve"> qui </w:t>
      </w:r>
      <w:r w:rsidR="00DB60EB" w:rsidRPr="00C1652B">
        <w:rPr>
          <w:lang w:val="fr-CH"/>
        </w:rPr>
        <w:t>souligne les aptitudes propres aux entreprises pour expliquer la réussite en matière d</w:t>
      </w:r>
      <w:r w:rsidR="00C97A26">
        <w:rPr>
          <w:lang w:val="fr-CH"/>
        </w:rPr>
        <w:t>’</w:t>
      </w:r>
      <w:r w:rsidR="00DB60EB" w:rsidRPr="00C1652B">
        <w:rPr>
          <w:lang w:val="fr-CH"/>
        </w:rPr>
        <w:t>exportation</w:t>
      </w:r>
      <w:r w:rsidR="000866E8" w:rsidRPr="00C1652B">
        <w:rPr>
          <w:vertAlign w:val="superscript"/>
        </w:rPr>
        <w:footnoteReference w:id="8"/>
      </w:r>
      <w:r w:rsidR="00E82EF4">
        <w:rPr>
          <w:lang w:val="fr-CH"/>
        </w:rPr>
        <w:t>.</w:t>
      </w:r>
      <w:r w:rsidR="000866E8" w:rsidRPr="00C1652B">
        <w:rPr>
          <w:lang w:val="fr-CH"/>
        </w:rPr>
        <w:t xml:space="preserve">  </w:t>
      </w:r>
      <w:r w:rsidR="00DB60EB" w:rsidRPr="00C1652B">
        <w:rPr>
          <w:lang w:val="fr-CH"/>
        </w:rPr>
        <w:t>De même, le lien entre innovation en matière de dessin ou modèle et exportation est nécessairement automatiq</w:t>
      </w:r>
      <w:r w:rsidR="00040DB0" w:rsidRPr="00C1652B">
        <w:rPr>
          <w:lang w:val="fr-CH"/>
        </w:rPr>
        <w:t>ue</w:t>
      </w:r>
      <w:r w:rsidR="00040DB0">
        <w:rPr>
          <w:lang w:val="fr-CH"/>
        </w:rPr>
        <w:t xml:space="preserve">.  </w:t>
      </w:r>
      <w:r w:rsidR="00040DB0" w:rsidRPr="00C1652B">
        <w:rPr>
          <w:lang w:val="fr-CH"/>
        </w:rPr>
        <w:t>L</w:t>
      </w:r>
      <w:r w:rsidR="00040DB0">
        <w:rPr>
          <w:lang w:val="fr-CH"/>
        </w:rPr>
        <w:t>’</w:t>
      </w:r>
      <w:r w:rsidR="00040DB0" w:rsidRPr="00C1652B">
        <w:rPr>
          <w:lang w:val="fr-CH"/>
        </w:rPr>
        <w:t>é</w:t>
      </w:r>
      <w:r w:rsidR="00DB60EB" w:rsidRPr="00C1652B">
        <w:rPr>
          <w:lang w:val="fr-CH"/>
        </w:rPr>
        <w:t xml:space="preserve">tude des obstacles auxquels les innovateurs en matière de dessin et modèle qui réussissent sur le plan national sont confrontés pour entrer sur les marchés internationaux pourrait apporter de </w:t>
      </w:r>
      <w:r w:rsidR="008756DD" w:rsidRPr="00C1652B">
        <w:rPr>
          <w:lang w:val="fr-CH"/>
        </w:rPr>
        <w:t>nouvelles perspectives pertinentes d</w:t>
      </w:r>
      <w:r w:rsidR="00C97A26">
        <w:rPr>
          <w:lang w:val="fr-CH"/>
        </w:rPr>
        <w:t>’</w:t>
      </w:r>
      <w:r w:rsidR="008756DD" w:rsidRPr="00C1652B">
        <w:rPr>
          <w:lang w:val="fr-CH"/>
        </w:rPr>
        <w:t>un point de vue stratégique</w:t>
      </w:r>
      <w:r w:rsidR="000866E8" w:rsidRPr="00C1652B">
        <w:rPr>
          <w:lang w:val="fr-CH"/>
        </w:rPr>
        <w:t>.</w:t>
      </w:r>
    </w:p>
    <w:p w:rsidR="00677F76" w:rsidRPr="00030F5F" w:rsidRDefault="00030F5F" w:rsidP="00E35762">
      <w:pPr>
        <w:pStyle w:val="Endofdocument-Annex"/>
        <w:spacing w:before="960"/>
        <w:rPr>
          <w:lang w:val="fr-CH"/>
        </w:rPr>
      </w:pPr>
      <w:r w:rsidRPr="00030F5F">
        <w:rPr>
          <w:lang w:val="fr-CH"/>
        </w:rPr>
        <w:t>[Fin de l</w:t>
      </w:r>
      <w:r w:rsidR="00C97A26">
        <w:rPr>
          <w:lang w:val="fr-CH"/>
        </w:rPr>
        <w:t>’</w:t>
      </w:r>
      <w:r w:rsidRPr="00030F5F">
        <w:rPr>
          <w:lang w:val="fr-CH"/>
        </w:rPr>
        <w:t>annexe et du document</w:t>
      </w:r>
      <w:r w:rsidR="00677F76" w:rsidRPr="00030F5F">
        <w:rPr>
          <w:lang w:val="fr-CH"/>
        </w:rPr>
        <w:t>]</w:t>
      </w:r>
    </w:p>
    <w:sectPr w:rsidR="00677F76" w:rsidRPr="00030F5F" w:rsidSect="00CA2BBF">
      <w:head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88F" w:rsidRDefault="0090688F">
      <w:r>
        <w:separator/>
      </w:r>
    </w:p>
  </w:endnote>
  <w:endnote w:type="continuationSeparator" w:id="0">
    <w:p w:rsidR="0090688F" w:rsidRDefault="0090688F" w:rsidP="003B38C1">
      <w:r>
        <w:separator/>
      </w:r>
    </w:p>
    <w:p w:rsidR="0090688F" w:rsidRPr="003B38C1" w:rsidRDefault="0090688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0688F" w:rsidRPr="003B38C1" w:rsidRDefault="0090688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88F" w:rsidRDefault="0090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88F" w:rsidRDefault="0090688F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88F" w:rsidRDefault="009068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88F" w:rsidRDefault="0090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88F" w:rsidRDefault="0090688F">
      <w:r>
        <w:separator/>
      </w:r>
    </w:p>
  </w:footnote>
  <w:footnote w:type="continuationSeparator" w:id="0">
    <w:p w:rsidR="0090688F" w:rsidRDefault="0090688F" w:rsidP="008B60B2">
      <w:r>
        <w:separator/>
      </w:r>
    </w:p>
    <w:p w:rsidR="0090688F" w:rsidRPr="00ED77FB" w:rsidRDefault="0090688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0688F" w:rsidRPr="00ED77FB" w:rsidRDefault="0090688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0688F" w:rsidRPr="00B253F1" w:rsidRDefault="0090688F" w:rsidP="000866E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B253F1">
        <w:rPr>
          <w:lang w:val="fr-CH"/>
        </w:rPr>
        <w:t xml:space="preserve"> </w:t>
      </w:r>
      <w:r>
        <w:rPr>
          <w:lang w:val="fr-CH"/>
        </w:rPr>
        <w:tab/>
      </w:r>
      <w:r w:rsidRPr="00226E66">
        <w:rPr>
          <w:lang w:val="fr-CH"/>
        </w:rPr>
        <w:t>Pour un aperçu statistique</w:t>
      </w:r>
      <w:r w:rsidRPr="00B253F1">
        <w:rPr>
          <w:lang w:val="fr-CH"/>
        </w:rPr>
        <w:t xml:space="preserve">, </w:t>
      </w:r>
      <w:r>
        <w:rPr>
          <w:lang w:val="fr-CH"/>
        </w:rPr>
        <w:t>voir le document </w:t>
      </w:r>
      <w:r w:rsidRPr="00B253F1">
        <w:rPr>
          <w:lang w:val="fr-CH"/>
        </w:rPr>
        <w:t xml:space="preserve">SCT/27/4 ADD </w:t>
      </w:r>
      <w:r>
        <w:rPr>
          <w:lang w:val="fr-CH"/>
        </w:rPr>
        <w:t xml:space="preserve">de l’OMPI, </w:t>
      </w:r>
      <w:r w:rsidRPr="00B253F1">
        <w:rPr>
          <w:lang w:val="fr-CH"/>
        </w:rPr>
        <w:t>disponible en ligne à l</w:t>
      </w:r>
      <w:r>
        <w:rPr>
          <w:lang w:val="fr-CH"/>
        </w:rPr>
        <w:t>’</w:t>
      </w:r>
      <w:r w:rsidRPr="00B253F1">
        <w:rPr>
          <w:lang w:val="fr-CH"/>
        </w:rPr>
        <w:t>adresse suivante</w:t>
      </w:r>
      <w:r>
        <w:rPr>
          <w:lang w:val="fr-CH"/>
        </w:rPr>
        <w:t> </w:t>
      </w:r>
      <w:r w:rsidRPr="00B253F1">
        <w:rPr>
          <w:lang w:val="fr-CH"/>
        </w:rPr>
        <w:t xml:space="preserve">: </w:t>
      </w:r>
      <w:hyperlink r:id="rId1" w:history="1">
        <w:r w:rsidRPr="00B253F1">
          <w:rPr>
            <w:rStyle w:val="Hyperlink"/>
            <w:lang w:val="fr-CH"/>
          </w:rPr>
          <w:t>http://www.wipo.int/meetings/fr/doc_details.jsp?doc_id=237526</w:t>
        </w:r>
      </w:hyperlink>
      <w:r w:rsidRPr="00B253F1">
        <w:rPr>
          <w:lang w:val="fr-CH"/>
        </w:rPr>
        <w:t>.</w:t>
      </w:r>
    </w:p>
  </w:footnote>
  <w:footnote w:id="3">
    <w:p w:rsidR="0090688F" w:rsidRPr="00CB09B3" w:rsidRDefault="0090688F" w:rsidP="000866E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 xml:space="preserve"> </w:t>
      </w:r>
      <w:r>
        <w:tab/>
        <w:t xml:space="preserve">Voir </w:t>
      </w:r>
      <w:r>
        <w:rPr>
          <w:noProof/>
        </w:rPr>
        <w:t>ROTHWELL, R. &amp;</w:t>
      </w:r>
      <w:r>
        <w:rPr>
          <w:lang w:val="fr-CH"/>
        </w:rPr>
        <w:t> </w:t>
      </w:r>
      <w:r>
        <w:rPr>
          <w:noProof/>
        </w:rPr>
        <w:t xml:space="preserve">GARDINER, P. 1983.  The role of design in product and process change.  </w:t>
      </w:r>
      <w:r w:rsidRPr="00FD75BE">
        <w:rPr>
          <w:i/>
          <w:noProof/>
        </w:rPr>
        <w:t>Design Studies,</w:t>
      </w:r>
      <w:r>
        <w:rPr>
          <w:noProof/>
        </w:rPr>
        <w:t xml:space="preserve"> 4</w:t>
      </w:r>
      <w:r w:rsidRPr="00FD75BE">
        <w:rPr>
          <w:b/>
          <w:noProof/>
        </w:rPr>
        <w:t>,</w:t>
      </w:r>
      <w:r>
        <w:rPr>
          <w:noProof/>
        </w:rPr>
        <w:t xml:space="preserve"> 161–169, CREUSEN, M. E. &amp;</w:t>
      </w:r>
      <w:r>
        <w:rPr>
          <w:lang w:val="fr-CH"/>
        </w:rPr>
        <w:t> </w:t>
      </w:r>
      <w:r>
        <w:rPr>
          <w:noProof/>
        </w:rPr>
        <w:t xml:space="preserve">SCHOORMANS, J. P. 2005.  The different roles of product appearance in consumer choice.  </w:t>
      </w:r>
      <w:r w:rsidRPr="00FD75BE">
        <w:rPr>
          <w:i/>
          <w:noProof/>
        </w:rPr>
        <w:t>Journal of Product Innovation Management,</w:t>
      </w:r>
      <w:r>
        <w:rPr>
          <w:noProof/>
        </w:rPr>
        <w:t xml:space="preserve"> 22</w:t>
      </w:r>
      <w:r w:rsidRPr="00FD75BE">
        <w:rPr>
          <w:b/>
          <w:noProof/>
        </w:rPr>
        <w:t>,</w:t>
      </w:r>
      <w:r>
        <w:rPr>
          <w:noProof/>
        </w:rPr>
        <w:t xml:space="preserve"> 63–81, VERYZER, R. W. &amp;</w:t>
      </w:r>
      <w:r>
        <w:rPr>
          <w:lang w:val="fr-CH"/>
        </w:rPr>
        <w:t> </w:t>
      </w:r>
      <w:r>
        <w:rPr>
          <w:noProof/>
        </w:rPr>
        <w:t>BORJA</w:t>
      </w:r>
      <w:r>
        <w:rPr>
          <w:lang w:val="fr-CH"/>
        </w:rPr>
        <w:t> </w:t>
      </w:r>
      <w:r>
        <w:rPr>
          <w:noProof/>
        </w:rPr>
        <w:t>DE</w:t>
      </w:r>
      <w:r>
        <w:rPr>
          <w:lang w:val="fr-CH"/>
        </w:rPr>
        <w:t> </w:t>
      </w:r>
      <w:r>
        <w:rPr>
          <w:noProof/>
        </w:rPr>
        <w:t>MOZOTA, B. 2005.  The impact of user</w:t>
      </w:r>
      <w:r>
        <w:rPr>
          <w:rFonts w:ascii="Cambria Math" w:hAnsi="Cambria Math" w:cs="Cambria Math"/>
          <w:noProof/>
        </w:rPr>
        <w:t>‐</w:t>
      </w:r>
      <w:r>
        <w:rPr>
          <w:noProof/>
        </w:rPr>
        <w:t xml:space="preserve">oriented design on new product development : An examination of fundamental relationships.  </w:t>
      </w:r>
      <w:r w:rsidRPr="00CB09B3">
        <w:rPr>
          <w:i/>
          <w:noProof/>
          <w:lang w:val="fr-CH"/>
        </w:rPr>
        <w:t>Journal of Product Innovation Management,</w:t>
      </w:r>
      <w:r w:rsidRPr="00CB09B3">
        <w:rPr>
          <w:noProof/>
          <w:lang w:val="fr-CH"/>
        </w:rPr>
        <w:t xml:space="preserve"> 22</w:t>
      </w:r>
      <w:r w:rsidRPr="00CB09B3">
        <w:rPr>
          <w:b/>
          <w:noProof/>
          <w:lang w:val="fr-CH"/>
        </w:rPr>
        <w:t>,</w:t>
      </w:r>
      <w:r w:rsidRPr="00CB09B3">
        <w:rPr>
          <w:noProof/>
          <w:lang w:val="fr-CH"/>
        </w:rPr>
        <w:t xml:space="preserve"> 128</w:t>
      </w:r>
      <w:r>
        <w:rPr>
          <w:noProof/>
          <w:lang w:val="fr-CH"/>
        </w:rPr>
        <w:t>–</w:t>
      </w:r>
      <w:r w:rsidRPr="00CB09B3">
        <w:rPr>
          <w:noProof/>
          <w:lang w:val="fr-CH"/>
        </w:rPr>
        <w:t>143.</w:t>
      </w:r>
    </w:p>
  </w:footnote>
  <w:footnote w:id="4">
    <w:p w:rsidR="0090688F" w:rsidRPr="00056A80" w:rsidRDefault="0090688F" w:rsidP="000866E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1822C8">
        <w:rPr>
          <w:lang w:val="fr-CH"/>
        </w:rPr>
        <w:t xml:space="preserve"> </w:t>
      </w:r>
      <w:r>
        <w:rPr>
          <w:lang w:val="fr-CH"/>
        </w:rPr>
        <w:tab/>
      </w:r>
      <w:r w:rsidRPr="001822C8">
        <w:rPr>
          <w:lang w:val="fr-CH"/>
        </w:rPr>
        <w:t>Ces trois</w:t>
      </w:r>
      <w:r>
        <w:rPr>
          <w:lang w:val="fr-CH"/>
        </w:rPr>
        <w:t> </w:t>
      </w:r>
      <w:r w:rsidRPr="001822C8">
        <w:rPr>
          <w:lang w:val="fr-CH"/>
        </w:rPr>
        <w:t xml:space="preserve">pays ont été sélectionnés </w:t>
      </w:r>
      <w:r>
        <w:rPr>
          <w:lang w:val="fr-CH"/>
        </w:rPr>
        <w:t xml:space="preserve">d’après </w:t>
      </w:r>
      <w:r w:rsidRPr="00D57389">
        <w:rPr>
          <w:lang w:val="fr-CH"/>
        </w:rPr>
        <w:t xml:space="preserve">leur volume de dépôts de dessins et modèles industriels et la disponibilité de leurs </w:t>
      </w:r>
      <w:r w:rsidRPr="00056A80">
        <w:rPr>
          <w:lang w:val="fr-CH"/>
        </w:rPr>
        <w:t>données historiques concernant des unités statistiques.</w:t>
      </w:r>
    </w:p>
  </w:footnote>
  <w:footnote w:id="5">
    <w:p w:rsidR="0090688F" w:rsidRPr="00BF1F03" w:rsidRDefault="0090688F" w:rsidP="000866E8">
      <w:pPr>
        <w:pStyle w:val="FootnoteText"/>
        <w:rPr>
          <w:lang w:val="fr-CH"/>
        </w:rPr>
      </w:pPr>
      <w:r w:rsidRPr="00056A80">
        <w:rPr>
          <w:rStyle w:val="FootnoteReference"/>
        </w:rPr>
        <w:footnoteRef/>
      </w:r>
      <w:r w:rsidRPr="00056A80">
        <w:rPr>
          <w:lang w:val="fr-CH"/>
        </w:rPr>
        <w:t xml:space="preserve"> </w:t>
      </w:r>
      <w:r>
        <w:rPr>
          <w:lang w:val="fr-CH"/>
        </w:rPr>
        <w:tab/>
      </w:r>
      <w:r w:rsidRPr="00056A80">
        <w:rPr>
          <w:lang w:val="fr-CH"/>
        </w:rPr>
        <w:t>Voir les documents de l</w:t>
      </w:r>
      <w:r>
        <w:rPr>
          <w:lang w:val="fr-CH"/>
        </w:rPr>
        <w:t>’</w:t>
      </w:r>
      <w:r w:rsidRPr="00056A80">
        <w:rPr>
          <w:lang w:val="fr-CH"/>
        </w:rPr>
        <w:t>OMPI</w:t>
      </w:r>
      <w:r>
        <w:rPr>
          <w:lang w:val="fr-CH"/>
        </w:rPr>
        <w:t> </w:t>
      </w:r>
      <w:r w:rsidRPr="00056A80">
        <w:rPr>
          <w:lang w:val="fr-CH"/>
        </w:rPr>
        <w:t xml:space="preserve">CDIP/12/INF/6 et CDIP/14/INF/4 disponibles en ligne aux adresses </w:t>
      </w:r>
      <w:r>
        <w:rPr>
          <w:lang w:val="fr-CH"/>
        </w:rPr>
        <w:t xml:space="preserve">respectives </w:t>
      </w:r>
      <w:r w:rsidRPr="00056A80">
        <w:rPr>
          <w:lang w:val="fr-CH"/>
        </w:rPr>
        <w:t>suivantes</w:t>
      </w:r>
      <w:r>
        <w:rPr>
          <w:lang w:val="fr-CH"/>
        </w:rPr>
        <w:t> </w:t>
      </w:r>
      <w:r w:rsidRPr="00056A80">
        <w:rPr>
          <w:lang w:val="fr-CH"/>
        </w:rPr>
        <w:t xml:space="preserve">: </w:t>
      </w:r>
      <w:hyperlink r:id="rId2" w:history="1">
        <w:r w:rsidR="00E35762">
          <w:rPr>
            <w:rStyle w:val="Hyperlink"/>
            <w:lang w:val="fr-CH"/>
          </w:rPr>
          <w:t>http://www.wipo.int/meetings/fr/doc_details.jsp?doc_id=253571</w:t>
        </w:r>
      </w:hyperlink>
      <w:r w:rsidRPr="00056A80">
        <w:rPr>
          <w:lang w:val="fr-CH"/>
        </w:rPr>
        <w:t>, et</w:t>
      </w:r>
      <w:r w:rsidRPr="00BF1F03">
        <w:rPr>
          <w:lang w:val="fr-CH"/>
        </w:rPr>
        <w:t xml:space="preserve"> </w:t>
      </w:r>
      <w:hyperlink r:id="rId3" w:history="1">
        <w:r w:rsidR="00E35762">
          <w:rPr>
            <w:rStyle w:val="Hyperlink"/>
            <w:lang w:val="fr-CH"/>
          </w:rPr>
          <w:t>http://www.wipo.int/meetings/fr/doc_details.jsp?doc_id=286176</w:t>
        </w:r>
      </w:hyperlink>
      <w:r>
        <w:rPr>
          <w:lang w:val="fr-CH"/>
        </w:rPr>
        <w:t>.</w:t>
      </w:r>
    </w:p>
  </w:footnote>
  <w:footnote w:id="6">
    <w:p w:rsidR="0090688F" w:rsidRPr="00545CE3" w:rsidRDefault="0090688F" w:rsidP="000866E8">
      <w:pPr>
        <w:pStyle w:val="FootnoteText"/>
        <w:rPr>
          <w:color w:val="0000FF"/>
          <w:u w:val="single"/>
          <w:lang w:val="fr-CH"/>
        </w:rPr>
      </w:pPr>
      <w:r>
        <w:rPr>
          <w:rStyle w:val="FootnoteReference"/>
        </w:rPr>
        <w:footnoteRef/>
      </w:r>
      <w:r w:rsidRPr="003068FB">
        <w:rPr>
          <w:lang w:val="fr-CH"/>
        </w:rPr>
        <w:t xml:space="preserve"> </w:t>
      </w:r>
      <w:r w:rsidR="00355861">
        <w:rPr>
          <w:lang w:val="fr-CH"/>
        </w:rPr>
        <w:tab/>
      </w:r>
      <w:r w:rsidRPr="003068FB">
        <w:rPr>
          <w:lang w:val="fr-CH"/>
        </w:rPr>
        <w:t>Trois</w:t>
      </w:r>
      <w:r>
        <w:rPr>
          <w:lang w:val="fr-CH"/>
        </w:rPr>
        <w:t> </w:t>
      </w:r>
      <w:r w:rsidRPr="003068FB">
        <w:rPr>
          <w:lang w:val="fr-CH"/>
        </w:rPr>
        <w:t xml:space="preserve">rapports nationaux </w:t>
      </w:r>
      <w:r w:rsidRPr="00EB2E93">
        <w:rPr>
          <w:lang w:val="fr-CH"/>
        </w:rPr>
        <w:t>distincts</w:t>
      </w:r>
      <w:r w:rsidRPr="003068FB">
        <w:rPr>
          <w:lang w:val="fr-CH"/>
        </w:rPr>
        <w:t xml:space="preserve"> ont été produits pour</w:t>
      </w:r>
      <w:r>
        <w:rPr>
          <w:lang w:val="fr-CH"/>
        </w:rPr>
        <w:t xml:space="preserve"> l</w:t>
      </w:r>
      <w:r w:rsidRPr="0094632F">
        <w:rPr>
          <w:lang w:val="fr-CH"/>
        </w:rPr>
        <w:t>a Direction générale de la propriété intellectuelle en Indonésie, l</w:t>
      </w:r>
      <w:r>
        <w:rPr>
          <w:lang w:val="fr-CH"/>
        </w:rPr>
        <w:t>’</w:t>
      </w:r>
      <w:r w:rsidRPr="0094632F">
        <w:rPr>
          <w:lang w:val="fr-CH"/>
        </w:rPr>
        <w:t>Office de la propriété intellectuelle des Philippines et le Département thaïlandais de la propriété intellectuelle</w:t>
      </w:r>
      <w:r w:rsidRPr="003068FB">
        <w:rPr>
          <w:lang w:val="fr-CH"/>
        </w:rPr>
        <w:t xml:space="preserve">. </w:t>
      </w:r>
      <w:r>
        <w:rPr>
          <w:lang w:val="fr-CH"/>
        </w:rPr>
        <w:t xml:space="preserve"> </w:t>
      </w:r>
      <w:r w:rsidRPr="001E2EB3">
        <w:rPr>
          <w:lang w:val="fr-CH"/>
        </w:rPr>
        <w:t>En outre, un manuel indiquant comment l</w:t>
      </w:r>
      <w:r>
        <w:rPr>
          <w:lang w:val="fr-CH"/>
        </w:rPr>
        <w:t>’</w:t>
      </w:r>
      <w:r w:rsidRPr="001E2EB3">
        <w:rPr>
          <w:lang w:val="fr-CH"/>
        </w:rPr>
        <w:t xml:space="preserve">instrument </w:t>
      </w:r>
      <w:r>
        <w:rPr>
          <w:lang w:val="fr-CH"/>
        </w:rPr>
        <w:t>d’enquête</w:t>
      </w:r>
      <w:r w:rsidRPr="001E2EB3">
        <w:rPr>
          <w:lang w:val="fr-CH"/>
        </w:rPr>
        <w:t xml:space="preserve"> a été conçu et mis en œuvre a été créé pour permettre aux autre</w:t>
      </w:r>
      <w:r>
        <w:rPr>
          <w:lang w:val="fr-CH"/>
        </w:rPr>
        <w:t>s</w:t>
      </w:r>
      <w:r w:rsidRPr="001E2EB3">
        <w:rPr>
          <w:lang w:val="fr-CH"/>
        </w:rPr>
        <w:t xml:space="preserve"> chercheurs de mener la m</w:t>
      </w:r>
      <w:r>
        <w:rPr>
          <w:lang w:val="fr-CH"/>
        </w:rPr>
        <w:t xml:space="preserve">ême étude dans leur pays.  </w:t>
      </w:r>
      <w:r w:rsidRPr="001E2EB3">
        <w:rPr>
          <w:lang w:val="fr-CH"/>
        </w:rPr>
        <w:t>Ces quatre</w:t>
      </w:r>
      <w:r>
        <w:rPr>
          <w:lang w:val="fr-CH"/>
        </w:rPr>
        <w:t> </w:t>
      </w:r>
      <w:r w:rsidRPr="001E2EB3">
        <w:rPr>
          <w:lang w:val="fr-CH"/>
        </w:rPr>
        <w:t>documents pourront être téléchargés sur le site</w:t>
      </w:r>
      <w:r>
        <w:rPr>
          <w:lang w:val="fr-CH"/>
        </w:rPr>
        <w:t> </w:t>
      </w:r>
      <w:r w:rsidRPr="001E2EB3">
        <w:rPr>
          <w:lang w:val="fr-CH"/>
        </w:rPr>
        <w:t>Web de la Division de l</w:t>
      </w:r>
      <w:r>
        <w:rPr>
          <w:lang w:val="fr-CH"/>
        </w:rPr>
        <w:t>’</w:t>
      </w:r>
      <w:r w:rsidRPr="001E2EB3">
        <w:rPr>
          <w:lang w:val="fr-CH"/>
        </w:rPr>
        <w:t>économie et des statistiques de l</w:t>
      </w:r>
      <w:r>
        <w:rPr>
          <w:lang w:val="fr-CH"/>
        </w:rPr>
        <w:t>’</w:t>
      </w:r>
      <w:r w:rsidRPr="001E2EB3">
        <w:rPr>
          <w:lang w:val="fr-CH"/>
        </w:rPr>
        <w:t>OMPI à l</w:t>
      </w:r>
      <w:r>
        <w:rPr>
          <w:lang w:val="fr-CH"/>
        </w:rPr>
        <w:t>’</w:t>
      </w:r>
      <w:r w:rsidRPr="001E2EB3">
        <w:rPr>
          <w:lang w:val="fr-CH"/>
        </w:rPr>
        <w:t>adresse</w:t>
      </w:r>
      <w:r>
        <w:rPr>
          <w:lang w:val="fr-CH"/>
        </w:rPr>
        <w:t> </w:t>
      </w:r>
      <w:r w:rsidRPr="001E2EB3">
        <w:rPr>
          <w:lang w:val="fr-CH"/>
        </w:rPr>
        <w:t xml:space="preserve">: </w:t>
      </w:r>
      <w:hyperlink r:id="rId4" w:history="1">
        <w:r w:rsidR="00E35762">
          <w:rPr>
            <w:rStyle w:val="Hyperlink"/>
            <w:lang w:val="fr-CH"/>
          </w:rPr>
          <w:t>http://www.wipo.int/econ_stat/fr/economics/studies/index.html</w:t>
        </w:r>
      </w:hyperlink>
    </w:p>
  </w:footnote>
  <w:footnote w:id="7">
    <w:p w:rsidR="0090688F" w:rsidRPr="00133E05" w:rsidRDefault="0090688F" w:rsidP="000866E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133E05">
        <w:rPr>
          <w:lang w:val="fr-CH"/>
        </w:rPr>
        <w:t xml:space="preserve"> </w:t>
      </w:r>
      <w:r w:rsidR="00355861">
        <w:rPr>
          <w:lang w:val="fr-CH"/>
        </w:rPr>
        <w:tab/>
      </w:r>
      <w:r w:rsidRPr="00C1652B">
        <w:rPr>
          <w:i/>
          <w:lang w:val="fr-CH"/>
        </w:rPr>
        <w:t>Milan Design Week</w:t>
      </w:r>
      <w:r>
        <w:rPr>
          <w:i/>
          <w:lang w:val="fr-CH"/>
        </w:rPr>
        <w:t> </w:t>
      </w:r>
      <w:r w:rsidRPr="00C1652B">
        <w:rPr>
          <w:i/>
          <w:lang w:val="fr-CH"/>
        </w:rPr>
        <w:t>2016</w:t>
      </w:r>
      <w:r w:rsidRPr="00133E05">
        <w:rPr>
          <w:lang w:val="fr-CH"/>
        </w:rPr>
        <w:t xml:space="preserve"> </w:t>
      </w:r>
      <w:r>
        <w:rPr>
          <w:lang w:val="fr-CH"/>
        </w:rPr>
        <w:t>et</w:t>
      </w:r>
      <w:r w:rsidRPr="00133E05">
        <w:rPr>
          <w:lang w:val="fr-CH"/>
        </w:rPr>
        <w:t xml:space="preserve"> </w:t>
      </w:r>
      <w:r w:rsidRPr="00133E05">
        <w:rPr>
          <w:i/>
          <w:lang w:val="fr-CH"/>
        </w:rPr>
        <w:t>Salone del Mobile</w:t>
      </w:r>
      <w:r>
        <w:rPr>
          <w:i/>
          <w:lang w:val="fr-CH"/>
        </w:rPr>
        <w:t> </w:t>
      </w:r>
      <w:r w:rsidRPr="00133E05">
        <w:rPr>
          <w:i/>
          <w:lang w:val="fr-CH"/>
        </w:rPr>
        <w:t>2016</w:t>
      </w:r>
      <w:r w:rsidRPr="00133E05">
        <w:rPr>
          <w:lang w:val="fr-CH"/>
        </w:rPr>
        <w:t xml:space="preserve"> tenues à Milan (Italie) du 14 au 17</w:t>
      </w:r>
      <w:r>
        <w:rPr>
          <w:lang w:val="fr-CH"/>
        </w:rPr>
        <w:t> </w:t>
      </w:r>
      <w:r w:rsidRPr="00133E05">
        <w:rPr>
          <w:lang w:val="fr-CH"/>
        </w:rPr>
        <w:t>avril</w:t>
      </w:r>
      <w:r>
        <w:rPr>
          <w:lang w:val="fr-CH"/>
        </w:rPr>
        <w:t> </w:t>
      </w:r>
      <w:r w:rsidRPr="00133E05">
        <w:rPr>
          <w:lang w:val="fr-CH"/>
        </w:rPr>
        <w:t>2016.</w:t>
      </w:r>
    </w:p>
  </w:footnote>
  <w:footnote w:id="8">
    <w:p w:rsidR="0090688F" w:rsidRPr="00F10ECA" w:rsidRDefault="0090688F" w:rsidP="000866E8">
      <w:pPr>
        <w:pStyle w:val="FootnoteText"/>
      </w:pPr>
      <w:r>
        <w:rPr>
          <w:rStyle w:val="FootnoteReference"/>
        </w:rPr>
        <w:footnoteRef/>
      </w:r>
      <w:r w:rsidRPr="005E33D4">
        <w:rPr>
          <w:lang w:val="fr-CH"/>
        </w:rPr>
        <w:t xml:space="preserve"> </w:t>
      </w:r>
      <w:r w:rsidR="00F27710">
        <w:rPr>
          <w:lang w:val="fr-CH"/>
        </w:rPr>
        <w:tab/>
      </w:r>
      <w:r w:rsidRPr="005E33D4">
        <w:rPr>
          <w:lang w:val="fr-CH"/>
        </w:rPr>
        <w:t>Pour un aperçu, voir BERNARD, A.</w:t>
      </w:r>
      <w:r>
        <w:rPr>
          <w:lang w:val="fr-CH"/>
        </w:rPr>
        <w:t> </w:t>
      </w:r>
      <w:r w:rsidRPr="005E33D4">
        <w:rPr>
          <w:lang w:val="fr-CH"/>
        </w:rPr>
        <w:t>B., JENSEN, J.</w:t>
      </w:r>
      <w:r>
        <w:rPr>
          <w:lang w:val="fr-CH"/>
        </w:rPr>
        <w:t> </w:t>
      </w:r>
      <w:r w:rsidRPr="005E33D4">
        <w:rPr>
          <w:lang w:val="fr-CH"/>
        </w:rPr>
        <w:t>B., REDDING, S.</w:t>
      </w:r>
      <w:r>
        <w:rPr>
          <w:lang w:val="fr-CH"/>
        </w:rPr>
        <w:t> </w:t>
      </w:r>
      <w:r w:rsidRPr="005E33D4">
        <w:rPr>
          <w:lang w:val="fr-CH"/>
        </w:rPr>
        <w:t>J.</w:t>
      </w:r>
      <w:r>
        <w:rPr>
          <w:lang w:val="fr-CH"/>
        </w:rPr>
        <w:t> </w:t>
      </w:r>
      <w:r w:rsidRPr="005E33D4">
        <w:rPr>
          <w:lang w:val="fr-CH"/>
        </w:rPr>
        <w:t>&amp;</w:t>
      </w:r>
      <w:r w:rsidR="00F27710">
        <w:rPr>
          <w:lang w:val="fr-CH"/>
        </w:rPr>
        <w:t> </w:t>
      </w:r>
      <w:r w:rsidRPr="005E33D4">
        <w:rPr>
          <w:lang w:val="fr-CH"/>
        </w:rPr>
        <w:t>SCHOTT, P.</w:t>
      </w:r>
      <w:r>
        <w:rPr>
          <w:lang w:val="fr-CH"/>
        </w:rPr>
        <w:t> </w:t>
      </w:r>
      <w:r w:rsidRPr="005E33D4">
        <w:rPr>
          <w:lang w:val="fr-CH"/>
        </w:rPr>
        <w:t>K.</w:t>
      </w:r>
      <w:r>
        <w:rPr>
          <w:lang w:val="fr-CH"/>
        </w:rPr>
        <w:t> </w:t>
      </w:r>
      <w:r w:rsidRPr="005E33D4">
        <w:rPr>
          <w:lang w:val="fr-CH"/>
        </w:rPr>
        <w:t xml:space="preserve">2007. </w:t>
      </w:r>
      <w:r>
        <w:rPr>
          <w:lang w:val="fr-CH"/>
        </w:rPr>
        <w:t xml:space="preserve"> </w:t>
      </w:r>
      <w:r w:rsidRPr="005E33D4">
        <w:rPr>
          <w:lang w:val="fr-CH"/>
        </w:rPr>
        <w:t xml:space="preserve">Firms in International Trade. </w:t>
      </w:r>
      <w:r>
        <w:rPr>
          <w:lang w:val="fr-CH"/>
        </w:rPr>
        <w:t xml:space="preserve"> </w:t>
      </w:r>
      <w:r w:rsidRPr="00FC3B75">
        <w:rPr>
          <w:i/>
        </w:rPr>
        <w:t>The Journal of Economic Perspectives,</w:t>
      </w:r>
      <w:r w:rsidRPr="00FC3B75">
        <w:t xml:space="preserve"> 21</w:t>
      </w:r>
      <w:r w:rsidRPr="00FC3B75">
        <w:rPr>
          <w:b/>
        </w:rPr>
        <w:t>,</w:t>
      </w:r>
      <w:r w:rsidRPr="00FC3B75">
        <w:t xml:space="preserve"> 105</w:t>
      </w:r>
      <w:r>
        <w:t>–</w:t>
      </w:r>
      <w:r w:rsidRPr="00FC3B75">
        <w:t>130.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88F" w:rsidRDefault="0090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88F" w:rsidRPr="00262966" w:rsidRDefault="0090688F" w:rsidP="00D27B33">
    <w:pPr>
      <w:tabs>
        <w:tab w:val="center" w:pos="4536"/>
        <w:tab w:val="right" w:pos="9072"/>
      </w:tabs>
      <w:jc w:val="right"/>
    </w:pPr>
    <w:r w:rsidRPr="00262966">
      <w:t>CDIP/20/</w:t>
    </w:r>
    <w:r w:rsidRPr="00262966">
      <w:rPr>
        <w:highlight w:val="yellow"/>
      </w:rPr>
      <w:t>X</w:t>
    </w:r>
  </w:p>
  <w:p w:rsidR="0090688F" w:rsidRDefault="0090688F" w:rsidP="00D27B33">
    <w:pPr>
      <w:tabs>
        <w:tab w:val="center" w:pos="4536"/>
        <w:tab w:val="right" w:pos="9072"/>
      </w:tabs>
      <w:jc w:val="right"/>
    </w:pPr>
    <w:r>
      <w:t>Annex</w:t>
    </w:r>
    <w:r w:rsidRPr="00262966">
      <w:t>, page</w:t>
    </w:r>
    <w:r>
      <w:t> 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>
      <w:rPr>
        <w:noProof/>
      </w:rPr>
      <w:t>2</w:t>
    </w:r>
    <w:r w:rsidRPr="00262966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88F" w:rsidRDefault="009068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88F" w:rsidRDefault="0090688F" w:rsidP="00477D6B">
    <w:pPr>
      <w:jc w:val="right"/>
    </w:pPr>
    <w:bookmarkStart w:id="6" w:name="Code2"/>
    <w:bookmarkEnd w:id="6"/>
    <w:r>
      <w:t>CDIP/22/INF/2</w:t>
    </w:r>
  </w:p>
  <w:p w:rsidR="00E35762" w:rsidRDefault="0090688F" w:rsidP="00477D6B">
    <w:pPr>
      <w:jc w:val="right"/>
    </w:pPr>
    <w:r>
      <w:t xml:space="preserve">Annexe, page </w:t>
    </w:r>
    <w:r>
      <w:fldChar w:fldCharType="begin"/>
    </w:r>
    <w:r>
      <w:instrText xml:space="preserve"> PAGE  \* MERGEFORMAT </w:instrText>
    </w:r>
    <w:r>
      <w:fldChar w:fldCharType="separate"/>
    </w:r>
    <w:r w:rsidR="006C69E5">
      <w:rPr>
        <w:noProof/>
      </w:rPr>
      <w:t>7</w:t>
    </w:r>
    <w:r>
      <w:fldChar w:fldCharType="end"/>
    </w:r>
  </w:p>
  <w:p w:rsidR="0090688F" w:rsidRDefault="0090688F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88F" w:rsidRDefault="0090688F" w:rsidP="00F27AD3">
    <w:pPr>
      <w:pStyle w:val="Header"/>
      <w:jc w:val="right"/>
    </w:pPr>
    <w:r>
      <w:t>CDIP/22/INF/2</w:t>
    </w:r>
  </w:p>
  <w:p w:rsidR="00E35762" w:rsidRDefault="0090688F" w:rsidP="0075279A">
    <w:pPr>
      <w:pStyle w:val="Header"/>
      <w:jc w:val="right"/>
    </w:pPr>
    <w:r>
      <w:t>ANNEXE</w:t>
    </w:r>
  </w:p>
  <w:p w:rsidR="00F27710" w:rsidRDefault="00F27710" w:rsidP="0075279A">
    <w:pPr>
      <w:pStyle w:val="Header"/>
      <w:jc w:val="right"/>
    </w:pPr>
  </w:p>
  <w:p w:rsidR="0090688F" w:rsidRDefault="0090688F" w:rsidP="00F277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3B76584"/>
    <w:multiLevelType w:val="hybridMultilevel"/>
    <w:tmpl w:val="8F2C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CF4AC1"/>
    <w:multiLevelType w:val="hybridMultilevel"/>
    <w:tmpl w:val="2C52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80DE7"/>
    <w:multiLevelType w:val="hybridMultilevel"/>
    <w:tmpl w:val="006A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E5"/>
    <w:rsid w:val="00001E20"/>
    <w:rsid w:val="000022BF"/>
    <w:rsid w:val="00010F29"/>
    <w:rsid w:val="0002511B"/>
    <w:rsid w:val="0002581B"/>
    <w:rsid w:val="00030F5F"/>
    <w:rsid w:val="00040DB0"/>
    <w:rsid w:val="00040F5A"/>
    <w:rsid w:val="00043CAA"/>
    <w:rsid w:val="00053F7A"/>
    <w:rsid w:val="00056A80"/>
    <w:rsid w:val="00062F9D"/>
    <w:rsid w:val="0007282A"/>
    <w:rsid w:val="00075432"/>
    <w:rsid w:val="00076CDC"/>
    <w:rsid w:val="000866E8"/>
    <w:rsid w:val="000968ED"/>
    <w:rsid w:val="000C0D4E"/>
    <w:rsid w:val="000C5CE0"/>
    <w:rsid w:val="000D3542"/>
    <w:rsid w:val="000D7E0E"/>
    <w:rsid w:val="000F2B43"/>
    <w:rsid w:val="000F5E56"/>
    <w:rsid w:val="00105BED"/>
    <w:rsid w:val="001228FC"/>
    <w:rsid w:val="00133E05"/>
    <w:rsid w:val="001362EE"/>
    <w:rsid w:val="00162609"/>
    <w:rsid w:val="00167DD1"/>
    <w:rsid w:val="001822C8"/>
    <w:rsid w:val="001832A6"/>
    <w:rsid w:val="001C12A4"/>
    <w:rsid w:val="001C1E79"/>
    <w:rsid w:val="001C6003"/>
    <w:rsid w:val="001E2EB3"/>
    <w:rsid w:val="001E312F"/>
    <w:rsid w:val="001F45C6"/>
    <w:rsid w:val="00200B72"/>
    <w:rsid w:val="002057E6"/>
    <w:rsid w:val="0021217E"/>
    <w:rsid w:val="00226E66"/>
    <w:rsid w:val="00234BA1"/>
    <w:rsid w:val="0024335E"/>
    <w:rsid w:val="0025339A"/>
    <w:rsid w:val="002634C4"/>
    <w:rsid w:val="00266416"/>
    <w:rsid w:val="00285B63"/>
    <w:rsid w:val="00287673"/>
    <w:rsid w:val="002928D3"/>
    <w:rsid w:val="002B2FCD"/>
    <w:rsid w:val="002B7B63"/>
    <w:rsid w:val="002C164C"/>
    <w:rsid w:val="002D2587"/>
    <w:rsid w:val="002D2F9B"/>
    <w:rsid w:val="002E0695"/>
    <w:rsid w:val="002E5D85"/>
    <w:rsid w:val="002F1FE6"/>
    <w:rsid w:val="002F319E"/>
    <w:rsid w:val="002F4770"/>
    <w:rsid w:val="002F4E68"/>
    <w:rsid w:val="003068FB"/>
    <w:rsid w:val="00312F7F"/>
    <w:rsid w:val="00325192"/>
    <w:rsid w:val="0035058A"/>
    <w:rsid w:val="003530E9"/>
    <w:rsid w:val="00353B33"/>
    <w:rsid w:val="00355861"/>
    <w:rsid w:val="00361450"/>
    <w:rsid w:val="00364BA8"/>
    <w:rsid w:val="003673CF"/>
    <w:rsid w:val="00370292"/>
    <w:rsid w:val="003845C1"/>
    <w:rsid w:val="00396BD7"/>
    <w:rsid w:val="003A13A7"/>
    <w:rsid w:val="003A6F89"/>
    <w:rsid w:val="003A7CB9"/>
    <w:rsid w:val="003B017E"/>
    <w:rsid w:val="003B38C1"/>
    <w:rsid w:val="003C007F"/>
    <w:rsid w:val="003C04E4"/>
    <w:rsid w:val="003E4DBE"/>
    <w:rsid w:val="00402AF2"/>
    <w:rsid w:val="00403308"/>
    <w:rsid w:val="00423E3E"/>
    <w:rsid w:val="00427AF4"/>
    <w:rsid w:val="00437735"/>
    <w:rsid w:val="004647DA"/>
    <w:rsid w:val="00466791"/>
    <w:rsid w:val="00474062"/>
    <w:rsid w:val="00474171"/>
    <w:rsid w:val="00477D6B"/>
    <w:rsid w:val="00493BF8"/>
    <w:rsid w:val="004A56EB"/>
    <w:rsid w:val="004C6ECF"/>
    <w:rsid w:val="004D0F84"/>
    <w:rsid w:val="004D63AC"/>
    <w:rsid w:val="005019FF"/>
    <w:rsid w:val="00503F54"/>
    <w:rsid w:val="00504D19"/>
    <w:rsid w:val="00507A62"/>
    <w:rsid w:val="00526FCB"/>
    <w:rsid w:val="0053057A"/>
    <w:rsid w:val="00530F36"/>
    <w:rsid w:val="005328BE"/>
    <w:rsid w:val="00545CE3"/>
    <w:rsid w:val="00545E47"/>
    <w:rsid w:val="00560A29"/>
    <w:rsid w:val="00561F63"/>
    <w:rsid w:val="00573C56"/>
    <w:rsid w:val="00575F75"/>
    <w:rsid w:val="005765D5"/>
    <w:rsid w:val="005A2795"/>
    <w:rsid w:val="005A5135"/>
    <w:rsid w:val="005B2E5D"/>
    <w:rsid w:val="005B38BC"/>
    <w:rsid w:val="005C0134"/>
    <w:rsid w:val="005C5760"/>
    <w:rsid w:val="005C6649"/>
    <w:rsid w:val="005E33D4"/>
    <w:rsid w:val="005E3F5F"/>
    <w:rsid w:val="005F10C3"/>
    <w:rsid w:val="005F2AD7"/>
    <w:rsid w:val="0060266A"/>
    <w:rsid w:val="00603918"/>
    <w:rsid w:val="00605827"/>
    <w:rsid w:val="00607B04"/>
    <w:rsid w:val="0061075A"/>
    <w:rsid w:val="00611671"/>
    <w:rsid w:val="00620A92"/>
    <w:rsid w:val="006261A9"/>
    <w:rsid w:val="00646050"/>
    <w:rsid w:val="00650A29"/>
    <w:rsid w:val="00660734"/>
    <w:rsid w:val="006713CA"/>
    <w:rsid w:val="00676C5C"/>
    <w:rsid w:val="00677433"/>
    <w:rsid w:val="00677F76"/>
    <w:rsid w:val="00681466"/>
    <w:rsid w:val="0068282F"/>
    <w:rsid w:val="006A61E2"/>
    <w:rsid w:val="006C0A64"/>
    <w:rsid w:val="006C0F15"/>
    <w:rsid w:val="006C3BC7"/>
    <w:rsid w:val="006C408C"/>
    <w:rsid w:val="006C69E5"/>
    <w:rsid w:val="006D4607"/>
    <w:rsid w:val="006D7790"/>
    <w:rsid w:val="00702369"/>
    <w:rsid w:val="0072217F"/>
    <w:rsid w:val="00725020"/>
    <w:rsid w:val="00731349"/>
    <w:rsid w:val="00732E55"/>
    <w:rsid w:val="00744DA9"/>
    <w:rsid w:val="0075279A"/>
    <w:rsid w:val="0076546A"/>
    <w:rsid w:val="0076715C"/>
    <w:rsid w:val="00781F2D"/>
    <w:rsid w:val="0079298F"/>
    <w:rsid w:val="00792E96"/>
    <w:rsid w:val="00794733"/>
    <w:rsid w:val="007A37B1"/>
    <w:rsid w:val="007A383B"/>
    <w:rsid w:val="007C2A77"/>
    <w:rsid w:val="007D1613"/>
    <w:rsid w:val="007E3770"/>
    <w:rsid w:val="007E4C0E"/>
    <w:rsid w:val="0080406B"/>
    <w:rsid w:val="0081183B"/>
    <w:rsid w:val="008167D6"/>
    <w:rsid w:val="00820FFE"/>
    <w:rsid w:val="00822288"/>
    <w:rsid w:val="0082526B"/>
    <w:rsid w:val="0082660C"/>
    <w:rsid w:val="00826D05"/>
    <w:rsid w:val="0083057A"/>
    <w:rsid w:val="00850CD1"/>
    <w:rsid w:val="00860903"/>
    <w:rsid w:val="008756DD"/>
    <w:rsid w:val="00877C04"/>
    <w:rsid w:val="00880E60"/>
    <w:rsid w:val="008852E5"/>
    <w:rsid w:val="0088713A"/>
    <w:rsid w:val="00892771"/>
    <w:rsid w:val="00893C00"/>
    <w:rsid w:val="008A517C"/>
    <w:rsid w:val="008B2CC1"/>
    <w:rsid w:val="008B60B2"/>
    <w:rsid w:val="008C1B66"/>
    <w:rsid w:val="008C6DEE"/>
    <w:rsid w:val="008D0B33"/>
    <w:rsid w:val="008D7930"/>
    <w:rsid w:val="008F225C"/>
    <w:rsid w:val="008F6C5B"/>
    <w:rsid w:val="009018D5"/>
    <w:rsid w:val="00903C77"/>
    <w:rsid w:val="0090688F"/>
    <w:rsid w:val="0090731E"/>
    <w:rsid w:val="00907450"/>
    <w:rsid w:val="00916EE2"/>
    <w:rsid w:val="00920161"/>
    <w:rsid w:val="00922038"/>
    <w:rsid w:val="0094632F"/>
    <w:rsid w:val="00946934"/>
    <w:rsid w:val="00947232"/>
    <w:rsid w:val="00951008"/>
    <w:rsid w:val="00965555"/>
    <w:rsid w:val="00966A22"/>
    <w:rsid w:val="0096722F"/>
    <w:rsid w:val="00977232"/>
    <w:rsid w:val="00980843"/>
    <w:rsid w:val="00981C98"/>
    <w:rsid w:val="009915D5"/>
    <w:rsid w:val="009A6197"/>
    <w:rsid w:val="009A76EF"/>
    <w:rsid w:val="009B2FD7"/>
    <w:rsid w:val="009B72FE"/>
    <w:rsid w:val="009E149A"/>
    <w:rsid w:val="009E2791"/>
    <w:rsid w:val="009E3F6F"/>
    <w:rsid w:val="009F499F"/>
    <w:rsid w:val="00A01E49"/>
    <w:rsid w:val="00A31478"/>
    <w:rsid w:val="00A33311"/>
    <w:rsid w:val="00A33B93"/>
    <w:rsid w:val="00A34E4A"/>
    <w:rsid w:val="00A42DAF"/>
    <w:rsid w:val="00A45BD8"/>
    <w:rsid w:val="00A67DB4"/>
    <w:rsid w:val="00A81376"/>
    <w:rsid w:val="00A84657"/>
    <w:rsid w:val="00A869B7"/>
    <w:rsid w:val="00A87BC5"/>
    <w:rsid w:val="00A9630A"/>
    <w:rsid w:val="00A96BFB"/>
    <w:rsid w:val="00A97834"/>
    <w:rsid w:val="00AA4374"/>
    <w:rsid w:val="00AB0106"/>
    <w:rsid w:val="00AB6794"/>
    <w:rsid w:val="00AB7CFC"/>
    <w:rsid w:val="00AC1841"/>
    <w:rsid w:val="00AC205C"/>
    <w:rsid w:val="00AD6A45"/>
    <w:rsid w:val="00AE1C5B"/>
    <w:rsid w:val="00AE6CCA"/>
    <w:rsid w:val="00AF0A6B"/>
    <w:rsid w:val="00B05A69"/>
    <w:rsid w:val="00B0777F"/>
    <w:rsid w:val="00B125CA"/>
    <w:rsid w:val="00B24608"/>
    <w:rsid w:val="00B2514C"/>
    <w:rsid w:val="00B253F1"/>
    <w:rsid w:val="00B408B9"/>
    <w:rsid w:val="00B53F7D"/>
    <w:rsid w:val="00B55DA0"/>
    <w:rsid w:val="00B776FB"/>
    <w:rsid w:val="00B90593"/>
    <w:rsid w:val="00B95E06"/>
    <w:rsid w:val="00B9734B"/>
    <w:rsid w:val="00BA30E2"/>
    <w:rsid w:val="00BC5CD0"/>
    <w:rsid w:val="00BD430F"/>
    <w:rsid w:val="00BF13B8"/>
    <w:rsid w:val="00BF1F03"/>
    <w:rsid w:val="00BF75C3"/>
    <w:rsid w:val="00C0126E"/>
    <w:rsid w:val="00C03AA4"/>
    <w:rsid w:val="00C11BFE"/>
    <w:rsid w:val="00C1652B"/>
    <w:rsid w:val="00C40C70"/>
    <w:rsid w:val="00C5068F"/>
    <w:rsid w:val="00C56B9D"/>
    <w:rsid w:val="00C61124"/>
    <w:rsid w:val="00C71D24"/>
    <w:rsid w:val="00C7428A"/>
    <w:rsid w:val="00C745D8"/>
    <w:rsid w:val="00C91215"/>
    <w:rsid w:val="00C943E5"/>
    <w:rsid w:val="00C95026"/>
    <w:rsid w:val="00C97A26"/>
    <w:rsid w:val="00CA1A98"/>
    <w:rsid w:val="00CA2BBF"/>
    <w:rsid w:val="00CA3331"/>
    <w:rsid w:val="00CB09B3"/>
    <w:rsid w:val="00CB1DF6"/>
    <w:rsid w:val="00CC1312"/>
    <w:rsid w:val="00CD04F1"/>
    <w:rsid w:val="00CE18C0"/>
    <w:rsid w:val="00CE552D"/>
    <w:rsid w:val="00D01AC7"/>
    <w:rsid w:val="00D22EF0"/>
    <w:rsid w:val="00D27B33"/>
    <w:rsid w:val="00D35C67"/>
    <w:rsid w:val="00D35EB0"/>
    <w:rsid w:val="00D45252"/>
    <w:rsid w:val="00D57389"/>
    <w:rsid w:val="00D660EC"/>
    <w:rsid w:val="00D71B4D"/>
    <w:rsid w:val="00D737A2"/>
    <w:rsid w:val="00D93D55"/>
    <w:rsid w:val="00DA334C"/>
    <w:rsid w:val="00DA49CB"/>
    <w:rsid w:val="00DB1052"/>
    <w:rsid w:val="00DB39D3"/>
    <w:rsid w:val="00DB60EB"/>
    <w:rsid w:val="00DC7EA7"/>
    <w:rsid w:val="00DD5232"/>
    <w:rsid w:val="00DF12CF"/>
    <w:rsid w:val="00E02C64"/>
    <w:rsid w:val="00E15015"/>
    <w:rsid w:val="00E21815"/>
    <w:rsid w:val="00E335FE"/>
    <w:rsid w:val="00E34870"/>
    <w:rsid w:val="00E35762"/>
    <w:rsid w:val="00E432F9"/>
    <w:rsid w:val="00E65030"/>
    <w:rsid w:val="00E6564A"/>
    <w:rsid w:val="00E82EF4"/>
    <w:rsid w:val="00E8674E"/>
    <w:rsid w:val="00EB2E93"/>
    <w:rsid w:val="00EC4E49"/>
    <w:rsid w:val="00ED77FB"/>
    <w:rsid w:val="00EE45FA"/>
    <w:rsid w:val="00EF0AC9"/>
    <w:rsid w:val="00EF4387"/>
    <w:rsid w:val="00EF705B"/>
    <w:rsid w:val="00F04EE2"/>
    <w:rsid w:val="00F06C0A"/>
    <w:rsid w:val="00F06EE8"/>
    <w:rsid w:val="00F14608"/>
    <w:rsid w:val="00F15751"/>
    <w:rsid w:val="00F2287E"/>
    <w:rsid w:val="00F24085"/>
    <w:rsid w:val="00F27710"/>
    <w:rsid w:val="00F27AD3"/>
    <w:rsid w:val="00F3668C"/>
    <w:rsid w:val="00F64297"/>
    <w:rsid w:val="00F652D3"/>
    <w:rsid w:val="00F653C5"/>
    <w:rsid w:val="00F66152"/>
    <w:rsid w:val="00F73E11"/>
    <w:rsid w:val="00F868A4"/>
    <w:rsid w:val="00F94F26"/>
    <w:rsid w:val="00F95878"/>
    <w:rsid w:val="00FB23C8"/>
    <w:rsid w:val="00FB5071"/>
    <w:rsid w:val="00FC3B75"/>
    <w:rsid w:val="00FC49DA"/>
    <w:rsid w:val="00FD1CCC"/>
    <w:rsid w:val="00FF244C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E977F40-F39C-4E30-A326-A482A3A4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Title">
    <w:name w:val="Title"/>
    <w:basedOn w:val="Normal"/>
    <w:next w:val="Normal"/>
    <w:link w:val="TitleChar"/>
    <w:rsid w:val="00C943E5"/>
    <w:pPr>
      <w:widowControl w:val="0"/>
      <w:pBdr>
        <w:top w:val="nil"/>
        <w:left w:val="nil"/>
        <w:bottom w:val="nil"/>
        <w:right w:val="nil"/>
        <w:between w:val="nil"/>
      </w:pBdr>
      <w:ind w:left="432" w:hanging="432"/>
    </w:pPr>
    <w:rPr>
      <w:rFonts w:eastAsia="Arial"/>
      <w:b/>
      <w:color w:val="000000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C943E5"/>
    <w:rPr>
      <w:rFonts w:ascii="Arial" w:eastAsia="Arial" w:hAnsi="Arial" w:cs="Arial"/>
      <w:b/>
      <w:color w:val="000000"/>
      <w:sz w:val="28"/>
      <w:szCs w:val="2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3E5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nhideWhenUsed/>
    <w:rsid w:val="00C943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64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0F29"/>
    <w:rPr>
      <w:color w:val="0000FF"/>
      <w:u w:val="single"/>
    </w:rPr>
  </w:style>
  <w:style w:type="table" w:styleId="TableClassic1">
    <w:name w:val="Table Classic 1"/>
    <w:basedOn w:val="TableNormal"/>
    <w:semiHidden/>
    <w:unhideWhenUsed/>
    <w:rsid w:val="000866E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semiHidden/>
    <w:unhideWhenUsed/>
    <w:rsid w:val="003B01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po.int/meetings/fr/doc_details.jsp?doc_id=286176" TargetMode="External"/><Relationship Id="rId2" Type="http://schemas.openxmlformats.org/officeDocument/2006/relationships/hyperlink" Target="http://www.wipo.int/meetings/fr/doc_details.jsp?doc_id=253571" TargetMode="External"/><Relationship Id="rId1" Type="http://schemas.openxmlformats.org/officeDocument/2006/relationships/hyperlink" Target="http://www.wipo.int/meetings/fr/doc_details.jsp?doc_id=237526" TargetMode="External"/><Relationship Id="rId4" Type="http://schemas.openxmlformats.org/officeDocument/2006/relationships/hyperlink" Target="http://www.wipo.int/econ_stat/fr/economics/studie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812AC-05EE-4900-9E99-18807AFE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3506</Words>
  <Characters>19985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CDIP/20/</vt:lpstr>
      <vt:lpstr>CDIP/20/</vt:lpstr>
    </vt:vector>
  </TitlesOfParts>
  <Company>WIPO</Company>
  <LinksUpToDate>false</LinksUpToDate>
  <CharactersWithSpaces>23445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BRACI Biljana</dc:creator>
  <cp:lastModifiedBy>MARTINEZ LIMÓN Cristina</cp:lastModifiedBy>
  <cp:revision>2</cp:revision>
  <cp:lastPrinted>2018-10-22T17:13:00Z</cp:lastPrinted>
  <dcterms:created xsi:type="dcterms:W3CDTF">2018-11-01T15:17:00Z</dcterms:created>
  <dcterms:modified xsi:type="dcterms:W3CDTF">2018-11-01T15:17:00Z</dcterms:modified>
</cp:coreProperties>
</file>