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47C22" w:rsidRPr="00927778" w:rsidTr="00782DCC">
        <w:tc>
          <w:tcPr>
            <w:tcW w:w="4513" w:type="dxa"/>
            <w:tcBorders>
              <w:bottom w:val="single" w:sz="4" w:space="0" w:color="auto"/>
            </w:tcBorders>
            <w:tcMar>
              <w:bottom w:w="170" w:type="dxa"/>
            </w:tcMar>
          </w:tcPr>
          <w:p w:rsidR="00A75365" w:rsidRPr="00927778" w:rsidRDefault="00A75365" w:rsidP="00782DCC">
            <w:pPr>
              <w:rPr>
                <w:color w:val="333333"/>
              </w:rPr>
            </w:pPr>
          </w:p>
        </w:tc>
        <w:tc>
          <w:tcPr>
            <w:tcW w:w="4337" w:type="dxa"/>
            <w:tcBorders>
              <w:bottom w:val="single" w:sz="4" w:space="0" w:color="auto"/>
            </w:tcBorders>
            <w:tcMar>
              <w:left w:w="0" w:type="dxa"/>
              <w:right w:w="0" w:type="dxa"/>
            </w:tcMar>
          </w:tcPr>
          <w:p w:rsidR="00A75365" w:rsidRPr="00927778" w:rsidRDefault="00A75365" w:rsidP="00782DCC">
            <w:pPr>
              <w:rPr>
                <w:color w:val="333333"/>
              </w:rPr>
            </w:pPr>
            <w:r w:rsidRPr="00927778">
              <w:rPr>
                <w:noProof/>
                <w:color w:val="333333"/>
              </w:rPr>
              <w:drawing>
                <wp:inline distT="0" distB="0" distL="0" distR="0" wp14:anchorId="20707287" wp14:editId="14E65C45">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A75365" w:rsidRPr="00927778" w:rsidRDefault="00A75365" w:rsidP="00782DCC">
            <w:pPr>
              <w:jc w:val="right"/>
              <w:rPr>
                <w:color w:val="333333"/>
              </w:rPr>
            </w:pPr>
            <w:r w:rsidRPr="00927778">
              <w:rPr>
                <w:b/>
                <w:color w:val="333333"/>
                <w:sz w:val="40"/>
                <w:szCs w:val="40"/>
              </w:rPr>
              <w:t>F</w:t>
            </w:r>
          </w:p>
        </w:tc>
      </w:tr>
      <w:tr w:rsidR="00047C22" w:rsidRPr="00927778" w:rsidTr="00782DCC">
        <w:trPr>
          <w:trHeight w:hRule="exact" w:val="357"/>
        </w:trPr>
        <w:tc>
          <w:tcPr>
            <w:tcW w:w="9356" w:type="dxa"/>
            <w:gridSpan w:val="3"/>
            <w:tcBorders>
              <w:top w:val="single" w:sz="4" w:space="0" w:color="auto"/>
            </w:tcBorders>
            <w:tcMar>
              <w:top w:w="170" w:type="dxa"/>
              <w:left w:w="0" w:type="dxa"/>
              <w:right w:w="0" w:type="dxa"/>
            </w:tcMar>
            <w:vAlign w:val="bottom"/>
          </w:tcPr>
          <w:p w:rsidR="00A75365" w:rsidRPr="00927778" w:rsidRDefault="00A75365" w:rsidP="00782DCC">
            <w:pPr>
              <w:jc w:val="right"/>
              <w:rPr>
                <w:rFonts w:ascii="Arial Black" w:hAnsi="Arial Black"/>
                <w:caps/>
                <w:color w:val="333333"/>
                <w:sz w:val="15"/>
              </w:rPr>
            </w:pPr>
            <w:r w:rsidRPr="00927778">
              <w:rPr>
                <w:rFonts w:ascii="Arial Black" w:hAnsi="Arial Black"/>
                <w:caps/>
                <w:color w:val="333333"/>
                <w:sz w:val="15"/>
              </w:rPr>
              <w:t>CDIP/22/</w:t>
            </w:r>
            <w:bookmarkStart w:id="0" w:name="Code"/>
            <w:bookmarkEnd w:id="0"/>
            <w:r w:rsidRPr="00927778">
              <w:rPr>
                <w:rFonts w:ascii="Arial Black" w:hAnsi="Arial Black"/>
                <w:caps/>
                <w:color w:val="333333"/>
                <w:sz w:val="15"/>
              </w:rPr>
              <w:t>2</w:t>
            </w:r>
          </w:p>
        </w:tc>
      </w:tr>
      <w:tr w:rsidR="00047C22" w:rsidRPr="00927778" w:rsidTr="00782DCC">
        <w:trPr>
          <w:trHeight w:hRule="exact" w:val="170"/>
        </w:trPr>
        <w:tc>
          <w:tcPr>
            <w:tcW w:w="9356" w:type="dxa"/>
            <w:gridSpan w:val="3"/>
            <w:noWrap/>
            <w:tcMar>
              <w:left w:w="0" w:type="dxa"/>
              <w:right w:w="0" w:type="dxa"/>
            </w:tcMar>
            <w:vAlign w:val="bottom"/>
          </w:tcPr>
          <w:p w:rsidR="00A75365" w:rsidRPr="00927778" w:rsidRDefault="00A75365" w:rsidP="00782DCC">
            <w:pPr>
              <w:jc w:val="right"/>
              <w:rPr>
                <w:rFonts w:ascii="Arial Black" w:hAnsi="Arial Black"/>
                <w:caps/>
                <w:color w:val="333333"/>
                <w:sz w:val="15"/>
              </w:rPr>
            </w:pPr>
            <w:r w:rsidRPr="00927778">
              <w:rPr>
                <w:rFonts w:ascii="Arial Black" w:hAnsi="Arial Black"/>
                <w:caps/>
                <w:color w:val="333333"/>
                <w:sz w:val="15"/>
              </w:rPr>
              <w:t>ORIGINAL</w:t>
            </w:r>
            <w:r w:rsidR="00EA2C86" w:rsidRPr="00927778">
              <w:rPr>
                <w:rFonts w:ascii="Arial Black" w:hAnsi="Arial Black"/>
                <w:caps/>
                <w:color w:val="333333"/>
                <w:sz w:val="15"/>
              </w:rPr>
              <w:t> :</w:t>
            </w:r>
            <w:r w:rsidRPr="00927778">
              <w:rPr>
                <w:rFonts w:ascii="Arial Black" w:hAnsi="Arial Black"/>
                <w:caps/>
                <w:color w:val="333333"/>
                <w:sz w:val="15"/>
              </w:rPr>
              <w:t xml:space="preserve"> </w:t>
            </w:r>
            <w:bookmarkStart w:id="1" w:name="Original"/>
            <w:bookmarkEnd w:id="1"/>
            <w:r w:rsidRPr="00927778">
              <w:rPr>
                <w:rFonts w:ascii="Arial Black" w:hAnsi="Arial Black"/>
                <w:caps/>
                <w:color w:val="333333"/>
                <w:sz w:val="15"/>
              </w:rPr>
              <w:t>anglais</w:t>
            </w:r>
          </w:p>
        </w:tc>
      </w:tr>
      <w:tr w:rsidR="00A75365" w:rsidRPr="00927778" w:rsidTr="00782DCC">
        <w:trPr>
          <w:trHeight w:hRule="exact" w:val="198"/>
        </w:trPr>
        <w:tc>
          <w:tcPr>
            <w:tcW w:w="9356" w:type="dxa"/>
            <w:gridSpan w:val="3"/>
            <w:tcMar>
              <w:left w:w="0" w:type="dxa"/>
              <w:right w:w="0" w:type="dxa"/>
            </w:tcMar>
            <w:vAlign w:val="bottom"/>
          </w:tcPr>
          <w:p w:rsidR="00A75365" w:rsidRPr="00927778" w:rsidRDefault="00A75365" w:rsidP="00A75365">
            <w:pPr>
              <w:jc w:val="right"/>
              <w:rPr>
                <w:rFonts w:ascii="Arial Black" w:hAnsi="Arial Black"/>
                <w:caps/>
                <w:color w:val="333333"/>
                <w:sz w:val="15"/>
              </w:rPr>
            </w:pPr>
            <w:r w:rsidRPr="00927778">
              <w:rPr>
                <w:rFonts w:ascii="Arial Black" w:hAnsi="Arial Black"/>
                <w:caps/>
                <w:color w:val="333333"/>
                <w:sz w:val="15"/>
              </w:rPr>
              <w:t>DATE</w:t>
            </w:r>
            <w:r w:rsidR="00EA2C86" w:rsidRPr="00927778">
              <w:rPr>
                <w:rFonts w:ascii="Arial Black" w:hAnsi="Arial Black"/>
                <w:caps/>
                <w:color w:val="333333"/>
                <w:sz w:val="15"/>
              </w:rPr>
              <w:t> :</w:t>
            </w:r>
            <w:r w:rsidRPr="00927778">
              <w:rPr>
                <w:rFonts w:ascii="Arial Black" w:hAnsi="Arial Black"/>
                <w:caps/>
                <w:color w:val="333333"/>
                <w:sz w:val="15"/>
              </w:rPr>
              <w:t xml:space="preserve"> </w:t>
            </w:r>
            <w:bookmarkStart w:id="2" w:name="Date"/>
            <w:bookmarkEnd w:id="2"/>
            <w:r w:rsidRPr="00927778">
              <w:rPr>
                <w:rFonts w:ascii="Arial Black" w:hAnsi="Arial Black"/>
                <w:caps/>
                <w:color w:val="333333"/>
                <w:sz w:val="15"/>
              </w:rPr>
              <w:t>1</w:t>
            </w:r>
            <w:r w:rsidR="00EA2C86" w:rsidRPr="00927778">
              <w:rPr>
                <w:rFonts w:ascii="Arial Black" w:hAnsi="Arial Black"/>
                <w:caps/>
                <w:color w:val="333333"/>
                <w:sz w:val="15"/>
              </w:rPr>
              <w:t>4 septembre 20</w:t>
            </w:r>
            <w:r w:rsidRPr="00927778">
              <w:rPr>
                <w:rFonts w:ascii="Arial Black" w:hAnsi="Arial Black"/>
                <w:caps/>
                <w:color w:val="333333"/>
                <w:sz w:val="15"/>
              </w:rPr>
              <w:t>18</w:t>
            </w:r>
          </w:p>
        </w:tc>
      </w:tr>
    </w:tbl>
    <w:p w:rsidR="00A75365" w:rsidRPr="00927778" w:rsidRDefault="00A75365" w:rsidP="00B47031">
      <w:pPr>
        <w:spacing w:before="1200" w:after="600"/>
        <w:rPr>
          <w:b/>
          <w:color w:val="333333"/>
          <w:sz w:val="28"/>
          <w:szCs w:val="28"/>
        </w:rPr>
      </w:pPr>
      <w:r w:rsidRPr="00927778">
        <w:rPr>
          <w:b/>
          <w:color w:val="333333"/>
          <w:sz w:val="28"/>
          <w:szCs w:val="28"/>
        </w:rPr>
        <w:t xml:space="preserve">Comité du développement </w:t>
      </w:r>
      <w:proofErr w:type="gramStart"/>
      <w:r w:rsidRPr="00927778">
        <w:rPr>
          <w:b/>
          <w:color w:val="333333"/>
          <w:sz w:val="28"/>
          <w:szCs w:val="28"/>
        </w:rPr>
        <w:t>et</w:t>
      </w:r>
      <w:proofErr w:type="gramEnd"/>
      <w:r w:rsidRPr="00927778">
        <w:rPr>
          <w:b/>
          <w:color w:val="333333"/>
          <w:sz w:val="28"/>
          <w:szCs w:val="28"/>
        </w:rPr>
        <w:t xml:space="preserve"> de la propriété intellectuelle (CDIP)</w:t>
      </w:r>
    </w:p>
    <w:p w:rsidR="00A75365" w:rsidRPr="00927778" w:rsidRDefault="00A75365" w:rsidP="00A75365">
      <w:pPr>
        <w:rPr>
          <w:b/>
          <w:color w:val="333333"/>
          <w:sz w:val="24"/>
          <w:szCs w:val="24"/>
          <w:lang w:val="fr-FR"/>
        </w:rPr>
      </w:pPr>
      <w:r w:rsidRPr="00927778">
        <w:rPr>
          <w:b/>
          <w:color w:val="333333"/>
          <w:sz w:val="24"/>
          <w:szCs w:val="24"/>
          <w:lang w:val="fr-FR"/>
        </w:rPr>
        <w:t>Vingt</w:t>
      </w:r>
      <w:r w:rsidR="00CB5AE0" w:rsidRPr="00927778">
        <w:rPr>
          <w:b/>
          <w:color w:val="333333"/>
          <w:sz w:val="24"/>
          <w:szCs w:val="24"/>
          <w:lang w:val="fr-FR"/>
        </w:rPr>
        <w:noBreakHyphen/>
      </w:r>
      <w:r w:rsidRPr="00927778">
        <w:rPr>
          <w:b/>
          <w:color w:val="333333"/>
          <w:sz w:val="24"/>
          <w:szCs w:val="24"/>
          <w:lang w:val="fr-FR"/>
        </w:rPr>
        <w:t>deux</w:t>
      </w:r>
      <w:r w:rsidR="00EA2C86" w:rsidRPr="00927778">
        <w:rPr>
          <w:b/>
          <w:color w:val="333333"/>
          <w:sz w:val="24"/>
          <w:szCs w:val="24"/>
          <w:lang w:val="fr-FR"/>
        </w:rPr>
        <w:t>ième session</w:t>
      </w:r>
    </w:p>
    <w:p w:rsidR="00A75365" w:rsidRPr="00927778" w:rsidRDefault="00A75365" w:rsidP="00A75365">
      <w:pPr>
        <w:rPr>
          <w:b/>
          <w:color w:val="333333"/>
          <w:sz w:val="24"/>
          <w:szCs w:val="24"/>
          <w:lang w:val="fr-FR"/>
        </w:rPr>
      </w:pPr>
      <w:r w:rsidRPr="00927778">
        <w:rPr>
          <w:b/>
          <w:color w:val="333333"/>
          <w:sz w:val="24"/>
          <w:szCs w:val="24"/>
          <w:lang w:val="fr-FR"/>
        </w:rPr>
        <w:t>Genève, 19 – 23 novembre 2018</w:t>
      </w:r>
    </w:p>
    <w:p w:rsidR="005E6718" w:rsidRPr="00927778" w:rsidRDefault="00697DFF" w:rsidP="00B47031">
      <w:pPr>
        <w:spacing w:before="720" w:after="360"/>
        <w:rPr>
          <w:caps/>
          <w:color w:val="333333"/>
          <w:lang w:val="fr-FR"/>
        </w:rPr>
      </w:pPr>
      <w:r w:rsidRPr="00927778">
        <w:rPr>
          <w:caps/>
          <w:color w:val="333333"/>
          <w:lang w:val="fr-FR"/>
        </w:rPr>
        <w:t>Rapport sur l</w:t>
      </w:r>
      <w:r w:rsidR="00EA2C86" w:rsidRPr="00927778">
        <w:rPr>
          <w:caps/>
          <w:color w:val="333333"/>
          <w:lang w:val="fr-FR"/>
        </w:rPr>
        <w:t>’</w:t>
      </w:r>
      <w:r w:rsidRPr="00927778">
        <w:rPr>
          <w:caps/>
          <w:color w:val="333333"/>
          <w:lang w:val="fr-FR"/>
        </w:rPr>
        <w:t>état d</w:t>
      </w:r>
      <w:r w:rsidR="00EA2C86" w:rsidRPr="00927778">
        <w:rPr>
          <w:caps/>
          <w:color w:val="333333"/>
          <w:lang w:val="fr-FR"/>
        </w:rPr>
        <w:t>’</w:t>
      </w:r>
      <w:r w:rsidRPr="00927778">
        <w:rPr>
          <w:caps/>
          <w:color w:val="333333"/>
          <w:lang w:val="fr-FR"/>
        </w:rPr>
        <w:t>avancement des projets</w:t>
      </w:r>
    </w:p>
    <w:p w:rsidR="005E6718" w:rsidRPr="00927778" w:rsidRDefault="00697DFF" w:rsidP="00B47031">
      <w:pPr>
        <w:spacing w:after="960"/>
        <w:rPr>
          <w:i/>
          <w:color w:val="333333"/>
          <w:lang w:val="fr-FR"/>
        </w:rPr>
      </w:pPr>
      <w:bookmarkStart w:id="3" w:name="Prepared"/>
      <w:bookmarkEnd w:id="3"/>
      <w:proofErr w:type="gramStart"/>
      <w:r w:rsidRPr="00927778">
        <w:rPr>
          <w:i/>
          <w:color w:val="333333"/>
          <w:lang w:val="fr-FR"/>
        </w:rPr>
        <w:t>établi</w:t>
      </w:r>
      <w:proofErr w:type="gramEnd"/>
      <w:r w:rsidRPr="00927778">
        <w:rPr>
          <w:i/>
          <w:color w:val="333333"/>
          <w:lang w:val="fr-FR"/>
        </w:rPr>
        <w:t xml:space="preserve"> par le Secrétariat</w:t>
      </w:r>
    </w:p>
    <w:p w:rsidR="005E6718" w:rsidRPr="00927778" w:rsidRDefault="00697DFF" w:rsidP="00B47031">
      <w:pPr>
        <w:pStyle w:val="ONUMFS"/>
        <w:rPr>
          <w:lang w:val="fr-FR"/>
        </w:rPr>
      </w:pPr>
      <w:r w:rsidRPr="00927778">
        <w:rPr>
          <w:lang w:val="fr-FR"/>
        </w:rPr>
        <w:t>Les annexes du présent document contiennent</w:t>
      </w:r>
      <w:r w:rsidR="00EA2C86" w:rsidRPr="00927778">
        <w:rPr>
          <w:lang w:val="fr-FR"/>
        </w:rPr>
        <w:t> :</w:t>
      </w:r>
    </w:p>
    <w:p w:rsidR="00EA2C86" w:rsidRPr="00927778" w:rsidRDefault="00B25522" w:rsidP="00B47031">
      <w:pPr>
        <w:pStyle w:val="ONUMFS"/>
        <w:numPr>
          <w:ilvl w:val="1"/>
          <w:numId w:val="2"/>
        </w:numPr>
        <w:rPr>
          <w:lang w:val="fr-FR"/>
        </w:rPr>
      </w:pPr>
      <w:r w:rsidRPr="00927778">
        <w:rPr>
          <w:lang w:val="fr-FR"/>
        </w:rPr>
        <w:t>Des</w:t>
      </w:r>
      <w:r w:rsidR="00D87AFF" w:rsidRPr="00927778">
        <w:rPr>
          <w:lang w:val="fr-FR"/>
        </w:rPr>
        <w:t xml:space="preserve"> rapport</w:t>
      </w:r>
      <w:r w:rsidRPr="00927778">
        <w:rPr>
          <w:lang w:val="fr-FR"/>
        </w:rPr>
        <w:t>s</w:t>
      </w:r>
      <w:r w:rsidR="00D87AFF" w:rsidRPr="00927778">
        <w:rPr>
          <w:lang w:val="fr-FR"/>
        </w:rPr>
        <w:t xml:space="preserve"> sur l</w:t>
      </w:r>
      <w:r w:rsidR="00EA2C86" w:rsidRPr="00927778">
        <w:rPr>
          <w:lang w:val="fr-FR"/>
        </w:rPr>
        <w:t>’</w:t>
      </w:r>
      <w:r w:rsidR="00D87AFF" w:rsidRPr="00927778">
        <w:rPr>
          <w:lang w:val="fr-FR"/>
        </w:rPr>
        <w:t>état d</w:t>
      </w:r>
      <w:r w:rsidR="00EA2C86" w:rsidRPr="00927778">
        <w:rPr>
          <w:lang w:val="fr-FR"/>
        </w:rPr>
        <w:t>’</w:t>
      </w:r>
      <w:r w:rsidR="00D87AFF" w:rsidRPr="00927778">
        <w:rPr>
          <w:lang w:val="fr-FR"/>
        </w:rPr>
        <w:t>avancement</w:t>
      </w:r>
      <w:r w:rsidR="00961EFA" w:rsidRPr="00927778">
        <w:rPr>
          <w:lang w:val="fr-FR"/>
        </w:rPr>
        <w:t>,</w:t>
      </w:r>
      <w:r w:rsidR="00A34E0E" w:rsidRPr="00927778">
        <w:rPr>
          <w:lang w:val="fr-FR"/>
        </w:rPr>
        <w:t xml:space="preserve"> </w:t>
      </w:r>
      <w:r w:rsidR="00B124FD" w:rsidRPr="00927778">
        <w:rPr>
          <w:lang w:val="fr-FR"/>
        </w:rPr>
        <w:t>au moment de la préparation du présent document</w:t>
      </w:r>
      <w:r w:rsidR="00961EFA" w:rsidRPr="00927778">
        <w:rPr>
          <w:lang w:val="fr-FR"/>
        </w:rPr>
        <w:t>,</w:t>
      </w:r>
      <w:r w:rsidR="00B124FD" w:rsidRPr="00927778">
        <w:rPr>
          <w:lang w:val="fr-FR"/>
        </w:rPr>
        <w:t xml:space="preserve"> </w:t>
      </w:r>
      <w:r w:rsidRPr="00927778">
        <w:rPr>
          <w:lang w:val="fr-FR"/>
        </w:rPr>
        <w:t>de</w:t>
      </w:r>
      <w:r w:rsidR="00A34E0E" w:rsidRPr="00927778">
        <w:rPr>
          <w:lang w:val="fr-FR"/>
        </w:rPr>
        <w:t xml:space="preserve"> la mise en </w:t>
      </w:r>
      <w:r w:rsidR="00B104C1" w:rsidRPr="00927778">
        <w:rPr>
          <w:lang w:val="fr-FR"/>
        </w:rPr>
        <w:t>œuvre</w:t>
      </w:r>
      <w:r w:rsidR="00A34E0E" w:rsidRPr="00927778">
        <w:rPr>
          <w:lang w:val="fr-FR"/>
        </w:rPr>
        <w:t xml:space="preserve"> des projets </w:t>
      </w:r>
      <w:r w:rsidRPr="00927778">
        <w:rPr>
          <w:lang w:val="fr-FR"/>
        </w:rPr>
        <w:t>ci</w:t>
      </w:r>
      <w:r w:rsidR="00CB5AE0" w:rsidRPr="00927778">
        <w:rPr>
          <w:lang w:val="fr-FR"/>
        </w:rPr>
        <w:noBreakHyphen/>
      </w:r>
      <w:r w:rsidRPr="00927778">
        <w:rPr>
          <w:lang w:val="fr-FR"/>
        </w:rPr>
        <w:t xml:space="preserve">après relatifs au </w:t>
      </w:r>
      <w:r w:rsidR="00541FF8" w:rsidRPr="00927778">
        <w:rPr>
          <w:lang w:val="fr-FR"/>
        </w:rPr>
        <w:t>Plan d</w:t>
      </w:r>
      <w:r w:rsidR="00EA2C86" w:rsidRPr="00927778">
        <w:rPr>
          <w:lang w:val="fr-FR"/>
        </w:rPr>
        <w:t>’</w:t>
      </w:r>
      <w:r w:rsidR="00541FF8" w:rsidRPr="00927778">
        <w:rPr>
          <w:lang w:val="fr-FR"/>
        </w:rPr>
        <w:t>action pour le</w:t>
      </w:r>
      <w:r w:rsidR="00A34E0E" w:rsidRPr="00927778">
        <w:rPr>
          <w:lang w:val="fr-FR"/>
        </w:rPr>
        <w:t xml:space="preserve"> développement</w:t>
      </w:r>
      <w:r w:rsidR="00EA2C86" w:rsidRPr="00927778">
        <w:rPr>
          <w:lang w:val="fr-FR"/>
        </w:rPr>
        <w:t> :</w:t>
      </w:r>
    </w:p>
    <w:p w:rsidR="005E6718" w:rsidRPr="00927778" w:rsidRDefault="00697DFF" w:rsidP="00B47031">
      <w:pPr>
        <w:pStyle w:val="ONUMFS"/>
        <w:numPr>
          <w:ilvl w:val="2"/>
          <w:numId w:val="2"/>
        </w:numPr>
        <w:rPr>
          <w:lang w:val="fr-FR"/>
        </w:rPr>
      </w:pPr>
      <w:r w:rsidRPr="00927778">
        <w:rPr>
          <w:lang w:val="fr-FR"/>
        </w:rPr>
        <w:t>Gestion de la propriété intellectuelle et transfert de technologie</w:t>
      </w:r>
      <w:r w:rsidR="00EA2C86" w:rsidRPr="00927778">
        <w:rPr>
          <w:lang w:val="fr-FR"/>
        </w:rPr>
        <w:t> :</w:t>
      </w:r>
      <w:r w:rsidRPr="00927778">
        <w:rPr>
          <w:lang w:val="fr-FR"/>
        </w:rPr>
        <w:t xml:space="preserve"> promouvoir l</w:t>
      </w:r>
      <w:r w:rsidR="00EA2C86" w:rsidRPr="00927778">
        <w:rPr>
          <w:lang w:val="fr-FR"/>
        </w:rPr>
        <w:t>’</w:t>
      </w:r>
      <w:r w:rsidRPr="00927778">
        <w:rPr>
          <w:lang w:val="fr-FR"/>
        </w:rPr>
        <w:t>utilisation efficace de la propriété intellectuelle dans les pays en développement, les pays les moins avancés et les pays en transition (</w:t>
      </w:r>
      <w:r w:rsidR="00EA2C86" w:rsidRPr="00927778">
        <w:rPr>
          <w:lang w:val="fr-FR"/>
        </w:rPr>
        <w:t>Annexe I</w:t>
      </w:r>
      <w:r w:rsidRPr="00927778">
        <w:rPr>
          <w:lang w:val="fr-FR"/>
        </w:rPr>
        <w:t>),</w:t>
      </w:r>
    </w:p>
    <w:p w:rsidR="005E6718" w:rsidRPr="00927778" w:rsidRDefault="00697DFF" w:rsidP="00B47031">
      <w:pPr>
        <w:pStyle w:val="ONUMFS"/>
        <w:numPr>
          <w:ilvl w:val="2"/>
          <w:numId w:val="2"/>
        </w:numPr>
        <w:rPr>
          <w:lang w:val="fr-FR"/>
        </w:rPr>
      </w:pPr>
      <w:r w:rsidRPr="00927778">
        <w:rPr>
          <w:lang w:val="fr-FR"/>
        </w:rPr>
        <w:t>Utilisation des informations relevant du domaine public aux fins du développement économique (</w:t>
      </w:r>
      <w:r w:rsidR="00EA2C86" w:rsidRPr="00927778">
        <w:rPr>
          <w:lang w:val="fr-FR"/>
        </w:rPr>
        <w:t>Annexe I</w:t>
      </w:r>
      <w:r w:rsidRPr="00927778">
        <w:rPr>
          <w:lang w:val="fr-FR"/>
        </w:rPr>
        <w:t>I),</w:t>
      </w:r>
    </w:p>
    <w:p w:rsidR="005E6718" w:rsidRPr="00927778" w:rsidRDefault="00697DFF" w:rsidP="00B47031">
      <w:pPr>
        <w:pStyle w:val="ONUMFS"/>
        <w:numPr>
          <w:ilvl w:val="2"/>
          <w:numId w:val="2"/>
        </w:numPr>
        <w:rPr>
          <w:lang w:val="fr-FR"/>
        </w:rPr>
      </w:pPr>
      <w:r w:rsidRPr="00927778">
        <w:rPr>
          <w:lang w:val="fr-FR"/>
        </w:rPr>
        <w:t>Coopération avec les instituts de formation judiciaire des pays en développement et des pays les moins avancés dans les domaines du développement et de l</w:t>
      </w:r>
      <w:r w:rsidR="00EA2C86" w:rsidRPr="00927778">
        <w:rPr>
          <w:lang w:val="fr-FR"/>
        </w:rPr>
        <w:t>’</w:t>
      </w:r>
      <w:r w:rsidRPr="00927778">
        <w:rPr>
          <w:lang w:val="fr-FR"/>
        </w:rPr>
        <w:t>enseignement et de la formation professionnelle en matière de droits de propriété intellectuelle (</w:t>
      </w:r>
      <w:r w:rsidR="00002037" w:rsidRPr="00927778">
        <w:rPr>
          <w:lang w:val="fr-FR"/>
        </w:rPr>
        <w:t>Annexe </w:t>
      </w:r>
      <w:r w:rsidR="00EA2C86" w:rsidRPr="00927778">
        <w:rPr>
          <w:lang w:val="fr-FR"/>
        </w:rPr>
        <w:t>I</w:t>
      </w:r>
      <w:r w:rsidRPr="00927778">
        <w:rPr>
          <w:lang w:val="fr-FR"/>
        </w:rPr>
        <w:t>II),</w:t>
      </w:r>
    </w:p>
    <w:p w:rsidR="005E6718" w:rsidRPr="00927778" w:rsidRDefault="00697DFF" w:rsidP="00B47031">
      <w:pPr>
        <w:pStyle w:val="ONUMFS"/>
        <w:numPr>
          <w:ilvl w:val="2"/>
          <w:numId w:val="2"/>
        </w:numPr>
        <w:rPr>
          <w:lang w:val="fr-FR"/>
        </w:rPr>
      </w:pPr>
      <w:r w:rsidRPr="00927778">
        <w:rPr>
          <w:lang w:val="fr-FR"/>
        </w:rPr>
        <w:t>Propriété intellectuelle, tourisme et culture</w:t>
      </w:r>
      <w:r w:rsidR="00EA2C86" w:rsidRPr="00927778">
        <w:rPr>
          <w:lang w:val="fr-FR"/>
        </w:rPr>
        <w:t> :</w:t>
      </w:r>
      <w:r w:rsidRPr="00927778">
        <w:rPr>
          <w:lang w:val="fr-FR"/>
        </w:rPr>
        <w:t xml:space="preserve"> contribution aux objectifs de développement et promotion du patrimoine culturel en Égypte et dans d</w:t>
      </w:r>
      <w:r w:rsidR="00EA2C86" w:rsidRPr="00927778">
        <w:rPr>
          <w:lang w:val="fr-FR"/>
        </w:rPr>
        <w:t>’</w:t>
      </w:r>
      <w:r w:rsidRPr="00927778">
        <w:rPr>
          <w:lang w:val="fr-FR"/>
        </w:rPr>
        <w:t>autres pays en développement (</w:t>
      </w:r>
      <w:r w:rsidR="00002037" w:rsidRPr="00927778">
        <w:rPr>
          <w:lang w:val="fr-FR"/>
        </w:rPr>
        <w:t>Annexe </w:t>
      </w:r>
      <w:r w:rsidR="00EA2C86" w:rsidRPr="00927778">
        <w:rPr>
          <w:lang w:val="fr-FR"/>
        </w:rPr>
        <w:t>I</w:t>
      </w:r>
      <w:r w:rsidRPr="00927778">
        <w:rPr>
          <w:lang w:val="fr-FR"/>
        </w:rPr>
        <w:t>V) et</w:t>
      </w:r>
    </w:p>
    <w:p w:rsidR="005E6718" w:rsidRPr="00927778" w:rsidRDefault="00697DFF" w:rsidP="00B47031">
      <w:pPr>
        <w:pStyle w:val="ONUMFS"/>
        <w:numPr>
          <w:ilvl w:val="2"/>
          <w:numId w:val="2"/>
        </w:numPr>
        <w:rPr>
          <w:lang w:val="fr-FR"/>
        </w:rPr>
      </w:pPr>
      <w:r w:rsidRPr="00927778">
        <w:rPr>
          <w:lang w:val="fr-FR"/>
        </w:rPr>
        <w:t>Renforcement et développement du secteur de l</w:t>
      </w:r>
      <w:r w:rsidR="00EA2C86" w:rsidRPr="00927778">
        <w:rPr>
          <w:lang w:val="fr-FR"/>
        </w:rPr>
        <w:t>’</w:t>
      </w:r>
      <w:r w:rsidRPr="00927778">
        <w:rPr>
          <w:lang w:val="fr-FR"/>
        </w:rPr>
        <w:t>audiovisuel au Burkina Faso et dans certains pays africains, phase</w:t>
      </w:r>
      <w:r w:rsidR="00002037" w:rsidRPr="00927778">
        <w:rPr>
          <w:lang w:val="fr-FR"/>
        </w:rPr>
        <w:t> </w:t>
      </w:r>
      <w:r w:rsidRPr="00927778">
        <w:rPr>
          <w:lang w:val="fr-FR"/>
        </w:rPr>
        <w:t>II (</w:t>
      </w:r>
      <w:r w:rsidR="00EA2C86" w:rsidRPr="00927778">
        <w:rPr>
          <w:lang w:val="fr-FR"/>
        </w:rPr>
        <w:t>annexe V</w:t>
      </w:r>
      <w:r w:rsidRPr="00927778">
        <w:rPr>
          <w:lang w:val="fr-FR"/>
        </w:rPr>
        <w:t>).</w:t>
      </w:r>
    </w:p>
    <w:p w:rsidR="005E6718" w:rsidRPr="00927778" w:rsidRDefault="00EA49EE" w:rsidP="00B47031">
      <w:pPr>
        <w:pStyle w:val="ONUMFS"/>
        <w:numPr>
          <w:ilvl w:val="1"/>
          <w:numId w:val="2"/>
        </w:numPr>
        <w:rPr>
          <w:lang w:val="fr-FR"/>
        </w:rPr>
      </w:pPr>
      <w:r w:rsidRPr="00927778">
        <w:rPr>
          <w:lang w:val="fr-FR"/>
        </w:rPr>
        <w:lastRenderedPageBreak/>
        <w:t xml:space="preserve">Un rapport </w:t>
      </w:r>
      <w:r w:rsidR="00052561" w:rsidRPr="00927778">
        <w:rPr>
          <w:lang w:val="fr-FR"/>
        </w:rPr>
        <w:t>relatif à l</w:t>
      </w:r>
      <w:r w:rsidR="00EA2C86" w:rsidRPr="00927778">
        <w:rPr>
          <w:lang w:val="fr-FR"/>
        </w:rPr>
        <w:t>’</w:t>
      </w:r>
      <w:r w:rsidR="00052561" w:rsidRPr="00927778">
        <w:rPr>
          <w:lang w:val="fr-FR"/>
        </w:rPr>
        <w:t>achèvement</w:t>
      </w:r>
      <w:r w:rsidR="000014A5" w:rsidRPr="00927778">
        <w:rPr>
          <w:lang w:val="fr-FR"/>
        </w:rPr>
        <w:t xml:space="preserve"> du projet Propriété intellectuelle et développement socioéconomique – phase</w:t>
      </w:r>
      <w:r w:rsidR="00002037" w:rsidRPr="00927778">
        <w:rPr>
          <w:lang w:val="fr-FR"/>
        </w:rPr>
        <w:t> </w:t>
      </w:r>
      <w:r w:rsidR="000014A5" w:rsidRPr="00927778">
        <w:rPr>
          <w:lang w:val="fr-FR"/>
        </w:rPr>
        <w:t>II (dans le cadre) du Plan d</w:t>
      </w:r>
      <w:r w:rsidR="00EA2C86" w:rsidRPr="00927778">
        <w:rPr>
          <w:lang w:val="fr-FR"/>
        </w:rPr>
        <w:t>’</w:t>
      </w:r>
      <w:r w:rsidR="000014A5" w:rsidRPr="00927778">
        <w:rPr>
          <w:lang w:val="fr-FR"/>
        </w:rPr>
        <w:t xml:space="preserve">action pour le développement </w:t>
      </w:r>
      <w:r w:rsidR="00C964C2" w:rsidRPr="00927778">
        <w:rPr>
          <w:lang w:val="fr-FR"/>
        </w:rPr>
        <w:t>(</w:t>
      </w:r>
      <w:r w:rsidR="00EA2C86" w:rsidRPr="00927778">
        <w:rPr>
          <w:lang w:val="fr-FR"/>
        </w:rPr>
        <w:t>Annexe V</w:t>
      </w:r>
      <w:r w:rsidR="001D60B1" w:rsidRPr="00927778">
        <w:rPr>
          <w:lang w:val="fr-FR"/>
        </w:rPr>
        <w:t>I</w:t>
      </w:r>
      <w:r w:rsidR="00C964C2" w:rsidRPr="00927778">
        <w:rPr>
          <w:lang w:val="fr-FR"/>
        </w:rPr>
        <w:t>)</w:t>
      </w:r>
      <w:r w:rsidR="00105E79" w:rsidRPr="00927778">
        <w:rPr>
          <w:lang w:val="fr-FR"/>
        </w:rPr>
        <w:t>.</w:t>
      </w:r>
    </w:p>
    <w:p w:rsidR="00EA2C86" w:rsidRPr="00927778" w:rsidRDefault="00CA4709" w:rsidP="00B47031">
      <w:pPr>
        <w:pStyle w:val="ONUMFS"/>
        <w:numPr>
          <w:ilvl w:val="1"/>
          <w:numId w:val="2"/>
        </w:numPr>
        <w:rPr>
          <w:rStyle w:val="Hyperlink"/>
          <w:color w:val="333333"/>
          <w:u w:val="none"/>
          <w:lang w:val="fr-FR"/>
        </w:rPr>
      </w:pPr>
      <w:r w:rsidRPr="00927778">
        <w:rPr>
          <w:lang w:val="fr-FR"/>
        </w:rPr>
        <w:t xml:space="preserve">Un rapport </w:t>
      </w:r>
      <w:r w:rsidR="00052561" w:rsidRPr="00927778">
        <w:rPr>
          <w:lang w:val="fr-FR"/>
        </w:rPr>
        <w:t xml:space="preserve">intérimaire pour la période allant de </w:t>
      </w:r>
      <w:r w:rsidR="00EA2C86" w:rsidRPr="00927778">
        <w:rPr>
          <w:lang w:val="fr-FR"/>
        </w:rPr>
        <w:t>juin 20</w:t>
      </w:r>
      <w:r w:rsidR="00052561" w:rsidRPr="00927778">
        <w:rPr>
          <w:lang w:val="fr-FR"/>
        </w:rPr>
        <w:t xml:space="preserve">17 à </w:t>
      </w:r>
      <w:r w:rsidR="00EA2C86" w:rsidRPr="00927778">
        <w:rPr>
          <w:lang w:val="fr-FR"/>
        </w:rPr>
        <w:t>juin 20</w:t>
      </w:r>
      <w:r w:rsidR="00052561" w:rsidRPr="00927778">
        <w:rPr>
          <w:lang w:val="fr-FR"/>
        </w:rPr>
        <w:t xml:space="preserve">18 concernant les </w:t>
      </w:r>
      <w:r w:rsidRPr="00927778">
        <w:rPr>
          <w:lang w:val="fr-FR"/>
        </w:rPr>
        <w:t>recommandations du Plan d</w:t>
      </w:r>
      <w:r w:rsidR="00EA2C86" w:rsidRPr="00927778">
        <w:rPr>
          <w:lang w:val="fr-FR"/>
        </w:rPr>
        <w:t>’</w:t>
      </w:r>
      <w:r w:rsidR="00C935BF" w:rsidRPr="00927778">
        <w:rPr>
          <w:lang w:val="fr-FR"/>
        </w:rPr>
        <w:t>action pour le développement</w:t>
      </w:r>
      <w:r w:rsidRPr="00927778">
        <w:rPr>
          <w:lang w:val="fr-FR"/>
        </w:rPr>
        <w:t xml:space="preserve"> </w:t>
      </w:r>
      <w:r w:rsidR="006D631B" w:rsidRPr="00927778">
        <w:rPr>
          <w:rStyle w:val="Hyperlink"/>
          <w:color w:val="333333"/>
          <w:u w:val="none"/>
          <w:lang w:val="fr-FR"/>
        </w:rPr>
        <w:t>(Annex</w:t>
      </w:r>
      <w:r w:rsidRPr="00927778">
        <w:rPr>
          <w:rStyle w:val="Hyperlink"/>
          <w:color w:val="333333"/>
          <w:u w:val="none"/>
          <w:lang w:val="fr-FR"/>
        </w:rPr>
        <w:t>e </w:t>
      </w:r>
      <w:r w:rsidR="006D631B" w:rsidRPr="00927778">
        <w:rPr>
          <w:rStyle w:val="Hyperlink"/>
          <w:color w:val="333333"/>
          <w:u w:val="none"/>
          <w:lang w:val="fr-FR"/>
        </w:rPr>
        <w:t>VII)</w:t>
      </w:r>
      <w:r w:rsidR="00052561" w:rsidRPr="00927778">
        <w:rPr>
          <w:lang w:val="fr-FR"/>
        </w:rPr>
        <w:t>.</w:t>
      </w:r>
      <w:r w:rsidR="0057466D" w:rsidRPr="00927778">
        <w:rPr>
          <w:lang w:val="fr-FR"/>
        </w:rPr>
        <w:t xml:space="preserve"> </w:t>
      </w:r>
      <w:r w:rsidR="00052561" w:rsidRPr="00927778">
        <w:rPr>
          <w:lang w:val="fr-FR"/>
        </w:rPr>
        <w:t xml:space="preserve"> </w:t>
      </w:r>
      <w:r w:rsidRPr="00927778">
        <w:rPr>
          <w:lang w:val="fr-FR"/>
        </w:rPr>
        <w:t xml:space="preserve">Ce rapport </w:t>
      </w:r>
      <w:r w:rsidR="00BC76F0" w:rsidRPr="00927778">
        <w:rPr>
          <w:lang w:val="fr-FR"/>
        </w:rPr>
        <w:t>offre</w:t>
      </w:r>
      <w:r w:rsidRPr="00927778">
        <w:rPr>
          <w:lang w:val="fr-FR"/>
        </w:rPr>
        <w:t xml:space="preserve"> une </w:t>
      </w:r>
      <w:r w:rsidR="00BC76F0" w:rsidRPr="00927778">
        <w:rPr>
          <w:lang w:val="fr-FR"/>
        </w:rPr>
        <w:t>vue d</w:t>
      </w:r>
      <w:r w:rsidR="00EA2C86" w:rsidRPr="00927778">
        <w:rPr>
          <w:lang w:val="fr-FR"/>
        </w:rPr>
        <w:t>’</w:t>
      </w:r>
      <w:r w:rsidR="00BC76F0" w:rsidRPr="00927778">
        <w:rPr>
          <w:lang w:val="fr-FR"/>
        </w:rPr>
        <w:t xml:space="preserve">ensemble sur la mise en œuvre </w:t>
      </w:r>
      <w:r w:rsidR="00E71B8E" w:rsidRPr="00927778">
        <w:rPr>
          <w:lang w:val="fr-FR"/>
        </w:rPr>
        <w:t xml:space="preserve">des </w:t>
      </w:r>
      <w:r w:rsidR="00F64414" w:rsidRPr="00927778">
        <w:rPr>
          <w:lang w:val="fr-FR"/>
        </w:rPr>
        <w:t>45 </w:t>
      </w:r>
      <w:r w:rsidR="00B104C1" w:rsidRPr="00927778">
        <w:rPr>
          <w:lang w:val="fr-FR"/>
        </w:rPr>
        <w:t>recommandations</w:t>
      </w:r>
      <w:r w:rsidR="00B77556" w:rsidRPr="00927778">
        <w:rPr>
          <w:lang w:val="fr-FR"/>
        </w:rPr>
        <w:t>, leur</w:t>
      </w:r>
      <w:r w:rsidR="00052561" w:rsidRPr="00927778">
        <w:rPr>
          <w:lang w:val="fr-FR"/>
        </w:rPr>
        <w:t>s</w:t>
      </w:r>
      <w:r w:rsidR="00B77556" w:rsidRPr="00927778">
        <w:rPr>
          <w:lang w:val="fr-FR"/>
        </w:rPr>
        <w:t xml:space="preserve"> lien</w:t>
      </w:r>
      <w:r w:rsidR="00052561" w:rsidRPr="00927778">
        <w:rPr>
          <w:lang w:val="fr-FR"/>
        </w:rPr>
        <w:t>s</w:t>
      </w:r>
      <w:r w:rsidR="00B77556" w:rsidRPr="00927778">
        <w:rPr>
          <w:lang w:val="fr-FR"/>
        </w:rPr>
        <w:t xml:space="preserve"> avec les différents programmes </w:t>
      </w:r>
      <w:r w:rsidR="00052561" w:rsidRPr="00927778">
        <w:rPr>
          <w:lang w:val="fr-FR"/>
        </w:rPr>
        <w:t>prévus dans le</w:t>
      </w:r>
      <w:r w:rsidR="00B77556" w:rsidRPr="00927778">
        <w:rPr>
          <w:lang w:val="fr-FR"/>
        </w:rPr>
        <w:t xml:space="preserve"> programme </w:t>
      </w:r>
      <w:r w:rsidR="00052561" w:rsidRPr="00927778">
        <w:rPr>
          <w:lang w:val="fr-FR"/>
        </w:rPr>
        <w:t>et le budget</w:t>
      </w:r>
      <w:r w:rsidR="00002037" w:rsidRPr="00927778">
        <w:rPr>
          <w:lang w:val="fr-FR"/>
        </w:rPr>
        <w:t> </w:t>
      </w:r>
      <w:r w:rsidR="00052561" w:rsidRPr="00927778">
        <w:rPr>
          <w:lang w:val="fr-FR"/>
        </w:rPr>
        <w:t>2018/2019, un aperç</w:t>
      </w:r>
      <w:r w:rsidR="00B77556" w:rsidRPr="00927778">
        <w:rPr>
          <w:lang w:val="fr-FR"/>
        </w:rPr>
        <w:t xml:space="preserve">u des activités et des réalisations </w:t>
      </w:r>
      <w:r w:rsidR="00052561" w:rsidRPr="00927778">
        <w:rPr>
          <w:lang w:val="fr-FR"/>
        </w:rPr>
        <w:t>lié</w:t>
      </w:r>
      <w:r w:rsidR="0010120A" w:rsidRPr="00927778">
        <w:rPr>
          <w:lang w:val="fr-FR"/>
        </w:rPr>
        <w:t>es</w:t>
      </w:r>
      <w:r w:rsidR="00052561" w:rsidRPr="00927778">
        <w:rPr>
          <w:lang w:val="fr-FR"/>
        </w:rPr>
        <w:t xml:space="preserve"> au</w:t>
      </w:r>
      <w:r w:rsidR="00B77556" w:rsidRPr="00927778">
        <w:rPr>
          <w:lang w:val="fr-FR"/>
        </w:rPr>
        <w:t xml:space="preserve"> Plan d</w:t>
      </w:r>
      <w:r w:rsidR="00EA2C86" w:rsidRPr="00927778">
        <w:rPr>
          <w:lang w:val="fr-FR"/>
        </w:rPr>
        <w:t>’</w:t>
      </w:r>
      <w:r w:rsidR="00B77556" w:rsidRPr="00927778">
        <w:rPr>
          <w:lang w:val="fr-FR"/>
        </w:rPr>
        <w:t xml:space="preserve">action pour le développement </w:t>
      </w:r>
      <w:r w:rsidR="00052561" w:rsidRPr="00927778">
        <w:rPr>
          <w:lang w:val="fr-FR"/>
        </w:rPr>
        <w:t>et l</w:t>
      </w:r>
      <w:r w:rsidR="00B77556" w:rsidRPr="00927778">
        <w:rPr>
          <w:lang w:val="fr-FR"/>
        </w:rPr>
        <w:t>es liens avec les autres documents concern</w:t>
      </w:r>
      <w:r w:rsidR="00306E74" w:rsidRPr="00927778">
        <w:rPr>
          <w:lang w:val="fr-FR"/>
        </w:rPr>
        <w:t>és.  S’a</w:t>
      </w:r>
      <w:r w:rsidR="00F64414" w:rsidRPr="00927778">
        <w:rPr>
          <w:lang w:val="fr-FR"/>
        </w:rPr>
        <w:t>gissant des 19 </w:t>
      </w:r>
      <w:r w:rsidR="00BC76F0" w:rsidRPr="00927778">
        <w:rPr>
          <w:lang w:val="fr-FR"/>
        </w:rPr>
        <w:t>recommandations du Plan d</w:t>
      </w:r>
      <w:r w:rsidR="00EA2C86" w:rsidRPr="00927778">
        <w:rPr>
          <w:lang w:val="fr-FR"/>
        </w:rPr>
        <w:t>’</w:t>
      </w:r>
      <w:r w:rsidR="00BC76F0" w:rsidRPr="00927778">
        <w:rPr>
          <w:lang w:val="fr-FR"/>
        </w:rPr>
        <w:t>action pour le développement</w:t>
      </w:r>
      <w:r w:rsidR="00B77556" w:rsidRPr="00927778">
        <w:rPr>
          <w:lang w:val="fr-FR"/>
        </w:rPr>
        <w:t xml:space="preserve"> </w:t>
      </w:r>
      <w:r w:rsidR="00BC76F0" w:rsidRPr="00927778">
        <w:rPr>
          <w:lang w:val="fr-FR"/>
        </w:rPr>
        <w:t xml:space="preserve">devant être mises en place immédiatement, </w:t>
      </w:r>
      <w:r w:rsidR="00052561" w:rsidRPr="00927778">
        <w:rPr>
          <w:lang w:val="fr-FR"/>
        </w:rPr>
        <w:t>ce</w:t>
      </w:r>
      <w:r w:rsidR="00BC76F0" w:rsidRPr="00927778">
        <w:rPr>
          <w:lang w:val="fr-FR"/>
        </w:rPr>
        <w:t xml:space="preserve"> rapport </w:t>
      </w:r>
      <w:r w:rsidR="00052561" w:rsidRPr="00927778">
        <w:rPr>
          <w:lang w:val="fr-FR"/>
        </w:rPr>
        <w:t>se concentre</w:t>
      </w:r>
      <w:r w:rsidR="00BC76F0" w:rsidRPr="00927778">
        <w:rPr>
          <w:lang w:val="fr-FR"/>
        </w:rPr>
        <w:t xml:space="preserve"> sur les stratégies adoptées pour mettre en œuvre chaque </w:t>
      </w:r>
      <w:r w:rsidR="00B104C1" w:rsidRPr="00927778">
        <w:rPr>
          <w:lang w:val="fr-FR"/>
        </w:rPr>
        <w:t>recommandation</w:t>
      </w:r>
      <w:r w:rsidR="00BC76F0" w:rsidRPr="00927778">
        <w:rPr>
          <w:lang w:val="fr-FR"/>
        </w:rPr>
        <w:t xml:space="preserve">, </w:t>
      </w:r>
      <w:r w:rsidR="00052561" w:rsidRPr="00927778">
        <w:rPr>
          <w:lang w:val="fr-FR"/>
        </w:rPr>
        <w:t xml:space="preserve">comme </w:t>
      </w:r>
      <w:r w:rsidR="00B104C1" w:rsidRPr="00927778">
        <w:rPr>
          <w:lang w:val="fr-FR"/>
        </w:rPr>
        <w:t>convenu</w:t>
      </w:r>
      <w:r w:rsidR="007A4689" w:rsidRPr="00927778">
        <w:rPr>
          <w:lang w:val="fr-FR"/>
        </w:rPr>
        <w:t xml:space="preserve"> par</w:t>
      </w:r>
      <w:r w:rsidR="00EA2C86" w:rsidRPr="00927778">
        <w:rPr>
          <w:lang w:val="fr-FR"/>
        </w:rPr>
        <w:t xml:space="preserve"> le C</w:t>
      </w:r>
      <w:r w:rsidR="00306E74" w:rsidRPr="00927778">
        <w:rPr>
          <w:lang w:val="fr-FR"/>
        </w:rPr>
        <w:t>DIP.  La</w:t>
      </w:r>
      <w:r w:rsidR="007A4689" w:rsidRPr="00927778">
        <w:rPr>
          <w:lang w:val="fr-FR"/>
        </w:rPr>
        <w:t xml:space="preserve"> </w:t>
      </w:r>
      <w:r w:rsidR="00975298" w:rsidRPr="00927778">
        <w:rPr>
          <w:lang w:val="fr-FR"/>
        </w:rPr>
        <w:t>list</w:t>
      </w:r>
      <w:r w:rsidR="007A4689" w:rsidRPr="00927778">
        <w:rPr>
          <w:lang w:val="fr-FR"/>
        </w:rPr>
        <w:t xml:space="preserve">e des activités et </w:t>
      </w:r>
      <w:r w:rsidR="00052561" w:rsidRPr="00927778">
        <w:rPr>
          <w:lang w:val="fr-FR"/>
        </w:rPr>
        <w:t>d</w:t>
      </w:r>
      <w:r w:rsidR="00EA2C86" w:rsidRPr="00927778">
        <w:rPr>
          <w:lang w:val="fr-FR"/>
        </w:rPr>
        <w:t>’</w:t>
      </w:r>
      <w:r w:rsidR="007A4689" w:rsidRPr="00927778">
        <w:rPr>
          <w:lang w:val="fr-FR"/>
        </w:rPr>
        <w:t xml:space="preserve">autres informations </w:t>
      </w:r>
      <w:r w:rsidR="00052561" w:rsidRPr="00927778">
        <w:rPr>
          <w:lang w:val="fr-FR"/>
        </w:rPr>
        <w:t>connexes se trouvent dans les b</w:t>
      </w:r>
      <w:r w:rsidR="007A4689" w:rsidRPr="00927778">
        <w:rPr>
          <w:lang w:val="fr-FR"/>
        </w:rPr>
        <w:t>ase</w:t>
      </w:r>
      <w:r w:rsidR="00052561" w:rsidRPr="00927778">
        <w:rPr>
          <w:lang w:val="fr-FR"/>
        </w:rPr>
        <w:t>s</w:t>
      </w:r>
      <w:r w:rsidR="007A4689" w:rsidRPr="00927778">
        <w:rPr>
          <w:lang w:val="fr-FR"/>
        </w:rPr>
        <w:t xml:space="preserve"> de données de l</w:t>
      </w:r>
      <w:r w:rsidR="00EA2C86" w:rsidRPr="00927778">
        <w:rPr>
          <w:lang w:val="fr-FR"/>
        </w:rPr>
        <w:t>’</w:t>
      </w:r>
      <w:r w:rsidR="007A4689" w:rsidRPr="00927778">
        <w:rPr>
          <w:lang w:val="fr-FR"/>
        </w:rPr>
        <w:t>assistance technique</w:t>
      </w:r>
      <w:r w:rsidR="00975298" w:rsidRPr="00927778">
        <w:rPr>
          <w:lang w:val="fr-FR"/>
        </w:rPr>
        <w:t xml:space="preserve"> (IP</w:t>
      </w:r>
      <w:r w:rsidR="00CB5AE0" w:rsidRPr="00927778">
        <w:rPr>
          <w:lang w:val="fr-FR"/>
        </w:rPr>
        <w:noBreakHyphen/>
      </w:r>
      <w:r w:rsidR="00975298" w:rsidRPr="00927778">
        <w:rPr>
          <w:lang w:val="fr-FR"/>
        </w:rPr>
        <w:t>TAD)</w:t>
      </w:r>
      <w:r w:rsidR="007A4689" w:rsidRPr="00927778">
        <w:rPr>
          <w:lang w:val="fr-FR"/>
        </w:rPr>
        <w:t>,</w:t>
      </w:r>
      <w:r w:rsidR="00975298" w:rsidRPr="00927778">
        <w:rPr>
          <w:lang w:val="fr-FR"/>
        </w:rPr>
        <w:t xml:space="preserve"> </w:t>
      </w:r>
      <w:r w:rsidR="007A4689" w:rsidRPr="00927778">
        <w:rPr>
          <w:lang w:val="fr-FR"/>
        </w:rPr>
        <w:t>qui peu</w:t>
      </w:r>
      <w:r w:rsidR="00052561" w:rsidRPr="00927778">
        <w:rPr>
          <w:lang w:val="fr-FR"/>
        </w:rPr>
        <w:t>ven</w:t>
      </w:r>
      <w:r w:rsidR="007A4689" w:rsidRPr="00927778">
        <w:rPr>
          <w:lang w:val="fr-FR"/>
        </w:rPr>
        <w:t xml:space="preserve">t être </w:t>
      </w:r>
      <w:r w:rsidR="00975298" w:rsidRPr="00927778">
        <w:rPr>
          <w:lang w:val="fr-FR"/>
        </w:rPr>
        <w:t>consult</w:t>
      </w:r>
      <w:r w:rsidR="007A4689" w:rsidRPr="00927778">
        <w:rPr>
          <w:lang w:val="fr-FR"/>
        </w:rPr>
        <w:t>é</w:t>
      </w:r>
      <w:r w:rsidR="00975298" w:rsidRPr="00927778">
        <w:rPr>
          <w:lang w:val="fr-FR"/>
        </w:rPr>
        <w:t>e</w:t>
      </w:r>
      <w:r w:rsidR="00052561" w:rsidRPr="00927778">
        <w:rPr>
          <w:lang w:val="fr-FR"/>
        </w:rPr>
        <w:t>s</w:t>
      </w:r>
      <w:r w:rsidR="007A4689" w:rsidRPr="00927778">
        <w:rPr>
          <w:lang w:val="fr-FR"/>
        </w:rPr>
        <w:t xml:space="preserve"> à l</w:t>
      </w:r>
      <w:r w:rsidR="00EA2C86" w:rsidRPr="00927778">
        <w:rPr>
          <w:lang w:val="fr-FR"/>
        </w:rPr>
        <w:t>’</w:t>
      </w:r>
      <w:r w:rsidR="007A4689" w:rsidRPr="00927778">
        <w:rPr>
          <w:lang w:val="fr-FR"/>
        </w:rPr>
        <w:t>adresse suivante</w:t>
      </w:r>
      <w:r w:rsidR="00EA2C86" w:rsidRPr="00927778">
        <w:rPr>
          <w:lang w:val="fr-FR"/>
        </w:rPr>
        <w:t> :</w:t>
      </w:r>
      <w:r w:rsidR="00975298" w:rsidRPr="00927778">
        <w:rPr>
          <w:lang w:val="fr-FR"/>
        </w:rPr>
        <w:t xml:space="preserve"> </w:t>
      </w:r>
      <w:r w:rsidR="00975298" w:rsidRPr="00927778">
        <w:rPr>
          <w:sz w:val="2"/>
          <w:szCs w:val="2"/>
          <w:lang w:val="fr-FR"/>
        </w:rPr>
        <w:t>H</w:t>
      </w:r>
      <w:hyperlink r:id="rId10" w:tooltip="http://www.wipo.int/tad" w:history="1">
        <w:r w:rsidR="00975298" w:rsidRPr="00927778">
          <w:rPr>
            <w:rStyle w:val="Hyperlink"/>
            <w:color w:val="333333"/>
            <w:lang w:val="fr-FR"/>
          </w:rPr>
          <w:t>http://www.wipo.int/tad</w:t>
        </w:r>
      </w:hyperlink>
      <w:r w:rsidR="00975298" w:rsidRPr="00927778">
        <w:rPr>
          <w:rStyle w:val="Hyperlink"/>
          <w:color w:val="333333"/>
          <w:u w:val="none"/>
          <w:lang w:val="fr-FR"/>
        </w:rPr>
        <w:t>.</w:t>
      </w:r>
    </w:p>
    <w:p w:rsidR="005E6718" w:rsidRPr="00B47031" w:rsidRDefault="00697DFF" w:rsidP="00B47031">
      <w:pPr>
        <w:pStyle w:val="ONUMFS"/>
        <w:ind w:left="5533"/>
        <w:rPr>
          <w:i/>
          <w:lang w:val="fr-FR"/>
        </w:rPr>
      </w:pPr>
      <w:r w:rsidRPr="00B47031">
        <w:rPr>
          <w:i/>
          <w:lang w:val="fr-FR"/>
        </w:rPr>
        <w:t>Le CDIP est invité à prendre note des informations qui figurent dans les annexes du présent document.</w:t>
      </w:r>
    </w:p>
    <w:p w:rsidR="005E6718" w:rsidRPr="00927778" w:rsidRDefault="00697DFF" w:rsidP="00B47031">
      <w:pPr>
        <w:pStyle w:val="ONUMFS"/>
        <w:numPr>
          <w:ilvl w:val="0"/>
          <w:numId w:val="0"/>
        </w:numPr>
        <w:spacing w:before="960"/>
        <w:ind w:left="5534"/>
        <w:rPr>
          <w:lang w:val="fr-FR"/>
        </w:rPr>
      </w:pPr>
      <w:r w:rsidRPr="00927778">
        <w:rPr>
          <w:lang w:val="fr-FR"/>
        </w:rPr>
        <w:t>[Les annexes suivent]</w:t>
      </w:r>
    </w:p>
    <w:p w:rsidR="005E6718" w:rsidRPr="00927778" w:rsidRDefault="005E6718" w:rsidP="00A42400">
      <w:pPr>
        <w:rPr>
          <w:color w:val="333333"/>
          <w:lang w:val="fr-FR"/>
        </w:rPr>
      </w:pPr>
    </w:p>
    <w:p w:rsidR="00FB2B22" w:rsidRPr="00927778" w:rsidRDefault="00FB2B22" w:rsidP="005D4FA6">
      <w:pPr>
        <w:pStyle w:val="Heading2"/>
        <w:rPr>
          <w:color w:val="333333"/>
          <w:lang w:val="fr-FR"/>
        </w:rPr>
        <w:sectPr w:rsidR="00FB2B22" w:rsidRPr="00927778" w:rsidSect="00047C22">
          <w:headerReference w:type="default" r:id="rId11"/>
          <w:pgSz w:w="11906" w:h="16840" w:code="9"/>
          <w:pgMar w:top="567" w:right="1134" w:bottom="1417" w:left="1417" w:header="510" w:footer="1020"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047C22" w:rsidRPr="00927778" w:rsidTr="00C3651B">
        <w:trPr>
          <w:trHeight w:val="432"/>
        </w:trPr>
        <w:tc>
          <w:tcPr>
            <w:tcW w:w="9288" w:type="dxa"/>
            <w:gridSpan w:val="2"/>
            <w:shd w:val="clear" w:color="auto" w:fill="auto"/>
            <w:vAlign w:val="center"/>
          </w:tcPr>
          <w:p w:rsidR="001B0EEB" w:rsidRPr="0020073A" w:rsidRDefault="00697DFF" w:rsidP="00697DFF">
            <w:pPr>
              <w:pStyle w:val="Heading2"/>
              <w:rPr>
                <w:color w:val="333333"/>
                <w:lang w:val="fr-FR"/>
              </w:rPr>
            </w:pPr>
            <w:r w:rsidRPr="0020073A">
              <w:rPr>
                <w:rFonts w:eastAsia="Times New Roman"/>
                <w:bCs w:val="0"/>
                <w:iCs w:val="0"/>
                <w:color w:val="333333"/>
                <w:szCs w:val="20"/>
                <w:lang w:val="fr-FR"/>
              </w:rPr>
              <w:t>RÉSUMÉ DU PROJET</w:t>
            </w:r>
          </w:p>
        </w:tc>
      </w:tr>
      <w:tr w:rsidR="00047C22" w:rsidRPr="00927778" w:rsidTr="00C3651B">
        <w:trPr>
          <w:trHeight w:val="496"/>
        </w:trPr>
        <w:tc>
          <w:tcPr>
            <w:tcW w:w="2376" w:type="dxa"/>
            <w:shd w:val="clear" w:color="auto" w:fill="auto"/>
          </w:tcPr>
          <w:p w:rsidR="001B0EEB" w:rsidRPr="00927778" w:rsidRDefault="00697DFF" w:rsidP="00697DFF">
            <w:pPr>
              <w:pStyle w:val="Heading3"/>
              <w:rPr>
                <w:color w:val="333333"/>
                <w:lang w:val="fr-FR"/>
              </w:rPr>
            </w:pPr>
            <w:r w:rsidRPr="00927778">
              <w:rPr>
                <w:color w:val="333333"/>
                <w:lang w:val="fr-FR"/>
              </w:rPr>
              <w:t>Cote du projet</w:t>
            </w:r>
          </w:p>
        </w:tc>
        <w:tc>
          <w:tcPr>
            <w:tcW w:w="6912" w:type="dxa"/>
            <w:shd w:val="clear" w:color="auto" w:fill="auto"/>
            <w:vAlign w:val="center"/>
          </w:tcPr>
          <w:p w:rsidR="001B0EEB" w:rsidRPr="00927778" w:rsidRDefault="0006527D" w:rsidP="0006527D">
            <w:pPr>
              <w:rPr>
                <w:i/>
                <w:color w:val="333333"/>
                <w:lang w:val="fr-FR"/>
              </w:rPr>
            </w:pPr>
            <w:r w:rsidRPr="00927778">
              <w:rPr>
                <w:color w:val="333333"/>
                <w:lang w:val="fr-FR"/>
              </w:rPr>
              <w:t>DA_</w:t>
            </w:r>
            <w:r w:rsidRPr="00927778">
              <w:rPr>
                <w:color w:val="333333"/>
                <w:szCs w:val="22"/>
                <w:lang w:val="fr-FR"/>
              </w:rPr>
              <w:t>1_10_12_ 23_ 25_ 31_ 40_01</w:t>
            </w:r>
          </w:p>
        </w:tc>
      </w:tr>
      <w:tr w:rsidR="00047C22" w:rsidRPr="00927778" w:rsidTr="00C3651B">
        <w:trPr>
          <w:trHeight w:val="404"/>
        </w:trPr>
        <w:tc>
          <w:tcPr>
            <w:tcW w:w="2376" w:type="dxa"/>
            <w:shd w:val="clear" w:color="auto" w:fill="auto"/>
          </w:tcPr>
          <w:p w:rsidR="005E6718" w:rsidRPr="00927778" w:rsidRDefault="005E7F7A" w:rsidP="00C3651B">
            <w:pPr>
              <w:pStyle w:val="Heading3"/>
              <w:rPr>
                <w:color w:val="333333"/>
                <w:lang w:val="fr-FR"/>
              </w:rPr>
            </w:pPr>
            <w:r w:rsidRPr="00927778">
              <w:rPr>
                <w:color w:val="333333"/>
                <w:lang w:val="fr-FR"/>
              </w:rPr>
              <w:t>Titre</w:t>
            </w:r>
          </w:p>
          <w:p w:rsidR="001B0EEB" w:rsidRPr="00927778" w:rsidRDefault="001B0EEB" w:rsidP="005E7F7A">
            <w:pPr>
              <w:pStyle w:val="Heading3"/>
              <w:rPr>
                <w:color w:val="333333"/>
                <w:lang w:val="fr-FR"/>
              </w:rPr>
            </w:pPr>
          </w:p>
        </w:tc>
        <w:tc>
          <w:tcPr>
            <w:tcW w:w="6912" w:type="dxa"/>
            <w:shd w:val="clear" w:color="auto" w:fill="auto"/>
            <w:vAlign w:val="center"/>
          </w:tcPr>
          <w:p w:rsidR="005E6718" w:rsidRPr="00927778" w:rsidRDefault="005E6718" w:rsidP="00C3651B">
            <w:pPr>
              <w:rPr>
                <w:color w:val="333333"/>
                <w:lang w:val="fr-FR"/>
              </w:rPr>
            </w:pPr>
          </w:p>
          <w:p w:rsidR="005E6718" w:rsidRPr="00927778" w:rsidRDefault="00697DFF" w:rsidP="00697DFF">
            <w:pPr>
              <w:rPr>
                <w:i/>
                <w:iCs/>
                <w:color w:val="333333"/>
                <w:sz w:val="24"/>
                <w:lang w:val="fr-FR"/>
              </w:rPr>
            </w:pPr>
            <w:r w:rsidRPr="00927778">
              <w:rPr>
                <w:i/>
                <w:iCs/>
                <w:color w:val="333333"/>
                <w:sz w:val="24"/>
                <w:lang w:val="fr-FR"/>
              </w:rPr>
              <w:t>Gestion de la propriété intellectuelle et transfert de technologie</w:t>
            </w:r>
            <w:r w:rsidR="00EA2C86" w:rsidRPr="00927778">
              <w:rPr>
                <w:i/>
                <w:iCs/>
                <w:color w:val="333333"/>
                <w:sz w:val="24"/>
                <w:lang w:val="fr-FR"/>
              </w:rPr>
              <w:t> :</w:t>
            </w:r>
            <w:r w:rsidRPr="00927778">
              <w:rPr>
                <w:i/>
                <w:iCs/>
                <w:color w:val="333333"/>
                <w:sz w:val="24"/>
                <w:lang w:val="fr-FR"/>
              </w:rPr>
              <w:t xml:space="preserve"> promouvoir l</w:t>
            </w:r>
            <w:r w:rsidR="00EA2C86" w:rsidRPr="00927778">
              <w:rPr>
                <w:i/>
                <w:iCs/>
                <w:color w:val="333333"/>
                <w:sz w:val="24"/>
                <w:lang w:val="fr-FR"/>
              </w:rPr>
              <w:t>’</w:t>
            </w:r>
            <w:r w:rsidRPr="00927778">
              <w:rPr>
                <w:i/>
                <w:iCs/>
                <w:color w:val="333333"/>
                <w:sz w:val="24"/>
                <w:lang w:val="fr-FR"/>
              </w:rPr>
              <w:t>utilisation efficace de la propriété intellectuelle dans les pays en développement, les pays les moins avancés et les pays en transition</w:t>
            </w:r>
          </w:p>
          <w:p w:rsidR="001B0EEB" w:rsidRPr="00927778" w:rsidRDefault="001B0EEB" w:rsidP="00C3651B">
            <w:pPr>
              <w:rPr>
                <w:i/>
                <w:color w:val="333333"/>
                <w:lang w:val="fr-FR"/>
              </w:rPr>
            </w:pPr>
          </w:p>
        </w:tc>
      </w:tr>
      <w:tr w:rsidR="00047C22" w:rsidRPr="00927778" w:rsidTr="00C3651B">
        <w:trPr>
          <w:trHeight w:val="704"/>
        </w:trPr>
        <w:tc>
          <w:tcPr>
            <w:tcW w:w="2376" w:type="dxa"/>
            <w:shd w:val="clear" w:color="auto" w:fill="auto"/>
          </w:tcPr>
          <w:p w:rsidR="001B0EEB" w:rsidRPr="00927778" w:rsidRDefault="00697DFF" w:rsidP="00697DFF">
            <w:pPr>
              <w:pStyle w:val="Heading3"/>
              <w:rPr>
                <w:color w:val="333333"/>
                <w:lang w:val="fr-FR"/>
              </w:rPr>
            </w:pPr>
            <w:r w:rsidRPr="00927778">
              <w:rPr>
                <w:color w:val="333333"/>
                <w:lang w:val="fr-FR"/>
              </w:rPr>
              <w:t>Recommandation du Plan d</w:t>
            </w:r>
            <w:r w:rsidR="00EA2C86" w:rsidRPr="00927778">
              <w:rPr>
                <w:color w:val="333333"/>
                <w:lang w:val="fr-FR"/>
              </w:rPr>
              <w:t>’</w:t>
            </w:r>
            <w:r w:rsidRPr="00927778">
              <w:rPr>
                <w:color w:val="333333"/>
                <w:lang w:val="fr-FR"/>
              </w:rPr>
              <w:t>action pour le développement</w:t>
            </w:r>
          </w:p>
        </w:tc>
        <w:tc>
          <w:tcPr>
            <w:tcW w:w="6912" w:type="dxa"/>
            <w:shd w:val="clear" w:color="auto" w:fill="auto"/>
          </w:tcPr>
          <w:p w:rsidR="005E6718" w:rsidRPr="00927778" w:rsidRDefault="005E6718" w:rsidP="00C3651B">
            <w:pPr>
              <w:jc w:val="both"/>
              <w:rPr>
                <w:i/>
                <w:color w:val="333333"/>
                <w:lang w:val="fr-FR"/>
              </w:rPr>
            </w:pPr>
          </w:p>
          <w:p w:rsidR="005E6718" w:rsidRPr="00927778" w:rsidRDefault="00697DFF" w:rsidP="00697DFF">
            <w:pPr>
              <w:rPr>
                <w:color w:val="333333"/>
                <w:lang w:val="fr-FR"/>
              </w:rPr>
            </w:pPr>
            <w:r w:rsidRPr="00263F34">
              <w:rPr>
                <w:i/>
                <w:color w:val="333333"/>
                <w:lang w:val="fr-FR"/>
              </w:rPr>
              <w:t>Recommandation n°</w:t>
            </w:r>
            <w:r w:rsidR="0057466D" w:rsidRPr="00263F34">
              <w:rPr>
                <w:i/>
                <w:color w:val="333333"/>
                <w:lang w:val="fr-FR"/>
              </w:rPr>
              <w:t> </w:t>
            </w:r>
            <w:r w:rsidRPr="00263F34">
              <w:rPr>
                <w:i/>
                <w:color w:val="333333"/>
                <w:lang w:val="fr-FR"/>
              </w:rPr>
              <w:t>1</w:t>
            </w:r>
            <w:r w:rsidR="00EA2C86" w:rsidRPr="00927778">
              <w:rPr>
                <w:color w:val="333333"/>
                <w:lang w:val="fr-FR"/>
              </w:rPr>
              <w:t> :</w:t>
            </w:r>
            <w:r w:rsidRPr="00927778">
              <w:rPr>
                <w:color w:val="333333"/>
                <w:lang w:val="fr-FR"/>
              </w:rPr>
              <w:t xml:space="preserve"> L</w:t>
            </w:r>
            <w:r w:rsidR="00EA2C86" w:rsidRPr="00927778">
              <w:rPr>
                <w:color w:val="333333"/>
                <w:lang w:val="fr-FR"/>
              </w:rPr>
              <w:t>’</w:t>
            </w:r>
            <w:r w:rsidRPr="00927778">
              <w:rPr>
                <w:color w:val="333333"/>
                <w:lang w:val="fr-FR"/>
              </w:rPr>
              <w:t>assistance technique de l</w:t>
            </w:r>
            <w:r w:rsidR="00EA2C86" w:rsidRPr="00927778">
              <w:rPr>
                <w:color w:val="333333"/>
                <w:lang w:val="fr-FR"/>
              </w:rPr>
              <w:t>’</w:t>
            </w:r>
            <w:r w:rsidRPr="00927778">
              <w:rPr>
                <w:color w:val="333333"/>
                <w:lang w:val="fr-FR"/>
              </w:rPr>
              <w:t>OMPI doit notamment être axée sur le développement et la demande et elle doit être transparente;</w:t>
            </w:r>
            <w:r w:rsidR="00063DA0" w:rsidRPr="00927778">
              <w:rPr>
                <w:color w:val="333333"/>
                <w:lang w:val="fr-FR"/>
              </w:rPr>
              <w:t xml:space="preserve"> </w:t>
            </w:r>
            <w:r w:rsidR="0057466D" w:rsidRPr="00927778">
              <w:rPr>
                <w:color w:val="333333"/>
                <w:lang w:val="fr-FR"/>
              </w:rPr>
              <w:t xml:space="preserve"> </w:t>
            </w:r>
            <w:r w:rsidRPr="00927778">
              <w:rPr>
                <w:color w:val="333333"/>
                <w:lang w:val="fr-FR"/>
              </w:rPr>
              <w:t>elle doit tenir compte des priorités et des besoins particuliers des pays en développement, en particulier des pays les moins avancés (PMA), ainsi que des différents niveaux de développement des États membres et les activités doivent être menées à bien dans les déla</w:t>
            </w:r>
            <w:r w:rsidR="00306E74" w:rsidRPr="00927778">
              <w:rPr>
                <w:color w:val="333333"/>
                <w:lang w:val="fr-FR"/>
              </w:rPr>
              <w:t xml:space="preserve">is.  À </w:t>
            </w:r>
            <w:r w:rsidRPr="00927778">
              <w:rPr>
                <w:color w:val="333333"/>
                <w:lang w:val="fr-FR"/>
              </w:rPr>
              <w:t>cet égard, les mécanismes d</w:t>
            </w:r>
            <w:r w:rsidR="00EA2C86" w:rsidRPr="00927778">
              <w:rPr>
                <w:color w:val="333333"/>
                <w:lang w:val="fr-FR"/>
              </w:rPr>
              <w:t>’</w:t>
            </w:r>
            <w:r w:rsidRPr="00927778">
              <w:rPr>
                <w:color w:val="333333"/>
                <w:lang w:val="fr-FR"/>
              </w:rPr>
              <w:t>établissement et d</w:t>
            </w:r>
            <w:r w:rsidR="00EA2C86" w:rsidRPr="00927778">
              <w:rPr>
                <w:color w:val="333333"/>
                <w:lang w:val="fr-FR"/>
              </w:rPr>
              <w:t>’</w:t>
            </w:r>
            <w:r w:rsidRPr="00927778">
              <w:rPr>
                <w:color w:val="333333"/>
                <w:lang w:val="fr-FR"/>
              </w:rPr>
              <w:t>exécution et procédures d</w:t>
            </w:r>
            <w:r w:rsidR="00EA2C86" w:rsidRPr="00927778">
              <w:rPr>
                <w:color w:val="333333"/>
                <w:lang w:val="fr-FR"/>
              </w:rPr>
              <w:t>’</w:t>
            </w:r>
            <w:r w:rsidRPr="00927778">
              <w:rPr>
                <w:color w:val="333333"/>
                <w:lang w:val="fr-FR"/>
              </w:rPr>
              <w:t>évaluation des programmes d</w:t>
            </w:r>
            <w:r w:rsidR="00EA2C86" w:rsidRPr="00927778">
              <w:rPr>
                <w:color w:val="333333"/>
                <w:lang w:val="fr-FR"/>
              </w:rPr>
              <w:t>’</w:t>
            </w:r>
            <w:r w:rsidRPr="00927778">
              <w:rPr>
                <w:color w:val="333333"/>
                <w:lang w:val="fr-FR"/>
              </w:rPr>
              <w:t>assistance technique doivent être ciblés par pays.</w:t>
            </w:r>
          </w:p>
          <w:p w:rsidR="005E6718" w:rsidRPr="00927778" w:rsidRDefault="005E6718" w:rsidP="00C3651B">
            <w:pPr>
              <w:rPr>
                <w:i/>
                <w:color w:val="333333"/>
                <w:lang w:val="fr-FR"/>
              </w:rPr>
            </w:pPr>
          </w:p>
          <w:p w:rsidR="005E6718" w:rsidRPr="00927778" w:rsidRDefault="00697DFF" w:rsidP="00697DFF">
            <w:pPr>
              <w:rPr>
                <w:color w:val="333333"/>
                <w:lang w:val="fr-FR"/>
              </w:rPr>
            </w:pPr>
            <w:r w:rsidRPr="00927778">
              <w:rPr>
                <w:i/>
                <w:color w:val="333333"/>
                <w:lang w:val="fr-FR"/>
              </w:rPr>
              <w:t>Recommandation n°</w:t>
            </w:r>
            <w:r w:rsidR="0057466D" w:rsidRPr="00927778">
              <w:rPr>
                <w:i/>
                <w:color w:val="333333"/>
                <w:lang w:val="fr-FR"/>
              </w:rPr>
              <w:t> </w:t>
            </w:r>
            <w:r w:rsidRPr="00927778">
              <w:rPr>
                <w:i/>
                <w:color w:val="333333"/>
                <w:lang w:val="fr-FR"/>
              </w:rPr>
              <w:t>10</w:t>
            </w:r>
            <w:r w:rsidR="00EA2C86" w:rsidRPr="00927778">
              <w:rPr>
                <w:i/>
                <w:color w:val="333333"/>
                <w:lang w:val="fr-FR"/>
              </w:rPr>
              <w:t> :</w:t>
            </w:r>
            <w:r w:rsidRPr="00927778">
              <w:rPr>
                <w:color w:val="333333"/>
                <w:lang w:val="fr-FR"/>
              </w:rPr>
              <w:t xml:space="preserve"> Aider les États membres à développer et à améliorer les capacités institutionnelles nationales en propriété intellectuelle par le développement des infrastructures et autres moyens en vue de renforcer l</w:t>
            </w:r>
            <w:r w:rsidR="00EA2C86" w:rsidRPr="00927778">
              <w:rPr>
                <w:color w:val="333333"/>
                <w:lang w:val="fr-FR"/>
              </w:rPr>
              <w:t>’</w:t>
            </w:r>
            <w:r w:rsidRPr="00927778">
              <w:rPr>
                <w:color w:val="333333"/>
                <w:lang w:val="fr-FR"/>
              </w:rPr>
              <w:t>efficacité des institutions nationales de propriété intellectuelle et de concilier protection de la propriété intellectuelle et préservation de l</w:t>
            </w:r>
            <w:r w:rsidR="00EA2C86" w:rsidRPr="00927778">
              <w:rPr>
                <w:color w:val="333333"/>
                <w:lang w:val="fr-FR"/>
              </w:rPr>
              <w:t>’</w:t>
            </w:r>
            <w:r w:rsidRPr="00927778">
              <w:rPr>
                <w:color w:val="333333"/>
                <w:lang w:val="fr-FR"/>
              </w:rPr>
              <w:t>intérêt génér</w:t>
            </w:r>
            <w:r w:rsidR="00306E74" w:rsidRPr="00927778">
              <w:rPr>
                <w:color w:val="333333"/>
                <w:lang w:val="fr-FR"/>
              </w:rPr>
              <w:t>al.  Ce</w:t>
            </w:r>
            <w:r w:rsidRPr="00927778">
              <w:rPr>
                <w:color w:val="333333"/>
                <w:lang w:val="fr-FR"/>
              </w:rPr>
              <w:t>tte assistance technique devrait également être étendue aux organisations sous régionales et régionales œuvrant dans le domaine de la propriété intellectuelle.</w:t>
            </w:r>
          </w:p>
          <w:p w:rsidR="005E6718" w:rsidRPr="00927778" w:rsidRDefault="005E6718" w:rsidP="00C3651B">
            <w:pPr>
              <w:rPr>
                <w:color w:val="333333"/>
                <w:lang w:val="fr-FR"/>
              </w:rPr>
            </w:pPr>
          </w:p>
          <w:p w:rsidR="005E6718" w:rsidRPr="00927778" w:rsidRDefault="00697DFF" w:rsidP="00697DFF">
            <w:pPr>
              <w:rPr>
                <w:color w:val="333333"/>
                <w:lang w:val="fr-FR"/>
              </w:rPr>
            </w:pPr>
            <w:r w:rsidRPr="00927778">
              <w:rPr>
                <w:i/>
                <w:color w:val="333333"/>
                <w:lang w:val="fr-FR"/>
              </w:rPr>
              <w:t>Recommandation n° 12</w:t>
            </w:r>
            <w:r w:rsidR="00EA2C86" w:rsidRPr="00927778">
              <w:rPr>
                <w:color w:val="333333"/>
                <w:lang w:val="fr-FR"/>
              </w:rPr>
              <w:t> :</w:t>
            </w:r>
            <w:r w:rsidRPr="00927778">
              <w:rPr>
                <w:color w:val="333333"/>
                <w:lang w:val="fr-FR"/>
              </w:rPr>
              <w:t xml:space="preserve"> Intégrer davantage la dimension du développement dans les activités et délibérations de l</w:t>
            </w:r>
            <w:r w:rsidR="00EA2C86" w:rsidRPr="00927778">
              <w:rPr>
                <w:color w:val="333333"/>
                <w:lang w:val="fr-FR"/>
              </w:rPr>
              <w:t>’</w:t>
            </w:r>
            <w:r w:rsidRPr="00927778">
              <w:rPr>
                <w:color w:val="333333"/>
                <w:lang w:val="fr-FR"/>
              </w:rPr>
              <w:t>OMPI portant sur les questions de fond et l</w:t>
            </w:r>
            <w:r w:rsidR="00EA2C86" w:rsidRPr="00927778">
              <w:rPr>
                <w:color w:val="333333"/>
                <w:lang w:val="fr-FR"/>
              </w:rPr>
              <w:t>’</w:t>
            </w:r>
            <w:r w:rsidRPr="00927778">
              <w:rPr>
                <w:color w:val="333333"/>
                <w:lang w:val="fr-FR"/>
              </w:rPr>
              <w:t>assistance technique, conformément au mandat de l</w:t>
            </w:r>
            <w:r w:rsidR="00EA2C86" w:rsidRPr="00927778">
              <w:rPr>
                <w:color w:val="333333"/>
                <w:lang w:val="fr-FR"/>
              </w:rPr>
              <w:t>’</w:t>
            </w:r>
            <w:r w:rsidRPr="00927778">
              <w:rPr>
                <w:color w:val="333333"/>
                <w:lang w:val="fr-FR"/>
              </w:rPr>
              <w:t>Organisation.</w:t>
            </w:r>
          </w:p>
          <w:p w:rsidR="005E6718" w:rsidRPr="00927778" w:rsidRDefault="005E6718" w:rsidP="00C3651B">
            <w:pPr>
              <w:rPr>
                <w:color w:val="333333"/>
                <w:lang w:val="fr-FR"/>
              </w:rPr>
            </w:pPr>
          </w:p>
          <w:p w:rsidR="005E6718" w:rsidRPr="00927778" w:rsidRDefault="00697DFF" w:rsidP="00697DFF">
            <w:pPr>
              <w:rPr>
                <w:color w:val="333333"/>
                <w:lang w:val="fr-FR"/>
              </w:rPr>
            </w:pPr>
            <w:r w:rsidRPr="00927778">
              <w:rPr>
                <w:i/>
                <w:color w:val="333333"/>
                <w:lang w:val="fr-FR"/>
              </w:rPr>
              <w:t>Recommandation n°</w:t>
            </w:r>
            <w:r w:rsidR="0057466D" w:rsidRPr="00927778">
              <w:rPr>
                <w:i/>
                <w:color w:val="333333"/>
                <w:lang w:val="fr-FR"/>
              </w:rPr>
              <w:t> </w:t>
            </w:r>
            <w:r w:rsidRPr="00927778">
              <w:rPr>
                <w:i/>
                <w:color w:val="333333"/>
                <w:lang w:val="fr-FR"/>
              </w:rPr>
              <w:t>23</w:t>
            </w:r>
            <w:r w:rsidR="00EA2C86" w:rsidRPr="00927778">
              <w:rPr>
                <w:i/>
                <w:color w:val="333333"/>
                <w:lang w:val="fr-FR"/>
              </w:rPr>
              <w:t> :</w:t>
            </w:r>
            <w:r w:rsidRPr="00927778">
              <w:rPr>
                <w:color w:val="333333"/>
                <w:lang w:val="fr-FR"/>
              </w:rPr>
              <w:t xml:space="preserve"> Examiner les moyens de mieux promouvoir des pratiques en matière de concession de licences de propriété intellectuelle stimulant la concurrence, en vue notamment de favoriser la créativité, l</w:t>
            </w:r>
            <w:r w:rsidR="00EA2C86" w:rsidRPr="00927778">
              <w:rPr>
                <w:color w:val="333333"/>
                <w:lang w:val="fr-FR"/>
              </w:rPr>
              <w:t>’</w:t>
            </w:r>
            <w:r w:rsidRPr="00927778">
              <w:rPr>
                <w:color w:val="333333"/>
                <w:lang w:val="fr-FR"/>
              </w:rPr>
              <w:t>innovation et le transfert et la diffusion de la technologie en faveur des pays intéressés, en particulier les pays en développement et</w:t>
            </w:r>
            <w:r w:rsidR="00EA2C86" w:rsidRPr="00927778">
              <w:rPr>
                <w:color w:val="333333"/>
                <w:lang w:val="fr-FR"/>
              </w:rPr>
              <w:t xml:space="preserve"> les PMA</w:t>
            </w:r>
            <w:r w:rsidRPr="00927778">
              <w:rPr>
                <w:color w:val="333333"/>
                <w:lang w:val="fr-FR"/>
              </w:rPr>
              <w:t>.</w:t>
            </w:r>
          </w:p>
          <w:p w:rsidR="005E6718" w:rsidRPr="00927778" w:rsidRDefault="005E6718" w:rsidP="00C3651B">
            <w:pPr>
              <w:rPr>
                <w:i/>
                <w:color w:val="333333"/>
                <w:lang w:val="fr-FR"/>
              </w:rPr>
            </w:pPr>
          </w:p>
          <w:p w:rsidR="005E6718" w:rsidRPr="00927778" w:rsidRDefault="00697DFF" w:rsidP="00697DFF">
            <w:pPr>
              <w:rPr>
                <w:color w:val="333333"/>
                <w:lang w:val="fr-FR"/>
              </w:rPr>
            </w:pPr>
            <w:r w:rsidRPr="00927778">
              <w:rPr>
                <w:i/>
                <w:color w:val="333333"/>
                <w:lang w:val="fr-FR"/>
              </w:rPr>
              <w:t>Recommandation n°</w:t>
            </w:r>
            <w:r w:rsidR="0057466D" w:rsidRPr="00927778">
              <w:rPr>
                <w:i/>
                <w:color w:val="333333"/>
                <w:lang w:val="fr-FR"/>
              </w:rPr>
              <w:t> </w:t>
            </w:r>
            <w:r w:rsidRPr="00927778">
              <w:rPr>
                <w:i/>
                <w:color w:val="333333"/>
                <w:lang w:val="fr-FR"/>
              </w:rPr>
              <w:t>25</w:t>
            </w:r>
            <w:r w:rsidR="00EA2C86" w:rsidRPr="00927778">
              <w:rPr>
                <w:i/>
                <w:color w:val="333333"/>
                <w:lang w:val="fr-FR"/>
              </w:rPr>
              <w:t> :</w:t>
            </w:r>
            <w:r w:rsidRPr="00927778">
              <w:rPr>
                <w:color w:val="333333"/>
                <w:lang w:val="fr-FR"/>
              </w:rPr>
              <w:t xml:space="preserve"> Étudier les politiques et initiatives relatives à la propriété intellectuelle nécessaires pour promouvoir le transfert et la diffusion de la technologie au profit des pays en développement, et prendre les mesures appropriées pour permettre à ces pays de comprendre pleinement les différentes dispositions concernant les flexibilités prévues dans les accords internationaux et d</w:t>
            </w:r>
            <w:r w:rsidR="00EA2C86" w:rsidRPr="00927778">
              <w:rPr>
                <w:color w:val="333333"/>
                <w:lang w:val="fr-FR"/>
              </w:rPr>
              <w:t>’</w:t>
            </w:r>
            <w:r w:rsidRPr="00927778">
              <w:rPr>
                <w:color w:val="333333"/>
                <w:lang w:val="fr-FR"/>
              </w:rPr>
              <w:t>en tirer profit, le cas échéant.</w:t>
            </w:r>
          </w:p>
          <w:p w:rsidR="005E6718" w:rsidRPr="00927778" w:rsidRDefault="005E6718" w:rsidP="00C3651B">
            <w:pPr>
              <w:rPr>
                <w:color w:val="333333"/>
                <w:lang w:val="fr-FR"/>
              </w:rPr>
            </w:pPr>
          </w:p>
          <w:p w:rsidR="005E6718" w:rsidRPr="00927778" w:rsidRDefault="00697DFF" w:rsidP="00697DFF">
            <w:pPr>
              <w:rPr>
                <w:color w:val="333333"/>
                <w:lang w:val="fr-FR"/>
              </w:rPr>
            </w:pPr>
            <w:r w:rsidRPr="00927778">
              <w:rPr>
                <w:i/>
                <w:color w:val="333333"/>
                <w:lang w:val="fr-FR"/>
              </w:rPr>
              <w:t>Recommandation n°</w:t>
            </w:r>
            <w:r w:rsidR="0057466D" w:rsidRPr="00927778">
              <w:rPr>
                <w:i/>
                <w:color w:val="333333"/>
                <w:lang w:val="fr-FR"/>
              </w:rPr>
              <w:t> </w:t>
            </w:r>
            <w:r w:rsidRPr="00927778">
              <w:rPr>
                <w:i/>
                <w:color w:val="333333"/>
                <w:lang w:val="fr-FR"/>
              </w:rPr>
              <w:t>31</w:t>
            </w:r>
            <w:r w:rsidR="00EA2C86" w:rsidRPr="00927778">
              <w:rPr>
                <w:i/>
                <w:color w:val="333333"/>
                <w:lang w:val="fr-FR"/>
              </w:rPr>
              <w:t> :</w:t>
            </w:r>
            <w:r w:rsidRPr="00927778">
              <w:rPr>
                <w:i/>
                <w:color w:val="333333"/>
                <w:lang w:val="fr-FR"/>
              </w:rPr>
              <w:t xml:space="preserve"> </w:t>
            </w:r>
            <w:r w:rsidRPr="00927778">
              <w:rPr>
                <w:color w:val="333333"/>
                <w:lang w:val="fr-FR"/>
              </w:rPr>
              <w:t>Mettre en œuvre des initiatives arrêtées par les États membres qui contribuent au transfert de technologie en faveur des pays en développement, s</w:t>
            </w:r>
            <w:r w:rsidR="00EA2C86" w:rsidRPr="00927778">
              <w:rPr>
                <w:color w:val="333333"/>
                <w:lang w:val="fr-FR"/>
              </w:rPr>
              <w:t>’</w:t>
            </w:r>
            <w:r w:rsidRPr="00927778">
              <w:rPr>
                <w:color w:val="333333"/>
                <w:lang w:val="fr-FR"/>
              </w:rPr>
              <w:t>agissant par exemple de demander à l</w:t>
            </w:r>
            <w:r w:rsidR="00EA2C86" w:rsidRPr="00927778">
              <w:rPr>
                <w:color w:val="333333"/>
                <w:lang w:val="fr-FR"/>
              </w:rPr>
              <w:t>’</w:t>
            </w:r>
            <w:r w:rsidRPr="00927778">
              <w:rPr>
                <w:color w:val="333333"/>
                <w:lang w:val="fr-FR"/>
              </w:rPr>
              <w:t>OMPI de faciliter l</w:t>
            </w:r>
            <w:r w:rsidR="00EA2C86" w:rsidRPr="00927778">
              <w:rPr>
                <w:color w:val="333333"/>
                <w:lang w:val="fr-FR"/>
              </w:rPr>
              <w:t>’</w:t>
            </w:r>
            <w:r w:rsidRPr="00927778">
              <w:rPr>
                <w:color w:val="333333"/>
                <w:lang w:val="fr-FR"/>
              </w:rPr>
              <w:t>accès à l</w:t>
            </w:r>
            <w:r w:rsidR="00EA2C86" w:rsidRPr="00927778">
              <w:rPr>
                <w:color w:val="333333"/>
                <w:lang w:val="fr-FR"/>
              </w:rPr>
              <w:t>’</w:t>
            </w:r>
            <w:r w:rsidRPr="00927778">
              <w:rPr>
                <w:color w:val="333333"/>
                <w:lang w:val="fr-FR"/>
              </w:rPr>
              <w:t>information en matière de brevets accessible au public.</w:t>
            </w:r>
          </w:p>
          <w:p w:rsidR="005E6718" w:rsidRPr="00927778" w:rsidRDefault="005E6718" w:rsidP="00C3651B">
            <w:pPr>
              <w:jc w:val="both"/>
              <w:rPr>
                <w:i/>
                <w:color w:val="333333"/>
                <w:lang w:val="fr-FR"/>
              </w:rPr>
            </w:pPr>
          </w:p>
          <w:p w:rsidR="005E6718" w:rsidRPr="00927778" w:rsidRDefault="00697DFF" w:rsidP="00697DFF">
            <w:pPr>
              <w:rPr>
                <w:iCs/>
                <w:color w:val="333333"/>
                <w:lang w:val="fr-FR"/>
              </w:rPr>
            </w:pPr>
            <w:r w:rsidRPr="00927778">
              <w:rPr>
                <w:i/>
                <w:iCs/>
                <w:color w:val="333333"/>
                <w:lang w:val="fr-FR"/>
              </w:rPr>
              <w:t>Recommandation n°</w:t>
            </w:r>
            <w:r w:rsidR="0057466D" w:rsidRPr="00927778">
              <w:rPr>
                <w:i/>
                <w:iCs/>
                <w:color w:val="333333"/>
                <w:lang w:val="fr-FR"/>
              </w:rPr>
              <w:t> </w:t>
            </w:r>
            <w:r w:rsidRPr="00927778">
              <w:rPr>
                <w:i/>
                <w:iCs/>
                <w:color w:val="333333"/>
                <w:lang w:val="fr-FR"/>
              </w:rPr>
              <w:t>40</w:t>
            </w:r>
            <w:r w:rsidR="00EA2C86" w:rsidRPr="00927778">
              <w:rPr>
                <w:iCs/>
                <w:color w:val="333333"/>
                <w:lang w:val="fr-FR"/>
              </w:rPr>
              <w:t> :</w:t>
            </w:r>
            <w:r w:rsidRPr="00927778">
              <w:rPr>
                <w:iCs/>
                <w:color w:val="333333"/>
                <w:lang w:val="fr-FR"/>
              </w:rPr>
              <w:t xml:space="preserve"> Demander à l</w:t>
            </w:r>
            <w:r w:rsidR="00EA2C86" w:rsidRPr="00927778">
              <w:rPr>
                <w:iCs/>
                <w:color w:val="333333"/>
                <w:lang w:val="fr-FR"/>
              </w:rPr>
              <w:t>’</w:t>
            </w:r>
            <w:r w:rsidRPr="00927778">
              <w:rPr>
                <w:iCs/>
                <w:color w:val="333333"/>
                <w:lang w:val="fr-FR"/>
              </w:rPr>
              <w:t>OMPI d</w:t>
            </w:r>
            <w:r w:rsidR="00EA2C86" w:rsidRPr="00927778">
              <w:rPr>
                <w:iCs/>
                <w:color w:val="333333"/>
                <w:lang w:val="fr-FR"/>
              </w:rPr>
              <w:t>’</w:t>
            </w:r>
            <w:r w:rsidRPr="00927778">
              <w:rPr>
                <w:iCs/>
                <w:color w:val="333333"/>
                <w:lang w:val="fr-FR"/>
              </w:rPr>
              <w:t xml:space="preserve">intensifier sa coopération avec les institutions des </w:t>
            </w:r>
            <w:r w:rsidR="00EA2C86" w:rsidRPr="00927778">
              <w:rPr>
                <w:iCs/>
                <w:color w:val="333333"/>
                <w:lang w:val="fr-FR"/>
              </w:rPr>
              <w:t>Nations Unies</w:t>
            </w:r>
            <w:r w:rsidRPr="00927778">
              <w:rPr>
                <w:iCs/>
                <w:color w:val="333333"/>
                <w:lang w:val="fr-FR"/>
              </w:rPr>
              <w:t xml:space="preserve">, en particulier la Conférence des </w:t>
            </w:r>
            <w:r w:rsidR="00EA2C86" w:rsidRPr="00927778">
              <w:rPr>
                <w:iCs/>
                <w:color w:val="333333"/>
                <w:lang w:val="fr-FR"/>
              </w:rPr>
              <w:t>Nations Unies</w:t>
            </w:r>
            <w:r w:rsidRPr="00927778">
              <w:rPr>
                <w:iCs/>
                <w:color w:val="333333"/>
                <w:lang w:val="fr-FR"/>
              </w:rPr>
              <w:t xml:space="preserve"> sur le commerce et le développement (CNUCED), le Programme des </w:t>
            </w:r>
            <w:r w:rsidR="00EA2C86" w:rsidRPr="00927778">
              <w:rPr>
                <w:iCs/>
                <w:color w:val="333333"/>
                <w:lang w:val="fr-FR"/>
              </w:rPr>
              <w:t>Nations Unies</w:t>
            </w:r>
            <w:r w:rsidRPr="00927778">
              <w:rPr>
                <w:iCs/>
                <w:color w:val="333333"/>
                <w:lang w:val="fr-FR"/>
              </w:rPr>
              <w:t xml:space="preserve"> pour l</w:t>
            </w:r>
            <w:r w:rsidR="00EA2C86" w:rsidRPr="00927778">
              <w:rPr>
                <w:iCs/>
                <w:color w:val="333333"/>
                <w:lang w:val="fr-FR"/>
              </w:rPr>
              <w:t>’</w:t>
            </w:r>
            <w:r w:rsidRPr="00927778">
              <w:rPr>
                <w:iCs/>
                <w:color w:val="333333"/>
                <w:lang w:val="fr-FR"/>
              </w:rPr>
              <w:t>environnement (PNUE), l</w:t>
            </w:r>
            <w:r w:rsidR="00EA2C86" w:rsidRPr="00927778">
              <w:rPr>
                <w:iCs/>
                <w:color w:val="333333"/>
                <w:lang w:val="fr-FR"/>
              </w:rPr>
              <w:t>’</w:t>
            </w:r>
            <w:r w:rsidRPr="00927778">
              <w:rPr>
                <w:iCs/>
                <w:color w:val="333333"/>
                <w:lang w:val="fr-FR"/>
              </w:rPr>
              <w:t>Organisation mondiale de la Santé (OMS), l</w:t>
            </w:r>
            <w:r w:rsidR="00EA2C86" w:rsidRPr="00927778">
              <w:rPr>
                <w:iCs/>
                <w:color w:val="333333"/>
                <w:lang w:val="fr-FR"/>
              </w:rPr>
              <w:t>’</w:t>
            </w:r>
            <w:r w:rsidRPr="00927778">
              <w:rPr>
                <w:iCs/>
                <w:color w:val="333333"/>
                <w:lang w:val="fr-FR"/>
              </w:rPr>
              <w:t xml:space="preserve">Organisation des </w:t>
            </w:r>
            <w:r w:rsidR="00EA2C86" w:rsidRPr="00927778">
              <w:rPr>
                <w:iCs/>
                <w:color w:val="333333"/>
                <w:lang w:val="fr-FR"/>
              </w:rPr>
              <w:t>Nations Unies</w:t>
            </w:r>
            <w:r w:rsidRPr="00927778">
              <w:rPr>
                <w:iCs/>
                <w:color w:val="333333"/>
                <w:lang w:val="fr-FR"/>
              </w:rPr>
              <w:t xml:space="preserve"> pour le développement industriel (ONUDI), l</w:t>
            </w:r>
            <w:r w:rsidR="00EA2C86" w:rsidRPr="00927778">
              <w:rPr>
                <w:iCs/>
                <w:color w:val="333333"/>
                <w:lang w:val="fr-FR"/>
              </w:rPr>
              <w:t>’</w:t>
            </w:r>
            <w:r w:rsidRPr="00927778">
              <w:rPr>
                <w:iCs/>
                <w:color w:val="333333"/>
                <w:lang w:val="fr-FR"/>
              </w:rPr>
              <w:t xml:space="preserve">Organisation des </w:t>
            </w:r>
            <w:r w:rsidR="00EA2C86" w:rsidRPr="00927778">
              <w:rPr>
                <w:iCs/>
                <w:color w:val="333333"/>
                <w:lang w:val="fr-FR"/>
              </w:rPr>
              <w:t>Nations Unies</w:t>
            </w:r>
            <w:r w:rsidRPr="00927778">
              <w:rPr>
                <w:iCs/>
                <w:color w:val="333333"/>
                <w:lang w:val="fr-FR"/>
              </w:rPr>
              <w:t xml:space="preserve"> pour l</w:t>
            </w:r>
            <w:r w:rsidR="00EA2C86" w:rsidRPr="00927778">
              <w:rPr>
                <w:iCs/>
                <w:color w:val="333333"/>
                <w:lang w:val="fr-FR"/>
              </w:rPr>
              <w:t>’</w:t>
            </w:r>
            <w:r w:rsidRPr="00927778">
              <w:rPr>
                <w:iCs/>
                <w:color w:val="333333"/>
                <w:lang w:val="fr-FR"/>
              </w:rPr>
              <w:t>éducation, la science et la culture (UNESCO) et d</w:t>
            </w:r>
            <w:r w:rsidR="00EA2C86" w:rsidRPr="00927778">
              <w:rPr>
                <w:iCs/>
                <w:color w:val="333333"/>
                <w:lang w:val="fr-FR"/>
              </w:rPr>
              <w:t>’</w:t>
            </w:r>
            <w:r w:rsidRPr="00927778">
              <w:rPr>
                <w:iCs/>
                <w:color w:val="333333"/>
                <w:lang w:val="fr-FR"/>
              </w:rPr>
              <w:t>autres organisations internationales compétentes, conformément aux orientations données par les États membres, afin de renforcer la coordination pour une efficacité maximum dans l</w:t>
            </w:r>
            <w:r w:rsidR="00EA2C86" w:rsidRPr="00927778">
              <w:rPr>
                <w:iCs/>
                <w:color w:val="333333"/>
                <w:lang w:val="fr-FR"/>
              </w:rPr>
              <w:t>’</w:t>
            </w:r>
            <w:r w:rsidRPr="00927778">
              <w:rPr>
                <w:iCs/>
                <w:color w:val="333333"/>
                <w:lang w:val="fr-FR"/>
              </w:rPr>
              <w:t>application de programmes de développement.</w:t>
            </w:r>
          </w:p>
          <w:p w:rsidR="00F45974" w:rsidRPr="00927778" w:rsidRDefault="00F45974" w:rsidP="00F45974">
            <w:pPr>
              <w:rPr>
                <w:i/>
                <w:color w:val="333333"/>
                <w:lang w:val="fr-FR"/>
              </w:rPr>
            </w:pPr>
          </w:p>
        </w:tc>
      </w:tr>
      <w:tr w:rsidR="00047C22" w:rsidRPr="00927778" w:rsidTr="00F45974">
        <w:tc>
          <w:tcPr>
            <w:tcW w:w="2376" w:type="dxa"/>
            <w:shd w:val="clear" w:color="auto" w:fill="auto"/>
          </w:tcPr>
          <w:p w:rsidR="005E6718" w:rsidRPr="00927778" w:rsidRDefault="00697DFF" w:rsidP="00697DFF">
            <w:pPr>
              <w:pStyle w:val="Heading3"/>
              <w:keepNext w:val="0"/>
              <w:widowControl w:val="0"/>
              <w:rPr>
                <w:color w:val="333333"/>
                <w:lang w:val="fr-FR"/>
              </w:rPr>
            </w:pPr>
            <w:r w:rsidRPr="00927778">
              <w:rPr>
                <w:color w:val="333333"/>
                <w:lang w:val="fr-FR"/>
              </w:rPr>
              <w:t>Budget du projet</w:t>
            </w:r>
          </w:p>
          <w:p w:rsidR="001B0EEB" w:rsidRPr="00927778" w:rsidRDefault="001B0EEB" w:rsidP="006031CF">
            <w:pPr>
              <w:widowControl w:val="0"/>
              <w:rPr>
                <w:color w:val="333333"/>
                <w:lang w:val="fr-FR"/>
              </w:rPr>
            </w:pPr>
          </w:p>
        </w:tc>
        <w:tc>
          <w:tcPr>
            <w:tcW w:w="6912" w:type="dxa"/>
            <w:shd w:val="clear" w:color="auto" w:fill="auto"/>
          </w:tcPr>
          <w:p w:rsidR="005E6718" w:rsidRPr="00927778" w:rsidRDefault="005E6718" w:rsidP="006031CF">
            <w:pPr>
              <w:widowControl w:val="0"/>
              <w:jc w:val="both"/>
              <w:rPr>
                <w:color w:val="333333"/>
                <w:lang w:val="fr-FR"/>
              </w:rPr>
            </w:pPr>
          </w:p>
          <w:p w:rsidR="005E6718" w:rsidRPr="00927778" w:rsidRDefault="00697DFF" w:rsidP="00697DFF">
            <w:pPr>
              <w:widowControl w:val="0"/>
              <w:jc w:val="both"/>
              <w:rPr>
                <w:color w:val="333333"/>
                <w:lang w:val="fr-FR"/>
              </w:rPr>
            </w:pPr>
            <w:r w:rsidRPr="00927778">
              <w:rPr>
                <w:color w:val="333333"/>
                <w:lang w:val="fr-FR"/>
              </w:rPr>
              <w:t>Total hors dépenses de personnel</w:t>
            </w:r>
            <w:r w:rsidR="00EA2C86" w:rsidRPr="00927778">
              <w:rPr>
                <w:color w:val="333333"/>
                <w:lang w:val="fr-FR"/>
              </w:rPr>
              <w:t> :</w:t>
            </w:r>
            <w:r w:rsidRPr="00927778">
              <w:rPr>
                <w:color w:val="333333"/>
                <w:lang w:val="fr-FR"/>
              </w:rPr>
              <w:t xml:space="preserve"> 314 000 francs suisses</w:t>
            </w:r>
          </w:p>
          <w:p w:rsidR="005E6718" w:rsidRPr="00927778" w:rsidRDefault="005E6718" w:rsidP="006031CF">
            <w:pPr>
              <w:widowControl w:val="0"/>
              <w:jc w:val="both"/>
              <w:rPr>
                <w:color w:val="333333"/>
                <w:lang w:val="fr-FR"/>
              </w:rPr>
            </w:pPr>
          </w:p>
          <w:p w:rsidR="005E6718" w:rsidRPr="00927778" w:rsidRDefault="00697DFF" w:rsidP="00697DFF">
            <w:pPr>
              <w:widowControl w:val="0"/>
              <w:jc w:val="both"/>
              <w:rPr>
                <w:color w:val="333333"/>
                <w:lang w:val="fr-FR"/>
              </w:rPr>
            </w:pPr>
            <w:r w:rsidRPr="00927778">
              <w:rPr>
                <w:color w:val="333333"/>
                <w:lang w:val="fr-FR"/>
              </w:rPr>
              <w:t>Total dépenses de personnel</w:t>
            </w:r>
            <w:r w:rsidR="00EA2C86" w:rsidRPr="00927778">
              <w:rPr>
                <w:color w:val="333333"/>
                <w:lang w:val="fr-FR"/>
              </w:rPr>
              <w:t> :</w:t>
            </w:r>
            <w:r w:rsidRPr="00927778">
              <w:rPr>
                <w:color w:val="333333"/>
                <w:lang w:val="fr-FR"/>
              </w:rPr>
              <w:t xml:space="preserve"> 270 000 francs suisses</w:t>
            </w:r>
          </w:p>
          <w:p w:rsidR="001B0EEB" w:rsidRPr="00927778" w:rsidRDefault="001B0EEB" w:rsidP="006031CF">
            <w:pPr>
              <w:widowControl w:val="0"/>
              <w:rPr>
                <w:color w:val="333333"/>
                <w:lang w:val="fr-FR"/>
              </w:rPr>
            </w:pPr>
          </w:p>
        </w:tc>
      </w:tr>
      <w:tr w:rsidR="00047C22" w:rsidRPr="00927778" w:rsidTr="00F45974">
        <w:trPr>
          <w:trHeight w:val="704"/>
        </w:trPr>
        <w:tc>
          <w:tcPr>
            <w:tcW w:w="2376" w:type="dxa"/>
            <w:shd w:val="clear" w:color="auto" w:fill="auto"/>
          </w:tcPr>
          <w:p w:rsidR="005E6718" w:rsidRPr="00927778" w:rsidRDefault="00697DFF" w:rsidP="00697DFF">
            <w:pPr>
              <w:pStyle w:val="Heading3"/>
              <w:keepNext w:val="0"/>
              <w:widowControl w:val="0"/>
              <w:rPr>
                <w:color w:val="333333"/>
                <w:lang w:val="fr-FR"/>
              </w:rPr>
            </w:pPr>
            <w:r w:rsidRPr="00927778">
              <w:rPr>
                <w:color w:val="333333"/>
                <w:lang w:val="fr-FR"/>
              </w:rPr>
              <w:t>Début du projet</w:t>
            </w:r>
          </w:p>
          <w:p w:rsidR="001B0EEB" w:rsidRPr="00927778" w:rsidRDefault="001B0EEB" w:rsidP="006031CF">
            <w:pPr>
              <w:widowControl w:val="0"/>
              <w:rPr>
                <w:color w:val="333333"/>
                <w:lang w:val="fr-FR"/>
              </w:rPr>
            </w:pPr>
          </w:p>
        </w:tc>
        <w:tc>
          <w:tcPr>
            <w:tcW w:w="6912" w:type="dxa"/>
            <w:shd w:val="clear" w:color="auto" w:fill="auto"/>
          </w:tcPr>
          <w:p w:rsidR="005E6718" w:rsidRPr="00927778" w:rsidRDefault="005E6718" w:rsidP="006031CF">
            <w:pPr>
              <w:widowControl w:val="0"/>
              <w:rPr>
                <w:color w:val="333333"/>
                <w:lang w:val="fr-FR"/>
              </w:rPr>
            </w:pPr>
          </w:p>
          <w:p w:rsidR="001B0EEB" w:rsidRPr="00927778" w:rsidRDefault="00697DFF" w:rsidP="00697DFF">
            <w:pPr>
              <w:widowControl w:val="0"/>
              <w:rPr>
                <w:color w:val="333333"/>
                <w:lang w:val="fr-FR"/>
              </w:rPr>
            </w:pPr>
            <w:r w:rsidRPr="00927778">
              <w:rPr>
                <w:color w:val="333333"/>
                <w:lang w:val="fr-FR"/>
              </w:rPr>
              <w:t>Janvier</w:t>
            </w:r>
            <w:r w:rsidR="00CB5AE0" w:rsidRPr="00927778">
              <w:rPr>
                <w:color w:val="333333"/>
                <w:lang w:val="fr-FR"/>
              </w:rPr>
              <w:t> </w:t>
            </w:r>
            <w:r w:rsidRPr="00927778">
              <w:rPr>
                <w:color w:val="333333"/>
                <w:lang w:val="fr-FR"/>
              </w:rPr>
              <w:t>2018</w:t>
            </w:r>
          </w:p>
        </w:tc>
      </w:tr>
      <w:tr w:rsidR="00047C22" w:rsidRPr="00927778" w:rsidTr="00F45974">
        <w:trPr>
          <w:trHeight w:val="704"/>
        </w:trPr>
        <w:tc>
          <w:tcPr>
            <w:tcW w:w="2376" w:type="dxa"/>
            <w:shd w:val="clear" w:color="auto" w:fill="auto"/>
          </w:tcPr>
          <w:p w:rsidR="005E6718" w:rsidRPr="00927778" w:rsidRDefault="00697DFF" w:rsidP="00697DFF">
            <w:pPr>
              <w:pStyle w:val="Heading3"/>
              <w:keepNext w:val="0"/>
              <w:widowControl w:val="0"/>
              <w:rPr>
                <w:color w:val="333333"/>
                <w:lang w:val="fr-FR"/>
              </w:rPr>
            </w:pPr>
            <w:r w:rsidRPr="00927778">
              <w:rPr>
                <w:color w:val="333333"/>
                <w:lang w:val="fr-FR"/>
              </w:rPr>
              <w:t>Durée du projet</w:t>
            </w:r>
          </w:p>
          <w:p w:rsidR="001B0EEB" w:rsidRPr="00927778" w:rsidRDefault="001B0EEB" w:rsidP="006031CF">
            <w:pPr>
              <w:widowControl w:val="0"/>
              <w:rPr>
                <w:color w:val="333333"/>
                <w:lang w:val="fr-FR"/>
              </w:rPr>
            </w:pPr>
          </w:p>
        </w:tc>
        <w:tc>
          <w:tcPr>
            <w:tcW w:w="6912" w:type="dxa"/>
            <w:shd w:val="clear" w:color="auto" w:fill="auto"/>
          </w:tcPr>
          <w:p w:rsidR="005E6718" w:rsidRPr="00927778" w:rsidRDefault="005E6718" w:rsidP="006031CF">
            <w:pPr>
              <w:widowControl w:val="0"/>
              <w:jc w:val="both"/>
              <w:rPr>
                <w:i/>
                <w:color w:val="333333"/>
                <w:lang w:val="fr-FR"/>
              </w:rPr>
            </w:pPr>
          </w:p>
          <w:p w:rsidR="001B0EEB" w:rsidRPr="00927778" w:rsidRDefault="00697DFF" w:rsidP="00697DFF">
            <w:pPr>
              <w:widowControl w:val="0"/>
              <w:rPr>
                <w:color w:val="333333"/>
                <w:lang w:val="fr-FR"/>
              </w:rPr>
            </w:pPr>
            <w:r w:rsidRPr="00927778">
              <w:rPr>
                <w:color w:val="333333"/>
                <w:lang w:val="fr-FR"/>
              </w:rPr>
              <w:t>31 mois</w:t>
            </w:r>
          </w:p>
        </w:tc>
      </w:tr>
      <w:tr w:rsidR="00047C22" w:rsidRPr="00927778" w:rsidTr="00F45974">
        <w:trPr>
          <w:trHeight w:val="704"/>
        </w:trPr>
        <w:tc>
          <w:tcPr>
            <w:tcW w:w="2376" w:type="dxa"/>
            <w:shd w:val="clear" w:color="auto" w:fill="auto"/>
          </w:tcPr>
          <w:p w:rsidR="001B0EEB" w:rsidRPr="00927778" w:rsidRDefault="00697DFF" w:rsidP="00697DFF">
            <w:pPr>
              <w:pStyle w:val="Heading3"/>
              <w:keepNext w:val="0"/>
              <w:widowControl w:val="0"/>
              <w:rPr>
                <w:color w:val="333333"/>
                <w:lang w:val="fr-FR"/>
              </w:rPr>
            </w:pPr>
            <w:r w:rsidRPr="00927778">
              <w:rPr>
                <w:color w:val="333333"/>
                <w:lang w:val="fr-FR"/>
              </w:rPr>
              <w:t>Principaux secteurs de l</w:t>
            </w:r>
            <w:r w:rsidR="00EA2C86" w:rsidRPr="00927778">
              <w:rPr>
                <w:color w:val="333333"/>
                <w:lang w:val="fr-FR"/>
              </w:rPr>
              <w:t>’</w:t>
            </w:r>
            <w:r w:rsidRPr="00927778">
              <w:rPr>
                <w:color w:val="333333"/>
                <w:lang w:val="fr-FR"/>
              </w:rPr>
              <w:t>OMPI concernés et liens avec les programmes de l</w:t>
            </w:r>
            <w:r w:rsidR="00EA2C86" w:rsidRPr="00927778">
              <w:rPr>
                <w:color w:val="333333"/>
                <w:lang w:val="fr-FR"/>
              </w:rPr>
              <w:t>’</w:t>
            </w:r>
            <w:r w:rsidRPr="00927778">
              <w:rPr>
                <w:color w:val="333333"/>
                <w:lang w:val="fr-FR"/>
              </w:rPr>
              <w:t>OMPI</w:t>
            </w:r>
          </w:p>
        </w:tc>
        <w:tc>
          <w:tcPr>
            <w:tcW w:w="6912" w:type="dxa"/>
            <w:shd w:val="clear" w:color="auto" w:fill="auto"/>
          </w:tcPr>
          <w:p w:rsidR="005E6718" w:rsidRPr="00927778" w:rsidRDefault="005E6718" w:rsidP="006031CF">
            <w:pPr>
              <w:widowControl w:val="0"/>
              <w:rPr>
                <w:color w:val="333333"/>
                <w:lang w:val="fr-FR"/>
              </w:rPr>
            </w:pPr>
          </w:p>
          <w:p w:rsidR="001B0EEB" w:rsidRPr="00927778" w:rsidRDefault="00697DFF" w:rsidP="00697DFF">
            <w:pPr>
              <w:widowControl w:val="0"/>
              <w:rPr>
                <w:color w:val="333333"/>
                <w:lang w:val="fr-FR"/>
              </w:rPr>
            </w:pPr>
            <w:r w:rsidRPr="00927778">
              <w:rPr>
                <w:color w:val="333333"/>
                <w:lang w:val="fr-FR"/>
              </w:rPr>
              <w:t>Liens avec les programmes</w:t>
            </w:r>
            <w:r w:rsidR="00002037" w:rsidRPr="00927778">
              <w:rPr>
                <w:color w:val="333333"/>
                <w:lang w:val="fr-FR"/>
              </w:rPr>
              <w:t> </w:t>
            </w:r>
            <w:r w:rsidRPr="00927778">
              <w:rPr>
                <w:color w:val="333333"/>
                <w:lang w:val="fr-FR"/>
              </w:rPr>
              <w:t>14, 9, et 30.</w:t>
            </w:r>
          </w:p>
        </w:tc>
      </w:tr>
      <w:tr w:rsidR="00047C22" w:rsidRPr="00927778" w:rsidTr="00F45974">
        <w:trPr>
          <w:trHeight w:val="704"/>
        </w:trPr>
        <w:tc>
          <w:tcPr>
            <w:tcW w:w="2376" w:type="dxa"/>
            <w:shd w:val="clear" w:color="auto" w:fill="auto"/>
          </w:tcPr>
          <w:p w:rsidR="005E6718" w:rsidRPr="00927778" w:rsidRDefault="00697DFF" w:rsidP="00697DFF">
            <w:pPr>
              <w:pStyle w:val="Heading3"/>
              <w:keepNext w:val="0"/>
              <w:widowControl w:val="0"/>
              <w:rPr>
                <w:color w:val="333333"/>
                <w:lang w:val="fr-FR"/>
              </w:rPr>
            </w:pPr>
            <w:r w:rsidRPr="00927778">
              <w:rPr>
                <w:color w:val="333333"/>
                <w:lang w:val="fr-FR"/>
              </w:rPr>
              <w:t>Brève description du projet</w:t>
            </w:r>
          </w:p>
          <w:p w:rsidR="001B0EEB" w:rsidRPr="00927778" w:rsidRDefault="001B0EEB" w:rsidP="006031CF">
            <w:pPr>
              <w:pStyle w:val="Heading3"/>
              <w:keepNext w:val="0"/>
              <w:widowControl w:val="0"/>
              <w:rPr>
                <w:color w:val="333333"/>
                <w:lang w:val="fr-FR"/>
              </w:rPr>
            </w:pPr>
          </w:p>
        </w:tc>
        <w:tc>
          <w:tcPr>
            <w:tcW w:w="6912" w:type="dxa"/>
            <w:shd w:val="clear" w:color="auto" w:fill="auto"/>
          </w:tcPr>
          <w:p w:rsidR="005E6718" w:rsidRPr="00927778" w:rsidRDefault="005E6718" w:rsidP="006031CF">
            <w:pPr>
              <w:widowControl w:val="0"/>
              <w:jc w:val="both"/>
              <w:rPr>
                <w:color w:val="333333"/>
                <w:lang w:val="fr-FR"/>
              </w:rPr>
            </w:pPr>
          </w:p>
          <w:p w:rsidR="005E6718" w:rsidRPr="00927778" w:rsidRDefault="00697DFF" w:rsidP="00697DFF">
            <w:pPr>
              <w:widowControl w:val="0"/>
              <w:rPr>
                <w:color w:val="333333"/>
                <w:lang w:val="fr-FR"/>
              </w:rPr>
            </w:pPr>
            <w:r w:rsidRPr="00927778">
              <w:rPr>
                <w:color w:val="333333"/>
                <w:lang w:val="fr-FR"/>
              </w:rPr>
              <w:t>Un grand nombre de pays du monde entier ont adopté une législation visant à assurer de plus grandes retombées socioéconomiques de l</w:t>
            </w:r>
            <w:r w:rsidR="00EA2C86" w:rsidRPr="00927778">
              <w:rPr>
                <w:color w:val="333333"/>
                <w:lang w:val="fr-FR"/>
              </w:rPr>
              <w:t>’</w:t>
            </w:r>
            <w:r w:rsidRPr="00927778">
              <w:rPr>
                <w:color w:val="333333"/>
                <w:lang w:val="fr-FR"/>
              </w:rPr>
              <w:t>investissement public dans la recherche ou le développeme</w:t>
            </w:r>
            <w:r w:rsidR="00306E74" w:rsidRPr="00927778">
              <w:rPr>
                <w:color w:val="333333"/>
                <w:lang w:val="fr-FR"/>
              </w:rPr>
              <w:t>nt.  Ce</w:t>
            </w:r>
            <w:r w:rsidRPr="00927778">
              <w:rPr>
                <w:color w:val="333333"/>
                <w:lang w:val="fr-FR"/>
              </w:rPr>
              <w:t>tte approche descendante requiert une réponse à partir de la base en matière de sensibilisation, de formation et de renforcement des compétences dans le domaine de la gestion de la propriété intellectuelle et du transfert de technologie en ce qui concerne les donateurs, concepteurs, gestionnaires et utilisateurs de la propriété intellectuelle.</w:t>
            </w:r>
          </w:p>
          <w:p w:rsidR="005E6718" w:rsidRPr="00927778" w:rsidRDefault="005E6718" w:rsidP="006031CF">
            <w:pPr>
              <w:widowControl w:val="0"/>
              <w:rPr>
                <w:color w:val="333333"/>
                <w:highlight w:val="cyan"/>
                <w:lang w:val="fr-FR"/>
              </w:rPr>
            </w:pPr>
          </w:p>
          <w:p w:rsidR="00EA2C86" w:rsidRPr="00927778" w:rsidRDefault="00697DFF" w:rsidP="00697DFF">
            <w:pPr>
              <w:widowControl w:val="0"/>
              <w:rPr>
                <w:color w:val="333333"/>
                <w:lang w:val="fr-FR"/>
              </w:rPr>
            </w:pPr>
            <w:r w:rsidRPr="00927778">
              <w:rPr>
                <w:color w:val="333333"/>
                <w:lang w:val="fr-FR"/>
              </w:rPr>
              <w:t>Un grand nombre de facteurs freinent l</w:t>
            </w:r>
            <w:r w:rsidR="00EA2C86" w:rsidRPr="00927778">
              <w:rPr>
                <w:color w:val="333333"/>
                <w:lang w:val="fr-FR"/>
              </w:rPr>
              <w:t>’</w:t>
            </w:r>
            <w:r w:rsidRPr="00927778">
              <w:rPr>
                <w:color w:val="333333"/>
                <w:lang w:val="fr-FR"/>
              </w:rPr>
              <w:t>innovation (sous toutes ses formes, qu</w:t>
            </w:r>
            <w:r w:rsidR="00EA2C86" w:rsidRPr="00927778">
              <w:rPr>
                <w:color w:val="333333"/>
                <w:lang w:val="fr-FR"/>
              </w:rPr>
              <w:t>’</w:t>
            </w:r>
            <w:r w:rsidRPr="00927778">
              <w:rPr>
                <w:color w:val="333333"/>
                <w:lang w:val="fr-FR"/>
              </w:rPr>
              <w:t>elle soit cumulative, sociale, ouverte ou radicale, entre autres), notamment l</w:t>
            </w:r>
            <w:r w:rsidR="00EA2C86" w:rsidRPr="00927778">
              <w:rPr>
                <w:color w:val="333333"/>
                <w:lang w:val="fr-FR"/>
              </w:rPr>
              <w:t>’</w:t>
            </w:r>
            <w:r w:rsidRPr="00927778">
              <w:rPr>
                <w:color w:val="333333"/>
                <w:lang w:val="fr-FR"/>
              </w:rPr>
              <w:t>insuffisance de compétences requises en matière de gestion de la propriété intellectuelle et de transfert de technologie s</w:t>
            </w:r>
            <w:r w:rsidR="00EA2C86" w:rsidRPr="00927778">
              <w:rPr>
                <w:color w:val="333333"/>
                <w:lang w:val="fr-FR"/>
              </w:rPr>
              <w:t>’</w:t>
            </w:r>
            <w:r w:rsidRPr="00927778">
              <w:rPr>
                <w:color w:val="333333"/>
                <w:lang w:val="fr-FR"/>
              </w:rPr>
              <w:t>agissant des donateurs, des concepteurs, des gestionnaires et des utilisateurs dans le cadre de la chaîne de valorisation de l</w:t>
            </w:r>
            <w:r w:rsidR="00EA2C86" w:rsidRPr="00927778">
              <w:rPr>
                <w:color w:val="333333"/>
                <w:lang w:val="fr-FR"/>
              </w:rPr>
              <w:t>’</w:t>
            </w:r>
            <w:r w:rsidRPr="00927778">
              <w:rPr>
                <w:color w:val="333333"/>
                <w:lang w:val="fr-FR"/>
              </w:rPr>
              <w:t>innovation.</w:t>
            </w:r>
          </w:p>
          <w:p w:rsidR="005E6718" w:rsidRDefault="005E6718" w:rsidP="006031CF">
            <w:pPr>
              <w:widowControl w:val="0"/>
              <w:jc w:val="both"/>
              <w:rPr>
                <w:color w:val="333333"/>
                <w:lang w:val="fr-FR"/>
              </w:rPr>
            </w:pPr>
          </w:p>
          <w:p w:rsidR="002B4A41" w:rsidRDefault="002B4A41" w:rsidP="006031CF">
            <w:pPr>
              <w:widowControl w:val="0"/>
              <w:jc w:val="both"/>
              <w:rPr>
                <w:color w:val="333333"/>
                <w:lang w:val="fr-FR"/>
              </w:rPr>
            </w:pPr>
          </w:p>
          <w:p w:rsidR="002B4A41" w:rsidRPr="00927778" w:rsidRDefault="002B4A41" w:rsidP="006031CF">
            <w:pPr>
              <w:widowControl w:val="0"/>
              <w:jc w:val="both"/>
              <w:rPr>
                <w:color w:val="333333"/>
                <w:lang w:val="fr-FR"/>
              </w:rPr>
            </w:pPr>
          </w:p>
          <w:p w:rsidR="005E6718" w:rsidRPr="00927778" w:rsidRDefault="00697DFF" w:rsidP="00697DFF">
            <w:pPr>
              <w:widowControl w:val="0"/>
              <w:rPr>
                <w:iCs/>
                <w:color w:val="333333"/>
                <w:lang w:val="fr-FR"/>
              </w:rPr>
            </w:pPr>
            <w:r w:rsidRPr="00927778">
              <w:rPr>
                <w:iCs/>
                <w:color w:val="333333"/>
                <w:lang w:val="fr-FR"/>
              </w:rPr>
              <w:t>Le projet vise à accroître les capacités d</w:t>
            </w:r>
            <w:r w:rsidR="00EA2C86" w:rsidRPr="00927778">
              <w:rPr>
                <w:iCs/>
                <w:color w:val="333333"/>
                <w:lang w:val="fr-FR"/>
              </w:rPr>
              <w:t>’</w:t>
            </w:r>
            <w:r w:rsidRPr="00927778">
              <w:rPr>
                <w:iCs/>
                <w:color w:val="333333"/>
                <w:lang w:val="fr-FR"/>
              </w:rPr>
              <w:t>innovation des pays en développement, des pays les moins avancés et des pays en transition en offrant des possibilités de formation, de renforcement des capacités et de coopération ainsi que du matériel d</w:t>
            </w:r>
            <w:r w:rsidR="00EA2C86" w:rsidRPr="00927778">
              <w:rPr>
                <w:iCs/>
                <w:color w:val="333333"/>
                <w:lang w:val="fr-FR"/>
              </w:rPr>
              <w:t>’</w:t>
            </w:r>
            <w:r w:rsidRPr="00927778">
              <w:rPr>
                <w:iCs/>
                <w:color w:val="333333"/>
                <w:lang w:val="fr-FR"/>
              </w:rPr>
              <w:t>enseignement tel que des guides et des documents de pratiques recommandées (de nature tant éducative que pratique) destinés à toute une série d</w:t>
            </w:r>
            <w:r w:rsidR="00EA2C86" w:rsidRPr="00927778">
              <w:rPr>
                <w:iCs/>
                <w:color w:val="333333"/>
                <w:lang w:val="fr-FR"/>
              </w:rPr>
              <w:t>’</w:t>
            </w:r>
            <w:r w:rsidRPr="00927778">
              <w:rPr>
                <w:iCs/>
                <w:color w:val="333333"/>
                <w:lang w:val="fr-FR"/>
              </w:rPr>
              <w:t>acteurs de la chaîne de valorisation de l</w:t>
            </w:r>
            <w:r w:rsidR="00EA2C86" w:rsidRPr="00927778">
              <w:rPr>
                <w:iCs/>
                <w:color w:val="333333"/>
                <w:lang w:val="fr-FR"/>
              </w:rPr>
              <w:t>’</w:t>
            </w:r>
            <w:r w:rsidRPr="00927778">
              <w:rPr>
                <w:iCs/>
                <w:color w:val="333333"/>
                <w:lang w:val="fr-FR"/>
              </w:rPr>
              <w:t>innovation, de manière plus ciblée.</w:t>
            </w:r>
          </w:p>
          <w:p w:rsidR="005E6718" w:rsidRPr="00927778" w:rsidRDefault="005E6718" w:rsidP="006031CF">
            <w:pPr>
              <w:widowControl w:val="0"/>
              <w:rPr>
                <w:iCs/>
                <w:color w:val="333333"/>
                <w:lang w:val="fr-FR"/>
              </w:rPr>
            </w:pPr>
          </w:p>
          <w:p w:rsidR="005E6718" w:rsidRPr="00927778" w:rsidRDefault="00801EDA" w:rsidP="00801EDA">
            <w:pPr>
              <w:widowControl w:val="0"/>
              <w:rPr>
                <w:color w:val="333333"/>
                <w:lang w:val="fr-FR"/>
              </w:rPr>
            </w:pPr>
            <w:r w:rsidRPr="00927778">
              <w:rPr>
                <w:color w:val="333333"/>
                <w:lang w:val="fr-FR"/>
              </w:rPr>
              <w:t>Le projet sera mis en œuvre dans quatre</w:t>
            </w:r>
            <w:r w:rsidR="0057466D" w:rsidRPr="00927778">
              <w:rPr>
                <w:color w:val="333333"/>
                <w:lang w:val="fr-FR"/>
              </w:rPr>
              <w:t> </w:t>
            </w:r>
            <w:r w:rsidRPr="00927778">
              <w:rPr>
                <w:color w:val="333333"/>
                <w:lang w:val="fr-FR"/>
              </w:rPr>
              <w:t>(4) pays pilotes retenus, notamment en Afrique du Sud, dans lesquels il vise à renforcer les capacités des principales parties prenantes (donateurs, concepteurs, gestionnaires et, à terme, utilisateurs) et à accroître la coopération entre les États membres afin de faciliter le transfert de connaissances.</w:t>
            </w:r>
          </w:p>
          <w:p w:rsidR="005E6718" w:rsidRPr="00927778" w:rsidRDefault="005E6718" w:rsidP="006031CF">
            <w:pPr>
              <w:widowControl w:val="0"/>
              <w:rPr>
                <w:color w:val="333333"/>
                <w:lang w:val="fr-FR"/>
              </w:rPr>
            </w:pPr>
          </w:p>
          <w:p w:rsidR="00EA2C86" w:rsidRPr="00927778" w:rsidRDefault="00801EDA" w:rsidP="00801EDA">
            <w:pPr>
              <w:widowControl w:val="0"/>
              <w:rPr>
                <w:bCs/>
                <w:color w:val="333333"/>
                <w:lang w:val="fr-FR"/>
              </w:rPr>
            </w:pPr>
            <w:r w:rsidRPr="00927778">
              <w:rPr>
                <w:bCs/>
                <w:color w:val="333333"/>
                <w:lang w:val="fr-FR"/>
              </w:rPr>
              <w:t>Le projet vise à démontrer de quelle manière les pays en développement, les pays émergents et les pays les moins avancés peuvent tirer parti du renforcement des capacités en matière de gestion de la propriété intellectuelle et de transfert de technologie, l</w:t>
            </w:r>
            <w:r w:rsidR="00EA2C86" w:rsidRPr="00927778">
              <w:rPr>
                <w:bCs/>
                <w:color w:val="333333"/>
                <w:lang w:val="fr-FR"/>
              </w:rPr>
              <w:t>’</w:t>
            </w:r>
            <w:r w:rsidRPr="00927778">
              <w:rPr>
                <w:bCs/>
                <w:color w:val="333333"/>
                <w:lang w:val="fr-FR"/>
              </w:rPr>
              <w:t>objectif final global étant d</w:t>
            </w:r>
            <w:r w:rsidR="00EA2C86" w:rsidRPr="00927778">
              <w:rPr>
                <w:bCs/>
                <w:color w:val="333333"/>
                <w:lang w:val="fr-FR"/>
              </w:rPr>
              <w:t>’</w:t>
            </w:r>
            <w:r w:rsidRPr="00927778">
              <w:rPr>
                <w:bCs/>
                <w:color w:val="333333"/>
                <w:lang w:val="fr-FR"/>
              </w:rPr>
              <w:t>accroître l</w:t>
            </w:r>
            <w:r w:rsidR="00EA2C86" w:rsidRPr="00927778">
              <w:rPr>
                <w:bCs/>
                <w:color w:val="333333"/>
                <w:lang w:val="fr-FR"/>
              </w:rPr>
              <w:t>’</w:t>
            </w:r>
            <w:r w:rsidRPr="00927778">
              <w:rPr>
                <w:bCs/>
                <w:color w:val="333333"/>
                <w:lang w:val="fr-FR"/>
              </w:rPr>
              <w:t>innovation.</w:t>
            </w:r>
          </w:p>
          <w:p w:rsidR="008B6934" w:rsidRPr="00927778" w:rsidRDefault="008B6934" w:rsidP="006031CF">
            <w:pPr>
              <w:widowControl w:val="0"/>
              <w:rPr>
                <w:color w:val="333333"/>
                <w:lang w:val="fr-FR"/>
              </w:rPr>
            </w:pPr>
          </w:p>
        </w:tc>
      </w:tr>
    </w:tbl>
    <w:p w:rsidR="00822082" w:rsidRPr="00927778" w:rsidRDefault="00822082">
      <w:pPr>
        <w:rPr>
          <w:color w:val="333333"/>
          <w:lang w:val="fr-FR"/>
        </w:rPr>
      </w:pPr>
      <w:r w:rsidRPr="00927778">
        <w:rPr>
          <w:bCs/>
          <w:color w:val="333333"/>
          <w:lang w:val="fr-F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047C22" w:rsidRPr="00927778" w:rsidTr="00F45974">
        <w:trPr>
          <w:trHeight w:val="484"/>
        </w:trPr>
        <w:tc>
          <w:tcPr>
            <w:tcW w:w="2376" w:type="dxa"/>
            <w:shd w:val="clear" w:color="auto" w:fill="auto"/>
          </w:tcPr>
          <w:p w:rsidR="001B0EEB" w:rsidRPr="00927778" w:rsidRDefault="008B6934" w:rsidP="00801EDA">
            <w:pPr>
              <w:pStyle w:val="Heading3"/>
              <w:keepNext w:val="0"/>
              <w:widowControl w:val="0"/>
              <w:rPr>
                <w:color w:val="333333"/>
                <w:lang w:val="fr-FR"/>
              </w:rPr>
            </w:pPr>
            <w:r w:rsidRPr="00927778">
              <w:rPr>
                <w:rFonts w:eastAsia="Times New Roman"/>
                <w:bCs w:val="0"/>
                <w:color w:val="333333"/>
                <w:szCs w:val="20"/>
                <w:u w:val="none"/>
                <w:lang w:val="fr-FR"/>
              </w:rPr>
              <w:br w:type="page"/>
            </w:r>
            <w:r w:rsidRPr="00927778">
              <w:rPr>
                <w:rFonts w:eastAsia="Times New Roman"/>
                <w:bCs w:val="0"/>
                <w:color w:val="333333"/>
                <w:szCs w:val="20"/>
                <w:u w:val="none"/>
                <w:lang w:val="fr-FR"/>
              </w:rPr>
              <w:br w:type="page"/>
            </w:r>
            <w:r w:rsidR="006031CF" w:rsidRPr="00927778">
              <w:rPr>
                <w:rFonts w:eastAsia="Times New Roman"/>
                <w:bCs w:val="0"/>
                <w:color w:val="333333"/>
                <w:szCs w:val="20"/>
                <w:u w:val="none"/>
                <w:lang w:val="fr-FR"/>
              </w:rPr>
              <w:br w:type="page"/>
            </w:r>
            <w:r w:rsidR="00801EDA" w:rsidRPr="00927778">
              <w:rPr>
                <w:rFonts w:eastAsia="Times New Roman"/>
                <w:bCs w:val="0"/>
                <w:color w:val="333333"/>
                <w:szCs w:val="20"/>
                <w:u w:val="none"/>
                <w:lang w:val="fr-FR"/>
              </w:rPr>
              <w:t>Chef de projet</w:t>
            </w:r>
          </w:p>
        </w:tc>
        <w:tc>
          <w:tcPr>
            <w:tcW w:w="6912" w:type="dxa"/>
            <w:vAlign w:val="center"/>
          </w:tcPr>
          <w:p w:rsidR="005E6718" w:rsidRPr="00927778" w:rsidRDefault="005E6718" w:rsidP="006031CF">
            <w:pPr>
              <w:widowControl w:val="0"/>
              <w:jc w:val="both"/>
              <w:rPr>
                <w:color w:val="333333"/>
                <w:lang w:val="fr-FR"/>
              </w:rPr>
            </w:pPr>
          </w:p>
          <w:p w:rsidR="005E6718" w:rsidRPr="00927778" w:rsidRDefault="00801EDA" w:rsidP="00801EDA">
            <w:pPr>
              <w:widowControl w:val="0"/>
              <w:jc w:val="both"/>
              <w:rPr>
                <w:color w:val="333333"/>
                <w:lang w:val="fr-FR"/>
              </w:rPr>
            </w:pPr>
            <w:r w:rsidRPr="00927778">
              <w:rPr>
                <w:color w:val="333333"/>
                <w:lang w:val="fr-FR"/>
              </w:rPr>
              <w:t>MM.</w:t>
            </w:r>
            <w:r w:rsidR="0057466D" w:rsidRPr="00927778">
              <w:rPr>
                <w:color w:val="333333"/>
                <w:lang w:val="fr-FR"/>
              </w:rPr>
              <w:t> </w:t>
            </w:r>
            <w:r w:rsidRPr="00927778">
              <w:rPr>
                <w:color w:val="333333"/>
                <w:lang w:val="fr-FR"/>
              </w:rPr>
              <w:t>Alejandro Roca Campaña et Andrew Czajkowski</w:t>
            </w:r>
          </w:p>
          <w:p w:rsidR="001B0EEB" w:rsidRPr="00927778" w:rsidRDefault="001B0EEB" w:rsidP="006031CF">
            <w:pPr>
              <w:widowControl w:val="0"/>
              <w:jc w:val="both"/>
              <w:rPr>
                <w:iCs/>
                <w:color w:val="333333"/>
                <w:lang w:val="fr-FR"/>
              </w:rPr>
            </w:pPr>
          </w:p>
        </w:tc>
      </w:tr>
      <w:tr w:rsidR="00047C22" w:rsidRPr="00927778" w:rsidTr="00F45974">
        <w:trPr>
          <w:trHeight w:val="1165"/>
        </w:trPr>
        <w:tc>
          <w:tcPr>
            <w:tcW w:w="2376" w:type="dxa"/>
            <w:shd w:val="clear" w:color="auto" w:fill="auto"/>
          </w:tcPr>
          <w:p w:rsidR="00EA2C86" w:rsidRPr="00927778" w:rsidRDefault="00801EDA" w:rsidP="00801EDA">
            <w:pPr>
              <w:pStyle w:val="Heading3"/>
              <w:keepNext w:val="0"/>
              <w:widowControl w:val="0"/>
              <w:rPr>
                <w:color w:val="333333"/>
                <w:lang w:val="fr-FR"/>
              </w:rPr>
            </w:pPr>
            <w:r w:rsidRPr="00927778">
              <w:rPr>
                <w:color w:val="333333"/>
                <w:lang w:val="fr-FR"/>
              </w:rPr>
              <w:t>Liens avec les résultats escomptés dans le programme et budget</w:t>
            </w:r>
          </w:p>
          <w:p w:rsidR="001B0EEB" w:rsidRPr="00927778" w:rsidDel="00196374" w:rsidRDefault="001B0EEB" w:rsidP="006031CF">
            <w:pPr>
              <w:widowControl w:val="0"/>
              <w:rPr>
                <w:color w:val="333333"/>
                <w:lang w:val="fr-FR"/>
              </w:rPr>
            </w:pPr>
          </w:p>
        </w:tc>
        <w:tc>
          <w:tcPr>
            <w:tcW w:w="6912" w:type="dxa"/>
          </w:tcPr>
          <w:p w:rsidR="005E6718" w:rsidRPr="00927778" w:rsidRDefault="005E6718" w:rsidP="006031CF">
            <w:pPr>
              <w:widowControl w:val="0"/>
              <w:jc w:val="both"/>
              <w:rPr>
                <w:i/>
                <w:color w:val="333333"/>
                <w:lang w:val="fr-FR"/>
              </w:rPr>
            </w:pPr>
          </w:p>
          <w:p w:rsidR="005E6718" w:rsidRPr="00927778" w:rsidRDefault="00801EDA" w:rsidP="00801EDA">
            <w:pPr>
              <w:widowControl w:val="0"/>
              <w:rPr>
                <w:color w:val="333333"/>
                <w:lang w:val="fr-FR"/>
              </w:rPr>
            </w:pPr>
            <w:r w:rsidRPr="00927778">
              <w:rPr>
                <w:i/>
                <w:color w:val="333333"/>
                <w:lang w:val="fr-FR"/>
              </w:rPr>
              <w:t>Résultat escompté</w:t>
            </w:r>
            <w:r w:rsidR="00CB5AE0" w:rsidRPr="00927778">
              <w:rPr>
                <w:color w:val="333333"/>
                <w:lang w:val="fr-FR"/>
              </w:rPr>
              <w:t> </w:t>
            </w:r>
            <w:r w:rsidRPr="00927778">
              <w:rPr>
                <w:i/>
                <w:color w:val="333333"/>
                <w:lang w:val="fr-FR"/>
              </w:rPr>
              <w:t>III.2</w:t>
            </w:r>
            <w:r w:rsidR="00EA2C86" w:rsidRPr="00927778">
              <w:rPr>
                <w:color w:val="333333"/>
                <w:lang w:val="fr-FR"/>
              </w:rPr>
              <w:t> :</w:t>
            </w:r>
            <w:r w:rsidRPr="00927778">
              <w:rPr>
                <w:i/>
                <w:color w:val="333333"/>
                <w:lang w:val="fr-FR"/>
              </w:rPr>
              <w:t xml:space="preserve"> </w:t>
            </w:r>
            <w:r w:rsidRPr="00927778">
              <w:rPr>
                <w:color w:val="333333"/>
                <w:lang w:val="fr-FR"/>
              </w:rPr>
              <w:t>Renforcement des capacités en matière de ressources humaines pour pouvoir répondre aux nombreuses exigences en ce qui concerne l</w:t>
            </w:r>
            <w:r w:rsidR="00EA2C86" w:rsidRPr="00927778">
              <w:rPr>
                <w:color w:val="333333"/>
                <w:lang w:val="fr-FR"/>
              </w:rPr>
              <w:t>’</w:t>
            </w:r>
            <w:r w:rsidRPr="00927778">
              <w:rPr>
                <w:color w:val="333333"/>
                <w:lang w:val="fr-FR"/>
              </w:rPr>
              <w:t>utilisation efficace de la propriété intellectuelle au service du développement dans les pays en développement,</w:t>
            </w:r>
            <w:r w:rsidR="00EA2C86" w:rsidRPr="00927778">
              <w:rPr>
                <w:color w:val="333333"/>
                <w:lang w:val="fr-FR"/>
              </w:rPr>
              <w:t xml:space="preserve"> les PMA</w:t>
            </w:r>
            <w:r w:rsidRPr="00927778">
              <w:rPr>
                <w:color w:val="333333"/>
                <w:lang w:val="fr-FR"/>
              </w:rPr>
              <w:t xml:space="preserve"> et les pays en transition.</w:t>
            </w:r>
          </w:p>
          <w:p w:rsidR="001B0EEB" w:rsidRPr="00927778" w:rsidDel="00196374" w:rsidRDefault="001B0EEB" w:rsidP="006031CF">
            <w:pPr>
              <w:widowControl w:val="0"/>
              <w:rPr>
                <w:iCs/>
                <w:color w:val="333333"/>
                <w:lang w:val="fr-FR"/>
              </w:rPr>
            </w:pPr>
          </w:p>
        </w:tc>
      </w:tr>
      <w:tr w:rsidR="00047C22" w:rsidRPr="00927778" w:rsidTr="00F45974">
        <w:trPr>
          <w:trHeight w:val="1165"/>
        </w:trPr>
        <w:tc>
          <w:tcPr>
            <w:tcW w:w="2376" w:type="dxa"/>
            <w:shd w:val="clear" w:color="auto" w:fill="auto"/>
          </w:tcPr>
          <w:p w:rsidR="005E6718" w:rsidRPr="00927778" w:rsidRDefault="00801EDA" w:rsidP="00801EDA">
            <w:pPr>
              <w:pStyle w:val="Heading3"/>
              <w:keepNext w:val="0"/>
              <w:widowControl w:val="0"/>
              <w:rPr>
                <w:color w:val="333333"/>
                <w:lang w:val="fr-FR"/>
              </w:rPr>
            </w:pPr>
            <w:r w:rsidRPr="00927778">
              <w:rPr>
                <w:color w:val="333333"/>
                <w:lang w:val="fr-FR"/>
              </w:rPr>
              <w:t>État d</w:t>
            </w:r>
            <w:r w:rsidR="00EA2C86" w:rsidRPr="00927778">
              <w:rPr>
                <w:color w:val="333333"/>
                <w:lang w:val="fr-FR"/>
              </w:rPr>
              <w:t>’</w:t>
            </w:r>
            <w:r w:rsidRPr="00927778">
              <w:rPr>
                <w:color w:val="333333"/>
                <w:lang w:val="fr-FR"/>
              </w:rPr>
              <w:t>avancement du projet</w:t>
            </w:r>
          </w:p>
          <w:p w:rsidR="001B0EEB" w:rsidRPr="00927778" w:rsidRDefault="001B0EEB" w:rsidP="006031CF">
            <w:pPr>
              <w:pStyle w:val="Heading3"/>
              <w:keepNext w:val="0"/>
              <w:widowControl w:val="0"/>
              <w:rPr>
                <w:color w:val="333333"/>
                <w:lang w:val="fr-FR"/>
              </w:rPr>
            </w:pPr>
          </w:p>
        </w:tc>
        <w:tc>
          <w:tcPr>
            <w:tcW w:w="6912" w:type="dxa"/>
          </w:tcPr>
          <w:p w:rsidR="005E6718" w:rsidRPr="00927778" w:rsidRDefault="005E6718" w:rsidP="006031CF">
            <w:pPr>
              <w:widowControl w:val="0"/>
              <w:rPr>
                <w:color w:val="333333"/>
                <w:lang w:val="fr-FR"/>
              </w:rPr>
            </w:pPr>
          </w:p>
          <w:p w:rsidR="00EA2C86" w:rsidRPr="00927778" w:rsidRDefault="00E76C61" w:rsidP="006031CF">
            <w:pPr>
              <w:widowControl w:val="0"/>
              <w:rPr>
                <w:color w:val="333333"/>
                <w:lang w:val="fr-FR"/>
              </w:rPr>
            </w:pPr>
            <w:r w:rsidRPr="00927778">
              <w:rPr>
                <w:color w:val="333333"/>
                <w:lang w:val="fr-FR"/>
              </w:rPr>
              <w:t>Le recrutement du personnel temporaire chargé de coordonner les activ</w:t>
            </w:r>
            <w:r w:rsidR="000272FA" w:rsidRPr="00927778">
              <w:rPr>
                <w:color w:val="333333"/>
                <w:lang w:val="fr-FR"/>
              </w:rPr>
              <w:t>ités du</w:t>
            </w:r>
            <w:r w:rsidRPr="00927778">
              <w:rPr>
                <w:color w:val="333333"/>
                <w:lang w:val="fr-FR"/>
              </w:rPr>
              <w:t xml:space="preserve"> projet ainsi que des consultants externes chargés de contribuer aux différentes activités </w:t>
            </w:r>
            <w:r w:rsidR="000272FA" w:rsidRPr="00927778">
              <w:rPr>
                <w:color w:val="333333"/>
                <w:lang w:val="fr-FR"/>
              </w:rPr>
              <w:t>du</w:t>
            </w:r>
            <w:r w:rsidRPr="00927778">
              <w:rPr>
                <w:color w:val="333333"/>
                <w:lang w:val="fr-FR"/>
              </w:rPr>
              <w:t xml:space="preserve"> projet a été effectué e</w:t>
            </w:r>
            <w:r w:rsidR="00541FF8" w:rsidRPr="00927778">
              <w:rPr>
                <w:color w:val="333333"/>
                <w:lang w:val="fr-FR"/>
              </w:rPr>
              <w:t xml:space="preserve">ntre </w:t>
            </w:r>
            <w:r w:rsidR="00EA2C86" w:rsidRPr="00927778">
              <w:rPr>
                <w:color w:val="333333"/>
                <w:lang w:val="fr-FR"/>
              </w:rPr>
              <w:t>décembre 20</w:t>
            </w:r>
            <w:r w:rsidR="00541FF8" w:rsidRPr="00927778">
              <w:rPr>
                <w:color w:val="333333"/>
                <w:lang w:val="fr-FR"/>
              </w:rPr>
              <w:t xml:space="preserve">17 et </w:t>
            </w:r>
            <w:r w:rsidR="00EA2C86" w:rsidRPr="00927778">
              <w:rPr>
                <w:color w:val="333333"/>
                <w:lang w:val="fr-FR"/>
              </w:rPr>
              <w:t>avril 20</w:t>
            </w:r>
            <w:r w:rsidR="00541FF8" w:rsidRPr="00927778">
              <w:rPr>
                <w:color w:val="333333"/>
                <w:lang w:val="fr-FR"/>
              </w:rPr>
              <w:t>18</w:t>
            </w:r>
            <w:r w:rsidRPr="00927778">
              <w:rPr>
                <w:color w:val="333333"/>
                <w:lang w:val="fr-FR"/>
              </w:rPr>
              <w:t>.</w:t>
            </w:r>
          </w:p>
          <w:p w:rsidR="005E6718" w:rsidRPr="00927778" w:rsidRDefault="005E6718" w:rsidP="006031CF">
            <w:pPr>
              <w:widowControl w:val="0"/>
              <w:rPr>
                <w:color w:val="333333"/>
                <w:lang w:val="fr-FR"/>
              </w:rPr>
            </w:pPr>
          </w:p>
          <w:p w:rsidR="00EA2C86" w:rsidRPr="00927778" w:rsidRDefault="001B0EEB" w:rsidP="00EA1A2E">
            <w:pPr>
              <w:widowControl w:val="0"/>
              <w:numPr>
                <w:ilvl w:val="0"/>
                <w:numId w:val="17"/>
              </w:numPr>
              <w:ind w:left="414" w:hanging="414"/>
              <w:rPr>
                <w:bCs/>
                <w:color w:val="333333"/>
                <w:u w:val="single"/>
                <w:lang w:val="fr-FR"/>
              </w:rPr>
            </w:pPr>
            <w:r w:rsidRPr="00927778">
              <w:rPr>
                <w:bCs/>
                <w:color w:val="333333"/>
                <w:u w:val="single"/>
                <w:lang w:val="fr-FR"/>
              </w:rPr>
              <w:t>Manu</w:t>
            </w:r>
            <w:r w:rsidR="00BE2B95" w:rsidRPr="00927778">
              <w:rPr>
                <w:bCs/>
                <w:color w:val="333333"/>
                <w:u w:val="single"/>
                <w:lang w:val="fr-FR"/>
              </w:rPr>
              <w:t>e</w:t>
            </w:r>
            <w:r w:rsidRPr="00927778">
              <w:rPr>
                <w:bCs/>
                <w:color w:val="333333"/>
                <w:u w:val="single"/>
                <w:lang w:val="fr-FR"/>
              </w:rPr>
              <w:t xml:space="preserve">l </w:t>
            </w:r>
            <w:r w:rsidR="00442405" w:rsidRPr="00927778">
              <w:rPr>
                <w:bCs/>
                <w:color w:val="333333"/>
                <w:u w:val="single"/>
                <w:lang w:val="fr-FR"/>
              </w:rPr>
              <w:t xml:space="preserve">et </w:t>
            </w:r>
            <w:r w:rsidR="008D4E14" w:rsidRPr="00927778">
              <w:rPr>
                <w:bCs/>
                <w:color w:val="333333"/>
                <w:u w:val="single"/>
                <w:lang w:val="fr-FR"/>
              </w:rPr>
              <w:t>série d</w:t>
            </w:r>
            <w:r w:rsidR="00EA2C86" w:rsidRPr="00927778">
              <w:rPr>
                <w:bCs/>
                <w:color w:val="333333"/>
                <w:u w:val="single"/>
                <w:lang w:val="fr-FR"/>
              </w:rPr>
              <w:t>’</w:t>
            </w:r>
            <w:r w:rsidR="00442405" w:rsidRPr="00927778">
              <w:rPr>
                <w:bCs/>
                <w:color w:val="333333"/>
                <w:u w:val="single"/>
                <w:lang w:val="fr-FR"/>
              </w:rPr>
              <w:t xml:space="preserve">outils </w:t>
            </w:r>
            <w:r w:rsidR="00F97204" w:rsidRPr="00927778">
              <w:rPr>
                <w:bCs/>
                <w:color w:val="333333"/>
                <w:u w:val="single"/>
                <w:lang w:val="fr-FR"/>
              </w:rPr>
              <w:t>d</w:t>
            </w:r>
            <w:r w:rsidR="00EA2C86" w:rsidRPr="00927778">
              <w:rPr>
                <w:bCs/>
                <w:color w:val="333333"/>
                <w:u w:val="single"/>
                <w:lang w:val="fr-FR"/>
              </w:rPr>
              <w:t>’</w:t>
            </w:r>
            <w:r w:rsidR="00F97204" w:rsidRPr="00927778">
              <w:rPr>
                <w:bCs/>
                <w:color w:val="333333"/>
                <w:u w:val="single"/>
                <w:lang w:val="fr-FR"/>
              </w:rPr>
              <w:t>évaluation des</w:t>
            </w:r>
            <w:r w:rsidR="00FB3CF3" w:rsidRPr="00927778">
              <w:rPr>
                <w:bCs/>
                <w:color w:val="333333"/>
                <w:u w:val="single"/>
                <w:lang w:val="fr-FR"/>
              </w:rPr>
              <w:t xml:space="preserve"> </w:t>
            </w:r>
            <w:r w:rsidR="00442405" w:rsidRPr="00927778">
              <w:rPr>
                <w:bCs/>
                <w:color w:val="333333"/>
                <w:u w:val="single"/>
                <w:lang w:val="fr-FR"/>
              </w:rPr>
              <w:t xml:space="preserve">besoins de formation </w:t>
            </w:r>
            <w:r w:rsidR="00B01849" w:rsidRPr="00927778">
              <w:rPr>
                <w:bCs/>
                <w:color w:val="333333"/>
                <w:u w:val="single"/>
                <w:lang w:val="fr-FR"/>
              </w:rPr>
              <w:t>en matière</w:t>
            </w:r>
            <w:r w:rsidR="00442405" w:rsidRPr="00927778">
              <w:rPr>
                <w:bCs/>
                <w:color w:val="333333"/>
                <w:u w:val="single"/>
                <w:lang w:val="fr-FR"/>
              </w:rPr>
              <w:t xml:space="preserve"> </w:t>
            </w:r>
            <w:r w:rsidR="00C70E17" w:rsidRPr="00927778">
              <w:rPr>
                <w:bCs/>
                <w:color w:val="333333"/>
                <w:u w:val="single"/>
                <w:lang w:val="fr-FR"/>
              </w:rPr>
              <w:t xml:space="preserve">de </w:t>
            </w:r>
            <w:r w:rsidR="00442405" w:rsidRPr="00927778">
              <w:rPr>
                <w:bCs/>
                <w:color w:val="333333"/>
                <w:u w:val="single"/>
                <w:lang w:val="fr-FR"/>
              </w:rPr>
              <w:t>transfert de technologie</w:t>
            </w:r>
          </w:p>
          <w:p w:rsidR="005E6718" w:rsidRPr="00927778" w:rsidRDefault="005E6718" w:rsidP="006031CF">
            <w:pPr>
              <w:widowControl w:val="0"/>
              <w:rPr>
                <w:color w:val="333333"/>
                <w:lang w:val="fr-FR"/>
              </w:rPr>
            </w:pPr>
          </w:p>
          <w:p w:rsidR="005E6718" w:rsidRPr="00927778" w:rsidRDefault="00973315" w:rsidP="006031CF">
            <w:pPr>
              <w:widowControl w:val="0"/>
              <w:rPr>
                <w:color w:val="333333"/>
                <w:lang w:val="fr-FR"/>
              </w:rPr>
            </w:pPr>
            <w:r w:rsidRPr="00927778">
              <w:rPr>
                <w:color w:val="333333"/>
                <w:lang w:val="fr-FR"/>
              </w:rPr>
              <w:t>Dans le cadre de</w:t>
            </w:r>
            <w:r w:rsidR="00735B57" w:rsidRPr="00927778">
              <w:rPr>
                <w:color w:val="333333"/>
                <w:lang w:val="fr-FR"/>
              </w:rPr>
              <w:t xml:space="preserve"> la</w:t>
            </w:r>
            <w:r w:rsidR="00442405" w:rsidRPr="00927778">
              <w:rPr>
                <w:color w:val="333333"/>
                <w:lang w:val="fr-FR"/>
              </w:rPr>
              <w:t xml:space="preserve"> stratégie </w:t>
            </w:r>
            <w:r w:rsidRPr="00927778">
              <w:rPr>
                <w:color w:val="333333"/>
                <w:lang w:val="fr-FR"/>
              </w:rPr>
              <w:t>de mise en œuvre</w:t>
            </w:r>
            <w:r w:rsidR="00063DA0" w:rsidRPr="00927778">
              <w:rPr>
                <w:color w:val="333333"/>
                <w:lang w:val="fr-FR"/>
              </w:rPr>
              <w:t xml:space="preserve"> </w:t>
            </w:r>
            <w:r w:rsidR="00442405" w:rsidRPr="00927778">
              <w:rPr>
                <w:color w:val="333333"/>
                <w:lang w:val="fr-FR"/>
              </w:rPr>
              <w:t xml:space="preserve">du projet </w:t>
            </w:r>
            <w:r w:rsidR="008D4E14" w:rsidRPr="00927778">
              <w:rPr>
                <w:color w:val="333333"/>
                <w:lang w:val="fr-FR"/>
              </w:rPr>
              <w:t xml:space="preserve">et </w:t>
            </w:r>
            <w:r w:rsidR="00735B57" w:rsidRPr="00927778">
              <w:rPr>
                <w:color w:val="333333"/>
                <w:lang w:val="fr-FR"/>
              </w:rPr>
              <w:t>de</w:t>
            </w:r>
            <w:r w:rsidR="008D4E14" w:rsidRPr="00927778">
              <w:rPr>
                <w:color w:val="333333"/>
                <w:lang w:val="fr-FR"/>
              </w:rPr>
              <w:t xml:space="preserve"> l</w:t>
            </w:r>
            <w:r w:rsidR="00EA2C86" w:rsidRPr="00927778">
              <w:rPr>
                <w:color w:val="333333"/>
                <w:lang w:val="fr-FR"/>
              </w:rPr>
              <w:t>’</w:t>
            </w:r>
            <w:r w:rsidR="008D4E14" w:rsidRPr="00927778">
              <w:rPr>
                <w:color w:val="333333"/>
                <w:lang w:val="fr-FR"/>
              </w:rPr>
              <w:t>élaboration d</w:t>
            </w:r>
            <w:r w:rsidR="00EA2C86" w:rsidRPr="00927778">
              <w:rPr>
                <w:color w:val="333333"/>
                <w:lang w:val="fr-FR"/>
              </w:rPr>
              <w:t>’</w:t>
            </w:r>
            <w:r w:rsidR="008D4E14" w:rsidRPr="00927778">
              <w:rPr>
                <w:color w:val="333333"/>
                <w:lang w:val="fr-FR"/>
              </w:rPr>
              <w:t>une méthodologie</w:t>
            </w:r>
            <w:r w:rsidR="00442405" w:rsidRPr="00927778">
              <w:rPr>
                <w:color w:val="333333"/>
                <w:lang w:val="fr-FR"/>
              </w:rPr>
              <w:t xml:space="preserve"> et d</w:t>
            </w:r>
            <w:r w:rsidR="00EA2C86" w:rsidRPr="00927778">
              <w:rPr>
                <w:color w:val="333333"/>
                <w:lang w:val="fr-FR"/>
              </w:rPr>
              <w:t>’</w:t>
            </w:r>
            <w:r w:rsidR="008D4E14" w:rsidRPr="00927778">
              <w:rPr>
                <w:color w:val="333333"/>
                <w:lang w:val="fr-FR"/>
              </w:rPr>
              <w:t>une série d</w:t>
            </w:r>
            <w:r w:rsidR="00EA2C86" w:rsidRPr="00927778">
              <w:rPr>
                <w:color w:val="333333"/>
                <w:lang w:val="fr-FR"/>
              </w:rPr>
              <w:t>’</w:t>
            </w:r>
            <w:r w:rsidR="00442405" w:rsidRPr="00927778">
              <w:rPr>
                <w:color w:val="333333"/>
                <w:lang w:val="fr-FR"/>
              </w:rPr>
              <w:t xml:space="preserve">outils </w:t>
            </w:r>
            <w:r w:rsidRPr="00927778">
              <w:rPr>
                <w:color w:val="333333"/>
                <w:lang w:val="fr-FR"/>
              </w:rPr>
              <w:t>d</w:t>
            </w:r>
            <w:r w:rsidR="00EA2C86" w:rsidRPr="00927778">
              <w:rPr>
                <w:color w:val="333333"/>
                <w:lang w:val="fr-FR"/>
              </w:rPr>
              <w:t>’</w:t>
            </w:r>
            <w:r w:rsidRPr="00927778">
              <w:rPr>
                <w:color w:val="333333"/>
                <w:lang w:val="fr-FR"/>
              </w:rPr>
              <w:t>évaluation des</w:t>
            </w:r>
            <w:r w:rsidR="00442405" w:rsidRPr="00927778">
              <w:rPr>
                <w:color w:val="333333"/>
                <w:lang w:val="fr-FR"/>
              </w:rPr>
              <w:t xml:space="preserve"> besoins de formation </w:t>
            </w:r>
            <w:r w:rsidR="00B01849" w:rsidRPr="00927778">
              <w:rPr>
                <w:color w:val="333333"/>
                <w:lang w:val="fr-FR"/>
              </w:rPr>
              <w:t>en matière de</w:t>
            </w:r>
            <w:r w:rsidR="00442405" w:rsidRPr="00927778">
              <w:rPr>
                <w:color w:val="333333"/>
                <w:lang w:val="fr-FR"/>
              </w:rPr>
              <w:t xml:space="preserve"> transfert de technologie</w:t>
            </w:r>
            <w:r w:rsidRPr="00927778">
              <w:rPr>
                <w:color w:val="333333"/>
                <w:lang w:val="fr-FR"/>
              </w:rPr>
              <w:t>,</w:t>
            </w:r>
            <w:r w:rsidR="00442405" w:rsidRPr="00927778">
              <w:rPr>
                <w:color w:val="333333"/>
                <w:lang w:val="fr-FR"/>
              </w:rPr>
              <w:t xml:space="preserve"> de commercialisation et </w:t>
            </w:r>
            <w:r w:rsidRPr="00927778">
              <w:rPr>
                <w:color w:val="333333"/>
                <w:lang w:val="fr-FR"/>
              </w:rPr>
              <w:t>d</w:t>
            </w:r>
            <w:r w:rsidR="00EA2C86" w:rsidRPr="00927778">
              <w:rPr>
                <w:color w:val="333333"/>
                <w:lang w:val="fr-FR"/>
              </w:rPr>
              <w:t>’</w:t>
            </w:r>
            <w:r w:rsidR="00442405" w:rsidRPr="00927778">
              <w:rPr>
                <w:color w:val="333333"/>
                <w:lang w:val="fr-FR"/>
              </w:rPr>
              <w:t>utilisation</w:t>
            </w:r>
            <w:r w:rsidRPr="00927778">
              <w:rPr>
                <w:color w:val="333333"/>
                <w:lang w:val="fr-FR"/>
              </w:rPr>
              <w:t>, et afin</w:t>
            </w:r>
            <w:r w:rsidR="00442405" w:rsidRPr="00927778">
              <w:rPr>
                <w:color w:val="333333"/>
                <w:lang w:val="fr-FR"/>
              </w:rPr>
              <w:t xml:space="preserve"> de mieux cibler</w:t>
            </w:r>
            <w:r w:rsidRPr="00927778">
              <w:rPr>
                <w:color w:val="333333"/>
                <w:lang w:val="fr-FR"/>
              </w:rPr>
              <w:t xml:space="preserve"> le public, le sujet et la réalisation d</w:t>
            </w:r>
            <w:r w:rsidR="00D86101" w:rsidRPr="00927778">
              <w:rPr>
                <w:color w:val="333333"/>
                <w:lang w:val="fr-FR"/>
              </w:rPr>
              <w:t>es activités de formation, un expert en évaluation des besoins de formation a été recruté pour préparer le manue</w:t>
            </w:r>
            <w:r w:rsidR="008D4E14" w:rsidRPr="00927778">
              <w:rPr>
                <w:color w:val="333333"/>
                <w:lang w:val="fr-FR"/>
              </w:rPr>
              <w:t>l</w:t>
            </w:r>
            <w:r w:rsidR="009F4886" w:rsidRPr="00927778">
              <w:rPr>
                <w:color w:val="333333"/>
                <w:lang w:val="fr-FR"/>
              </w:rPr>
              <w:t xml:space="preserve"> et</w:t>
            </w:r>
            <w:r w:rsidR="00D86101" w:rsidRPr="00927778">
              <w:rPr>
                <w:color w:val="333333"/>
                <w:lang w:val="fr-FR"/>
              </w:rPr>
              <w:t xml:space="preserve"> une série d</w:t>
            </w:r>
            <w:r w:rsidR="00EA2C86" w:rsidRPr="00927778">
              <w:rPr>
                <w:color w:val="333333"/>
                <w:lang w:val="fr-FR"/>
              </w:rPr>
              <w:t>’</w:t>
            </w:r>
            <w:r w:rsidR="00D86101" w:rsidRPr="00927778">
              <w:rPr>
                <w:color w:val="333333"/>
                <w:lang w:val="fr-FR"/>
              </w:rPr>
              <w:t xml:space="preserve">outils </w:t>
            </w:r>
            <w:r w:rsidR="009F4886" w:rsidRPr="00927778">
              <w:rPr>
                <w:color w:val="333333"/>
                <w:lang w:val="fr-FR"/>
              </w:rPr>
              <w:t>comprenant</w:t>
            </w:r>
            <w:r w:rsidRPr="00927778">
              <w:rPr>
                <w:color w:val="333333"/>
                <w:lang w:val="fr-FR"/>
              </w:rPr>
              <w:t xml:space="preserve"> notamment</w:t>
            </w:r>
            <w:r w:rsidR="009F4886" w:rsidRPr="00927778">
              <w:rPr>
                <w:color w:val="333333"/>
                <w:lang w:val="fr-FR"/>
              </w:rPr>
              <w:t xml:space="preserve"> une enquête et d</w:t>
            </w:r>
            <w:r w:rsidR="00D86101" w:rsidRPr="00927778">
              <w:rPr>
                <w:color w:val="333333"/>
                <w:lang w:val="fr-FR"/>
              </w:rPr>
              <w:t xml:space="preserve">es modèles </w:t>
            </w:r>
            <w:r w:rsidR="009F4886" w:rsidRPr="00927778">
              <w:rPr>
                <w:color w:val="333333"/>
                <w:lang w:val="fr-FR"/>
              </w:rPr>
              <w:t>de questionnaire</w:t>
            </w:r>
            <w:r w:rsidR="001B0EEB" w:rsidRPr="00927778">
              <w:rPr>
                <w:color w:val="333333"/>
                <w:lang w:val="fr-FR"/>
              </w:rPr>
              <w:t>.</w:t>
            </w:r>
          </w:p>
          <w:p w:rsidR="005E6718" w:rsidRPr="00927778" w:rsidRDefault="005E6718" w:rsidP="006031CF">
            <w:pPr>
              <w:widowControl w:val="0"/>
              <w:rPr>
                <w:color w:val="333333"/>
                <w:lang w:val="fr-FR"/>
              </w:rPr>
            </w:pPr>
          </w:p>
          <w:p w:rsidR="00EA2C86" w:rsidRPr="00927778" w:rsidRDefault="00D86101" w:rsidP="006031CF">
            <w:pPr>
              <w:widowControl w:val="0"/>
              <w:rPr>
                <w:color w:val="333333"/>
                <w:lang w:val="fr-FR"/>
              </w:rPr>
            </w:pPr>
            <w:r w:rsidRPr="00927778">
              <w:rPr>
                <w:color w:val="333333"/>
                <w:lang w:val="fr-FR"/>
              </w:rPr>
              <w:t>L</w:t>
            </w:r>
            <w:r w:rsidR="00EA2C86" w:rsidRPr="00927778">
              <w:rPr>
                <w:color w:val="333333"/>
                <w:lang w:val="fr-FR"/>
              </w:rPr>
              <w:t>’</w:t>
            </w:r>
            <w:r w:rsidRPr="00927778">
              <w:rPr>
                <w:color w:val="333333"/>
                <w:lang w:val="fr-FR"/>
              </w:rPr>
              <w:t>expert en évaluation des besoins de formation a collaboré avec l</w:t>
            </w:r>
            <w:r w:rsidR="00EA2C86" w:rsidRPr="00927778">
              <w:rPr>
                <w:color w:val="333333"/>
                <w:lang w:val="fr-FR"/>
              </w:rPr>
              <w:t>’</w:t>
            </w:r>
            <w:r w:rsidRPr="00927778">
              <w:rPr>
                <w:color w:val="333333"/>
                <w:lang w:val="fr-FR"/>
              </w:rPr>
              <w:t xml:space="preserve">équipe </w:t>
            </w:r>
            <w:r w:rsidR="00F97204" w:rsidRPr="00927778">
              <w:rPr>
                <w:color w:val="333333"/>
                <w:lang w:val="fr-FR"/>
              </w:rPr>
              <w:t>de</w:t>
            </w:r>
            <w:r w:rsidRPr="00927778">
              <w:rPr>
                <w:color w:val="333333"/>
                <w:lang w:val="fr-FR"/>
              </w:rPr>
              <w:t xml:space="preserve"> l</w:t>
            </w:r>
            <w:r w:rsidR="00EA2C86" w:rsidRPr="00927778">
              <w:rPr>
                <w:color w:val="333333"/>
                <w:lang w:val="fr-FR"/>
              </w:rPr>
              <w:t>’</w:t>
            </w:r>
            <w:r w:rsidRPr="00927778">
              <w:rPr>
                <w:color w:val="333333"/>
                <w:lang w:val="fr-FR"/>
              </w:rPr>
              <w:t xml:space="preserve">OMPI </w:t>
            </w:r>
            <w:r w:rsidR="00F97204" w:rsidRPr="00927778">
              <w:rPr>
                <w:color w:val="333333"/>
                <w:lang w:val="fr-FR"/>
              </w:rPr>
              <w:t xml:space="preserve">responsable du projet </w:t>
            </w:r>
            <w:r w:rsidRPr="00927778">
              <w:rPr>
                <w:color w:val="333333"/>
                <w:lang w:val="fr-FR"/>
              </w:rPr>
              <w:t>pour élaborer la p</w:t>
            </w:r>
            <w:r w:rsidR="008D4E14" w:rsidRPr="00927778">
              <w:rPr>
                <w:color w:val="333333"/>
                <w:lang w:val="fr-FR"/>
              </w:rPr>
              <w:t>remière version du manuel et de la série d</w:t>
            </w:r>
            <w:r w:rsidR="00EA2C86" w:rsidRPr="00927778">
              <w:rPr>
                <w:color w:val="333333"/>
                <w:lang w:val="fr-FR"/>
              </w:rPr>
              <w:t>’</w:t>
            </w:r>
            <w:r w:rsidRPr="00927778">
              <w:rPr>
                <w:color w:val="333333"/>
                <w:lang w:val="fr-FR"/>
              </w:rPr>
              <w:t>outils relatifs à l</w:t>
            </w:r>
            <w:r w:rsidR="00EA2C86" w:rsidRPr="00927778">
              <w:rPr>
                <w:color w:val="333333"/>
                <w:lang w:val="fr-FR"/>
              </w:rPr>
              <w:t>’</w:t>
            </w:r>
            <w:r w:rsidRPr="00927778">
              <w:rPr>
                <w:color w:val="333333"/>
                <w:lang w:val="fr-FR"/>
              </w:rPr>
              <w:t xml:space="preserve">évaluation des besoins en formation en matière de transfert de </w:t>
            </w:r>
            <w:r w:rsidR="00B104C1" w:rsidRPr="00927778">
              <w:rPr>
                <w:color w:val="333333"/>
                <w:lang w:val="fr-FR"/>
              </w:rPr>
              <w:t>technolog</w:t>
            </w:r>
            <w:r w:rsidR="00306E74" w:rsidRPr="00927778">
              <w:rPr>
                <w:color w:val="333333"/>
                <w:lang w:val="fr-FR"/>
              </w:rPr>
              <w:t>ie.  Il</w:t>
            </w:r>
            <w:r w:rsidR="00C915C0" w:rsidRPr="00927778">
              <w:rPr>
                <w:color w:val="333333"/>
                <w:lang w:val="fr-FR"/>
              </w:rPr>
              <w:t xml:space="preserve"> l</w:t>
            </w:r>
            <w:r w:rsidR="00F97204" w:rsidRPr="00927778">
              <w:rPr>
                <w:color w:val="333333"/>
                <w:lang w:val="fr-FR"/>
              </w:rPr>
              <w:t>a lui</w:t>
            </w:r>
            <w:r w:rsidRPr="00927778">
              <w:rPr>
                <w:color w:val="333333"/>
                <w:lang w:val="fr-FR"/>
              </w:rPr>
              <w:t xml:space="preserve"> </w:t>
            </w:r>
            <w:r w:rsidR="00C915C0" w:rsidRPr="00927778">
              <w:rPr>
                <w:color w:val="333333"/>
                <w:lang w:val="fr-FR"/>
              </w:rPr>
              <w:t xml:space="preserve">a </w:t>
            </w:r>
            <w:r w:rsidRPr="00927778">
              <w:rPr>
                <w:color w:val="333333"/>
                <w:lang w:val="fr-FR"/>
              </w:rPr>
              <w:t xml:space="preserve">remise à la fin </w:t>
            </w:r>
            <w:r w:rsidR="00F97204" w:rsidRPr="00927778">
              <w:rPr>
                <w:color w:val="333333"/>
                <w:lang w:val="fr-FR"/>
              </w:rPr>
              <w:t xml:space="preserve">du mois de </w:t>
            </w:r>
            <w:r w:rsidR="00EA2C86" w:rsidRPr="00927778">
              <w:rPr>
                <w:color w:val="333333"/>
                <w:lang w:val="fr-FR"/>
              </w:rPr>
              <w:t>juin 20</w:t>
            </w:r>
            <w:r w:rsidRPr="00927778">
              <w:rPr>
                <w:color w:val="333333"/>
                <w:lang w:val="fr-FR"/>
              </w:rPr>
              <w:t>18.</w:t>
            </w:r>
          </w:p>
          <w:p w:rsidR="005E6718" w:rsidRPr="00927778" w:rsidRDefault="005E6718" w:rsidP="006031CF">
            <w:pPr>
              <w:widowControl w:val="0"/>
              <w:rPr>
                <w:color w:val="333333"/>
                <w:lang w:val="fr-FR"/>
              </w:rPr>
            </w:pPr>
          </w:p>
          <w:p w:rsidR="005E6718" w:rsidRPr="00927778" w:rsidRDefault="00D86101" w:rsidP="006031CF">
            <w:pPr>
              <w:widowControl w:val="0"/>
              <w:rPr>
                <w:color w:val="333333"/>
                <w:lang w:val="fr-FR"/>
              </w:rPr>
            </w:pPr>
            <w:r w:rsidRPr="00927778">
              <w:rPr>
                <w:color w:val="333333"/>
                <w:lang w:val="fr-FR"/>
              </w:rPr>
              <w:t>Au cours d</w:t>
            </w:r>
            <w:r w:rsidR="00EA2C86" w:rsidRPr="00927778">
              <w:rPr>
                <w:color w:val="333333"/>
                <w:lang w:val="fr-FR"/>
              </w:rPr>
              <w:t>’</w:t>
            </w:r>
            <w:r w:rsidRPr="00927778">
              <w:rPr>
                <w:color w:val="333333"/>
                <w:lang w:val="fr-FR"/>
              </w:rPr>
              <w:t>une réunion organisée à Genève les 12 et 1</w:t>
            </w:r>
            <w:r w:rsidR="00EA2C86" w:rsidRPr="00927778">
              <w:rPr>
                <w:color w:val="333333"/>
                <w:lang w:val="fr-FR"/>
              </w:rPr>
              <w:t>3 juillet 20</w:t>
            </w:r>
            <w:r w:rsidRPr="00927778">
              <w:rPr>
                <w:color w:val="333333"/>
                <w:lang w:val="fr-FR"/>
              </w:rPr>
              <w:t>18, l</w:t>
            </w:r>
            <w:r w:rsidR="00EA2C86" w:rsidRPr="00927778">
              <w:rPr>
                <w:color w:val="333333"/>
                <w:lang w:val="fr-FR"/>
              </w:rPr>
              <w:t>’</w:t>
            </w:r>
            <w:r w:rsidRPr="00927778">
              <w:rPr>
                <w:color w:val="333333"/>
                <w:lang w:val="fr-FR"/>
              </w:rPr>
              <w:t>expert en évaluation des besoins de formation a présenté la première vers</w:t>
            </w:r>
            <w:r w:rsidR="004853BF" w:rsidRPr="00927778">
              <w:rPr>
                <w:color w:val="333333"/>
                <w:lang w:val="fr-FR"/>
              </w:rPr>
              <w:t xml:space="preserve">ion du manuel et </w:t>
            </w:r>
            <w:r w:rsidR="008D4E14" w:rsidRPr="00927778">
              <w:rPr>
                <w:color w:val="333333"/>
                <w:lang w:val="fr-FR"/>
              </w:rPr>
              <w:t>de la série d</w:t>
            </w:r>
            <w:r w:rsidR="00EA2C86" w:rsidRPr="00927778">
              <w:rPr>
                <w:color w:val="333333"/>
                <w:lang w:val="fr-FR"/>
              </w:rPr>
              <w:t>’</w:t>
            </w:r>
            <w:r w:rsidR="008D4E14" w:rsidRPr="00927778">
              <w:rPr>
                <w:color w:val="333333"/>
                <w:lang w:val="fr-FR"/>
              </w:rPr>
              <w:t xml:space="preserve">outils </w:t>
            </w:r>
            <w:r w:rsidR="004853BF" w:rsidRPr="00927778">
              <w:rPr>
                <w:color w:val="333333"/>
                <w:lang w:val="fr-FR"/>
              </w:rPr>
              <w:t xml:space="preserve">à </w:t>
            </w:r>
            <w:r w:rsidR="00A13442" w:rsidRPr="00927778">
              <w:rPr>
                <w:color w:val="333333"/>
                <w:lang w:val="fr-FR"/>
              </w:rPr>
              <w:t>l</w:t>
            </w:r>
            <w:r w:rsidR="00EA2C86" w:rsidRPr="00927778">
              <w:rPr>
                <w:color w:val="333333"/>
                <w:lang w:val="fr-FR"/>
              </w:rPr>
              <w:t>’</w:t>
            </w:r>
            <w:r w:rsidR="00A13442" w:rsidRPr="00927778">
              <w:rPr>
                <w:color w:val="333333"/>
                <w:lang w:val="fr-FR"/>
              </w:rPr>
              <w:t>équipe de l</w:t>
            </w:r>
            <w:r w:rsidR="00EA2C86" w:rsidRPr="00927778">
              <w:rPr>
                <w:color w:val="333333"/>
                <w:lang w:val="fr-FR"/>
              </w:rPr>
              <w:t>’</w:t>
            </w:r>
            <w:r w:rsidR="00A13442" w:rsidRPr="00927778">
              <w:rPr>
                <w:color w:val="333333"/>
                <w:lang w:val="fr-FR"/>
              </w:rPr>
              <w:t>OMPI responsable du projet</w:t>
            </w:r>
            <w:r w:rsidR="004853BF" w:rsidRPr="00927778">
              <w:rPr>
                <w:color w:val="333333"/>
                <w:lang w:val="fr-FR"/>
              </w:rPr>
              <w:t xml:space="preserve"> et aux experts des pays (voir ci</w:t>
            </w:r>
            <w:r w:rsidR="00CB5AE0" w:rsidRPr="00927778">
              <w:rPr>
                <w:color w:val="333333"/>
                <w:lang w:val="fr-FR"/>
              </w:rPr>
              <w:noBreakHyphen/>
            </w:r>
            <w:r w:rsidR="004853BF" w:rsidRPr="00927778">
              <w:rPr>
                <w:color w:val="333333"/>
                <w:lang w:val="fr-FR"/>
              </w:rPr>
              <w:t>après) qui conduiront les évaluations des besoins de formation dans les pays pilot</w:t>
            </w:r>
            <w:r w:rsidR="00306E74" w:rsidRPr="00927778">
              <w:rPr>
                <w:color w:val="333333"/>
                <w:lang w:val="fr-FR"/>
              </w:rPr>
              <w:t xml:space="preserve">es.  À </w:t>
            </w:r>
            <w:r w:rsidR="00A13442" w:rsidRPr="00927778">
              <w:rPr>
                <w:color w:val="333333"/>
                <w:lang w:val="fr-FR"/>
              </w:rPr>
              <w:t>cette occasion</w:t>
            </w:r>
            <w:r w:rsidR="00DD4064" w:rsidRPr="00927778">
              <w:rPr>
                <w:color w:val="333333"/>
                <w:lang w:val="fr-FR"/>
              </w:rPr>
              <w:t>, l</w:t>
            </w:r>
            <w:r w:rsidR="004853BF" w:rsidRPr="00927778">
              <w:rPr>
                <w:color w:val="333333"/>
                <w:lang w:val="fr-FR"/>
              </w:rPr>
              <w:t xml:space="preserve">es experts </w:t>
            </w:r>
            <w:r w:rsidR="00DD4064" w:rsidRPr="00927778">
              <w:rPr>
                <w:color w:val="333333"/>
                <w:lang w:val="fr-FR"/>
              </w:rPr>
              <w:t>ont pu</w:t>
            </w:r>
            <w:r w:rsidR="004853BF" w:rsidRPr="00927778">
              <w:rPr>
                <w:color w:val="333333"/>
                <w:lang w:val="fr-FR"/>
              </w:rPr>
              <w:t xml:space="preserve"> soumettre leurs contributions </w:t>
            </w:r>
            <w:r w:rsidR="00C915C0" w:rsidRPr="00927778">
              <w:rPr>
                <w:color w:val="333333"/>
                <w:lang w:val="fr-FR"/>
              </w:rPr>
              <w:t xml:space="preserve">au </w:t>
            </w:r>
            <w:r w:rsidR="004853BF" w:rsidRPr="00927778">
              <w:rPr>
                <w:color w:val="333333"/>
                <w:lang w:val="fr-FR"/>
              </w:rPr>
              <w:t xml:space="preserve">manuel et </w:t>
            </w:r>
            <w:r w:rsidR="00C915C0" w:rsidRPr="00927778">
              <w:rPr>
                <w:color w:val="333333"/>
                <w:lang w:val="fr-FR"/>
              </w:rPr>
              <w:t xml:space="preserve">à </w:t>
            </w:r>
            <w:r w:rsidR="008D4E14" w:rsidRPr="00927778">
              <w:rPr>
                <w:color w:val="333333"/>
                <w:lang w:val="fr-FR"/>
              </w:rPr>
              <w:t>la série d</w:t>
            </w:r>
            <w:r w:rsidR="00EA2C86" w:rsidRPr="00927778">
              <w:rPr>
                <w:color w:val="333333"/>
                <w:lang w:val="fr-FR"/>
              </w:rPr>
              <w:t>’</w:t>
            </w:r>
            <w:r w:rsidR="008D4E14" w:rsidRPr="00927778">
              <w:rPr>
                <w:color w:val="333333"/>
                <w:lang w:val="fr-FR"/>
              </w:rPr>
              <w:t xml:space="preserve">outils </w:t>
            </w:r>
            <w:r w:rsidR="004853BF" w:rsidRPr="00927778">
              <w:rPr>
                <w:color w:val="333333"/>
                <w:lang w:val="fr-FR"/>
              </w:rPr>
              <w:t>et débattre de la voie à adopter pour la mise en œuvre de l</w:t>
            </w:r>
            <w:r w:rsidR="00EA2C86" w:rsidRPr="00927778">
              <w:rPr>
                <w:color w:val="333333"/>
                <w:lang w:val="fr-FR"/>
              </w:rPr>
              <w:t>’</w:t>
            </w:r>
            <w:r w:rsidR="004853BF" w:rsidRPr="00927778">
              <w:rPr>
                <w:color w:val="333333"/>
                <w:lang w:val="fr-FR"/>
              </w:rPr>
              <w:t>évaluation des besoins de formation et l</w:t>
            </w:r>
            <w:r w:rsidR="00EA2C86" w:rsidRPr="00927778">
              <w:rPr>
                <w:color w:val="333333"/>
                <w:lang w:val="fr-FR"/>
              </w:rPr>
              <w:t>’</w:t>
            </w:r>
            <w:r w:rsidR="004853BF" w:rsidRPr="00927778">
              <w:rPr>
                <w:color w:val="333333"/>
                <w:lang w:val="fr-FR"/>
              </w:rPr>
              <w:t>ins</w:t>
            </w:r>
            <w:r w:rsidR="00DD4064" w:rsidRPr="00927778">
              <w:rPr>
                <w:color w:val="333333"/>
                <w:lang w:val="fr-FR"/>
              </w:rPr>
              <w:t>tauration de plans de formation</w:t>
            </w:r>
            <w:r w:rsidR="004853BF" w:rsidRPr="00927778">
              <w:rPr>
                <w:color w:val="333333"/>
                <w:lang w:val="fr-FR"/>
              </w:rPr>
              <w:t xml:space="preserve"> dans chaque pays</w:t>
            </w:r>
            <w:r w:rsidR="001B0EEB" w:rsidRPr="00927778">
              <w:rPr>
                <w:color w:val="333333"/>
                <w:lang w:val="fr-FR"/>
              </w:rPr>
              <w:t>.</w:t>
            </w:r>
          </w:p>
          <w:p w:rsidR="005E6718" w:rsidRPr="00927778" w:rsidRDefault="005E6718" w:rsidP="006031CF">
            <w:pPr>
              <w:widowControl w:val="0"/>
              <w:rPr>
                <w:color w:val="333333"/>
                <w:lang w:val="fr-FR"/>
              </w:rPr>
            </w:pPr>
          </w:p>
          <w:p w:rsidR="005E6718" w:rsidRPr="00927778" w:rsidRDefault="00F0614D" w:rsidP="00EA1A2E">
            <w:pPr>
              <w:widowControl w:val="0"/>
              <w:numPr>
                <w:ilvl w:val="0"/>
                <w:numId w:val="17"/>
              </w:numPr>
              <w:ind w:left="414" w:hanging="414"/>
              <w:rPr>
                <w:bCs/>
                <w:color w:val="333333"/>
                <w:u w:val="single"/>
                <w:lang w:val="fr-FR"/>
              </w:rPr>
            </w:pPr>
            <w:r w:rsidRPr="00927778">
              <w:rPr>
                <w:color w:val="333333"/>
                <w:u w:val="single"/>
                <w:lang w:val="fr-FR"/>
              </w:rPr>
              <w:t xml:space="preserve">Inventaire des chaînes de </w:t>
            </w:r>
            <w:r w:rsidR="008C07A3" w:rsidRPr="00927778">
              <w:rPr>
                <w:color w:val="333333"/>
                <w:u w:val="single"/>
                <w:lang w:val="fr-FR"/>
              </w:rPr>
              <w:t>valorisation</w:t>
            </w:r>
            <w:r w:rsidRPr="00927778">
              <w:rPr>
                <w:color w:val="333333"/>
                <w:u w:val="single"/>
                <w:lang w:val="fr-FR"/>
              </w:rPr>
              <w:t xml:space="preserve"> de l</w:t>
            </w:r>
            <w:r w:rsidR="00EA2C86" w:rsidRPr="00927778">
              <w:rPr>
                <w:color w:val="333333"/>
                <w:u w:val="single"/>
                <w:lang w:val="fr-FR"/>
              </w:rPr>
              <w:t>’</w:t>
            </w:r>
            <w:r w:rsidR="001B0EEB" w:rsidRPr="00927778">
              <w:rPr>
                <w:color w:val="333333"/>
                <w:u w:val="single"/>
                <w:lang w:val="fr-FR"/>
              </w:rPr>
              <w:t xml:space="preserve">innovation </w:t>
            </w:r>
            <w:r w:rsidRPr="00927778">
              <w:rPr>
                <w:color w:val="333333"/>
                <w:u w:val="single"/>
                <w:lang w:val="fr-FR"/>
              </w:rPr>
              <w:t xml:space="preserve">dans </w:t>
            </w:r>
            <w:r w:rsidR="00057D12" w:rsidRPr="00927778">
              <w:rPr>
                <w:color w:val="333333"/>
                <w:u w:val="single"/>
                <w:lang w:val="fr-FR"/>
              </w:rPr>
              <w:t xml:space="preserve">les </w:t>
            </w:r>
            <w:r w:rsidRPr="00927778">
              <w:rPr>
                <w:color w:val="333333"/>
                <w:u w:val="single"/>
                <w:lang w:val="fr-FR"/>
              </w:rPr>
              <w:t>quatre</w:t>
            </w:r>
            <w:r w:rsidR="0057466D" w:rsidRPr="00927778">
              <w:rPr>
                <w:color w:val="333333"/>
                <w:u w:val="single"/>
                <w:lang w:val="fr-FR"/>
              </w:rPr>
              <w:t> </w:t>
            </w:r>
            <w:r w:rsidRPr="00927778">
              <w:rPr>
                <w:color w:val="333333"/>
                <w:u w:val="single"/>
                <w:lang w:val="fr-FR"/>
              </w:rPr>
              <w:t>pays pilotes</w:t>
            </w:r>
          </w:p>
          <w:p w:rsidR="005E6718" w:rsidRPr="00927778" w:rsidRDefault="005E6718" w:rsidP="006031CF">
            <w:pPr>
              <w:widowControl w:val="0"/>
              <w:rPr>
                <w:color w:val="333333"/>
                <w:lang w:val="fr-FR"/>
              </w:rPr>
            </w:pPr>
          </w:p>
          <w:p w:rsidR="005E6718" w:rsidRPr="00927778" w:rsidRDefault="00CE38CC" w:rsidP="006031CF">
            <w:pPr>
              <w:widowControl w:val="0"/>
              <w:rPr>
                <w:color w:val="333333"/>
                <w:lang w:val="fr-FR"/>
              </w:rPr>
            </w:pPr>
            <w:r w:rsidRPr="00927778">
              <w:rPr>
                <w:color w:val="333333"/>
                <w:lang w:val="fr-FR"/>
              </w:rPr>
              <w:t xml:space="preserve">Dans le cadre de </w:t>
            </w:r>
            <w:r w:rsidR="00B104C1" w:rsidRPr="00927778">
              <w:rPr>
                <w:color w:val="333333"/>
                <w:lang w:val="fr-FR"/>
              </w:rPr>
              <w:t>la stratégie</w:t>
            </w:r>
            <w:r w:rsidR="00735B57" w:rsidRPr="00927778">
              <w:rPr>
                <w:color w:val="333333"/>
                <w:lang w:val="fr-FR"/>
              </w:rPr>
              <w:t xml:space="preserve"> </w:t>
            </w:r>
            <w:r w:rsidRPr="00927778">
              <w:rPr>
                <w:color w:val="333333"/>
                <w:lang w:val="fr-FR"/>
              </w:rPr>
              <w:t xml:space="preserve">de mise en œuvre </w:t>
            </w:r>
            <w:r w:rsidR="00735B57" w:rsidRPr="00927778">
              <w:rPr>
                <w:color w:val="333333"/>
                <w:lang w:val="fr-FR"/>
              </w:rPr>
              <w:t xml:space="preserve">du projet et de la préparation des inventaires détaillés des chaînes de </w:t>
            </w:r>
            <w:r w:rsidR="000B1E08" w:rsidRPr="00927778">
              <w:rPr>
                <w:color w:val="333333"/>
                <w:lang w:val="fr-FR"/>
              </w:rPr>
              <w:t>valorisation</w:t>
            </w:r>
            <w:r w:rsidR="00735B57" w:rsidRPr="00927778">
              <w:rPr>
                <w:color w:val="333333"/>
                <w:lang w:val="fr-FR"/>
              </w:rPr>
              <w:t xml:space="preserve"> de l</w:t>
            </w:r>
            <w:r w:rsidR="00EA2C86" w:rsidRPr="00927778">
              <w:rPr>
                <w:color w:val="333333"/>
                <w:lang w:val="fr-FR"/>
              </w:rPr>
              <w:t>’</w:t>
            </w:r>
            <w:r w:rsidR="00735B57" w:rsidRPr="00927778">
              <w:rPr>
                <w:color w:val="333333"/>
                <w:lang w:val="fr-FR"/>
              </w:rPr>
              <w:t xml:space="preserve">innovation dans </w:t>
            </w:r>
            <w:r w:rsidR="004506AF" w:rsidRPr="00927778">
              <w:rPr>
                <w:color w:val="333333"/>
                <w:lang w:val="fr-FR"/>
              </w:rPr>
              <w:t xml:space="preserve">les </w:t>
            </w:r>
            <w:r w:rsidR="00735B57" w:rsidRPr="00927778">
              <w:rPr>
                <w:color w:val="333333"/>
                <w:lang w:val="fr-FR"/>
              </w:rPr>
              <w:t>quatre</w:t>
            </w:r>
            <w:r w:rsidR="0057466D" w:rsidRPr="00927778">
              <w:rPr>
                <w:color w:val="333333"/>
                <w:lang w:val="fr-FR"/>
              </w:rPr>
              <w:t> </w:t>
            </w:r>
            <w:r w:rsidR="00735B57" w:rsidRPr="00927778">
              <w:rPr>
                <w:color w:val="333333"/>
                <w:lang w:val="fr-FR"/>
              </w:rPr>
              <w:t xml:space="preserve">pays pilotes </w:t>
            </w:r>
            <w:r w:rsidRPr="00927778">
              <w:rPr>
                <w:color w:val="333333"/>
                <w:lang w:val="fr-FR"/>
              </w:rPr>
              <w:t>qui incluent</w:t>
            </w:r>
            <w:r w:rsidR="00735B57" w:rsidRPr="00927778">
              <w:rPr>
                <w:color w:val="333333"/>
                <w:lang w:val="fr-FR"/>
              </w:rPr>
              <w:t xml:space="preserve"> l</w:t>
            </w:r>
            <w:r w:rsidR="00EA2C86" w:rsidRPr="00927778">
              <w:rPr>
                <w:color w:val="333333"/>
                <w:lang w:val="fr-FR"/>
              </w:rPr>
              <w:t>’</w:t>
            </w:r>
            <w:r w:rsidR="00735B57" w:rsidRPr="00927778">
              <w:rPr>
                <w:color w:val="333333"/>
                <w:lang w:val="fr-FR"/>
              </w:rPr>
              <w:t>évaluation des besoins en formation</w:t>
            </w:r>
            <w:r w:rsidR="00DF53C4" w:rsidRPr="00927778">
              <w:rPr>
                <w:color w:val="333333"/>
                <w:lang w:val="fr-FR"/>
              </w:rPr>
              <w:t xml:space="preserve"> des différents </w:t>
            </w:r>
            <w:r w:rsidR="007C1F8A" w:rsidRPr="00927778">
              <w:rPr>
                <w:color w:val="333333"/>
                <w:lang w:val="fr-FR"/>
              </w:rPr>
              <w:t>acteurs</w:t>
            </w:r>
            <w:r w:rsidR="00DF53C4" w:rsidRPr="00927778">
              <w:rPr>
                <w:color w:val="333333"/>
                <w:lang w:val="fr-FR"/>
              </w:rPr>
              <w:t xml:space="preserve"> des chaînes de </w:t>
            </w:r>
            <w:r w:rsidR="0039550E" w:rsidRPr="00927778">
              <w:rPr>
                <w:color w:val="333333"/>
                <w:lang w:val="fr-FR"/>
              </w:rPr>
              <w:t>valorisation</w:t>
            </w:r>
            <w:r w:rsidR="00DF53C4" w:rsidRPr="00927778">
              <w:rPr>
                <w:color w:val="333333"/>
                <w:lang w:val="fr-FR"/>
              </w:rPr>
              <w:t xml:space="preserve"> de l</w:t>
            </w:r>
            <w:r w:rsidR="00EA2C86" w:rsidRPr="00927778">
              <w:rPr>
                <w:color w:val="333333"/>
                <w:lang w:val="fr-FR"/>
              </w:rPr>
              <w:t>’</w:t>
            </w:r>
            <w:r w:rsidR="00DF53C4" w:rsidRPr="00927778">
              <w:rPr>
                <w:color w:val="333333"/>
                <w:lang w:val="fr-FR"/>
              </w:rPr>
              <w:t xml:space="preserve">innovation et la mise en place de </w:t>
            </w:r>
            <w:r w:rsidR="00B66CF1" w:rsidRPr="00927778">
              <w:rPr>
                <w:color w:val="333333"/>
                <w:lang w:val="fr-FR"/>
              </w:rPr>
              <w:t>programmes</w:t>
            </w:r>
            <w:r w:rsidR="00DF53C4" w:rsidRPr="00927778">
              <w:rPr>
                <w:color w:val="333333"/>
                <w:lang w:val="fr-FR"/>
              </w:rPr>
              <w:t xml:space="preserve"> de formation permettant aux quatre</w:t>
            </w:r>
            <w:r w:rsidR="0057466D" w:rsidRPr="00927778">
              <w:rPr>
                <w:color w:val="333333"/>
                <w:lang w:val="fr-FR"/>
              </w:rPr>
              <w:t> </w:t>
            </w:r>
            <w:r w:rsidR="00DF53C4" w:rsidRPr="00927778">
              <w:rPr>
                <w:color w:val="333333"/>
                <w:lang w:val="fr-FR"/>
              </w:rPr>
              <w:t xml:space="preserve">pays pilotes de satisfaire à ces besoins, conformément au </w:t>
            </w:r>
            <w:r w:rsidRPr="00927778">
              <w:rPr>
                <w:color w:val="333333"/>
                <w:lang w:val="fr-FR"/>
              </w:rPr>
              <w:t>descriptif</w:t>
            </w:r>
            <w:r w:rsidR="0066633D" w:rsidRPr="00927778">
              <w:rPr>
                <w:color w:val="333333"/>
                <w:lang w:val="fr-FR"/>
              </w:rPr>
              <w:t xml:space="preserve"> de</w:t>
            </w:r>
            <w:r w:rsidR="00DF53C4" w:rsidRPr="00927778">
              <w:rPr>
                <w:color w:val="333333"/>
                <w:lang w:val="fr-FR"/>
              </w:rPr>
              <w:t xml:space="preserve"> projet (</w:t>
            </w:r>
            <w:r w:rsidR="00EA2C86" w:rsidRPr="00927778">
              <w:rPr>
                <w:color w:val="333333"/>
                <w:lang w:val="fr-FR"/>
              </w:rPr>
              <w:t>sections 2</w:t>
            </w:r>
            <w:r w:rsidR="00DF53C4" w:rsidRPr="00927778">
              <w:rPr>
                <w:color w:val="333333"/>
                <w:lang w:val="fr-FR"/>
              </w:rPr>
              <w:t>.3.2 et 2.3.3), un expert</w:t>
            </w:r>
            <w:r w:rsidRPr="00927778">
              <w:rPr>
                <w:color w:val="333333"/>
                <w:lang w:val="fr-FR"/>
              </w:rPr>
              <w:t xml:space="preserve"> dont le mandat est de mener à bien les tâches susmentionnées</w:t>
            </w:r>
            <w:r w:rsidR="00DF53C4" w:rsidRPr="00927778">
              <w:rPr>
                <w:color w:val="333333"/>
                <w:lang w:val="fr-FR"/>
              </w:rPr>
              <w:t xml:space="preserve"> a été recruté pour </w:t>
            </w:r>
            <w:r w:rsidRPr="00927778">
              <w:rPr>
                <w:color w:val="333333"/>
                <w:lang w:val="fr-FR"/>
              </w:rPr>
              <w:t>chaque pays pilote</w:t>
            </w:r>
            <w:r w:rsidR="001B0EEB" w:rsidRPr="00927778">
              <w:rPr>
                <w:color w:val="333333"/>
                <w:lang w:val="fr-FR"/>
              </w:rPr>
              <w:t>.</w:t>
            </w:r>
          </w:p>
          <w:p w:rsidR="005E6718" w:rsidRPr="00927778" w:rsidRDefault="005E6718" w:rsidP="006031CF">
            <w:pPr>
              <w:widowControl w:val="0"/>
              <w:rPr>
                <w:color w:val="333333"/>
                <w:lang w:val="fr-FR"/>
              </w:rPr>
            </w:pPr>
          </w:p>
          <w:p w:rsidR="00EA2C86" w:rsidRPr="00927778" w:rsidRDefault="0041697C" w:rsidP="006031CF">
            <w:pPr>
              <w:widowControl w:val="0"/>
              <w:rPr>
                <w:color w:val="333333"/>
                <w:lang w:val="fr-FR"/>
              </w:rPr>
            </w:pPr>
            <w:r w:rsidRPr="00927778">
              <w:rPr>
                <w:color w:val="333333"/>
                <w:lang w:val="fr-FR"/>
              </w:rPr>
              <w:t>Afin d</w:t>
            </w:r>
            <w:r w:rsidR="00EA2C86" w:rsidRPr="00927778">
              <w:rPr>
                <w:color w:val="333333"/>
                <w:lang w:val="fr-FR"/>
              </w:rPr>
              <w:t>’</w:t>
            </w:r>
            <w:r w:rsidRPr="00927778">
              <w:rPr>
                <w:color w:val="333333"/>
                <w:lang w:val="fr-FR"/>
              </w:rPr>
              <w:t>identifier les experts des pays pour les quatre</w:t>
            </w:r>
            <w:r w:rsidR="0057466D" w:rsidRPr="00927778">
              <w:rPr>
                <w:color w:val="333333"/>
                <w:lang w:val="fr-FR"/>
              </w:rPr>
              <w:t> </w:t>
            </w:r>
            <w:r w:rsidRPr="00927778">
              <w:rPr>
                <w:color w:val="333333"/>
                <w:lang w:val="fr-FR"/>
              </w:rPr>
              <w:t>pays pilotes, l</w:t>
            </w:r>
            <w:r w:rsidR="00EA2C86" w:rsidRPr="00927778">
              <w:rPr>
                <w:color w:val="333333"/>
                <w:lang w:val="fr-FR"/>
              </w:rPr>
              <w:t>’</w:t>
            </w:r>
            <w:r w:rsidRPr="00927778">
              <w:rPr>
                <w:color w:val="333333"/>
                <w:lang w:val="fr-FR"/>
              </w:rPr>
              <w:t>équipe</w:t>
            </w:r>
            <w:r w:rsidR="004506AF" w:rsidRPr="00927778">
              <w:rPr>
                <w:color w:val="333333"/>
                <w:lang w:val="fr-FR"/>
              </w:rPr>
              <w:t xml:space="preserve"> de l</w:t>
            </w:r>
            <w:r w:rsidR="00EA2C86" w:rsidRPr="00927778">
              <w:rPr>
                <w:color w:val="333333"/>
                <w:lang w:val="fr-FR"/>
              </w:rPr>
              <w:t>’</w:t>
            </w:r>
            <w:r w:rsidR="004506AF" w:rsidRPr="00927778">
              <w:rPr>
                <w:color w:val="333333"/>
                <w:lang w:val="fr-FR"/>
              </w:rPr>
              <w:t>OMPI responsable</w:t>
            </w:r>
            <w:r w:rsidRPr="00927778">
              <w:rPr>
                <w:color w:val="333333"/>
                <w:lang w:val="fr-FR"/>
              </w:rPr>
              <w:t xml:space="preserve"> du projet a pris contact avec</w:t>
            </w:r>
            <w:r w:rsidR="00EA2C86" w:rsidRPr="00927778">
              <w:rPr>
                <w:color w:val="333333"/>
                <w:lang w:val="fr-FR"/>
              </w:rPr>
              <w:t> :</w:t>
            </w:r>
          </w:p>
          <w:p w:rsidR="005E6718" w:rsidRPr="00927778" w:rsidRDefault="00A13602" w:rsidP="00EA1A2E">
            <w:pPr>
              <w:widowControl w:val="0"/>
              <w:numPr>
                <w:ilvl w:val="0"/>
                <w:numId w:val="18"/>
              </w:numPr>
              <w:rPr>
                <w:color w:val="333333"/>
                <w:lang w:val="fr-FR"/>
              </w:rPr>
            </w:pPr>
            <w:r w:rsidRPr="00927778">
              <w:rPr>
                <w:color w:val="333333"/>
                <w:lang w:val="fr-FR"/>
              </w:rPr>
              <w:t>l</w:t>
            </w:r>
            <w:r w:rsidR="00EA2C86" w:rsidRPr="00927778">
              <w:rPr>
                <w:color w:val="333333"/>
                <w:lang w:val="fr-FR"/>
              </w:rPr>
              <w:t>’</w:t>
            </w:r>
            <w:r w:rsidRPr="00927778">
              <w:rPr>
                <w:color w:val="333333"/>
                <w:lang w:val="fr-FR"/>
              </w:rPr>
              <w:t>Office national de gestion de la propriété intellectuelle</w:t>
            </w:r>
            <w:r w:rsidR="001B0EEB" w:rsidRPr="00927778">
              <w:rPr>
                <w:color w:val="333333"/>
                <w:lang w:val="fr-FR"/>
              </w:rPr>
              <w:t xml:space="preserve"> (</w:t>
            </w:r>
            <w:r w:rsidRPr="00927778">
              <w:rPr>
                <w:color w:val="333333"/>
                <w:lang w:val="fr-FR"/>
              </w:rPr>
              <w:t>Afrique du Sud</w:t>
            </w:r>
            <w:r w:rsidR="001B0EEB" w:rsidRPr="00927778">
              <w:rPr>
                <w:color w:val="333333"/>
                <w:lang w:val="fr-FR"/>
              </w:rPr>
              <w:t>)</w:t>
            </w:r>
            <w:r w:rsidR="0057466D" w:rsidRPr="00927778">
              <w:rPr>
                <w:color w:val="333333"/>
                <w:lang w:val="fr-FR"/>
              </w:rPr>
              <w:t>;</w:t>
            </w:r>
          </w:p>
          <w:p w:rsidR="005E6718" w:rsidRPr="00927778" w:rsidRDefault="00A13602" w:rsidP="00801EDA">
            <w:pPr>
              <w:widowControl w:val="0"/>
              <w:numPr>
                <w:ilvl w:val="0"/>
                <w:numId w:val="18"/>
              </w:numPr>
              <w:rPr>
                <w:color w:val="333333"/>
                <w:lang w:val="fr-FR"/>
              </w:rPr>
            </w:pPr>
            <w:r w:rsidRPr="00927778">
              <w:rPr>
                <w:color w:val="333333"/>
                <w:lang w:val="fr-FR"/>
              </w:rPr>
              <w:t>l</w:t>
            </w:r>
            <w:r w:rsidR="00EA2C86" w:rsidRPr="00927778">
              <w:rPr>
                <w:color w:val="333333"/>
                <w:lang w:val="fr-FR"/>
              </w:rPr>
              <w:t>’</w:t>
            </w:r>
            <w:r w:rsidR="00801EDA" w:rsidRPr="00927778">
              <w:rPr>
                <w:color w:val="333333"/>
                <w:lang w:val="fr-FR"/>
              </w:rPr>
              <w:t>Institut nationa</w:t>
            </w:r>
            <w:r w:rsidR="0075028B" w:rsidRPr="00927778">
              <w:rPr>
                <w:color w:val="333333"/>
                <w:lang w:val="fr-FR"/>
              </w:rPr>
              <w:t>l de la propriété industrielle (</w:t>
            </w:r>
            <w:r w:rsidR="00801EDA" w:rsidRPr="00927778">
              <w:rPr>
                <w:color w:val="333333"/>
                <w:lang w:val="fr-FR"/>
              </w:rPr>
              <w:t>Chili</w:t>
            </w:r>
            <w:r w:rsidR="0075028B" w:rsidRPr="00927778">
              <w:rPr>
                <w:color w:val="333333"/>
                <w:lang w:val="fr-FR"/>
              </w:rPr>
              <w:t>)</w:t>
            </w:r>
            <w:r w:rsidR="0057466D" w:rsidRPr="00927778">
              <w:rPr>
                <w:color w:val="333333"/>
                <w:lang w:val="fr-FR"/>
              </w:rPr>
              <w:t>;</w:t>
            </w:r>
          </w:p>
          <w:p w:rsidR="005E6718" w:rsidRPr="00927778" w:rsidRDefault="00F903B1" w:rsidP="00EA1A2E">
            <w:pPr>
              <w:widowControl w:val="0"/>
              <w:numPr>
                <w:ilvl w:val="0"/>
                <w:numId w:val="18"/>
              </w:numPr>
              <w:rPr>
                <w:color w:val="333333"/>
                <w:lang w:val="fr-FR"/>
              </w:rPr>
            </w:pPr>
            <w:r w:rsidRPr="00927778">
              <w:rPr>
                <w:color w:val="333333"/>
                <w:lang w:val="fr-FR"/>
              </w:rPr>
              <w:t>le Ministère du commerce, de l</w:t>
            </w:r>
            <w:r w:rsidR="00EA2C86" w:rsidRPr="00927778">
              <w:rPr>
                <w:color w:val="333333"/>
                <w:lang w:val="fr-FR"/>
              </w:rPr>
              <w:t>’</w:t>
            </w:r>
            <w:r w:rsidRPr="00927778">
              <w:rPr>
                <w:color w:val="333333"/>
                <w:lang w:val="fr-FR"/>
              </w:rPr>
              <w:t>industrie et des affaires de l</w:t>
            </w:r>
            <w:r w:rsidR="00EA2C86" w:rsidRPr="00927778">
              <w:rPr>
                <w:color w:val="333333"/>
                <w:lang w:val="fr-FR"/>
              </w:rPr>
              <w:t>’</w:t>
            </w:r>
            <w:r w:rsidRPr="00927778">
              <w:rPr>
                <w:color w:val="333333"/>
                <w:lang w:val="fr-FR"/>
              </w:rPr>
              <w:t>Afrique de l</w:t>
            </w:r>
            <w:r w:rsidR="00EA2C86" w:rsidRPr="00927778">
              <w:rPr>
                <w:color w:val="333333"/>
                <w:lang w:val="fr-FR"/>
              </w:rPr>
              <w:t>’</w:t>
            </w:r>
            <w:r w:rsidRPr="00927778">
              <w:rPr>
                <w:color w:val="333333"/>
                <w:lang w:val="fr-FR"/>
              </w:rPr>
              <w:t xml:space="preserve">Est </w:t>
            </w:r>
            <w:r w:rsidR="001B0EEB" w:rsidRPr="00927778">
              <w:rPr>
                <w:color w:val="333333"/>
                <w:lang w:val="fr-FR"/>
              </w:rPr>
              <w:t>(Rwanda)</w:t>
            </w:r>
            <w:r w:rsidR="0057466D" w:rsidRPr="00927778">
              <w:rPr>
                <w:color w:val="333333"/>
                <w:lang w:val="fr-FR"/>
              </w:rPr>
              <w:t>;</w:t>
            </w:r>
          </w:p>
          <w:p w:rsidR="00EA2C86" w:rsidRPr="00927778" w:rsidRDefault="0075028B" w:rsidP="00F903B1">
            <w:pPr>
              <w:widowControl w:val="0"/>
              <w:numPr>
                <w:ilvl w:val="0"/>
                <w:numId w:val="18"/>
              </w:numPr>
              <w:rPr>
                <w:color w:val="333333"/>
                <w:lang w:val="fr-FR"/>
              </w:rPr>
            </w:pPr>
            <w:r w:rsidRPr="00927778">
              <w:rPr>
                <w:color w:val="333333"/>
                <w:lang w:val="fr-FR"/>
              </w:rPr>
              <w:t xml:space="preserve">la </w:t>
            </w:r>
            <w:r w:rsidR="00F903B1" w:rsidRPr="00927778">
              <w:rPr>
                <w:color w:val="333333"/>
                <w:lang w:val="fr-FR"/>
              </w:rPr>
              <w:t>Mission permanente de la République d</w:t>
            </w:r>
            <w:r w:rsidR="00EA2C86" w:rsidRPr="00927778">
              <w:rPr>
                <w:color w:val="333333"/>
                <w:lang w:val="fr-FR"/>
              </w:rPr>
              <w:t>’</w:t>
            </w:r>
            <w:r w:rsidR="00F903B1" w:rsidRPr="00927778">
              <w:rPr>
                <w:color w:val="333333"/>
                <w:lang w:val="fr-FR"/>
              </w:rPr>
              <w:t>Indonésie auprès de l</w:t>
            </w:r>
            <w:r w:rsidR="00EA2C86" w:rsidRPr="00927778">
              <w:rPr>
                <w:color w:val="333333"/>
                <w:lang w:val="fr-FR"/>
              </w:rPr>
              <w:t>’</w:t>
            </w:r>
            <w:r w:rsidR="00F903B1" w:rsidRPr="00927778">
              <w:rPr>
                <w:color w:val="333333"/>
                <w:lang w:val="fr-FR"/>
              </w:rPr>
              <w:t>ONU</w:t>
            </w:r>
            <w:r w:rsidR="001B0EEB" w:rsidRPr="00927778">
              <w:rPr>
                <w:color w:val="333333"/>
                <w:lang w:val="fr-FR"/>
              </w:rPr>
              <w:t>,</w:t>
            </w:r>
            <w:r w:rsidR="00F903B1" w:rsidRPr="00927778">
              <w:rPr>
                <w:color w:val="333333"/>
                <w:lang w:val="fr-FR"/>
              </w:rPr>
              <w:t xml:space="preserve"> de l</w:t>
            </w:r>
            <w:r w:rsidR="00EA2C86" w:rsidRPr="00927778">
              <w:rPr>
                <w:color w:val="333333"/>
                <w:lang w:val="fr-FR"/>
              </w:rPr>
              <w:t>’</w:t>
            </w:r>
            <w:r w:rsidR="00F903B1" w:rsidRPr="00927778">
              <w:rPr>
                <w:color w:val="333333"/>
                <w:lang w:val="fr-FR"/>
              </w:rPr>
              <w:t>OMC et</w:t>
            </w:r>
            <w:r w:rsidRPr="00927778">
              <w:rPr>
                <w:color w:val="333333"/>
                <w:lang w:val="fr-FR"/>
              </w:rPr>
              <w:t xml:space="preserve"> d</w:t>
            </w:r>
            <w:r w:rsidR="00EA2C86" w:rsidRPr="00927778">
              <w:rPr>
                <w:color w:val="333333"/>
                <w:lang w:val="fr-FR"/>
              </w:rPr>
              <w:t>’</w:t>
            </w:r>
            <w:r w:rsidRPr="00927778">
              <w:rPr>
                <w:color w:val="333333"/>
                <w:lang w:val="fr-FR"/>
              </w:rPr>
              <w:t>autres organisations interna</w:t>
            </w:r>
            <w:r w:rsidR="00F903B1" w:rsidRPr="00927778">
              <w:rPr>
                <w:color w:val="333333"/>
                <w:lang w:val="fr-FR"/>
              </w:rPr>
              <w:t>t</w:t>
            </w:r>
            <w:r w:rsidRPr="00927778">
              <w:rPr>
                <w:color w:val="333333"/>
                <w:lang w:val="fr-FR"/>
              </w:rPr>
              <w:t>i</w:t>
            </w:r>
            <w:r w:rsidR="00F903B1" w:rsidRPr="00927778">
              <w:rPr>
                <w:color w:val="333333"/>
                <w:lang w:val="fr-FR"/>
              </w:rPr>
              <w:t>onales</w:t>
            </w:r>
            <w:r w:rsidR="007C3612" w:rsidRPr="00927778">
              <w:rPr>
                <w:color w:val="333333"/>
                <w:lang w:val="fr-FR"/>
              </w:rPr>
              <w:t>.</w:t>
            </w:r>
          </w:p>
          <w:p w:rsidR="005E6718" w:rsidRPr="00927778" w:rsidRDefault="005E6718" w:rsidP="006031CF">
            <w:pPr>
              <w:widowControl w:val="0"/>
              <w:rPr>
                <w:color w:val="333333"/>
                <w:lang w:val="fr-FR"/>
              </w:rPr>
            </w:pPr>
          </w:p>
          <w:p w:rsidR="00EA2C86" w:rsidRPr="00927778" w:rsidRDefault="005B6D1C" w:rsidP="006031CF">
            <w:pPr>
              <w:widowControl w:val="0"/>
              <w:rPr>
                <w:color w:val="333333"/>
                <w:lang w:val="fr-FR"/>
              </w:rPr>
            </w:pPr>
            <w:r w:rsidRPr="00927778">
              <w:rPr>
                <w:color w:val="333333"/>
                <w:lang w:val="fr-FR"/>
              </w:rPr>
              <w:t xml:space="preserve">Conformément à la stratégie </w:t>
            </w:r>
            <w:r w:rsidR="0075028B" w:rsidRPr="00927778">
              <w:rPr>
                <w:color w:val="333333"/>
                <w:lang w:val="fr-FR"/>
              </w:rPr>
              <w:t>de mise en œuvre</w:t>
            </w:r>
            <w:r w:rsidRPr="00927778">
              <w:rPr>
                <w:color w:val="333333"/>
                <w:lang w:val="fr-FR"/>
              </w:rPr>
              <w:t xml:space="preserve">, les experts des pays ont préparé un inventaire détaillé des chaînes de </w:t>
            </w:r>
            <w:r w:rsidR="0039550E" w:rsidRPr="00927778">
              <w:rPr>
                <w:color w:val="333333"/>
                <w:lang w:val="fr-FR"/>
              </w:rPr>
              <w:t>valorisation</w:t>
            </w:r>
            <w:r w:rsidRPr="00927778">
              <w:rPr>
                <w:color w:val="333333"/>
                <w:lang w:val="fr-FR"/>
              </w:rPr>
              <w:t xml:space="preserve"> de l</w:t>
            </w:r>
            <w:r w:rsidR="00EA2C86" w:rsidRPr="00927778">
              <w:rPr>
                <w:color w:val="333333"/>
                <w:lang w:val="fr-FR"/>
              </w:rPr>
              <w:t>’</w:t>
            </w:r>
            <w:r w:rsidRPr="00927778">
              <w:rPr>
                <w:color w:val="333333"/>
                <w:lang w:val="fr-FR"/>
              </w:rPr>
              <w:t xml:space="preserve">innovation dans leur pays, </w:t>
            </w:r>
            <w:r w:rsidR="00E95372" w:rsidRPr="00927778">
              <w:rPr>
                <w:color w:val="333333"/>
                <w:lang w:val="fr-FR"/>
              </w:rPr>
              <w:t>notamment de leurs acteurs</w:t>
            </w:r>
            <w:r w:rsidR="001B0EEB" w:rsidRPr="00927778">
              <w:rPr>
                <w:color w:val="333333"/>
                <w:lang w:val="fr-FR"/>
              </w:rPr>
              <w:t xml:space="preserve"> (</w:t>
            </w:r>
            <w:r w:rsidR="00E95372" w:rsidRPr="00927778">
              <w:rPr>
                <w:color w:val="333333"/>
                <w:lang w:val="fr-FR"/>
              </w:rPr>
              <w:t xml:space="preserve">bailleurs de fonds, </w:t>
            </w:r>
            <w:r w:rsidR="00700119" w:rsidRPr="00927778">
              <w:rPr>
                <w:color w:val="333333"/>
                <w:lang w:val="fr-FR"/>
              </w:rPr>
              <w:t xml:space="preserve">créateurs, </w:t>
            </w:r>
            <w:r w:rsidR="00E95372" w:rsidRPr="00927778">
              <w:rPr>
                <w:color w:val="333333"/>
                <w:lang w:val="fr-FR"/>
              </w:rPr>
              <w:t>gestionnaires</w:t>
            </w:r>
            <w:r w:rsidR="00D5488F" w:rsidRPr="00927778">
              <w:rPr>
                <w:color w:val="333333"/>
                <w:lang w:val="fr-FR"/>
              </w:rPr>
              <w:t xml:space="preserve">, </w:t>
            </w:r>
            <w:r w:rsidR="00700119" w:rsidRPr="00927778">
              <w:rPr>
                <w:color w:val="333333"/>
                <w:lang w:val="fr-FR"/>
              </w:rPr>
              <w:t xml:space="preserve">utilisateurs de la propriété intellectuelle </w:t>
            </w:r>
            <w:r w:rsidR="00D5488F" w:rsidRPr="00927778">
              <w:rPr>
                <w:color w:val="333333"/>
                <w:lang w:val="fr-FR"/>
              </w:rPr>
              <w:t xml:space="preserve">et </w:t>
            </w:r>
            <w:r w:rsidR="00700119" w:rsidRPr="00927778">
              <w:rPr>
                <w:color w:val="333333"/>
                <w:lang w:val="fr-FR"/>
              </w:rPr>
              <w:t xml:space="preserve">institutions </w:t>
            </w:r>
            <w:r w:rsidR="00B901B8" w:rsidRPr="00927778">
              <w:rPr>
                <w:color w:val="333333"/>
                <w:lang w:val="fr-FR"/>
              </w:rPr>
              <w:t>d</w:t>
            </w:r>
            <w:r w:rsidR="00EA2C86" w:rsidRPr="00927778">
              <w:rPr>
                <w:color w:val="333333"/>
                <w:lang w:val="fr-FR"/>
              </w:rPr>
              <w:t>’</w:t>
            </w:r>
            <w:r w:rsidR="00B901B8" w:rsidRPr="00927778">
              <w:rPr>
                <w:color w:val="333333"/>
                <w:lang w:val="fr-FR"/>
              </w:rPr>
              <w:t>appui</w:t>
            </w:r>
            <w:r w:rsidR="00700119" w:rsidRPr="00927778">
              <w:rPr>
                <w:color w:val="333333"/>
                <w:lang w:val="fr-FR"/>
              </w:rPr>
              <w:t xml:space="preserve"> associées </w:t>
            </w:r>
            <w:r w:rsidR="00E95372" w:rsidRPr="00927778">
              <w:rPr>
                <w:color w:val="333333"/>
                <w:lang w:val="fr-FR"/>
              </w:rPr>
              <w:t>telles que</w:t>
            </w:r>
            <w:r w:rsidR="00EA2C86" w:rsidRPr="00927778">
              <w:rPr>
                <w:color w:val="333333"/>
                <w:lang w:val="fr-FR"/>
              </w:rPr>
              <w:t xml:space="preserve"> les CAT</w:t>
            </w:r>
            <w:r w:rsidR="00700119" w:rsidRPr="00927778">
              <w:rPr>
                <w:color w:val="333333"/>
                <w:lang w:val="fr-FR"/>
              </w:rPr>
              <w:t xml:space="preserve">I) </w:t>
            </w:r>
            <w:r w:rsidR="00E95372" w:rsidRPr="00927778">
              <w:rPr>
                <w:color w:val="333333"/>
                <w:lang w:val="fr-FR"/>
              </w:rPr>
              <w:t xml:space="preserve">et de </w:t>
            </w:r>
            <w:r w:rsidRPr="00927778">
              <w:rPr>
                <w:color w:val="333333"/>
                <w:lang w:val="fr-FR"/>
              </w:rPr>
              <w:t>leurs relatio</w:t>
            </w:r>
            <w:r w:rsidR="00306E74" w:rsidRPr="00927778">
              <w:rPr>
                <w:color w:val="333333"/>
                <w:lang w:val="fr-FR"/>
              </w:rPr>
              <w:t>ns.  Le</w:t>
            </w:r>
            <w:r w:rsidR="00B901B8" w:rsidRPr="00927778">
              <w:rPr>
                <w:color w:val="333333"/>
                <w:lang w:val="fr-FR"/>
              </w:rPr>
              <w:t xml:space="preserve">s experts des pays ont collaboré avec des contacts clé des gouvernements de leur pays afin </w:t>
            </w:r>
            <w:r w:rsidR="0075028B" w:rsidRPr="00927778">
              <w:rPr>
                <w:color w:val="333333"/>
                <w:lang w:val="fr-FR"/>
              </w:rPr>
              <w:t>de répertorier</w:t>
            </w:r>
            <w:r w:rsidR="00B901B8" w:rsidRPr="00927778">
              <w:rPr>
                <w:color w:val="333333"/>
                <w:lang w:val="fr-FR"/>
              </w:rPr>
              <w:t xml:space="preserve"> toutes les organisations </w:t>
            </w:r>
            <w:r w:rsidR="0048581F" w:rsidRPr="00927778">
              <w:rPr>
                <w:color w:val="333333"/>
                <w:lang w:val="fr-FR"/>
              </w:rPr>
              <w:t>concerné</w:t>
            </w:r>
            <w:r w:rsidR="00306E74" w:rsidRPr="00927778">
              <w:rPr>
                <w:color w:val="333333"/>
                <w:lang w:val="fr-FR"/>
              </w:rPr>
              <w:t>es.  Le</w:t>
            </w:r>
            <w:r w:rsidR="0048581F" w:rsidRPr="00927778">
              <w:rPr>
                <w:color w:val="333333"/>
                <w:lang w:val="fr-FR"/>
              </w:rPr>
              <w:t>s experts des pays et les représentants des pays ont également été invités à échange</w:t>
            </w:r>
            <w:r w:rsidR="0075028B" w:rsidRPr="00927778">
              <w:rPr>
                <w:color w:val="333333"/>
                <w:lang w:val="fr-FR"/>
              </w:rPr>
              <w:t>r avec l</w:t>
            </w:r>
            <w:r w:rsidR="00EA2C86" w:rsidRPr="00927778">
              <w:rPr>
                <w:color w:val="333333"/>
                <w:lang w:val="fr-FR"/>
              </w:rPr>
              <w:t>’</w:t>
            </w:r>
            <w:r w:rsidR="0075028B" w:rsidRPr="00927778">
              <w:rPr>
                <w:color w:val="333333"/>
                <w:lang w:val="fr-FR"/>
              </w:rPr>
              <w:t xml:space="preserve">équipe de </w:t>
            </w:r>
            <w:r w:rsidR="0048581F" w:rsidRPr="00927778">
              <w:rPr>
                <w:color w:val="333333"/>
                <w:lang w:val="fr-FR"/>
              </w:rPr>
              <w:t>l</w:t>
            </w:r>
            <w:r w:rsidR="00EA2C86" w:rsidRPr="00927778">
              <w:rPr>
                <w:color w:val="333333"/>
                <w:lang w:val="fr-FR"/>
              </w:rPr>
              <w:t>’</w:t>
            </w:r>
            <w:r w:rsidR="0048581F" w:rsidRPr="00927778">
              <w:rPr>
                <w:color w:val="333333"/>
                <w:lang w:val="fr-FR"/>
              </w:rPr>
              <w:t>OMPI</w:t>
            </w:r>
            <w:r w:rsidR="0075028B" w:rsidRPr="00927778">
              <w:rPr>
                <w:color w:val="333333"/>
                <w:lang w:val="fr-FR"/>
              </w:rPr>
              <w:t xml:space="preserve"> responsable du projet</w:t>
            </w:r>
            <w:r w:rsidR="0048581F" w:rsidRPr="00927778">
              <w:rPr>
                <w:color w:val="333333"/>
                <w:lang w:val="fr-FR"/>
              </w:rPr>
              <w:t xml:space="preserve"> </w:t>
            </w:r>
            <w:r w:rsidR="00A34BC1" w:rsidRPr="00927778">
              <w:rPr>
                <w:color w:val="333333"/>
                <w:lang w:val="fr-FR"/>
              </w:rPr>
              <w:t>au sein d</w:t>
            </w:r>
            <w:r w:rsidR="00EA2C86" w:rsidRPr="00927778">
              <w:rPr>
                <w:color w:val="333333"/>
                <w:lang w:val="fr-FR"/>
              </w:rPr>
              <w:t>’</w:t>
            </w:r>
            <w:r w:rsidR="00A34BC1" w:rsidRPr="00927778">
              <w:rPr>
                <w:color w:val="333333"/>
                <w:lang w:val="fr-FR"/>
              </w:rPr>
              <w:t xml:space="preserve">un groupe de discussion </w:t>
            </w:r>
            <w:r w:rsidR="0048581F" w:rsidRPr="00927778">
              <w:rPr>
                <w:color w:val="333333"/>
                <w:lang w:val="fr-FR"/>
              </w:rPr>
              <w:t>sur la plateforme eTISC pour renforcer la coopération entre les parties prenantes.</w:t>
            </w:r>
          </w:p>
          <w:p w:rsidR="005E6718" w:rsidRPr="00927778" w:rsidRDefault="005E6718" w:rsidP="006031CF">
            <w:pPr>
              <w:widowControl w:val="0"/>
              <w:rPr>
                <w:color w:val="333333"/>
                <w:lang w:val="fr-FR"/>
              </w:rPr>
            </w:pPr>
          </w:p>
          <w:p w:rsidR="00EA2C86" w:rsidRPr="00927778" w:rsidRDefault="0048581F" w:rsidP="006031CF">
            <w:pPr>
              <w:widowControl w:val="0"/>
              <w:rPr>
                <w:color w:val="333333"/>
                <w:lang w:val="fr-FR"/>
              </w:rPr>
            </w:pPr>
            <w:r w:rsidRPr="00927778">
              <w:rPr>
                <w:color w:val="333333"/>
                <w:lang w:val="fr-FR"/>
              </w:rPr>
              <w:t xml:space="preserve">Les rapports portant sur ces inventaires ont été </w:t>
            </w:r>
            <w:r w:rsidR="0075028B" w:rsidRPr="00927778">
              <w:rPr>
                <w:color w:val="333333"/>
                <w:lang w:val="fr-FR"/>
              </w:rPr>
              <w:t>achevés</w:t>
            </w:r>
            <w:r w:rsidRPr="00927778">
              <w:rPr>
                <w:color w:val="333333"/>
                <w:lang w:val="fr-FR"/>
              </w:rPr>
              <w:t xml:space="preserve"> à la fin du mois de </w:t>
            </w:r>
            <w:r w:rsidR="00EA2C86" w:rsidRPr="00927778">
              <w:rPr>
                <w:color w:val="333333"/>
                <w:lang w:val="fr-FR"/>
              </w:rPr>
              <w:t>juin 20</w:t>
            </w:r>
            <w:r w:rsidRPr="00927778">
              <w:rPr>
                <w:color w:val="333333"/>
                <w:lang w:val="fr-FR"/>
              </w:rPr>
              <w:t>18 après consultation de l</w:t>
            </w:r>
            <w:r w:rsidR="00EA2C86" w:rsidRPr="00927778">
              <w:rPr>
                <w:color w:val="333333"/>
                <w:lang w:val="fr-FR"/>
              </w:rPr>
              <w:t>’</w:t>
            </w:r>
            <w:r w:rsidRPr="00927778">
              <w:rPr>
                <w:color w:val="333333"/>
                <w:lang w:val="fr-FR"/>
              </w:rPr>
              <w:t>équipe</w:t>
            </w:r>
            <w:r w:rsidR="00CB29F9" w:rsidRPr="00927778">
              <w:rPr>
                <w:color w:val="333333"/>
                <w:lang w:val="fr-FR"/>
              </w:rPr>
              <w:t xml:space="preserve"> de l</w:t>
            </w:r>
            <w:r w:rsidR="00EA2C86" w:rsidRPr="00927778">
              <w:rPr>
                <w:color w:val="333333"/>
                <w:lang w:val="fr-FR"/>
              </w:rPr>
              <w:t>’</w:t>
            </w:r>
            <w:r w:rsidR="00CB29F9" w:rsidRPr="00927778">
              <w:rPr>
                <w:color w:val="333333"/>
                <w:lang w:val="fr-FR"/>
              </w:rPr>
              <w:t>OMPI responsable du projet</w:t>
            </w:r>
            <w:r w:rsidRPr="00927778">
              <w:rPr>
                <w:color w:val="333333"/>
                <w:lang w:val="fr-FR"/>
              </w:rPr>
              <w:t>.</w:t>
            </w:r>
          </w:p>
          <w:p w:rsidR="00004294" w:rsidRPr="00927778" w:rsidRDefault="00004294" w:rsidP="006031CF">
            <w:pPr>
              <w:widowControl w:val="0"/>
              <w:rPr>
                <w:color w:val="333333"/>
                <w:lang w:val="fr-FR"/>
              </w:rPr>
            </w:pPr>
          </w:p>
          <w:p w:rsidR="001B0EEB" w:rsidRPr="00927778" w:rsidRDefault="001B0EEB" w:rsidP="006031CF">
            <w:pPr>
              <w:widowControl w:val="0"/>
              <w:jc w:val="both"/>
              <w:rPr>
                <w:color w:val="333333"/>
                <w:lang w:val="fr-FR"/>
              </w:rPr>
            </w:pPr>
          </w:p>
        </w:tc>
      </w:tr>
      <w:tr w:rsidR="00047C22" w:rsidRPr="00927778" w:rsidTr="00F45974">
        <w:trPr>
          <w:trHeight w:val="1165"/>
        </w:trPr>
        <w:tc>
          <w:tcPr>
            <w:tcW w:w="2376" w:type="dxa"/>
            <w:shd w:val="clear" w:color="auto" w:fill="auto"/>
          </w:tcPr>
          <w:p w:rsidR="001B0EEB" w:rsidRPr="00927778" w:rsidRDefault="00801EDA" w:rsidP="00801EDA">
            <w:pPr>
              <w:pStyle w:val="Heading3"/>
              <w:keepNext w:val="0"/>
              <w:widowControl w:val="0"/>
              <w:rPr>
                <w:color w:val="333333"/>
                <w:lang w:val="fr-FR"/>
              </w:rPr>
            </w:pPr>
            <w:r w:rsidRPr="00927778">
              <w:rPr>
                <w:color w:val="333333"/>
                <w:lang w:val="fr-FR"/>
              </w:rPr>
              <w:t>Exemples de succès ou d</w:t>
            </w:r>
            <w:r w:rsidR="00EA2C86" w:rsidRPr="00927778">
              <w:rPr>
                <w:color w:val="333333"/>
                <w:lang w:val="fr-FR"/>
              </w:rPr>
              <w:t>’</w:t>
            </w:r>
            <w:r w:rsidRPr="00927778">
              <w:rPr>
                <w:color w:val="333333"/>
                <w:lang w:val="fr-FR"/>
              </w:rPr>
              <w:t>effets positifs et principaux enseignements</w:t>
            </w:r>
          </w:p>
        </w:tc>
        <w:tc>
          <w:tcPr>
            <w:tcW w:w="6912" w:type="dxa"/>
            <w:vAlign w:val="center"/>
          </w:tcPr>
          <w:p w:rsidR="005E6718" w:rsidRPr="00927778" w:rsidRDefault="005E6718" w:rsidP="006031CF">
            <w:pPr>
              <w:widowControl w:val="0"/>
              <w:rPr>
                <w:iCs/>
                <w:color w:val="333333"/>
                <w:lang w:val="fr-FR"/>
              </w:rPr>
            </w:pPr>
          </w:p>
          <w:p w:rsidR="00EA2C86" w:rsidRPr="00927778" w:rsidRDefault="00004294" w:rsidP="006031CF">
            <w:pPr>
              <w:widowControl w:val="0"/>
              <w:rPr>
                <w:iCs/>
                <w:color w:val="333333"/>
                <w:lang w:val="fr-FR"/>
              </w:rPr>
            </w:pPr>
            <w:r w:rsidRPr="00927778">
              <w:rPr>
                <w:iCs/>
                <w:color w:val="333333"/>
                <w:lang w:val="fr-FR"/>
              </w:rPr>
              <w:t xml:space="preserve">Les experts des pays ont su établir de bons contacts avec les organisations clé des chaînes de </w:t>
            </w:r>
            <w:r w:rsidR="00A34BC1" w:rsidRPr="00927778">
              <w:rPr>
                <w:iCs/>
                <w:color w:val="333333"/>
                <w:lang w:val="fr-FR"/>
              </w:rPr>
              <w:t>valorisation de l</w:t>
            </w:r>
            <w:r w:rsidR="00EA2C86" w:rsidRPr="00927778">
              <w:rPr>
                <w:iCs/>
                <w:color w:val="333333"/>
                <w:lang w:val="fr-FR"/>
              </w:rPr>
              <w:t>’</w:t>
            </w:r>
            <w:r w:rsidR="00A34BC1" w:rsidRPr="00927778">
              <w:rPr>
                <w:iCs/>
                <w:color w:val="333333"/>
                <w:lang w:val="fr-FR"/>
              </w:rPr>
              <w:t>innovation dans les</w:t>
            </w:r>
            <w:r w:rsidRPr="00927778">
              <w:rPr>
                <w:iCs/>
                <w:color w:val="333333"/>
                <w:lang w:val="fr-FR"/>
              </w:rPr>
              <w:t xml:space="preserve"> pays, notamment grâce à l</w:t>
            </w:r>
            <w:r w:rsidR="00EA2C86" w:rsidRPr="00927778">
              <w:rPr>
                <w:iCs/>
                <w:color w:val="333333"/>
                <w:lang w:val="fr-FR"/>
              </w:rPr>
              <w:t>’</w:t>
            </w:r>
            <w:r w:rsidRPr="00927778">
              <w:rPr>
                <w:iCs/>
                <w:color w:val="333333"/>
                <w:lang w:val="fr-FR"/>
              </w:rPr>
              <w:t xml:space="preserve">aide apportée </w:t>
            </w:r>
            <w:r w:rsidR="00996064" w:rsidRPr="00927778">
              <w:rPr>
                <w:iCs/>
                <w:color w:val="333333"/>
                <w:lang w:val="fr-FR"/>
              </w:rPr>
              <w:t xml:space="preserve">par les </w:t>
            </w:r>
            <w:r w:rsidR="00A34BC1" w:rsidRPr="00927778">
              <w:rPr>
                <w:iCs/>
                <w:color w:val="333333"/>
                <w:lang w:val="fr-FR"/>
              </w:rPr>
              <w:t>pouvoirs publics</w:t>
            </w:r>
            <w:r w:rsidR="00996064" w:rsidRPr="00927778">
              <w:rPr>
                <w:iCs/>
                <w:color w:val="333333"/>
                <w:lang w:val="fr-FR"/>
              </w:rPr>
              <w:t xml:space="preserve"> comme indiqué dans la section </w:t>
            </w:r>
            <w:r w:rsidR="00EA2C86" w:rsidRPr="00927778">
              <w:rPr>
                <w:iCs/>
                <w:color w:val="333333"/>
                <w:lang w:val="fr-FR"/>
              </w:rPr>
              <w:t>“</w:t>
            </w:r>
            <w:r w:rsidR="00996064" w:rsidRPr="00927778">
              <w:rPr>
                <w:iCs/>
                <w:color w:val="333333"/>
                <w:lang w:val="fr-FR"/>
              </w:rPr>
              <w:t>État d</w:t>
            </w:r>
            <w:r w:rsidR="00EA2C86" w:rsidRPr="00927778">
              <w:rPr>
                <w:iCs/>
                <w:color w:val="333333"/>
                <w:lang w:val="fr-FR"/>
              </w:rPr>
              <w:t>’</w:t>
            </w:r>
            <w:r w:rsidR="00996064" w:rsidRPr="00927778">
              <w:rPr>
                <w:iCs/>
                <w:color w:val="333333"/>
                <w:lang w:val="fr-FR"/>
              </w:rPr>
              <w:t>avancement du projet</w:t>
            </w:r>
            <w:r w:rsidR="00EA2C86" w:rsidRPr="00927778">
              <w:rPr>
                <w:iCs/>
                <w:color w:val="333333"/>
                <w:lang w:val="fr-FR"/>
              </w:rPr>
              <w:t>”</w:t>
            </w:r>
            <w:r w:rsidR="00996064" w:rsidRPr="00927778">
              <w:rPr>
                <w:iCs/>
                <w:color w:val="333333"/>
                <w:lang w:val="fr-FR"/>
              </w:rPr>
              <w:t xml:space="preserve"> ci</w:t>
            </w:r>
            <w:r w:rsidR="00CB5AE0" w:rsidRPr="00927778">
              <w:rPr>
                <w:iCs/>
                <w:color w:val="333333"/>
                <w:lang w:val="fr-FR"/>
              </w:rPr>
              <w:noBreakHyphen/>
            </w:r>
            <w:r w:rsidR="00996064" w:rsidRPr="00927778">
              <w:rPr>
                <w:iCs/>
                <w:color w:val="333333"/>
                <w:lang w:val="fr-FR"/>
              </w:rPr>
              <w:t>ava</w:t>
            </w:r>
            <w:r w:rsidR="00306E74" w:rsidRPr="00927778">
              <w:rPr>
                <w:iCs/>
                <w:color w:val="333333"/>
                <w:lang w:val="fr-FR"/>
              </w:rPr>
              <w:t>nt.  En</w:t>
            </w:r>
            <w:r w:rsidR="00A34BC1" w:rsidRPr="00927778">
              <w:rPr>
                <w:iCs/>
                <w:color w:val="333333"/>
                <w:lang w:val="fr-FR"/>
              </w:rPr>
              <w:t xml:space="preserve"> particulier, ils</w:t>
            </w:r>
            <w:r w:rsidR="00996064" w:rsidRPr="00927778">
              <w:rPr>
                <w:iCs/>
                <w:color w:val="333333"/>
                <w:lang w:val="fr-FR"/>
              </w:rPr>
              <w:t xml:space="preserve"> ont su collecter efficacement des données d</w:t>
            </w:r>
            <w:r w:rsidR="00EA2C86" w:rsidRPr="00927778">
              <w:rPr>
                <w:iCs/>
                <w:color w:val="333333"/>
                <w:lang w:val="fr-FR"/>
              </w:rPr>
              <w:t>’</w:t>
            </w:r>
            <w:r w:rsidR="00996064" w:rsidRPr="00927778">
              <w:rPr>
                <w:iCs/>
                <w:color w:val="333333"/>
                <w:lang w:val="fr-FR"/>
              </w:rPr>
              <w:t>enquête utiles à l</w:t>
            </w:r>
            <w:r w:rsidR="00EA2C86" w:rsidRPr="00927778">
              <w:rPr>
                <w:iCs/>
                <w:color w:val="333333"/>
                <w:lang w:val="fr-FR"/>
              </w:rPr>
              <w:t>’</w:t>
            </w:r>
            <w:r w:rsidR="00996064" w:rsidRPr="00927778">
              <w:rPr>
                <w:iCs/>
                <w:color w:val="333333"/>
                <w:lang w:val="fr-FR"/>
              </w:rPr>
              <w:t>inventaire des chaînes de valorisation de l</w:t>
            </w:r>
            <w:r w:rsidR="00EA2C86" w:rsidRPr="00927778">
              <w:rPr>
                <w:iCs/>
                <w:color w:val="333333"/>
                <w:lang w:val="fr-FR"/>
              </w:rPr>
              <w:t>’</w:t>
            </w:r>
            <w:r w:rsidR="00996064" w:rsidRPr="00927778">
              <w:rPr>
                <w:iCs/>
                <w:color w:val="333333"/>
                <w:lang w:val="fr-FR"/>
              </w:rPr>
              <w:t>innovation en organisant des rencontres en personne ou des entretiens par téléphone ou vidéoconférence plutôt qu</w:t>
            </w:r>
            <w:r w:rsidR="00EA2C86" w:rsidRPr="00927778">
              <w:rPr>
                <w:iCs/>
                <w:color w:val="333333"/>
                <w:lang w:val="fr-FR"/>
              </w:rPr>
              <w:t>’</w:t>
            </w:r>
            <w:r w:rsidR="00996064" w:rsidRPr="00927778">
              <w:rPr>
                <w:iCs/>
                <w:color w:val="333333"/>
                <w:lang w:val="fr-FR"/>
              </w:rPr>
              <w:t xml:space="preserve">en ayant recours aux </w:t>
            </w:r>
            <w:r w:rsidR="00673984" w:rsidRPr="00927778">
              <w:rPr>
                <w:iCs/>
                <w:color w:val="333333"/>
                <w:lang w:val="fr-FR"/>
              </w:rPr>
              <w:t>courriels</w:t>
            </w:r>
            <w:r w:rsidR="00996064" w:rsidRPr="00927778">
              <w:rPr>
                <w:iCs/>
                <w:color w:val="333333"/>
                <w:lang w:val="fr-FR"/>
              </w:rPr>
              <w:t>.</w:t>
            </w:r>
          </w:p>
          <w:p w:rsidR="005E6718" w:rsidRPr="00927778" w:rsidRDefault="005E6718" w:rsidP="006031CF">
            <w:pPr>
              <w:widowControl w:val="0"/>
              <w:rPr>
                <w:iCs/>
                <w:color w:val="333333"/>
                <w:lang w:val="fr-FR"/>
              </w:rPr>
            </w:pPr>
          </w:p>
          <w:p w:rsidR="00EA2C86" w:rsidRPr="00927778" w:rsidRDefault="00004294" w:rsidP="006031CF">
            <w:pPr>
              <w:widowControl w:val="0"/>
              <w:rPr>
                <w:iCs/>
                <w:color w:val="333333"/>
                <w:lang w:val="fr-FR"/>
              </w:rPr>
            </w:pPr>
            <w:r w:rsidRPr="00927778">
              <w:rPr>
                <w:iCs/>
                <w:color w:val="333333"/>
                <w:lang w:val="fr-FR"/>
              </w:rPr>
              <w:t>La collaboration et les échanges d</w:t>
            </w:r>
            <w:r w:rsidR="00EA2C86" w:rsidRPr="00927778">
              <w:rPr>
                <w:iCs/>
                <w:color w:val="333333"/>
                <w:lang w:val="fr-FR"/>
              </w:rPr>
              <w:t>’</w:t>
            </w:r>
            <w:r w:rsidRPr="00927778">
              <w:rPr>
                <w:iCs/>
                <w:color w:val="333333"/>
                <w:lang w:val="fr-FR"/>
              </w:rPr>
              <w:t>expériences entre les experts des pays, l</w:t>
            </w:r>
            <w:r w:rsidR="00EA2C86" w:rsidRPr="00927778">
              <w:rPr>
                <w:iCs/>
                <w:color w:val="333333"/>
                <w:lang w:val="fr-FR"/>
              </w:rPr>
              <w:t>’</w:t>
            </w:r>
            <w:r w:rsidRPr="00927778">
              <w:rPr>
                <w:iCs/>
                <w:color w:val="333333"/>
                <w:lang w:val="fr-FR"/>
              </w:rPr>
              <w:t>expert en évaluation des besoins de formation et l</w:t>
            </w:r>
            <w:r w:rsidR="00EA2C86" w:rsidRPr="00927778">
              <w:rPr>
                <w:iCs/>
                <w:color w:val="333333"/>
                <w:lang w:val="fr-FR"/>
              </w:rPr>
              <w:t>’</w:t>
            </w:r>
            <w:r w:rsidRPr="00927778">
              <w:rPr>
                <w:iCs/>
                <w:color w:val="333333"/>
                <w:lang w:val="fr-FR"/>
              </w:rPr>
              <w:t>équipe</w:t>
            </w:r>
            <w:r w:rsidR="00A34BC1" w:rsidRPr="00927778">
              <w:rPr>
                <w:iCs/>
                <w:color w:val="333333"/>
                <w:lang w:val="fr-FR"/>
              </w:rPr>
              <w:t xml:space="preserve"> de l</w:t>
            </w:r>
            <w:r w:rsidR="00EA2C86" w:rsidRPr="00927778">
              <w:rPr>
                <w:iCs/>
                <w:color w:val="333333"/>
                <w:lang w:val="fr-FR"/>
              </w:rPr>
              <w:t>’</w:t>
            </w:r>
            <w:r w:rsidR="00A34BC1" w:rsidRPr="00927778">
              <w:rPr>
                <w:iCs/>
                <w:color w:val="333333"/>
                <w:lang w:val="fr-FR"/>
              </w:rPr>
              <w:t>OMPI responsable</w:t>
            </w:r>
            <w:r w:rsidRPr="00927778">
              <w:rPr>
                <w:iCs/>
                <w:color w:val="333333"/>
                <w:lang w:val="fr-FR"/>
              </w:rPr>
              <w:t xml:space="preserve"> du projet ont été facilités par la création sur la plateforme eTISC d</w:t>
            </w:r>
            <w:r w:rsidR="00EA2C86" w:rsidRPr="00927778">
              <w:rPr>
                <w:iCs/>
                <w:color w:val="333333"/>
                <w:lang w:val="fr-FR"/>
              </w:rPr>
              <w:t>’</w:t>
            </w:r>
            <w:r w:rsidRPr="00927778">
              <w:rPr>
                <w:iCs/>
                <w:color w:val="333333"/>
                <w:lang w:val="fr-FR"/>
              </w:rPr>
              <w:t xml:space="preserve">un groupe en ligne consacré au projet, où des résultats </w:t>
            </w:r>
            <w:r w:rsidR="00A34BC1" w:rsidRPr="00927778">
              <w:rPr>
                <w:iCs/>
                <w:color w:val="333333"/>
                <w:lang w:val="fr-FR"/>
              </w:rPr>
              <w:t>et des questions étaient publié</w:t>
            </w:r>
            <w:r w:rsidRPr="00927778">
              <w:rPr>
                <w:iCs/>
                <w:color w:val="333333"/>
                <w:lang w:val="fr-FR"/>
              </w:rPr>
              <w:t>s</w:t>
            </w:r>
            <w:r w:rsidR="00A34BC1" w:rsidRPr="00927778">
              <w:rPr>
                <w:iCs/>
                <w:color w:val="333333"/>
                <w:lang w:val="fr-FR"/>
              </w:rPr>
              <w:t>, puis</w:t>
            </w:r>
            <w:r w:rsidRPr="00927778">
              <w:rPr>
                <w:iCs/>
                <w:color w:val="333333"/>
                <w:lang w:val="fr-FR"/>
              </w:rPr>
              <w:t xml:space="preserve"> débattus.</w:t>
            </w:r>
          </w:p>
          <w:p w:rsidR="001B0EEB" w:rsidRPr="00927778" w:rsidRDefault="001B0EEB" w:rsidP="006031CF">
            <w:pPr>
              <w:widowControl w:val="0"/>
              <w:rPr>
                <w:iCs/>
                <w:color w:val="333333"/>
                <w:lang w:val="fr-FR"/>
              </w:rPr>
            </w:pPr>
          </w:p>
        </w:tc>
      </w:tr>
      <w:tr w:rsidR="00047C22" w:rsidRPr="00927778" w:rsidTr="00F45974">
        <w:trPr>
          <w:trHeight w:val="1165"/>
        </w:trPr>
        <w:tc>
          <w:tcPr>
            <w:tcW w:w="2376" w:type="dxa"/>
            <w:shd w:val="clear" w:color="auto" w:fill="auto"/>
          </w:tcPr>
          <w:p w:rsidR="001B0EEB" w:rsidRPr="00927778" w:rsidRDefault="00801EDA" w:rsidP="00801EDA">
            <w:pPr>
              <w:pStyle w:val="Heading3"/>
              <w:keepNext w:val="0"/>
              <w:widowControl w:val="0"/>
              <w:rPr>
                <w:color w:val="333333"/>
                <w:lang w:val="fr-FR"/>
              </w:rPr>
            </w:pPr>
            <w:r w:rsidRPr="00927778">
              <w:rPr>
                <w:color w:val="333333"/>
                <w:lang w:val="fr-FR"/>
              </w:rPr>
              <w:t>Risques et mesures de prévention</w:t>
            </w:r>
          </w:p>
        </w:tc>
        <w:tc>
          <w:tcPr>
            <w:tcW w:w="6912" w:type="dxa"/>
          </w:tcPr>
          <w:p w:rsidR="005E6718" w:rsidRPr="00927778" w:rsidRDefault="005E6718" w:rsidP="006031CF">
            <w:pPr>
              <w:widowControl w:val="0"/>
              <w:rPr>
                <w:iCs/>
                <w:color w:val="333333"/>
                <w:lang w:val="fr-FR"/>
              </w:rPr>
            </w:pPr>
          </w:p>
          <w:p w:rsidR="00EA2C86" w:rsidRPr="00927778" w:rsidRDefault="00801EDA" w:rsidP="00801EDA">
            <w:pPr>
              <w:widowControl w:val="0"/>
              <w:rPr>
                <w:iCs/>
                <w:color w:val="333333"/>
                <w:lang w:val="fr-FR"/>
              </w:rPr>
            </w:pPr>
            <w:r w:rsidRPr="00927778">
              <w:rPr>
                <w:iCs/>
                <w:color w:val="333333"/>
                <w:lang w:val="fr-FR"/>
              </w:rPr>
              <w:t>Comme indiqué dans le descriptif de projet</w:t>
            </w:r>
            <w:r w:rsidR="00EA2C86" w:rsidRPr="00927778">
              <w:rPr>
                <w:iCs/>
                <w:color w:val="333333"/>
                <w:lang w:val="fr-FR"/>
              </w:rPr>
              <w:t> :</w:t>
            </w:r>
          </w:p>
          <w:p w:rsidR="005E6718" w:rsidRPr="00927778" w:rsidRDefault="005E6718" w:rsidP="006031CF">
            <w:pPr>
              <w:widowControl w:val="0"/>
              <w:rPr>
                <w:iCs/>
                <w:color w:val="333333"/>
                <w:lang w:val="fr-FR"/>
              </w:rPr>
            </w:pPr>
          </w:p>
          <w:p w:rsidR="005E6718" w:rsidRPr="00927778" w:rsidRDefault="00E01B06" w:rsidP="007C1AE2">
            <w:pPr>
              <w:widowControl w:val="0"/>
              <w:rPr>
                <w:iCs/>
                <w:color w:val="333333"/>
                <w:lang w:val="fr-FR"/>
              </w:rPr>
            </w:pPr>
            <w:r w:rsidRPr="00927778">
              <w:rPr>
                <w:iCs/>
                <w:color w:val="333333"/>
                <w:lang w:val="fr-FR"/>
              </w:rPr>
              <w:t>Risque</w:t>
            </w:r>
            <w:r w:rsidR="00EA2C86" w:rsidRPr="00927778">
              <w:rPr>
                <w:iCs/>
                <w:color w:val="333333"/>
                <w:lang w:val="fr-FR"/>
              </w:rPr>
              <w:t> :</w:t>
            </w:r>
            <w:r w:rsidR="001B0EEB" w:rsidRPr="00927778">
              <w:rPr>
                <w:iCs/>
                <w:color w:val="333333"/>
                <w:lang w:val="fr-FR"/>
              </w:rPr>
              <w:t xml:space="preserve"> </w:t>
            </w:r>
            <w:r w:rsidR="007C1AE2" w:rsidRPr="00927778">
              <w:rPr>
                <w:iCs/>
                <w:color w:val="333333"/>
                <w:lang w:val="fr-FR"/>
              </w:rPr>
              <w:t>le taux de renouvellement des ressources humaines chez les bénéficiaires des activités de formation.</w:t>
            </w:r>
          </w:p>
          <w:p w:rsidR="005E6718" w:rsidRPr="00927778" w:rsidRDefault="005E6718" w:rsidP="006031CF">
            <w:pPr>
              <w:widowControl w:val="0"/>
              <w:rPr>
                <w:iCs/>
                <w:color w:val="333333"/>
                <w:lang w:val="fr-FR"/>
              </w:rPr>
            </w:pPr>
          </w:p>
          <w:p w:rsidR="007C1AE2" w:rsidRPr="00927778" w:rsidRDefault="007129F8" w:rsidP="007C1AE2">
            <w:pPr>
              <w:widowControl w:val="0"/>
              <w:rPr>
                <w:iCs/>
                <w:color w:val="333333"/>
                <w:lang w:val="fr-FR"/>
              </w:rPr>
            </w:pPr>
            <w:r w:rsidRPr="00927778">
              <w:rPr>
                <w:iCs/>
                <w:color w:val="333333"/>
                <w:lang w:val="fr-FR"/>
              </w:rPr>
              <w:t>Mesures de prévention</w:t>
            </w:r>
            <w:r w:rsidR="00EA2C86" w:rsidRPr="00927778">
              <w:rPr>
                <w:iCs/>
                <w:color w:val="333333"/>
                <w:lang w:val="fr-FR"/>
              </w:rPr>
              <w:t> :</w:t>
            </w:r>
            <w:r w:rsidR="007C1AE2" w:rsidRPr="00927778">
              <w:rPr>
                <w:iCs/>
                <w:color w:val="333333"/>
                <w:lang w:val="fr-FR"/>
              </w:rPr>
              <w:t xml:space="preserve"> </w:t>
            </w:r>
            <w:r w:rsidR="00580BEE" w:rsidRPr="00927778">
              <w:rPr>
                <w:iCs/>
                <w:color w:val="333333"/>
                <w:lang w:val="fr-FR"/>
              </w:rPr>
              <w:t>l</w:t>
            </w:r>
            <w:r w:rsidR="00EA2C86" w:rsidRPr="00927778">
              <w:rPr>
                <w:iCs/>
                <w:color w:val="333333"/>
                <w:lang w:val="fr-FR"/>
              </w:rPr>
              <w:t>’</w:t>
            </w:r>
            <w:r w:rsidR="00505A97" w:rsidRPr="00927778">
              <w:rPr>
                <w:iCs/>
                <w:color w:val="333333"/>
                <w:lang w:val="fr-FR"/>
              </w:rPr>
              <w:t>accent mis</w:t>
            </w:r>
            <w:r w:rsidR="007C1AE2" w:rsidRPr="00927778">
              <w:rPr>
                <w:iCs/>
                <w:color w:val="333333"/>
                <w:lang w:val="fr-FR"/>
              </w:rPr>
              <w:t xml:space="preserve"> sur la formation des formateurs et </w:t>
            </w:r>
            <w:r w:rsidR="00722002" w:rsidRPr="00927778">
              <w:rPr>
                <w:iCs/>
                <w:color w:val="333333"/>
                <w:lang w:val="fr-FR"/>
              </w:rPr>
              <w:t>l</w:t>
            </w:r>
            <w:r w:rsidR="00EA2C86" w:rsidRPr="00927778">
              <w:rPr>
                <w:iCs/>
                <w:color w:val="333333"/>
                <w:lang w:val="fr-FR"/>
              </w:rPr>
              <w:t>’</w:t>
            </w:r>
            <w:r w:rsidR="00505A97" w:rsidRPr="00927778">
              <w:rPr>
                <w:iCs/>
                <w:color w:val="333333"/>
                <w:lang w:val="fr-FR"/>
              </w:rPr>
              <w:t>appui aux</w:t>
            </w:r>
            <w:r w:rsidR="007C1AE2" w:rsidRPr="00927778">
              <w:rPr>
                <w:iCs/>
                <w:color w:val="333333"/>
                <w:lang w:val="fr-FR"/>
              </w:rPr>
              <w:t xml:space="preserve"> institutions telles que</w:t>
            </w:r>
            <w:r w:rsidR="00EA2C86" w:rsidRPr="00927778">
              <w:rPr>
                <w:iCs/>
                <w:color w:val="333333"/>
                <w:lang w:val="fr-FR"/>
              </w:rPr>
              <w:t xml:space="preserve"> les CAT</w:t>
            </w:r>
            <w:r w:rsidR="007C1AE2" w:rsidRPr="00927778">
              <w:rPr>
                <w:iCs/>
                <w:color w:val="333333"/>
                <w:lang w:val="fr-FR"/>
              </w:rPr>
              <w:t xml:space="preserve">I afin de favoriser un </w:t>
            </w:r>
            <w:r w:rsidR="00505A97" w:rsidRPr="00927778">
              <w:rPr>
                <w:iCs/>
                <w:color w:val="333333"/>
                <w:lang w:val="fr-FR"/>
              </w:rPr>
              <w:t>soutien</w:t>
            </w:r>
            <w:r w:rsidR="007C1AE2" w:rsidRPr="00927778">
              <w:rPr>
                <w:iCs/>
                <w:color w:val="333333"/>
                <w:lang w:val="fr-FR"/>
              </w:rPr>
              <w:t xml:space="preserve"> local et </w:t>
            </w:r>
            <w:r w:rsidR="00505A97" w:rsidRPr="00927778">
              <w:rPr>
                <w:iCs/>
                <w:color w:val="333333"/>
                <w:lang w:val="fr-FR"/>
              </w:rPr>
              <w:t xml:space="preserve">de </w:t>
            </w:r>
            <w:r w:rsidR="007C1AE2" w:rsidRPr="00927778">
              <w:rPr>
                <w:iCs/>
                <w:color w:val="333333"/>
                <w:lang w:val="fr-FR"/>
              </w:rPr>
              <w:t xml:space="preserve">réduire au minimum </w:t>
            </w:r>
            <w:r w:rsidR="00505A97" w:rsidRPr="00927778">
              <w:rPr>
                <w:iCs/>
                <w:color w:val="333333"/>
                <w:lang w:val="fr-FR"/>
              </w:rPr>
              <w:t>les conséquences de ce</w:t>
            </w:r>
            <w:r w:rsidR="007C1AE2" w:rsidRPr="00927778">
              <w:rPr>
                <w:iCs/>
                <w:color w:val="333333"/>
                <w:lang w:val="fr-FR"/>
              </w:rPr>
              <w:t xml:space="preserve"> renouvellement.</w:t>
            </w:r>
          </w:p>
          <w:p w:rsidR="00EA2C86" w:rsidRPr="00927778" w:rsidRDefault="00EA2C86" w:rsidP="007C1AE2">
            <w:pPr>
              <w:widowControl w:val="0"/>
              <w:rPr>
                <w:iCs/>
                <w:color w:val="333333"/>
                <w:lang w:val="fr-FR"/>
              </w:rPr>
            </w:pPr>
          </w:p>
          <w:p w:rsidR="00EA2C86" w:rsidRPr="00927778" w:rsidRDefault="00295E98" w:rsidP="006031CF">
            <w:pPr>
              <w:widowControl w:val="0"/>
              <w:rPr>
                <w:iCs/>
                <w:color w:val="333333"/>
                <w:lang w:val="fr-FR"/>
              </w:rPr>
            </w:pPr>
            <w:r w:rsidRPr="00927778">
              <w:rPr>
                <w:iCs/>
                <w:color w:val="333333"/>
                <w:lang w:val="fr-FR"/>
              </w:rPr>
              <w:t>Dans la prochaine phase du projet, ce risque fera l</w:t>
            </w:r>
            <w:r w:rsidR="00EA2C86" w:rsidRPr="00927778">
              <w:rPr>
                <w:iCs/>
                <w:color w:val="333333"/>
                <w:lang w:val="fr-FR"/>
              </w:rPr>
              <w:t>’</w:t>
            </w:r>
            <w:r w:rsidRPr="00927778">
              <w:rPr>
                <w:iCs/>
                <w:color w:val="333333"/>
                <w:lang w:val="fr-FR"/>
              </w:rPr>
              <w:t>objet d</w:t>
            </w:r>
            <w:r w:rsidR="00EA2C86" w:rsidRPr="00927778">
              <w:rPr>
                <w:iCs/>
                <w:color w:val="333333"/>
                <w:lang w:val="fr-FR"/>
              </w:rPr>
              <w:t>’</w:t>
            </w:r>
            <w:r w:rsidRPr="00927778">
              <w:rPr>
                <w:iCs/>
                <w:color w:val="333333"/>
                <w:lang w:val="fr-FR"/>
              </w:rPr>
              <w:t>une attention accr</w:t>
            </w:r>
            <w:r w:rsidR="00306E74" w:rsidRPr="00927778">
              <w:rPr>
                <w:iCs/>
                <w:color w:val="333333"/>
                <w:lang w:val="fr-FR"/>
              </w:rPr>
              <w:t>ue.  En</w:t>
            </w:r>
            <w:r w:rsidR="00956144" w:rsidRPr="00927778">
              <w:rPr>
                <w:iCs/>
                <w:color w:val="333333"/>
                <w:lang w:val="fr-FR"/>
              </w:rPr>
              <w:t xml:space="preserve"> outre, </w:t>
            </w:r>
            <w:r w:rsidR="00FB3CF3" w:rsidRPr="00927778">
              <w:rPr>
                <w:iCs/>
                <w:color w:val="333333"/>
                <w:lang w:val="fr-FR"/>
              </w:rPr>
              <w:t xml:space="preserve">en </w:t>
            </w:r>
            <w:r w:rsidR="00505A97" w:rsidRPr="00927778">
              <w:rPr>
                <w:iCs/>
                <w:color w:val="333333"/>
                <w:lang w:val="fr-FR"/>
              </w:rPr>
              <w:t>s</w:t>
            </w:r>
            <w:r w:rsidR="00EA2C86" w:rsidRPr="00927778">
              <w:rPr>
                <w:iCs/>
                <w:color w:val="333333"/>
                <w:lang w:val="fr-FR"/>
              </w:rPr>
              <w:t>’</w:t>
            </w:r>
            <w:r w:rsidR="00505A97" w:rsidRPr="00927778">
              <w:rPr>
                <w:iCs/>
                <w:color w:val="333333"/>
                <w:lang w:val="fr-FR"/>
              </w:rPr>
              <w:t>attaquant aux compétences qui ont tendance à faire défaut aux différentes</w:t>
            </w:r>
            <w:r w:rsidR="00EE2C7E" w:rsidRPr="00927778">
              <w:rPr>
                <w:iCs/>
                <w:color w:val="333333"/>
                <w:lang w:val="fr-FR"/>
              </w:rPr>
              <w:t xml:space="preserve"> </w:t>
            </w:r>
            <w:r w:rsidR="00FB3CF3" w:rsidRPr="00927778">
              <w:rPr>
                <w:iCs/>
                <w:color w:val="333333"/>
                <w:lang w:val="fr-FR"/>
              </w:rPr>
              <w:t>organisations dans chaque pays, il sera possible de fournir des solutions</w:t>
            </w:r>
            <w:r w:rsidR="00505A97" w:rsidRPr="00927778">
              <w:rPr>
                <w:iCs/>
                <w:color w:val="333333"/>
                <w:lang w:val="fr-FR"/>
              </w:rPr>
              <w:t xml:space="preserve"> de formation</w:t>
            </w:r>
            <w:r w:rsidR="00FB3CF3" w:rsidRPr="00927778">
              <w:rPr>
                <w:iCs/>
                <w:color w:val="333333"/>
                <w:lang w:val="fr-FR"/>
              </w:rPr>
              <w:t xml:space="preserve"> plus adaptées.</w:t>
            </w:r>
          </w:p>
          <w:p w:rsidR="001B0EEB" w:rsidRPr="00927778" w:rsidRDefault="001B0EEB" w:rsidP="006031CF">
            <w:pPr>
              <w:widowControl w:val="0"/>
              <w:rPr>
                <w:iCs/>
                <w:color w:val="333333"/>
                <w:lang w:val="fr-FR"/>
              </w:rPr>
            </w:pPr>
          </w:p>
        </w:tc>
      </w:tr>
      <w:tr w:rsidR="00047C22" w:rsidRPr="00927778" w:rsidTr="00F45974">
        <w:trPr>
          <w:trHeight w:val="1165"/>
        </w:trPr>
        <w:tc>
          <w:tcPr>
            <w:tcW w:w="2376" w:type="dxa"/>
            <w:shd w:val="clear" w:color="auto" w:fill="auto"/>
          </w:tcPr>
          <w:p w:rsidR="005E6718" w:rsidRPr="00927778" w:rsidRDefault="00801EDA" w:rsidP="00801EDA">
            <w:pPr>
              <w:pStyle w:val="Heading3"/>
              <w:keepNext w:val="0"/>
              <w:widowControl w:val="0"/>
              <w:rPr>
                <w:color w:val="333333"/>
                <w:lang w:val="fr-FR"/>
              </w:rPr>
            </w:pPr>
            <w:r w:rsidRPr="00927778">
              <w:rPr>
                <w:color w:val="333333"/>
                <w:lang w:val="fr-FR"/>
              </w:rPr>
              <w:t>Questions nécessitant un appui ou une attention immédiats</w:t>
            </w:r>
          </w:p>
          <w:p w:rsidR="001B0EEB" w:rsidRPr="00927778" w:rsidRDefault="001B0EEB" w:rsidP="006031CF">
            <w:pPr>
              <w:widowControl w:val="0"/>
              <w:rPr>
                <w:color w:val="333333"/>
                <w:lang w:val="fr-FR"/>
              </w:rPr>
            </w:pPr>
          </w:p>
        </w:tc>
        <w:tc>
          <w:tcPr>
            <w:tcW w:w="6912" w:type="dxa"/>
          </w:tcPr>
          <w:p w:rsidR="005E6718" w:rsidRPr="00927778" w:rsidRDefault="005E6718" w:rsidP="006031CF">
            <w:pPr>
              <w:widowControl w:val="0"/>
              <w:rPr>
                <w:iCs/>
                <w:color w:val="333333"/>
                <w:lang w:val="fr-FR"/>
              </w:rPr>
            </w:pPr>
          </w:p>
          <w:p w:rsidR="005E6718" w:rsidRPr="00927778" w:rsidRDefault="00801EDA" w:rsidP="00801EDA">
            <w:pPr>
              <w:widowControl w:val="0"/>
              <w:rPr>
                <w:iCs/>
                <w:color w:val="333333"/>
                <w:lang w:val="fr-FR"/>
              </w:rPr>
            </w:pPr>
            <w:r w:rsidRPr="00927778">
              <w:rPr>
                <w:iCs/>
                <w:color w:val="333333"/>
                <w:lang w:val="fr-FR"/>
              </w:rPr>
              <w:t>n.d.</w:t>
            </w:r>
          </w:p>
          <w:p w:rsidR="001B0EEB" w:rsidRPr="00927778" w:rsidRDefault="001B0EEB" w:rsidP="006031CF">
            <w:pPr>
              <w:widowControl w:val="0"/>
              <w:rPr>
                <w:iCs/>
                <w:color w:val="333333"/>
                <w:lang w:val="fr-FR"/>
              </w:rPr>
            </w:pPr>
          </w:p>
        </w:tc>
      </w:tr>
      <w:tr w:rsidR="00047C22" w:rsidRPr="00927778" w:rsidTr="00C3651B">
        <w:trPr>
          <w:trHeight w:val="1081"/>
        </w:trPr>
        <w:tc>
          <w:tcPr>
            <w:tcW w:w="2376" w:type="dxa"/>
            <w:shd w:val="clear" w:color="auto" w:fill="auto"/>
          </w:tcPr>
          <w:p w:rsidR="001B0EEB" w:rsidRPr="00927778" w:rsidRDefault="00801EDA" w:rsidP="00801EDA">
            <w:pPr>
              <w:pStyle w:val="Heading3"/>
              <w:keepNext w:val="0"/>
              <w:widowControl w:val="0"/>
              <w:rPr>
                <w:color w:val="333333"/>
                <w:lang w:val="fr-FR"/>
              </w:rPr>
            </w:pPr>
            <w:r w:rsidRPr="00927778">
              <w:rPr>
                <w:color w:val="333333"/>
                <w:lang w:val="fr-FR"/>
              </w:rPr>
              <w:t>Mesures à prendre</w:t>
            </w:r>
          </w:p>
        </w:tc>
        <w:tc>
          <w:tcPr>
            <w:tcW w:w="6912" w:type="dxa"/>
          </w:tcPr>
          <w:p w:rsidR="005E6718" w:rsidRPr="00927778" w:rsidRDefault="005E6718" w:rsidP="006031CF">
            <w:pPr>
              <w:widowControl w:val="0"/>
              <w:rPr>
                <w:color w:val="333333"/>
                <w:lang w:val="fr-FR"/>
              </w:rPr>
            </w:pPr>
          </w:p>
          <w:p w:rsidR="00EA2C86" w:rsidRPr="00927778" w:rsidRDefault="00FB3CF3" w:rsidP="00086234">
            <w:pPr>
              <w:widowControl w:val="0"/>
              <w:numPr>
                <w:ilvl w:val="0"/>
                <w:numId w:val="42"/>
              </w:numPr>
              <w:ind w:left="414" w:hanging="414"/>
              <w:rPr>
                <w:bCs/>
                <w:color w:val="333333"/>
                <w:u w:val="single"/>
                <w:lang w:val="fr-FR"/>
              </w:rPr>
            </w:pPr>
            <w:r w:rsidRPr="00927778">
              <w:rPr>
                <w:bCs/>
                <w:color w:val="333333"/>
                <w:u w:val="single"/>
                <w:lang w:val="fr-FR"/>
              </w:rPr>
              <w:t>Manuel et série d</w:t>
            </w:r>
            <w:r w:rsidR="00EA2C86" w:rsidRPr="00927778">
              <w:rPr>
                <w:bCs/>
                <w:color w:val="333333"/>
                <w:u w:val="single"/>
                <w:lang w:val="fr-FR"/>
              </w:rPr>
              <w:t>’</w:t>
            </w:r>
            <w:r w:rsidRPr="00927778">
              <w:rPr>
                <w:bCs/>
                <w:color w:val="333333"/>
                <w:u w:val="single"/>
                <w:lang w:val="fr-FR"/>
              </w:rPr>
              <w:t xml:space="preserve">outils </w:t>
            </w:r>
            <w:r w:rsidR="00C66267" w:rsidRPr="00927778">
              <w:rPr>
                <w:bCs/>
                <w:color w:val="333333"/>
                <w:u w:val="single"/>
                <w:lang w:val="fr-FR"/>
              </w:rPr>
              <w:t>d</w:t>
            </w:r>
            <w:r w:rsidR="00EA2C86" w:rsidRPr="00927778">
              <w:rPr>
                <w:bCs/>
                <w:color w:val="333333"/>
                <w:u w:val="single"/>
                <w:lang w:val="fr-FR"/>
              </w:rPr>
              <w:t>’</w:t>
            </w:r>
            <w:r w:rsidR="00C66267" w:rsidRPr="00927778">
              <w:rPr>
                <w:bCs/>
                <w:color w:val="333333"/>
                <w:u w:val="single"/>
                <w:lang w:val="fr-FR"/>
              </w:rPr>
              <w:t>évaluation des</w:t>
            </w:r>
            <w:r w:rsidRPr="00927778">
              <w:rPr>
                <w:bCs/>
                <w:color w:val="333333"/>
                <w:u w:val="single"/>
                <w:lang w:val="fr-FR"/>
              </w:rPr>
              <w:t xml:space="preserve"> besoins de formation </w:t>
            </w:r>
            <w:r w:rsidR="0026115F" w:rsidRPr="00927778">
              <w:rPr>
                <w:bCs/>
                <w:color w:val="333333"/>
                <w:u w:val="single"/>
                <w:lang w:val="fr-FR"/>
              </w:rPr>
              <w:t>en matière de</w:t>
            </w:r>
            <w:r w:rsidRPr="00927778">
              <w:rPr>
                <w:bCs/>
                <w:color w:val="333333"/>
                <w:u w:val="single"/>
                <w:lang w:val="fr-FR"/>
              </w:rPr>
              <w:t xml:space="preserve"> transfert de technologie</w:t>
            </w:r>
          </w:p>
          <w:p w:rsidR="005E6718" w:rsidRPr="00927778" w:rsidRDefault="005E6718" w:rsidP="006031CF">
            <w:pPr>
              <w:widowControl w:val="0"/>
              <w:rPr>
                <w:color w:val="333333"/>
                <w:lang w:val="fr-FR"/>
              </w:rPr>
            </w:pPr>
          </w:p>
          <w:p w:rsidR="00EA2C86" w:rsidRPr="00927778" w:rsidRDefault="00E427BF" w:rsidP="006031CF">
            <w:pPr>
              <w:widowControl w:val="0"/>
              <w:rPr>
                <w:color w:val="333333"/>
                <w:lang w:val="fr-FR"/>
              </w:rPr>
            </w:pPr>
            <w:r w:rsidRPr="00927778">
              <w:rPr>
                <w:color w:val="333333"/>
                <w:lang w:val="fr-FR"/>
              </w:rPr>
              <w:t xml:space="preserve">Dans le cadre de leur évaluation des besoins de formation, les experts des pays rédigeront leurs commentaires et </w:t>
            </w:r>
            <w:r w:rsidR="00B104C1" w:rsidRPr="00927778">
              <w:rPr>
                <w:color w:val="333333"/>
                <w:lang w:val="fr-FR"/>
              </w:rPr>
              <w:t>recommandations</w:t>
            </w:r>
            <w:r w:rsidRPr="00927778">
              <w:rPr>
                <w:color w:val="333333"/>
                <w:lang w:val="fr-FR"/>
              </w:rPr>
              <w:t xml:space="preserve"> à propos du manuel et de la sér</w:t>
            </w:r>
            <w:r w:rsidR="00B01849" w:rsidRPr="00927778">
              <w:rPr>
                <w:color w:val="333333"/>
                <w:lang w:val="fr-FR"/>
              </w:rPr>
              <w:t>i</w:t>
            </w:r>
            <w:r w:rsidRPr="00927778">
              <w:rPr>
                <w:color w:val="333333"/>
                <w:lang w:val="fr-FR"/>
              </w:rPr>
              <w:t>e d</w:t>
            </w:r>
            <w:r w:rsidR="00EA2C86" w:rsidRPr="00927778">
              <w:rPr>
                <w:color w:val="333333"/>
                <w:lang w:val="fr-FR"/>
              </w:rPr>
              <w:t>’</w:t>
            </w:r>
            <w:r w:rsidRPr="00927778">
              <w:rPr>
                <w:color w:val="333333"/>
                <w:lang w:val="fr-FR"/>
              </w:rPr>
              <w:t xml:space="preserve">outils en </w:t>
            </w:r>
            <w:r w:rsidR="00C66267" w:rsidRPr="00927778">
              <w:rPr>
                <w:color w:val="333333"/>
                <w:lang w:val="fr-FR"/>
              </w:rPr>
              <w:t>s</w:t>
            </w:r>
            <w:r w:rsidR="00EA2C86" w:rsidRPr="00927778">
              <w:rPr>
                <w:color w:val="333333"/>
                <w:lang w:val="fr-FR"/>
              </w:rPr>
              <w:t>’</w:t>
            </w:r>
            <w:r w:rsidR="00C66267" w:rsidRPr="00927778">
              <w:rPr>
                <w:color w:val="333333"/>
                <w:lang w:val="fr-FR"/>
              </w:rPr>
              <w:t>attachant à</w:t>
            </w:r>
            <w:r w:rsidRPr="00927778">
              <w:rPr>
                <w:color w:val="333333"/>
                <w:lang w:val="fr-FR"/>
              </w:rPr>
              <w:t xml:space="preserve"> leur applicabilité</w:t>
            </w:r>
            <w:r w:rsidR="00B01849" w:rsidRPr="00927778">
              <w:rPr>
                <w:color w:val="333333"/>
                <w:lang w:val="fr-FR"/>
              </w:rPr>
              <w:t xml:space="preserve"> dans leur pays et en soulignant les points sur lesquels des améliorations pourraient être apporté</w:t>
            </w:r>
            <w:r w:rsidR="00306E74" w:rsidRPr="00927778">
              <w:rPr>
                <w:color w:val="333333"/>
                <w:lang w:val="fr-FR"/>
              </w:rPr>
              <w:t>es.  Le</w:t>
            </w:r>
            <w:r w:rsidR="00B01849" w:rsidRPr="00927778">
              <w:rPr>
                <w:color w:val="333333"/>
                <w:lang w:val="fr-FR"/>
              </w:rPr>
              <w:t xml:space="preserve">s experts des pays </w:t>
            </w:r>
            <w:r w:rsidR="00280E28" w:rsidRPr="00927778">
              <w:rPr>
                <w:color w:val="333333"/>
                <w:lang w:val="fr-FR"/>
              </w:rPr>
              <w:t>devraient</w:t>
            </w:r>
            <w:r w:rsidR="00B01849" w:rsidRPr="00927778">
              <w:rPr>
                <w:color w:val="333333"/>
                <w:lang w:val="fr-FR"/>
              </w:rPr>
              <w:t xml:space="preserve"> remettre leurs commentaires par écrit d</w:t>
            </w:r>
            <w:r w:rsidR="00EA2C86" w:rsidRPr="00927778">
              <w:rPr>
                <w:color w:val="333333"/>
                <w:lang w:val="fr-FR"/>
              </w:rPr>
              <w:t>’</w:t>
            </w:r>
            <w:r w:rsidR="00B01849" w:rsidRPr="00927778">
              <w:rPr>
                <w:color w:val="333333"/>
                <w:lang w:val="fr-FR"/>
              </w:rPr>
              <w:t xml:space="preserve">ici à la fin du mois de </w:t>
            </w:r>
            <w:r w:rsidR="00EA2C86" w:rsidRPr="00927778">
              <w:rPr>
                <w:color w:val="333333"/>
                <w:lang w:val="fr-FR"/>
              </w:rPr>
              <w:t>novembre 20</w:t>
            </w:r>
            <w:r w:rsidR="00B01849" w:rsidRPr="00927778">
              <w:rPr>
                <w:color w:val="333333"/>
                <w:lang w:val="fr-FR"/>
              </w:rPr>
              <w:t>18.</w:t>
            </w:r>
          </w:p>
          <w:p w:rsidR="005E6718" w:rsidRPr="00927778" w:rsidRDefault="005E6718" w:rsidP="006031CF">
            <w:pPr>
              <w:widowControl w:val="0"/>
              <w:rPr>
                <w:color w:val="333333"/>
                <w:lang w:val="fr-FR"/>
              </w:rPr>
            </w:pPr>
          </w:p>
          <w:p w:rsidR="005E6718" w:rsidRPr="00927778" w:rsidRDefault="00B01849" w:rsidP="006031CF">
            <w:pPr>
              <w:widowControl w:val="0"/>
              <w:rPr>
                <w:color w:val="333333"/>
                <w:lang w:val="fr-FR"/>
              </w:rPr>
            </w:pPr>
            <w:r w:rsidRPr="00927778">
              <w:rPr>
                <w:color w:val="333333"/>
                <w:lang w:val="fr-FR"/>
              </w:rPr>
              <w:t xml:space="preserve">Conformément à la stratégie </w:t>
            </w:r>
            <w:r w:rsidR="00C66267" w:rsidRPr="00927778">
              <w:rPr>
                <w:color w:val="333333"/>
                <w:lang w:val="fr-FR"/>
              </w:rPr>
              <w:t xml:space="preserve">de mise en œuvre </w:t>
            </w:r>
            <w:r w:rsidRPr="00927778">
              <w:rPr>
                <w:color w:val="333333"/>
                <w:lang w:val="fr-FR"/>
              </w:rPr>
              <w:t>du projet, l</w:t>
            </w:r>
            <w:r w:rsidR="00EA2C86" w:rsidRPr="00927778">
              <w:rPr>
                <w:color w:val="333333"/>
                <w:lang w:val="fr-FR"/>
              </w:rPr>
              <w:t>’</w:t>
            </w:r>
            <w:r w:rsidRPr="00927778">
              <w:rPr>
                <w:color w:val="333333"/>
                <w:lang w:val="fr-FR"/>
              </w:rPr>
              <w:t>expert en évaluation des besoins de formation recueillera les commentaires écrits des experts des pays, de même que leurs remarques et celles de l</w:t>
            </w:r>
            <w:r w:rsidR="00EA2C86" w:rsidRPr="00927778">
              <w:rPr>
                <w:color w:val="333333"/>
                <w:lang w:val="fr-FR"/>
              </w:rPr>
              <w:t>’</w:t>
            </w:r>
            <w:r w:rsidRPr="00927778">
              <w:rPr>
                <w:color w:val="333333"/>
                <w:lang w:val="fr-FR"/>
              </w:rPr>
              <w:t xml:space="preserve">équipe </w:t>
            </w:r>
            <w:r w:rsidR="00C66267" w:rsidRPr="00927778">
              <w:rPr>
                <w:color w:val="333333"/>
                <w:lang w:val="fr-FR"/>
              </w:rPr>
              <w:t xml:space="preserve">de </w:t>
            </w:r>
            <w:r w:rsidRPr="00927778">
              <w:rPr>
                <w:color w:val="333333"/>
                <w:lang w:val="fr-FR"/>
              </w:rPr>
              <w:t>l</w:t>
            </w:r>
            <w:r w:rsidR="00EA2C86" w:rsidRPr="00927778">
              <w:rPr>
                <w:color w:val="333333"/>
                <w:lang w:val="fr-FR"/>
              </w:rPr>
              <w:t>’</w:t>
            </w:r>
            <w:r w:rsidRPr="00927778">
              <w:rPr>
                <w:color w:val="333333"/>
                <w:lang w:val="fr-FR"/>
              </w:rPr>
              <w:t>OMPI</w:t>
            </w:r>
            <w:r w:rsidR="00B104C1" w:rsidRPr="00927778">
              <w:rPr>
                <w:color w:val="333333"/>
                <w:lang w:val="fr-FR"/>
              </w:rPr>
              <w:t xml:space="preserve"> </w:t>
            </w:r>
            <w:r w:rsidR="00C66267" w:rsidRPr="00927778">
              <w:rPr>
                <w:color w:val="333333"/>
                <w:lang w:val="fr-FR"/>
              </w:rPr>
              <w:t>responsable du projet émises lors</w:t>
            </w:r>
            <w:r w:rsidRPr="00927778">
              <w:rPr>
                <w:color w:val="333333"/>
                <w:lang w:val="fr-FR"/>
              </w:rPr>
              <w:t xml:space="preserve"> de la réunion </w:t>
            </w:r>
            <w:r w:rsidR="00C66267" w:rsidRPr="00927778">
              <w:rPr>
                <w:color w:val="333333"/>
                <w:lang w:val="fr-FR"/>
              </w:rPr>
              <w:t>qui s</w:t>
            </w:r>
            <w:r w:rsidR="00EA2C86" w:rsidRPr="00927778">
              <w:rPr>
                <w:color w:val="333333"/>
                <w:lang w:val="fr-FR"/>
              </w:rPr>
              <w:t>’</w:t>
            </w:r>
            <w:r w:rsidR="00C66267" w:rsidRPr="00927778">
              <w:rPr>
                <w:color w:val="333333"/>
                <w:lang w:val="fr-FR"/>
              </w:rPr>
              <w:t>est tenue en</w:t>
            </w:r>
            <w:r w:rsidRPr="00927778">
              <w:rPr>
                <w:color w:val="333333"/>
                <w:lang w:val="fr-FR"/>
              </w:rPr>
              <w:t xml:space="preserve"> juillet, afin de préparer une version révisée et améliorée du manuel et de la série d</w:t>
            </w:r>
            <w:r w:rsidR="00EA2C86" w:rsidRPr="00927778">
              <w:rPr>
                <w:color w:val="333333"/>
                <w:lang w:val="fr-FR"/>
              </w:rPr>
              <w:t>’</w:t>
            </w:r>
            <w:r w:rsidRPr="00927778">
              <w:rPr>
                <w:color w:val="333333"/>
                <w:lang w:val="fr-FR"/>
              </w:rPr>
              <w:t>outils d</w:t>
            </w:r>
            <w:r w:rsidR="00EA2C86" w:rsidRPr="00927778">
              <w:rPr>
                <w:color w:val="333333"/>
                <w:lang w:val="fr-FR"/>
              </w:rPr>
              <w:t>’</w:t>
            </w:r>
            <w:r w:rsidRPr="00927778">
              <w:rPr>
                <w:color w:val="333333"/>
                <w:lang w:val="fr-FR"/>
              </w:rPr>
              <w:t>évaluation des besoins de formati</w:t>
            </w:r>
            <w:r w:rsidR="00306E74" w:rsidRPr="00927778">
              <w:rPr>
                <w:color w:val="333333"/>
                <w:lang w:val="fr-FR"/>
              </w:rPr>
              <w:t>on.  Le</w:t>
            </w:r>
            <w:r w:rsidR="0001541C" w:rsidRPr="00927778">
              <w:rPr>
                <w:color w:val="333333"/>
                <w:lang w:val="fr-FR"/>
              </w:rPr>
              <w:t xml:space="preserve"> manuel et la série d</w:t>
            </w:r>
            <w:r w:rsidR="00EA2C86" w:rsidRPr="00927778">
              <w:rPr>
                <w:color w:val="333333"/>
                <w:lang w:val="fr-FR"/>
              </w:rPr>
              <w:t>’</w:t>
            </w:r>
            <w:r w:rsidR="0001541C" w:rsidRPr="00927778">
              <w:rPr>
                <w:color w:val="333333"/>
                <w:lang w:val="fr-FR"/>
              </w:rPr>
              <w:t xml:space="preserve">outils révisés </w:t>
            </w:r>
            <w:r w:rsidR="00280E28" w:rsidRPr="00927778">
              <w:rPr>
                <w:color w:val="333333"/>
                <w:lang w:val="fr-FR"/>
              </w:rPr>
              <w:t>devraient</w:t>
            </w:r>
            <w:r w:rsidR="0001541C" w:rsidRPr="00927778">
              <w:rPr>
                <w:color w:val="333333"/>
                <w:lang w:val="fr-FR"/>
              </w:rPr>
              <w:t xml:space="preserve"> être </w:t>
            </w:r>
            <w:r w:rsidR="00C66267" w:rsidRPr="00927778">
              <w:rPr>
                <w:color w:val="333333"/>
                <w:lang w:val="fr-FR"/>
              </w:rPr>
              <w:t>achevés</w:t>
            </w:r>
            <w:r w:rsidR="0001541C" w:rsidRPr="00927778">
              <w:rPr>
                <w:color w:val="333333"/>
                <w:lang w:val="fr-FR"/>
              </w:rPr>
              <w:t xml:space="preserve"> d</w:t>
            </w:r>
            <w:r w:rsidR="00EA2C86" w:rsidRPr="00927778">
              <w:rPr>
                <w:color w:val="333333"/>
                <w:lang w:val="fr-FR"/>
              </w:rPr>
              <w:t>’</w:t>
            </w:r>
            <w:r w:rsidR="0001541C" w:rsidRPr="00927778">
              <w:rPr>
                <w:color w:val="333333"/>
                <w:lang w:val="fr-FR"/>
              </w:rPr>
              <w:t xml:space="preserve">ici à la fin </w:t>
            </w:r>
            <w:r w:rsidR="00EA2C86" w:rsidRPr="00927778">
              <w:rPr>
                <w:color w:val="333333"/>
                <w:lang w:val="fr-FR"/>
              </w:rPr>
              <w:t>de 2018</w:t>
            </w:r>
            <w:r w:rsidR="001B0EEB" w:rsidRPr="00927778">
              <w:rPr>
                <w:color w:val="333333"/>
                <w:lang w:val="fr-FR"/>
              </w:rPr>
              <w:t>.</w:t>
            </w:r>
          </w:p>
          <w:p w:rsidR="005E6718" w:rsidRPr="00927778" w:rsidRDefault="005E6718" w:rsidP="006031CF">
            <w:pPr>
              <w:widowControl w:val="0"/>
              <w:rPr>
                <w:color w:val="333333"/>
                <w:lang w:val="fr-FR"/>
              </w:rPr>
            </w:pPr>
          </w:p>
          <w:p w:rsidR="00EA2C86" w:rsidRPr="00927778" w:rsidRDefault="0001541C" w:rsidP="00086234">
            <w:pPr>
              <w:widowControl w:val="0"/>
              <w:numPr>
                <w:ilvl w:val="0"/>
                <w:numId w:val="43"/>
              </w:numPr>
              <w:ind w:left="459" w:hanging="459"/>
              <w:rPr>
                <w:color w:val="333333"/>
                <w:u w:val="single"/>
                <w:lang w:val="fr-FR"/>
              </w:rPr>
            </w:pPr>
            <w:r w:rsidRPr="00927778">
              <w:rPr>
                <w:color w:val="333333"/>
                <w:u w:val="single"/>
                <w:lang w:val="fr-FR"/>
              </w:rPr>
              <w:t xml:space="preserve">Évaluation des besoins </w:t>
            </w:r>
            <w:r w:rsidR="001E0805" w:rsidRPr="00927778">
              <w:rPr>
                <w:color w:val="333333"/>
                <w:u w:val="single"/>
                <w:lang w:val="fr-FR"/>
              </w:rPr>
              <w:t>de</w:t>
            </w:r>
            <w:r w:rsidRPr="00927778">
              <w:rPr>
                <w:color w:val="333333"/>
                <w:u w:val="single"/>
                <w:lang w:val="fr-FR"/>
              </w:rPr>
              <w:t xml:space="preserve"> formation dans les quatre</w:t>
            </w:r>
            <w:r w:rsidR="0057466D" w:rsidRPr="00927778">
              <w:rPr>
                <w:color w:val="333333"/>
                <w:u w:val="single"/>
                <w:lang w:val="fr-FR"/>
              </w:rPr>
              <w:t> </w:t>
            </w:r>
            <w:r w:rsidRPr="00927778">
              <w:rPr>
                <w:color w:val="333333"/>
                <w:u w:val="single"/>
                <w:lang w:val="fr-FR"/>
              </w:rPr>
              <w:t>pays pilotes</w:t>
            </w:r>
          </w:p>
          <w:p w:rsidR="005E6718" w:rsidRPr="00927778" w:rsidRDefault="005E6718" w:rsidP="006031CF">
            <w:pPr>
              <w:widowControl w:val="0"/>
              <w:rPr>
                <w:color w:val="333333"/>
                <w:lang w:val="fr-FR"/>
              </w:rPr>
            </w:pPr>
          </w:p>
          <w:p w:rsidR="00EA2C86" w:rsidRPr="00927778" w:rsidRDefault="0001541C" w:rsidP="006031CF">
            <w:pPr>
              <w:widowControl w:val="0"/>
              <w:rPr>
                <w:color w:val="333333"/>
                <w:lang w:val="fr-FR"/>
              </w:rPr>
            </w:pPr>
            <w:r w:rsidRPr="00927778">
              <w:rPr>
                <w:color w:val="333333"/>
                <w:lang w:val="fr-FR"/>
              </w:rPr>
              <w:t>Ainsi qu</w:t>
            </w:r>
            <w:r w:rsidR="00EA2C86" w:rsidRPr="00927778">
              <w:rPr>
                <w:color w:val="333333"/>
                <w:lang w:val="fr-FR"/>
              </w:rPr>
              <w:t>’</w:t>
            </w:r>
            <w:r w:rsidRPr="00927778">
              <w:rPr>
                <w:color w:val="333333"/>
                <w:lang w:val="fr-FR"/>
              </w:rPr>
              <w:t>il été mentionné ci</w:t>
            </w:r>
            <w:r w:rsidR="00CB5AE0" w:rsidRPr="00927778">
              <w:rPr>
                <w:color w:val="333333"/>
                <w:lang w:val="fr-FR"/>
              </w:rPr>
              <w:noBreakHyphen/>
            </w:r>
            <w:r w:rsidRPr="00927778">
              <w:rPr>
                <w:color w:val="333333"/>
                <w:lang w:val="fr-FR"/>
              </w:rPr>
              <w:t>avant, les experts des pays ont assisté à une réunion</w:t>
            </w:r>
            <w:r w:rsidR="009F4886" w:rsidRPr="00927778">
              <w:rPr>
                <w:color w:val="333333"/>
                <w:lang w:val="fr-FR"/>
              </w:rPr>
              <w:t xml:space="preserve"> à Genève les 12 et 1</w:t>
            </w:r>
            <w:r w:rsidR="00EA2C86" w:rsidRPr="00927778">
              <w:rPr>
                <w:color w:val="333333"/>
                <w:lang w:val="fr-FR"/>
              </w:rPr>
              <w:t>3 juillet 20</w:t>
            </w:r>
            <w:r w:rsidR="00792B01" w:rsidRPr="00927778">
              <w:rPr>
                <w:color w:val="333333"/>
                <w:lang w:val="fr-FR"/>
              </w:rPr>
              <w:t>18 au cours de laquelle l</w:t>
            </w:r>
            <w:r w:rsidR="00EA2C86" w:rsidRPr="00927778">
              <w:rPr>
                <w:color w:val="333333"/>
                <w:lang w:val="fr-FR"/>
              </w:rPr>
              <w:t>’</w:t>
            </w:r>
            <w:r w:rsidR="00792B01" w:rsidRPr="00927778">
              <w:rPr>
                <w:color w:val="333333"/>
                <w:lang w:val="fr-FR"/>
              </w:rPr>
              <w:t xml:space="preserve">expert en évaluation des besoins de formation </w:t>
            </w:r>
            <w:r w:rsidR="001E0805" w:rsidRPr="00927778">
              <w:rPr>
                <w:color w:val="333333"/>
                <w:lang w:val="fr-FR"/>
              </w:rPr>
              <w:t>a présenté la première version</w:t>
            </w:r>
            <w:r w:rsidR="00792B01" w:rsidRPr="00927778">
              <w:rPr>
                <w:color w:val="333333"/>
                <w:lang w:val="fr-FR"/>
              </w:rPr>
              <w:t xml:space="preserve"> du manuel et de la série d</w:t>
            </w:r>
            <w:r w:rsidR="00EA2C86" w:rsidRPr="00927778">
              <w:rPr>
                <w:color w:val="333333"/>
                <w:lang w:val="fr-FR"/>
              </w:rPr>
              <w:t>’</w:t>
            </w:r>
            <w:r w:rsidR="00792B01" w:rsidRPr="00927778">
              <w:rPr>
                <w:color w:val="333333"/>
                <w:lang w:val="fr-FR"/>
              </w:rPr>
              <w:t>outi</w:t>
            </w:r>
            <w:r w:rsidR="00306E74" w:rsidRPr="00927778">
              <w:rPr>
                <w:color w:val="333333"/>
                <w:lang w:val="fr-FR"/>
              </w:rPr>
              <w:t>ls.  Le</w:t>
            </w:r>
            <w:r w:rsidR="00792B01" w:rsidRPr="00927778">
              <w:rPr>
                <w:color w:val="333333"/>
                <w:lang w:val="fr-FR"/>
              </w:rPr>
              <w:t xml:space="preserve">s experts des pays </w:t>
            </w:r>
            <w:r w:rsidR="001E0805" w:rsidRPr="00927778">
              <w:rPr>
                <w:color w:val="333333"/>
                <w:lang w:val="fr-FR"/>
              </w:rPr>
              <w:t>mettront à profit</w:t>
            </w:r>
            <w:r w:rsidR="00792B01" w:rsidRPr="00927778">
              <w:rPr>
                <w:color w:val="333333"/>
                <w:lang w:val="fr-FR"/>
              </w:rPr>
              <w:t xml:space="preserve"> leur connaissance des chaînes de </w:t>
            </w:r>
            <w:r w:rsidR="0039550E" w:rsidRPr="00927778">
              <w:rPr>
                <w:color w:val="333333"/>
                <w:lang w:val="fr-FR"/>
              </w:rPr>
              <w:t>valorisation</w:t>
            </w:r>
            <w:r w:rsidR="00792B01" w:rsidRPr="00927778">
              <w:rPr>
                <w:color w:val="333333"/>
                <w:lang w:val="fr-FR"/>
              </w:rPr>
              <w:t xml:space="preserve"> de l</w:t>
            </w:r>
            <w:r w:rsidR="00EA2C86" w:rsidRPr="00927778">
              <w:rPr>
                <w:color w:val="333333"/>
                <w:lang w:val="fr-FR"/>
              </w:rPr>
              <w:t>’</w:t>
            </w:r>
            <w:r w:rsidR="00792B01" w:rsidRPr="00927778">
              <w:rPr>
                <w:color w:val="333333"/>
                <w:lang w:val="fr-FR"/>
              </w:rPr>
              <w:t xml:space="preserve">innovation de leur pays </w:t>
            </w:r>
            <w:r w:rsidR="001E0805" w:rsidRPr="00927778">
              <w:rPr>
                <w:color w:val="333333"/>
                <w:lang w:val="fr-FR"/>
              </w:rPr>
              <w:t>qu</w:t>
            </w:r>
            <w:r w:rsidR="00EA2C86" w:rsidRPr="00927778">
              <w:rPr>
                <w:color w:val="333333"/>
                <w:lang w:val="fr-FR"/>
              </w:rPr>
              <w:t>’</w:t>
            </w:r>
            <w:r w:rsidR="001E0805" w:rsidRPr="00927778">
              <w:rPr>
                <w:color w:val="333333"/>
                <w:lang w:val="fr-FR"/>
              </w:rPr>
              <w:t>ils ont acquise</w:t>
            </w:r>
            <w:r w:rsidR="00792B01" w:rsidRPr="00927778">
              <w:rPr>
                <w:color w:val="333333"/>
                <w:lang w:val="fr-FR"/>
              </w:rPr>
              <w:t xml:space="preserve"> lors de l</w:t>
            </w:r>
            <w:r w:rsidR="001E0805" w:rsidRPr="00927778">
              <w:rPr>
                <w:color w:val="333333"/>
                <w:lang w:val="fr-FR"/>
              </w:rPr>
              <w:t>a phase d</w:t>
            </w:r>
            <w:r w:rsidR="00EA2C86" w:rsidRPr="00927778">
              <w:rPr>
                <w:color w:val="333333"/>
                <w:lang w:val="fr-FR"/>
              </w:rPr>
              <w:t>’</w:t>
            </w:r>
            <w:r w:rsidR="001E0805" w:rsidRPr="00927778">
              <w:rPr>
                <w:color w:val="333333"/>
                <w:lang w:val="fr-FR"/>
              </w:rPr>
              <w:t>inventaire du projet ainsi que le</w:t>
            </w:r>
            <w:r w:rsidR="00792B01" w:rsidRPr="00927778">
              <w:rPr>
                <w:color w:val="333333"/>
                <w:lang w:val="fr-FR"/>
              </w:rPr>
              <w:t xml:space="preserve"> manuel et la série d</w:t>
            </w:r>
            <w:r w:rsidR="00EA2C86" w:rsidRPr="00927778">
              <w:rPr>
                <w:color w:val="333333"/>
                <w:lang w:val="fr-FR"/>
              </w:rPr>
              <w:t>’</w:t>
            </w:r>
            <w:r w:rsidR="00792B01" w:rsidRPr="00927778">
              <w:rPr>
                <w:color w:val="333333"/>
                <w:lang w:val="fr-FR"/>
              </w:rPr>
              <w:t>outils d</w:t>
            </w:r>
            <w:r w:rsidR="00EA2C86" w:rsidRPr="00927778">
              <w:rPr>
                <w:color w:val="333333"/>
                <w:lang w:val="fr-FR"/>
              </w:rPr>
              <w:t>’</w:t>
            </w:r>
            <w:r w:rsidR="00C111BE" w:rsidRPr="00927778">
              <w:rPr>
                <w:color w:val="333333"/>
                <w:lang w:val="fr-FR"/>
              </w:rPr>
              <w:t>évaluation</w:t>
            </w:r>
            <w:r w:rsidR="00792B01" w:rsidRPr="00927778">
              <w:rPr>
                <w:color w:val="333333"/>
                <w:lang w:val="fr-FR"/>
              </w:rPr>
              <w:t xml:space="preserve"> des besoins </w:t>
            </w:r>
            <w:r w:rsidR="001E0805" w:rsidRPr="00927778">
              <w:rPr>
                <w:color w:val="333333"/>
                <w:lang w:val="fr-FR"/>
              </w:rPr>
              <w:t>de</w:t>
            </w:r>
            <w:r w:rsidR="00792B01" w:rsidRPr="00927778">
              <w:rPr>
                <w:color w:val="333333"/>
                <w:lang w:val="fr-FR"/>
              </w:rPr>
              <w:t xml:space="preserve"> formation pour évaluer les besoins de formation des différents </w:t>
            </w:r>
            <w:r w:rsidR="007C1F8A" w:rsidRPr="00927778">
              <w:rPr>
                <w:color w:val="333333"/>
                <w:lang w:val="fr-FR"/>
              </w:rPr>
              <w:t>acteurs</w:t>
            </w:r>
            <w:r w:rsidR="00792B01" w:rsidRPr="00927778">
              <w:rPr>
                <w:color w:val="333333"/>
                <w:lang w:val="fr-FR"/>
              </w:rPr>
              <w:t xml:space="preserve"> de la chaîne de </w:t>
            </w:r>
            <w:r w:rsidR="0039550E" w:rsidRPr="00927778">
              <w:rPr>
                <w:color w:val="333333"/>
                <w:lang w:val="fr-FR"/>
              </w:rPr>
              <w:t>valorisation</w:t>
            </w:r>
            <w:r w:rsidR="00792B01" w:rsidRPr="00927778">
              <w:rPr>
                <w:color w:val="333333"/>
                <w:lang w:val="fr-FR"/>
              </w:rPr>
              <w:t xml:space="preserve"> de l</w:t>
            </w:r>
            <w:r w:rsidR="00EA2C86" w:rsidRPr="00927778">
              <w:rPr>
                <w:color w:val="333333"/>
                <w:lang w:val="fr-FR"/>
              </w:rPr>
              <w:t>’</w:t>
            </w:r>
            <w:r w:rsidR="00792B01" w:rsidRPr="00927778">
              <w:rPr>
                <w:color w:val="333333"/>
                <w:lang w:val="fr-FR"/>
              </w:rPr>
              <w:t>innovation.</w:t>
            </w:r>
          </w:p>
          <w:p w:rsidR="005E6718" w:rsidRDefault="005E6718" w:rsidP="006031CF">
            <w:pPr>
              <w:widowControl w:val="0"/>
              <w:rPr>
                <w:color w:val="333333"/>
                <w:lang w:val="fr-FR"/>
              </w:rPr>
            </w:pPr>
          </w:p>
          <w:p w:rsidR="00263F34" w:rsidRPr="00927778" w:rsidRDefault="00263F34" w:rsidP="006031CF">
            <w:pPr>
              <w:widowControl w:val="0"/>
              <w:rPr>
                <w:color w:val="333333"/>
                <w:lang w:val="fr-FR"/>
              </w:rPr>
            </w:pPr>
          </w:p>
          <w:p w:rsidR="00EA2C86" w:rsidRPr="00927778" w:rsidRDefault="00792B01" w:rsidP="006031CF">
            <w:pPr>
              <w:widowControl w:val="0"/>
              <w:rPr>
                <w:color w:val="333333"/>
                <w:lang w:val="fr-FR"/>
              </w:rPr>
            </w:pPr>
            <w:r w:rsidRPr="00927778">
              <w:rPr>
                <w:color w:val="333333"/>
                <w:lang w:val="fr-FR"/>
              </w:rPr>
              <w:t>Les rapports portant sur l</w:t>
            </w:r>
            <w:r w:rsidR="00EA2C86" w:rsidRPr="00927778">
              <w:rPr>
                <w:color w:val="333333"/>
                <w:lang w:val="fr-FR"/>
              </w:rPr>
              <w:t>’</w:t>
            </w:r>
            <w:r w:rsidRPr="00927778">
              <w:rPr>
                <w:color w:val="333333"/>
                <w:lang w:val="fr-FR"/>
              </w:rPr>
              <w:t>évaluation des besoins de formation fourniront</w:t>
            </w:r>
            <w:r w:rsidR="001E0805" w:rsidRPr="00927778">
              <w:rPr>
                <w:color w:val="333333"/>
                <w:lang w:val="fr-FR"/>
              </w:rPr>
              <w:t>,</w:t>
            </w:r>
            <w:r w:rsidRPr="00927778">
              <w:rPr>
                <w:color w:val="333333"/>
                <w:lang w:val="fr-FR"/>
              </w:rPr>
              <w:t xml:space="preserve"> </w:t>
            </w:r>
            <w:r w:rsidR="004B32B0" w:rsidRPr="00927778">
              <w:rPr>
                <w:color w:val="333333"/>
                <w:lang w:val="fr-FR"/>
              </w:rPr>
              <w:t>d</w:t>
            </w:r>
            <w:r w:rsidR="00EA2C86" w:rsidRPr="00927778">
              <w:rPr>
                <w:color w:val="333333"/>
                <w:lang w:val="fr-FR"/>
              </w:rPr>
              <w:t>’</w:t>
            </w:r>
            <w:r w:rsidR="004B32B0" w:rsidRPr="00927778">
              <w:rPr>
                <w:color w:val="333333"/>
                <w:lang w:val="fr-FR"/>
              </w:rPr>
              <w:t>une part</w:t>
            </w:r>
            <w:r w:rsidR="001E0805" w:rsidRPr="00927778">
              <w:rPr>
                <w:color w:val="333333"/>
                <w:lang w:val="fr-FR"/>
              </w:rPr>
              <w:t>,</w:t>
            </w:r>
            <w:r w:rsidR="004B32B0" w:rsidRPr="00927778">
              <w:rPr>
                <w:color w:val="333333"/>
                <w:lang w:val="fr-FR"/>
              </w:rPr>
              <w:t xml:space="preserve"> </w:t>
            </w:r>
            <w:r w:rsidRPr="00927778">
              <w:rPr>
                <w:color w:val="333333"/>
                <w:lang w:val="fr-FR"/>
              </w:rPr>
              <w:t>une vue d</w:t>
            </w:r>
            <w:r w:rsidR="00EA2C86" w:rsidRPr="00927778">
              <w:rPr>
                <w:color w:val="333333"/>
                <w:lang w:val="fr-FR"/>
              </w:rPr>
              <w:t>’</w:t>
            </w:r>
            <w:r w:rsidRPr="00927778">
              <w:rPr>
                <w:color w:val="333333"/>
                <w:lang w:val="fr-FR"/>
              </w:rPr>
              <w:t>ensemble des données relatives à l</w:t>
            </w:r>
            <w:r w:rsidR="00EA2C86" w:rsidRPr="00927778">
              <w:rPr>
                <w:color w:val="333333"/>
                <w:lang w:val="fr-FR"/>
              </w:rPr>
              <w:t>’</w:t>
            </w:r>
            <w:r w:rsidRPr="00927778">
              <w:rPr>
                <w:color w:val="333333"/>
                <w:lang w:val="fr-FR"/>
              </w:rPr>
              <w:t>évaluation des besoins de formation</w:t>
            </w:r>
            <w:r w:rsidR="004B32B0" w:rsidRPr="00927778">
              <w:rPr>
                <w:color w:val="333333"/>
                <w:lang w:val="fr-FR"/>
              </w:rPr>
              <w:t xml:space="preserve"> </w:t>
            </w:r>
            <w:r w:rsidR="001E0805" w:rsidRPr="00927778">
              <w:rPr>
                <w:color w:val="333333"/>
                <w:lang w:val="fr-FR"/>
              </w:rPr>
              <w:t>pour chaque organisation ciblée</w:t>
            </w:r>
            <w:r w:rsidR="004B32B0" w:rsidRPr="00927778">
              <w:rPr>
                <w:color w:val="333333"/>
                <w:lang w:val="fr-FR"/>
              </w:rPr>
              <w:t xml:space="preserve"> et révéleront</w:t>
            </w:r>
            <w:r w:rsidR="001E0805" w:rsidRPr="00927778">
              <w:rPr>
                <w:color w:val="333333"/>
                <w:lang w:val="fr-FR"/>
              </w:rPr>
              <w:t>,</w:t>
            </w:r>
            <w:r w:rsidR="004B32B0" w:rsidRPr="00927778">
              <w:rPr>
                <w:color w:val="333333"/>
                <w:lang w:val="fr-FR"/>
              </w:rPr>
              <w:t xml:space="preserve"> d</w:t>
            </w:r>
            <w:r w:rsidR="00EA2C86" w:rsidRPr="00927778">
              <w:rPr>
                <w:color w:val="333333"/>
                <w:lang w:val="fr-FR"/>
              </w:rPr>
              <w:t>’</w:t>
            </w:r>
            <w:r w:rsidR="004B32B0" w:rsidRPr="00927778">
              <w:rPr>
                <w:color w:val="333333"/>
                <w:lang w:val="fr-FR"/>
              </w:rPr>
              <w:t>autre part</w:t>
            </w:r>
            <w:r w:rsidR="001E0805" w:rsidRPr="00927778">
              <w:rPr>
                <w:color w:val="333333"/>
                <w:lang w:val="fr-FR"/>
              </w:rPr>
              <w:t>, l</w:t>
            </w:r>
            <w:r w:rsidR="004B32B0" w:rsidRPr="00927778">
              <w:rPr>
                <w:color w:val="333333"/>
                <w:lang w:val="fr-FR"/>
              </w:rPr>
              <w:t xml:space="preserve">es tendances observées </w:t>
            </w:r>
            <w:r w:rsidR="001E0805" w:rsidRPr="00927778">
              <w:rPr>
                <w:color w:val="333333"/>
                <w:lang w:val="fr-FR"/>
              </w:rPr>
              <w:t>dans</w:t>
            </w:r>
            <w:r w:rsidR="004B32B0" w:rsidRPr="00927778">
              <w:rPr>
                <w:color w:val="333333"/>
                <w:lang w:val="fr-FR"/>
              </w:rPr>
              <w:t xml:space="preserve"> les diverses organisations </w:t>
            </w:r>
            <w:r w:rsidR="001E0805" w:rsidRPr="00927778">
              <w:rPr>
                <w:color w:val="333333"/>
                <w:lang w:val="fr-FR"/>
              </w:rPr>
              <w:t>d</w:t>
            </w:r>
            <w:r w:rsidR="004B32B0" w:rsidRPr="00927778">
              <w:rPr>
                <w:color w:val="333333"/>
                <w:lang w:val="fr-FR"/>
              </w:rPr>
              <w:t>es pa</w:t>
            </w:r>
            <w:r w:rsidR="00306E74" w:rsidRPr="00927778">
              <w:rPr>
                <w:color w:val="333333"/>
                <w:lang w:val="fr-FR"/>
              </w:rPr>
              <w:t>ys.  Ce</w:t>
            </w:r>
            <w:r w:rsidR="004B32B0" w:rsidRPr="00927778">
              <w:rPr>
                <w:color w:val="333333"/>
                <w:lang w:val="fr-FR"/>
              </w:rPr>
              <w:t xml:space="preserve">s rapports </w:t>
            </w:r>
            <w:r w:rsidR="00280E28" w:rsidRPr="00927778">
              <w:rPr>
                <w:color w:val="333333"/>
                <w:lang w:val="fr-FR"/>
              </w:rPr>
              <w:t>devraient</w:t>
            </w:r>
            <w:r w:rsidR="004B32B0" w:rsidRPr="00927778">
              <w:rPr>
                <w:color w:val="333333"/>
                <w:lang w:val="fr-FR"/>
              </w:rPr>
              <w:t xml:space="preserve"> être remis d</w:t>
            </w:r>
            <w:r w:rsidR="00EA2C86" w:rsidRPr="00927778">
              <w:rPr>
                <w:color w:val="333333"/>
                <w:lang w:val="fr-FR"/>
              </w:rPr>
              <w:t>’</w:t>
            </w:r>
            <w:r w:rsidR="004B32B0" w:rsidRPr="00927778">
              <w:rPr>
                <w:color w:val="333333"/>
                <w:lang w:val="fr-FR"/>
              </w:rPr>
              <w:t xml:space="preserve">ici à la fin </w:t>
            </w:r>
            <w:r w:rsidR="001E0805" w:rsidRPr="00927778">
              <w:rPr>
                <w:color w:val="333333"/>
                <w:lang w:val="fr-FR"/>
              </w:rPr>
              <w:t>du mois d</w:t>
            </w:r>
            <w:r w:rsidR="00EA2C86" w:rsidRPr="00927778">
              <w:rPr>
                <w:color w:val="333333"/>
                <w:lang w:val="fr-FR"/>
              </w:rPr>
              <w:t>’octobre 20</w:t>
            </w:r>
            <w:r w:rsidR="004B32B0" w:rsidRPr="00927778">
              <w:rPr>
                <w:color w:val="333333"/>
                <w:lang w:val="fr-FR"/>
              </w:rPr>
              <w:t>18.</w:t>
            </w:r>
          </w:p>
          <w:p w:rsidR="005E6718" w:rsidRPr="00927778" w:rsidRDefault="005E6718" w:rsidP="006031CF">
            <w:pPr>
              <w:widowControl w:val="0"/>
              <w:rPr>
                <w:color w:val="333333"/>
                <w:lang w:val="fr-FR"/>
              </w:rPr>
            </w:pPr>
          </w:p>
          <w:p w:rsidR="005E6718" w:rsidRPr="00927778" w:rsidRDefault="004B32B0" w:rsidP="00086234">
            <w:pPr>
              <w:widowControl w:val="0"/>
              <w:numPr>
                <w:ilvl w:val="0"/>
                <w:numId w:val="43"/>
              </w:numPr>
              <w:ind w:left="459" w:hanging="459"/>
              <w:rPr>
                <w:bCs/>
                <w:color w:val="333333"/>
                <w:u w:val="single"/>
                <w:lang w:val="fr-FR"/>
              </w:rPr>
            </w:pPr>
            <w:r w:rsidRPr="00927778">
              <w:rPr>
                <w:color w:val="333333"/>
                <w:u w:val="single"/>
                <w:lang w:val="fr-FR"/>
              </w:rPr>
              <w:t>P</w:t>
            </w:r>
            <w:r w:rsidR="00B66CF1" w:rsidRPr="00927778">
              <w:rPr>
                <w:color w:val="333333"/>
                <w:u w:val="single"/>
                <w:lang w:val="fr-FR"/>
              </w:rPr>
              <w:t>rogrammes</w:t>
            </w:r>
            <w:r w:rsidRPr="00927778">
              <w:rPr>
                <w:color w:val="333333"/>
                <w:u w:val="single"/>
                <w:lang w:val="fr-FR"/>
              </w:rPr>
              <w:t xml:space="preserve"> de formation dans</w:t>
            </w:r>
            <w:r w:rsidR="00057D12" w:rsidRPr="00927778">
              <w:rPr>
                <w:color w:val="333333"/>
                <w:u w:val="single"/>
                <w:lang w:val="fr-FR"/>
              </w:rPr>
              <w:t xml:space="preserve"> les</w:t>
            </w:r>
            <w:r w:rsidRPr="00927778">
              <w:rPr>
                <w:color w:val="333333"/>
                <w:u w:val="single"/>
                <w:lang w:val="fr-FR"/>
              </w:rPr>
              <w:t xml:space="preserve"> quatre</w:t>
            </w:r>
            <w:r w:rsidR="0057466D" w:rsidRPr="00927778">
              <w:rPr>
                <w:color w:val="333333"/>
                <w:u w:val="single"/>
                <w:lang w:val="fr-FR"/>
              </w:rPr>
              <w:t> </w:t>
            </w:r>
            <w:r w:rsidRPr="00927778">
              <w:rPr>
                <w:color w:val="333333"/>
                <w:u w:val="single"/>
                <w:lang w:val="fr-FR"/>
              </w:rPr>
              <w:t>pays pilotes</w:t>
            </w:r>
          </w:p>
          <w:p w:rsidR="005E6718" w:rsidRPr="00927778" w:rsidRDefault="005E6718" w:rsidP="006031CF">
            <w:pPr>
              <w:widowControl w:val="0"/>
              <w:rPr>
                <w:color w:val="333333"/>
                <w:lang w:val="fr-FR"/>
              </w:rPr>
            </w:pPr>
          </w:p>
          <w:p w:rsidR="00EA2C86" w:rsidRPr="00927778" w:rsidRDefault="00131F16" w:rsidP="006031CF">
            <w:pPr>
              <w:widowControl w:val="0"/>
              <w:rPr>
                <w:color w:val="333333"/>
                <w:lang w:val="fr-FR"/>
              </w:rPr>
            </w:pPr>
            <w:r w:rsidRPr="00927778">
              <w:rPr>
                <w:color w:val="333333"/>
                <w:lang w:val="fr-FR"/>
              </w:rPr>
              <w:t>Comme le prév</w:t>
            </w:r>
            <w:r w:rsidR="00B8441E" w:rsidRPr="00927778">
              <w:rPr>
                <w:color w:val="333333"/>
                <w:lang w:val="fr-FR"/>
              </w:rPr>
              <w:t>o</w:t>
            </w:r>
            <w:r w:rsidRPr="00927778">
              <w:rPr>
                <w:color w:val="333333"/>
                <w:lang w:val="fr-FR"/>
              </w:rPr>
              <w:t>i</w:t>
            </w:r>
            <w:r w:rsidR="00B8441E" w:rsidRPr="00927778">
              <w:rPr>
                <w:color w:val="333333"/>
                <w:lang w:val="fr-FR"/>
              </w:rPr>
              <w:t xml:space="preserve">t le </w:t>
            </w:r>
            <w:r w:rsidR="00057D12" w:rsidRPr="00927778">
              <w:rPr>
                <w:color w:val="333333"/>
                <w:lang w:val="fr-FR"/>
              </w:rPr>
              <w:t>descriptif de</w:t>
            </w:r>
            <w:r w:rsidR="00B8441E" w:rsidRPr="00927778">
              <w:rPr>
                <w:color w:val="333333"/>
                <w:lang w:val="fr-FR"/>
              </w:rPr>
              <w:t xml:space="preserve"> projet </w:t>
            </w:r>
            <w:r w:rsidR="001B0EEB" w:rsidRPr="00927778">
              <w:rPr>
                <w:color w:val="333333"/>
                <w:lang w:val="fr-FR"/>
              </w:rPr>
              <w:t>(</w:t>
            </w:r>
            <w:r w:rsidR="00EA2C86" w:rsidRPr="00927778">
              <w:rPr>
                <w:color w:val="333333"/>
                <w:lang w:val="fr-FR"/>
              </w:rPr>
              <w:t>Section 2</w:t>
            </w:r>
            <w:r w:rsidR="001B0EEB" w:rsidRPr="00927778">
              <w:rPr>
                <w:color w:val="333333"/>
                <w:lang w:val="fr-FR"/>
              </w:rPr>
              <w:t xml:space="preserve">.3.3), </w:t>
            </w:r>
            <w:r w:rsidR="00B8441E" w:rsidRPr="00927778">
              <w:rPr>
                <w:color w:val="333333"/>
                <w:lang w:val="fr-FR"/>
              </w:rPr>
              <w:t>les experts des pays se serviront du rapport de l</w:t>
            </w:r>
            <w:r w:rsidR="00EA2C86" w:rsidRPr="00927778">
              <w:rPr>
                <w:color w:val="333333"/>
                <w:lang w:val="fr-FR"/>
              </w:rPr>
              <w:t>’</w:t>
            </w:r>
            <w:r w:rsidR="00B8441E" w:rsidRPr="00927778">
              <w:rPr>
                <w:color w:val="333333"/>
                <w:lang w:val="fr-FR"/>
              </w:rPr>
              <w:t xml:space="preserve">expert en évaluation des besoins de formation pour élaborer des </w:t>
            </w:r>
            <w:r w:rsidR="00B66CF1" w:rsidRPr="00927778">
              <w:rPr>
                <w:color w:val="333333"/>
                <w:lang w:val="fr-FR"/>
              </w:rPr>
              <w:t>programmes de formation destinés à sat</w:t>
            </w:r>
            <w:r w:rsidR="00B8441E" w:rsidRPr="00927778">
              <w:rPr>
                <w:color w:val="333333"/>
                <w:lang w:val="fr-FR"/>
              </w:rPr>
              <w:t>i</w:t>
            </w:r>
            <w:r w:rsidR="00B66CF1" w:rsidRPr="00927778">
              <w:rPr>
                <w:color w:val="333333"/>
                <w:lang w:val="fr-FR"/>
              </w:rPr>
              <w:t>s</w:t>
            </w:r>
            <w:r w:rsidR="00B8441E" w:rsidRPr="00927778">
              <w:rPr>
                <w:color w:val="333333"/>
                <w:lang w:val="fr-FR"/>
              </w:rPr>
              <w:t xml:space="preserve">faire </w:t>
            </w:r>
            <w:r w:rsidR="00057D12" w:rsidRPr="00927778">
              <w:rPr>
                <w:color w:val="333333"/>
                <w:lang w:val="fr-FR"/>
              </w:rPr>
              <w:t>les</w:t>
            </w:r>
            <w:r w:rsidR="00B8441E" w:rsidRPr="00927778">
              <w:rPr>
                <w:color w:val="333333"/>
                <w:lang w:val="fr-FR"/>
              </w:rPr>
              <w:t xml:space="preserve"> besoins de formation propres à leur</w:t>
            </w:r>
            <w:r w:rsidR="00057D12" w:rsidRPr="00927778">
              <w:rPr>
                <w:color w:val="333333"/>
                <w:lang w:val="fr-FR"/>
              </w:rPr>
              <w:t>s</w:t>
            </w:r>
            <w:r w:rsidR="00B8441E" w:rsidRPr="00927778">
              <w:rPr>
                <w:color w:val="333333"/>
                <w:lang w:val="fr-FR"/>
              </w:rPr>
              <w:t xml:space="preserve"> pays respecti</w:t>
            </w:r>
            <w:r w:rsidR="00306E74" w:rsidRPr="00927778">
              <w:rPr>
                <w:color w:val="333333"/>
                <w:lang w:val="fr-FR"/>
              </w:rPr>
              <w:t>fs.  Le</w:t>
            </w:r>
            <w:r w:rsidR="00942FAE" w:rsidRPr="00927778">
              <w:rPr>
                <w:color w:val="333333"/>
                <w:lang w:val="fr-FR"/>
              </w:rPr>
              <w:t xml:space="preserve">s experts des pays </w:t>
            </w:r>
            <w:r w:rsidR="00280E28" w:rsidRPr="00927778">
              <w:rPr>
                <w:color w:val="333333"/>
                <w:lang w:val="fr-FR"/>
              </w:rPr>
              <w:t>devraient</w:t>
            </w:r>
            <w:r w:rsidR="00942FAE" w:rsidRPr="00927778">
              <w:rPr>
                <w:color w:val="333333"/>
                <w:lang w:val="fr-FR"/>
              </w:rPr>
              <w:t xml:space="preserve"> remettre leurs </w:t>
            </w:r>
            <w:r w:rsidR="00B66CF1" w:rsidRPr="00927778">
              <w:rPr>
                <w:color w:val="333333"/>
                <w:lang w:val="fr-FR"/>
              </w:rPr>
              <w:t>programmes</w:t>
            </w:r>
            <w:r w:rsidR="00942FAE" w:rsidRPr="00927778">
              <w:rPr>
                <w:color w:val="333333"/>
                <w:lang w:val="fr-FR"/>
              </w:rPr>
              <w:t xml:space="preserve"> de formation établis conjointement avec l</w:t>
            </w:r>
            <w:r w:rsidR="00EA2C86" w:rsidRPr="00927778">
              <w:rPr>
                <w:color w:val="333333"/>
                <w:lang w:val="fr-FR"/>
              </w:rPr>
              <w:t>’</w:t>
            </w:r>
            <w:r w:rsidR="00942FAE" w:rsidRPr="00927778">
              <w:rPr>
                <w:color w:val="333333"/>
                <w:lang w:val="fr-FR"/>
              </w:rPr>
              <w:t>équipe d</w:t>
            </w:r>
            <w:r w:rsidR="00057D12" w:rsidRPr="00927778">
              <w:rPr>
                <w:color w:val="333333"/>
                <w:lang w:val="fr-FR"/>
              </w:rPr>
              <w:t>e l</w:t>
            </w:r>
            <w:r w:rsidR="00EA2C86" w:rsidRPr="00927778">
              <w:rPr>
                <w:color w:val="333333"/>
                <w:lang w:val="fr-FR"/>
              </w:rPr>
              <w:t>’</w:t>
            </w:r>
            <w:r w:rsidR="00057D12" w:rsidRPr="00927778">
              <w:rPr>
                <w:color w:val="333333"/>
                <w:lang w:val="fr-FR"/>
              </w:rPr>
              <w:t>OMPI responsable d</w:t>
            </w:r>
            <w:r w:rsidR="00942FAE" w:rsidRPr="00927778">
              <w:rPr>
                <w:color w:val="333333"/>
                <w:lang w:val="fr-FR"/>
              </w:rPr>
              <w:t>u projet d</w:t>
            </w:r>
            <w:r w:rsidR="00EA2C86" w:rsidRPr="00927778">
              <w:rPr>
                <w:color w:val="333333"/>
                <w:lang w:val="fr-FR"/>
              </w:rPr>
              <w:t>’</w:t>
            </w:r>
            <w:r w:rsidR="00942FAE" w:rsidRPr="00927778">
              <w:rPr>
                <w:color w:val="333333"/>
                <w:lang w:val="fr-FR"/>
              </w:rPr>
              <w:t xml:space="preserve">ici à la fin </w:t>
            </w:r>
            <w:r w:rsidR="00EA2C86" w:rsidRPr="00927778">
              <w:rPr>
                <w:color w:val="333333"/>
                <w:lang w:val="fr-FR"/>
              </w:rPr>
              <w:t>de 2018</w:t>
            </w:r>
            <w:r w:rsidR="00942FAE" w:rsidRPr="00927778">
              <w:rPr>
                <w:color w:val="333333"/>
                <w:lang w:val="fr-FR"/>
              </w:rPr>
              <w:t>.</w:t>
            </w:r>
          </w:p>
          <w:p w:rsidR="005E6718" w:rsidRPr="00927778" w:rsidRDefault="005E6718" w:rsidP="006031CF">
            <w:pPr>
              <w:widowControl w:val="0"/>
              <w:rPr>
                <w:color w:val="333333"/>
                <w:lang w:val="fr-FR"/>
              </w:rPr>
            </w:pPr>
          </w:p>
          <w:p w:rsidR="00EA2C86" w:rsidRPr="00927778" w:rsidRDefault="00404531" w:rsidP="00086234">
            <w:pPr>
              <w:widowControl w:val="0"/>
              <w:numPr>
                <w:ilvl w:val="0"/>
                <w:numId w:val="43"/>
              </w:numPr>
              <w:ind w:left="459" w:hanging="459"/>
              <w:rPr>
                <w:color w:val="333333"/>
                <w:u w:val="single"/>
                <w:lang w:val="fr-FR"/>
              </w:rPr>
            </w:pPr>
            <w:r w:rsidRPr="00927778">
              <w:rPr>
                <w:color w:val="333333"/>
                <w:u w:val="single"/>
                <w:lang w:val="fr-FR"/>
              </w:rPr>
              <w:t>Mise en œuvre des activités de formation</w:t>
            </w:r>
          </w:p>
          <w:p w:rsidR="005E6718" w:rsidRPr="00927778" w:rsidRDefault="005E6718" w:rsidP="006031CF">
            <w:pPr>
              <w:widowControl w:val="0"/>
              <w:rPr>
                <w:color w:val="333333"/>
                <w:lang w:val="fr-FR"/>
              </w:rPr>
            </w:pPr>
          </w:p>
          <w:p w:rsidR="005E6718" w:rsidRPr="00927778" w:rsidRDefault="00404531" w:rsidP="006031CF">
            <w:pPr>
              <w:widowControl w:val="0"/>
              <w:rPr>
                <w:color w:val="333333"/>
                <w:lang w:val="fr-FR"/>
              </w:rPr>
            </w:pPr>
            <w:r w:rsidRPr="00927778">
              <w:rPr>
                <w:color w:val="333333"/>
                <w:lang w:val="fr-FR"/>
              </w:rPr>
              <w:t xml:space="preserve">La deuxième phase du projet </w:t>
            </w:r>
            <w:r w:rsidR="00057D12" w:rsidRPr="00927778">
              <w:rPr>
                <w:color w:val="333333"/>
                <w:lang w:val="fr-FR"/>
              </w:rPr>
              <w:t>débutera</w:t>
            </w:r>
            <w:r w:rsidRPr="00927778">
              <w:rPr>
                <w:color w:val="333333"/>
                <w:lang w:val="fr-FR"/>
              </w:rPr>
              <w:t xml:space="preserve"> en </w:t>
            </w:r>
            <w:r w:rsidR="00EA2C86" w:rsidRPr="00927778">
              <w:rPr>
                <w:color w:val="333333"/>
                <w:lang w:val="fr-FR"/>
              </w:rPr>
              <w:t>janvier 20</w:t>
            </w:r>
            <w:r w:rsidRPr="00927778">
              <w:rPr>
                <w:color w:val="333333"/>
                <w:lang w:val="fr-FR"/>
              </w:rPr>
              <w:t>19 et consistera en l</w:t>
            </w:r>
            <w:r w:rsidR="00EA2C86" w:rsidRPr="00927778">
              <w:rPr>
                <w:color w:val="333333"/>
                <w:lang w:val="fr-FR"/>
              </w:rPr>
              <w:t>’</w:t>
            </w:r>
            <w:r w:rsidRPr="00927778">
              <w:rPr>
                <w:color w:val="333333"/>
                <w:lang w:val="fr-FR"/>
              </w:rPr>
              <w:t xml:space="preserve">application des </w:t>
            </w:r>
            <w:r w:rsidR="00B66CF1" w:rsidRPr="00927778">
              <w:rPr>
                <w:color w:val="333333"/>
                <w:lang w:val="fr-FR"/>
              </w:rPr>
              <w:t>programmes</w:t>
            </w:r>
            <w:r w:rsidRPr="00927778">
              <w:rPr>
                <w:color w:val="333333"/>
                <w:lang w:val="fr-FR"/>
              </w:rPr>
              <w:t xml:space="preserve"> de formation établis pour les quatre</w:t>
            </w:r>
            <w:r w:rsidR="0057466D" w:rsidRPr="00927778">
              <w:rPr>
                <w:color w:val="333333"/>
                <w:lang w:val="fr-FR"/>
              </w:rPr>
              <w:t> </w:t>
            </w:r>
            <w:r w:rsidRPr="00927778">
              <w:rPr>
                <w:color w:val="333333"/>
                <w:lang w:val="fr-FR"/>
              </w:rPr>
              <w:t xml:space="preserve">pays pilotes, soit </w:t>
            </w:r>
            <w:r w:rsidR="005D7A6F" w:rsidRPr="00927778">
              <w:rPr>
                <w:color w:val="333333"/>
                <w:lang w:val="fr-FR"/>
              </w:rPr>
              <w:t>en</w:t>
            </w:r>
            <w:r w:rsidRPr="00927778">
              <w:rPr>
                <w:color w:val="333333"/>
                <w:lang w:val="fr-FR"/>
              </w:rPr>
              <w:t xml:space="preserve"> la mise en œuvre des activités de formation</w:t>
            </w:r>
            <w:r w:rsidR="005D7A6F" w:rsidRPr="00927778">
              <w:rPr>
                <w:color w:val="333333"/>
                <w:lang w:val="fr-FR"/>
              </w:rPr>
              <w:t>,</w:t>
            </w:r>
            <w:r w:rsidRPr="00927778">
              <w:rPr>
                <w:color w:val="333333"/>
                <w:lang w:val="fr-FR"/>
              </w:rPr>
              <w:t xml:space="preserve"> </w:t>
            </w:r>
            <w:r w:rsidR="00B66CF1" w:rsidRPr="00927778">
              <w:rPr>
                <w:color w:val="333333"/>
                <w:lang w:val="fr-FR"/>
              </w:rPr>
              <w:t>notamm</w:t>
            </w:r>
            <w:r w:rsidR="005D7A6F" w:rsidRPr="00927778">
              <w:rPr>
                <w:color w:val="333333"/>
                <w:lang w:val="fr-FR"/>
              </w:rPr>
              <w:t>ent, selon qu</w:t>
            </w:r>
            <w:r w:rsidR="00EA2C86" w:rsidRPr="00927778">
              <w:rPr>
                <w:color w:val="333333"/>
                <w:lang w:val="fr-FR"/>
              </w:rPr>
              <w:t>’</w:t>
            </w:r>
            <w:r w:rsidR="005D7A6F" w:rsidRPr="00927778">
              <w:rPr>
                <w:color w:val="333333"/>
                <w:lang w:val="fr-FR"/>
              </w:rPr>
              <w:t>il conviendra, d</w:t>
            </w:r>
            <w:r w:rsidR="00EA2C86" w:rsidRPr="00927778">
              <w:rPr>
                <w:color w:val="333333"/>
                <w:lang w:val="fr-FR"/>
              </w:rPr>
              <w:t>’</w:t>
            </w:r>
            <w:r w:rsidR="00B66CF1" w:rsidRPr="00927778">
              <w:rPr>
                <w:color w:val="333333"/>
                <w:lang w:val="fr-FR"/>
              </w:rPr>
              <w:t xml:space="preserve">activités sur place, </w:t>
            </w:r>
            <w:r w:rsidR="005D7A6F" w:rsidRPr="00927778">
              <w:rPr>
                <w:color w:val="333333"/>
                <w:lang w:val="fr-FR"/>
              </w:rPr>
              <w:t>d</w:t>
            </w:r>
            <w:r w:rsidR="00EA2C86" w:rsidRPr="00927778">
              <w:rPr>
                <w:color w:val="333333"/>
                <w:lang w:val="fr-FR"/>
              </w:rPr>
              <w:t>’</w:t>
            </w:r>
            <w:r w:rsidR="00B66CF1" w:rsidRPr="00927778">
              <w:rPr>
                <w:color w:val="333333"/>
                <w:lang w:val="fr-FR"/>
              </w:rPr>
              <w:t xml:space="preserve">enseignement à distance et </w:t>
            </w:r>
            <w:r w:rsidR="005D7A6F" w:rsidRPr="00927778">
              <w:rPr>
                <w:color w:val="333333"/>
                <w:lang w:val="fr-FR"/>
              </w:rPr>
              <w:t>de</w:t>
            </w:r>
            <w:r w:rsidR="00B66CF1" w:rsidRPr="00927778">
              <w:rPr>
                <w:color w:val="333333"/>
                <w:lang w:val="fr-FR"/>
              </w:rPr>
              <w:t xml:space="preserve"> participation</w:t>
            </w:r>
            <w:r w:rsidR="005D7A6F" w:rsidRPr="00927778">
              <w:rPr>
                <w:color w:val="333333"/>
                <w:lang w:val="fr-FR"/>
              </w:rPr>
              <w:t>s</w:t>
            </w:r>
            <w:r w:rsidR="00B66CF1" w:rsidRPr="00927778">
              <w:rPr>
                <w:color w:val="333333"/>
                <w:lang w:val="fr-FR"/>
              </w:rPr>
              <w:t xml:space="preserve"> à des programmes éducati</w:t>
            </w:r>
            <w:r w:rsidR="00306E74" w:rsidRPr="00927778">
              <w:rPr>
                <w:color w:val="333333"/>
                <w:lang w:val="fr-FR"/>
              </w:rPr>
              <w:t>fs.  Ce</w:t>
            </w:r>
            <w:r w:rsidR="00D7395C" w:rsidRPr="00927778">
              <w:rPr>
                <w:color w:val="333333"/>
                <w:lang w:val="fr-FR"/>
              </w:rPr>
              <w:t>s activités de renforcement des capacités comprendront des ateliers de formation pratique sur la commercialisation efficace de la technologie et la gestion de la propriété intellectuelle destinés aux principaux acteurs et, éventuellement, des possibilités de formation en cours d</w:t>
            </w:r>
            <w:r w:rsidR="00EA2C86" w:rsidRPr="00927778">
              <w:rPr>
                <w:color w:val="333333"/>
                <w:lang w:val="fr-FR"/>
              </w:rPr>
              <w:t>’</w:t>
            </w:r>
            <w:r w:rsidR="00D7395C" w:rsidRPr="00927778">
              <w:rPr>
                <w:color w:val="333333"/>
                <w:lang w:val="fr-FR"/>
              </w:rPr>
              <w:t>emploi et des stag</w:t>
            </w:r>
            <w:r w:rsidR="00306E74" w:rsidRPr="00927778">
              <w:rPr>
                <w:color w:val="333333"/>
                <w:lang w:val="fr-FR"/>
              </w:rPr>
              <w:t>es.  Le</w:t>
            </w:r>
            <w:r w:rsidR="00D7395C" w:rsidRPr="00927778">
              <w:rPr>
                <w:color w:val="333333"/>
                <w:lang w:val="fr-FR"/>
              </w:rPr>
              <w:t>s possibilités d</w:t>
            </w:r>
            <w:r w:rsidR="00EA2C86" w:rsidRPr="00927778">
              <w:rPr>
                <w:color w:val="333333"/>
                <w:lang w:val="fr-FR"/>
              </w:rPr>
              <w:t>’</w:t>
            </w:r>
            <w:r w:rsidR="00D7395C" w:rsidRPr="00927778">
              <w:rPr>
                <w:color w:val="333333"/>
                <w:lang w:val="fr-FR"/>
              </w:rPr>
              <w:t>établissement de partenariats avec des organismes de gestion de la propriété intellectuelle, des universités et d</w:t>
            </w:r>
            <w:r w:rsidR="00EA2C86" w:rsidRPr="00927778">
              <w:rPr>
                <w:color w:val="333333"/>
                <w:lang w:val="fr-FR"/>
              </w:rPr>
              <w:t>’</w:t>
            </w:r>
            <w:r w:rsidR="00D7395C" w:rsidRPr="00927778">
              <w:rPr>
                <w:color w:val="333333"/>
                <w:lang w:val="fr-FR"/>
              </w:rPr>
              <w:t>autres institutions possédant les capacités requises seront étudiées, la coopération Sud</w:t>
            </w:r>
            <w:r w:rsidR="00CB5AE0" w:rsidRPr="00927778">
              <w:rPr>
                <w:color w:val="333333"/>
                <w:lang w:val="fr-FR"/>
              </w:rPr>
              <w:noBreakHyphen/>
            </w:r>
            <w:r w:rsidR="00D7395C" w:rsidRPr="00927778">
              <w:rPr>
                <w:color w:val="333333"/>
                <w:lang w:val="fr-FR"/>
              </w:rPr>
              <w:t>Sud offrant les moyens de tirer parti au maximum du transfert de technologie, de l</w:t>
            </w:r>
            <w:r w:rsidR="00EA2C86" w:rsidRPr="00927778">
              <w:rPr>
                <w:color w:val="333333"/>
                <w:lang w:val="fr-FR"/>
              </w:rPr>
              <w:t>’</w:t>
            </w:r>
            <w:r w:rsidR="00D7395C" w:rsidRPr="00927778">
              <w:rPr>
                <w:color w:val="333333"/>
                <w:lang w:val="fr-FR"/>
              </w:rPr>
              <w:t>impact et de la viabilité à long terme de ces activités</w:t>
            </w:r>
            <w:r w:rsidR="001B0EEB" w:rsidRPr="00927778">
              <w:rPr>
                <w:color w:val="333333"/>
                <w:lang w:val="fr-FR"/>
              </w:rPr>
              <w:t>.</w:t>
            </w:r>
          </w:p>
          <w:p w:rsidR="005E6718" w:rsidRPr="00927778" w:rsidRDefault="005E6718" w:rsidP="006031CF">
            <w:pPr>
              <w:widowControl w:val="0"/>
              <w:rPr>
                <w:color w:val="333333"/>
                <w:lang w:val="fr-FR"/>
              </w:rPr>
            </w:pPr>
          </w:p>
          <w:p w:rsidR="005E6718" w:rsidRPr="00927778" w:rsidRDefault="00735FF8" w:rsidP="006031CF">
            <w:pPr>
              <w:widowControl w:val="0"/>
              <w:rPr>
                <w:color w:val="333333"/>
                <w:lang w:val="fr-FR"/>
              </w:rPr>
            </w:pPr>
            <w:r w:rsidRPr="00927778">
              <w:rPr>
                <w:color w:val="333333"/>
                <w:lang w:val="fr-FR"/>
              </w:rPr>
              <w:t xml:space="preserve">En vue de commencer les activités de formation </w:t>
            </w:r>
            <w:r w:rsidR="00EA2C86" w:rsidRPr="00927778">
              <w:rPr>
                <w:color w:val="333333"/>
                <w:lang w:val="fr-FR"/>
              </w:rPr>
              <w:t>en 2019</w:t>
            </w:r>
            <w:r w:rsidRPr="00927778">
              <w:rPr>
                <w:color w:val="333333"/>
                <w:lang w:val="fr-FR"/>
              </w:rPr>
              <w:t>, l</w:t>
            </w:r>
            <w:r w:rsidR="00EA2C86" w:rsidRPr="00927778">
              <w:rPr>
                <w:color w:val="333333"/>
                <w:lang w:val="fr-FR"/>
              </w:rPr>
              <w:t>’</w:t>
            </w:r>
            <w:r w:rsidRPr="00927778">
              <w:rPr>
                <w:color w:val="333333"/>
                <w:lang w:val="fr-FR"/>
              </w:rPr>
              <w:t>équipe</w:t>
            </w:r>
            <w:r w:rsidR="005D7A6F" w:rsidRPr="00927778">
              <w:rPr>
                <w:color w:val="333333"/>
                <w:lang w:val="fr-FR"/>
              </w:rPr>
              <w:t xml:space="preserve"> de l</w:t>
            </w:r>
            <w:r w:rsidR="00EA2C86" w:rsidRPr="00927778">
              <w:rPr>
                <w:color w:val="333333"/>
                <w:lang w:val="fr-FR"/>
              </w:rPr>
              <w:t>’</w:t>
            </w:r>
            <w:r w:rsidR="005D7A6F" w:rsidRPr="00927778">
              <w:rPr>
                <w:color w:val="333333"/>
                <w:lang w:val="fr-FR"/>
              </w:rPr>
              <w:t>OMPI responsable</w:t>
            </w:r>
            <w:r w:rsidRPr="00927778">
              <w:rPr>
                <w:color w:val="333333"/>
                <w:lang w:val="fr-FR"/>
              </w:rPr>
              <w:t xml:space="preserve"> du projet terminera la préparation des budgets et des </w:t>
            </w:r>
            <w:r w:rsidR="00542684" w:rsidRPr="00927778">
              <w:rPr>
                <w:color w:val="333333"/>
                <w:lang w:val="fr-FR"/>
              </w:rPr>
              <w:t>calendriers</w:t>
            </w:r>
            <w:r w:rsidRPr="00927778">
              <w:rPr>
                <w:color w:val="333333"/>
                <w:lang w:val="fr-FR"/>
              </w:rPr>
              <w:t xml:space="preserve"> ainsi que la sélection des formateurs ou experts qualifiés pour préparer le matériel adéquat d</w:t>
            </w:r>
            <w:r w:rsidR="00EA2C86" w:rsidRPr="00927778">
              <w:rPr>
                <w:color w:val="333333"/>
                <w:lang w:val="fr-FR"/>
              </w:rPr>
              <w:t>’</w:t>
            </w:r>
            <w:r w:rsidRPr="00927778">
              <w:rPr>
                <w:color w:val="333333"/>
                <w:lang w:val="fr-FR"/>
              </w:rPr>
              <w:t xml:space="preserve">ici à la fin </w:t>
            </w:r>
            <w:r w:rsidR="00EA2C86" w:rsidRPr="00927778">
              <w:rPr>
                <w:color w:val="333333"/>
                <w:lang w:val="fr-FR"/>
              </w:rPr>
              <w:t>de 2018</w:t>
            </w:r>
            <w:r w:rsidRPr="00927778">
              <w:rPr>
                <w:color w:val="333333"/>
                <w:lang w:val="fr-FR"/>
              </w:rPr>
              <w:t>, sans cesser de dialoguer avec les experts des pays qui préparent les programmes de formation susmentionnés.</w:t>
            </w:r>
          </w:p>
          <w:p w:rsidR="001B0EEB" w:rsidRPr="00927778" w:rsidRDefault="001B0EEB" w:rsidP="006031CF">
            <w:pPr>
              <w:widowControl w:val="0"/>
              <w:rPr>
                <w:color w:val="333333"/>
                <w:lang w:val="fr-FR"/>
              </w:rPr>
            </w:pPr>
          </w:p>
        </w:tc>
      </w:tr>
      <w:tr w:rsidR="00047C22" w:rsidRPr="00927778" w:rsidTr="00C3651B">
        <w:trPr>
          <w:trHeight w:val="1407"/>
        </w:trPr>
        <w:tc>
          <w:tcPr>
            <w:tcW w:w="2376" w:type="dxa"/>
            <w:shd w:val="clear" w:color="auto" w:fill="auto"/>
          </w:tcPr>
          <w:p w:rsidR="001B0EEB" w:rsidRPr="00927778" w:rsidRDefault="00963AA1" w:rsidP="00963AA1">
            <w:pPr>
              <w:pStyle w:val="Heading3"/>
              <w:keepNext w:val="0"/>
              <w:widowControl w:val="0"/>
              <w:rPr>
                <w:color w:val="333333"/>
                <w:lang w:val="fr-FR"/>
              </w:rPr>
            </w:pPr>
            <w:r w:rsidRPr="00927778">
              <w:rPr>
                <w:color w:val="333333"/>
                <w:lang w:val="fr-FR"/>
              </w:rPr>
              <w:t>Calendrier de mise en œuvre</w:t>
            </w:r>
          </w:p>
        </w:tc>
        <w:tc>
          <w:tcPr>
            <w:tcW w:w="6912" w:type="dxa"/>
          </w:tcPr>
          <w:p w:rsidR="005E6718" w:rsidRPr="00927778" w:rsidRDefault="005E6718" w:rsidP="006031CF">
            <w:pPr>
              <w:widowControl w:val="0"/>
              <w:rPr>
                <w:iCs/>
                <w:color w:val="333333"/>
                <w:lang w:val="fr-FR"/>
              </w:rPr>
            </w:pPr>
          </w:p>
          <w:p w:rsidR="00EA2C86" w:rsidRPr="00927778" w:rsidRDefault="00963AA1" w:rsidP="00963AA1">
            <w:pPr>
              <w:widowControl w:val="0"/>
              <w:rPr>
                <w:iCs/>
                <w:color w:val="333333"/>
                <w:lang w:val="fr-FR"/>
              </w:rPr>
            </w:pPr>
            <w:r w:rsidRPr="00927778">
              <w:rPr>
                <w:iCs/>
                <w:color w:val="333333"/>
                <w:lang w:val="fr-FR"/>
              </w:rPr>
              <w:t>La mise en œuvre s</w:t>
            </w:r>
            <w:r w:rsidR="00EA2C86" w:rsidRPr="00927778">
              <w:rPr>
                <w:iCs/>
                <w:color w:val="333333"/>
                <w:lang w:val="fr-FR"/>
              </w:rPr>
              <w:t>’</w:t>
            </w:r>
            <w:r w:rsidRPr="00927778">
              <w:rPr>
                <w:iCs/>
                <w:color w:val="333333"/>
                <w:lang w:val="fr-FR"/>
              </w:rPr>
              <w:t>effectue conformément au calendrier</w:t>
            </w:r>
            <w:r w:rsidR="00EA2C86" w:rsidRPr="00927778">
              <w:rPr>
                <w:iCs/>
                <w:color w:val="333333"/>
                <w:lang w:val="fr-FR"/>
              </w:rPr>
              <w:t> :</w:t>
            </w:r>
          </w:p>
          <w:p w:rsidR="005E6718" w:rsidRPr="00927778" w:rsidRDefault="005E6718" w:rsidP="006031CF">
            <w:pPr>
              <w:widowControl w:val="0"/>
              <w:rPr>
                <w:iCs/>
                <w:color w:val="333333"/>
                <w:lang w:val="fr-FR"/>
              </w:rPr>
            </w:pPr>
          </w:p>
          <w:p w:rsidR="005E6718" w:rsidRPr="00927778" w:rsidRDefault="00BA4857" w:rsidP="006031CF">
            <w:pPr>
              <w:widowControl w:val="0"/>
              <w:rPr>
                <w:iCs/>
                <w:color w:val="333333"/>
                <w:lang w:val="fr-FR"/>
              </w:rPr>
            </w:pPr>
            <w:r w:rsidRPr="00927778">
              <w:rPr>
                <w:iCs/>
                <w:color w:val="333333"/>
                <w:lang w:val="fr-FR"/>
              </w:rPr>
              <w:t>Tel qu</w:t>
            </w:r>
            <w:r w:rsidR="00EA2C86" w:rsidRPr="00927778">
              <w:rPr>
                <w:iCs/>
                <w:color w:val="333333"/>
                <w:lang w:val="fr-FR"/>
              </w:rPr>
              <w:t>’</w:t>
            </w:r>
            <w:r w:rsidRPr="00927778">
              <w:rPr>
                <w:iCs/>
                <w:color w:val="333333"/>
                <w:lang w:val="fr-FR"/>
              </w:rPr>
              <w:t>indiqué ci</w:t>
            </w:r>
            <w:r w:rsidR="00CB5AE0" w:rsidRPr="00927778">
              <w:rPr>
                <w:iCs/>
                <w:color w:val="333333"/>
                <w:lang w:val="fr-FR"/>
              </w:rPr>
              <w:noBreakHyphen/>
            </w:r>
            <w:r w:rsidRPr="00927778">
              <w:rPr>
                <w:iCs/>
                <w:color w:val="333333"/>
                <w:lang w:val="fr-FR"/>
              </w:rPr>
              <w:t>avant, la première version du manuel et de la série d</w:t>
            </w:r>
            <w:r w:rsidR="00EA2C86" w:rsidRPr="00927778">
              <w:rPr>
                <w:iCs/>
                <w:color w:val="333333"/>
                <w:lang w:val="fr-FR"/>
              </w:rPr>
              <w:t>’</w:t>
            </w:r>
            <w:r w:rsidRPr="00927778">
              <w:rPr>
                <w:iCs/>
                <w:color w:val="333333"/>
                <w:lang w:val="fr-FR"/>
              </w:rPr>
              <w:t>outils</w:t>
            </w:r>
            <w:r w:rsidR="00E37E3E" w:rsidRPr="00927778">
              <w:rPr>
                <w:iCs/>
                <w:color w:val="333333"/>
                <w:lang w:val="fr-FR"/>
              </w:rPr>
              <w:t xml:space="preserve"> </w:t>
            </w:r>
            <w:r w:rsidR="00C111BE" w:rsidRPr="00927778">
              <w:rPr>
                <w:iCs/>
                <w:color w:val="333333"/>
                <w:lang w:val="fr-FR"/>
              </w:rPr>
              <w:t>ainsi</w:t>
            </w:r>
            <w:r w:rsidR="00E37E3E" w:rsidRPr="00927778">
              <w:rPr>
                <w:iCs/>
                <w:color w:val="333333"/>
                <w:lang w:val="fr-FR"/>
              </w:rPr>
              <w:t xml:space="preserve"> que les inventaires des chaînes de </w:t>
            </w:r>
            <w:r w:rsidR="00F61795" w:rsidRPr="00927778">
              <w:rPr>
                <w:iCs/>
                <w:color w:val="333333"/>
                <w:lang w:val="fr-FR"/>
              </w:rPr>
              <w:t>valorisation</w:t>
            </w:r>
            <w:r w:rsidR="00E37E3E" w:rsidRPr="00927778">
              <w:rPr>
                <w:iCs/>
                <w:color w:val="333333"/>
                <w:lang w:val="fr-FR"/>
              </w:rPr>
              <w:t xml:space="preserve"> de l</w:t>
            </w:r>
            <w:r w:rsidR="00EA2C86" w:rsidRPr="00927778">
              <w:rPr>
                <w:iCs/>
                <w:color w:val="333333"/>
                <w:lang w:val="fr-FR"/>
              </w:rPr>
              <w:t>’</w:t>
            </w:r>
            <w:r w:rsidR="00E37E3E" w:rsidRPr="00927778">
              <w:rPr>
                <w:iCs/>
                <w:color w:val="333333"/>
                <w:lang w:val="fr-FR"/>
              </w:rPr>
              <w:t xml:space="preserve">innovation des pays pilotes ont été remis à la fin du mois de </w:t>
            </w:r>
            <w:r w:rsidR="00EA2C86" w:rsidRPr="00927778">
              <w:rPr>
                <w:iCs/>
                <w:color w:val="333333"/>
                <w:lang w:val="fr-FR"/>
              </w:rPr>
              <w:t>juin 20</w:t>
            </w:r>
            <w:r w:rsidR="00E37E3E" w:rsidRPr="00927778">
              <w:rPr>
                <w:iCs/>
                <w:color w:val="333333"/>
                <w:lang w:val="fr-FR"/>
              </w:rPr>
              <w:t>18.</w:t>
            </w:r>
          </w:p>
          <w:p w:rsidR="005E6718" w:rsidRPr="00927778" w:rsidRDefault="005E6718" w:rsidP="006031CF">
            <w:pPr>
              <w:widowControl w:val="0"/>
              <w:rPr>
                <w:iCs/>
                <w:color w:val="333333"/>
                <w:lang w:val="fr-FR"/>
              </w:rPr>
            </w:pPr>
          </w:p>
          <w:p w:rsidR="00EA2C86" w:rsidRPr="00927778" w:rsidRDefault="000A1A78" w:rsidP="006031CF">
            <w:pPr>
              <w:widowControl w:val="0"/>
              <w:rPr>
                <w:iCs/>
                <w:color w:val="333333"/>
                <w:lang w:val="fr-FR"/>
              </w:rPr>
            </w:pPr>
            <w:r w:rsidRPr="00927778">
              <w:rPr>
                <w:iCs/>
                <w:color w:val="333333"/>
                <w:lang w:val="fr-FR"/>
              </w:rPr>
              <w:t>Les rapports d</w:t>
            </w:r>
            <w:r w:rsidR="00EA2C86" w:rsidRPr="00927778">
              <w:rPr>
                <w:iCs/>
                <w:color w:val="333333"/>
                <w:lang w:val="fr-FR"/>
              </w:rPr>
              <w:t>’</w:t>
            </w:r>
            <w:r w:rsidRPr="00927778">
              <w:rPr>
                <w:iCs/>
                <w:color w:val="333333"/>
                <w:lang w:val="fr-FR"/>
              </w:rPr>
              <w:t xml:space="preserve">évaluation des besoins de formation des pays pilotes </w:t>
            </w:r>
            <w:r w:rsidR="00280E28" w:rsidRPr="00927778">
              <w:rPr>
                <w:iCs/>
                <w:color w:val="333333"/>
                <w:lang w:val="fr-FR"/>
              </w:rPr>
              <w:t>devraient</w:t>
            </w:r>
            <w:r w:rsidRPr="00927778">
              <w:rPr>
                <w:iCs/>
                <w:color w:val="333333"/>
                <w:lang w:val="fr-FR"/>
              </w:rPr>
              <w:t xml:space="preserve"> être remis d</w:t>
            </w:r>
            <w:r w:rsidR="00EA2C86" w:rsidRPr="00927778">
              <w:rPr>
                <w:iCs/>
                <w:color w:val="333333"/>
                <w:lang w:val="fr-FR"/>
              </w:rPr>
              <w:t>’</w:t>
            </w:r>
            <w:r w:rsidRPr="00927778">
              <w:rPr>
                <w:iCs/>
                <w:color w:val="333333"/>
                <w:lang w:val="fr-FR"/>
              </w:rPr>
              <w:t>ici à la fin du mois d</w:t>
            </w:r>
            <w:r w:rsidR="00EA2C86" w:rsidRPr="00927778">
              <w:rPr>
                <w:iCs/>
                <w:color w:val="333333"/>
                <w:lang w:val="fr-FR"/>
              </w:rPr>
              <w:t>’</w:t>
            </w:r>
            <w:r w:rsidRPr="00927778">
              <w:rPr>
                <w:iCs/>
                <w:color w:val="333333"/>
                <w:lang w:val="fr-FR"/>
              </w:rPr>
              <w:t>octobre</w:t>
            </w:r>
            <w:r w:rsidR="007A5E26">
              <w:rPr>
                <w:iCs/>
                <w:color w:val="333333"/>
                <w:lang w:val="fr-FR"/>
              </w:rPr>
              <w:t xml:space="preserve"> 2018</w:t>
            </w:r>
            <w:r w:rsidRPr="00927778">
              <w:rPr>
                <w:iCs/>
                <w:color w:val="333333"/>
                <w:lang w:val="fr-FR"/>
              </w:rPr>
              <w:t>.</w:t>
            </w:r>
          </w:p>
          <w:p w:rsidR="005E6718" w:rsidRPr="00927778" w:rsidRDefault="005E6718" w:rsidP="006031CF">
            <w:pPr>
              <w:widowControl w:val="0"/>
              <w:rPr>
                <w:iCs/>
                <w:color w:val="333333"/>
                <w:lang w:val="fr-FR"/>
              </w:rPr>
            </w:pPr>
          </w:p>
          <w:p w:rsidR="00EA2C86" w:rsidRPr="00927778" w:rsidRDefault="000A1A78" w:rsidP="006031CF">
            <w:pPr>
              <w:widowControl w:val="0"/>
              <w:rPr>
                <w:iCs/>
                <w:color w:val="333333"/>
                <w:lang w:val="fr-FR"/>
              </w:rPr>
            </w:pPr>
            <w:r w:rsidRPr="00927778">
              <w:rPr>
                <w:iCs/>
                <w:color w:val="333333"/>
                <w:lang w:val="fr-FR"/>
              </w:rPr>
              <w:t xml:space="preserve">Les experts des pays </w:t>
            </w:r>
            <w:r w:rsidR="00280E28" w:rsidRPr="00927778">
              <w:rPr>
                <w:iCs/>
                <w:color w:val="333333"/>
                <w:lang w:val="fr-FR"/>
              </w:rPr>
              <w:t>devraient</w:t>
            </w:r>
            <w:r w:rsidRPr="00927778">
              <w:rPr>
                <w:iCs/>
                <w:color w:val="333333"/>
                <w:lang w:val="fr-FR"/>
              </w:rPr>
              <w:t xml:space="preserve"> remettre leurs commentaires et recommandations à propos du manuel et de la série d</w:t>
            </w:r>
            <w:r w:rsidR="00EA2C86" w:rsidRPr="00927778">
              <w:rPr>
                <w:iCs/>
                <w:color w:val="333333"/>
                <w:lang w:val="fr-FR"/>
              </w:rPr>
              <w:t>’</w:t>
            </w:r>
            <w:r w:rsidRPr="00927778">
              <w:rPr>
                <w:iCs/>
                <w:color w:val="333333"/>
                <w:lang w:val="fr-FR"/>
              </w:rPr>
              <w:t>outils d</w:t>
            </w:r>
            <w:r w:rsidR="00EA2C86" w:rsidRPr="00927778">
              <w:rPr>
                <w:iCs/>
                <w:color w:val="333333"/>
                <w:lang w:val="fr-FR"/>
              </w:rPr>
              <w:t>’</w:t>
            </w:r>
            <w:r w:rsidRPr="00927778">
              <w:rPr>
                <w:iCs/>
                <w:color w:val="333333"/>
                <w:lang w:val="fr-FR"/>
              </w:rPr>
              <w:t xml:space="preserve">ici à la fin du mois de </w:t>
            </w:r>
            <w:r w:rsidR="00EA2C86" w:rsidRPr="00927778">
              <w:rPr>
                <w:iCs/>
                <w:color w:val="333333"/>
                <w:lang w:val="fr-FR"/>
              </w:rPr>
              <w:t>novembre 20</w:t>
            </w:r>
            <w:r w:rsidRPr="00927778">
              <w:rPr>
                <w:iCs/>
                <w:color w:val="333333"/>
                <w:lang w:val="fr-FR"/>
              </w:rPr>
              <w:t>18 comme prévu.</w:t>
            </w:r>
          </w:p>
          <w:p w:rsidR="005E6718" w:rsidRPr="00927778" w:rsidRDefault="005E6718" w:rsidP="006031CF">
            <w:pPr>
              <w:widowControl w:val="0"/>
              <w:rPr>
                <w:iCs/>
                <w:color w:val="333333"/>
                <w:lang w:val="fr-FR"/>
              </w:rPr>
            </w:pPr>
          </w:p>
          <w:p w:rsidR="00EA2C86" w:rsidRPr="00927778" w:rsidRDefault="00490617" w:rsidP="006031CF">
            <w:pPr>
              <w:widowControl w:val="0"/>
              <w:rPr>
                <w:iCs/>
                <w:color w:val="333333"/>
                <w:lang w:val="fr-FR"/>
              </w:rPr>
            </w:pPr>
            <w:r w:rsidRPr="00927778">
              <w:rPr>
                <w:iCs/>
                <w:color w:val="333333"/>
                <w:lang w:val="fr-FR"/>
              </w:rPr>
              <w:t xml:space="preserve">Les programmes de formation </w:t>
            </w:r>
            <w:r w:rsidR="00C111BE" w:rsidRPr="00927778">
              <w:rPr>
                <w:iCs/>
                <w:color w:val="333333"/>
                <w:lang w:val="fr-FR"/>
              </w:rPr>
              <w:t>susmentionnés</w:t>
            </w:r>
            <w:r w:rsidRPr="00927778">
              <w:rPr>
                <w:iCs/>
                <w:color w:val="333333"/>
                <w:lang w:val="fr-FR"/>
              </w:rPr>
              <w:t xml:space="preserve"> </w:t>
            </w:r>
            <w:r w:rsidR="00280E28" w:rsidRPr="00927778">
              <w:rPr>
                <w:iCs/>
                <w:color w:val="333333"/>
                <w:lang w:val="fr-FR"/>
              </w:rPr>
              <w:t>devraient</w:t>
            </w:r>
            <w:r w:rsidRPr="00927778">
              <w:rPr>
                <w:iCs/>
                <w:color w:val="333333"/>
                <w:lang w:val="fr-FR"/>
              </w:rPr>
              <w:t xml:space="preserve"> être remis d</w:t>
            </w:r>
            <w:r w:rsidR="00EA2C86" w:rsidRPr="00927778">
              <w:rPr>
                <w:iCs/>
                <w:color w:val="333333"/>
                <w:lang w:val="fr-FR"/>
              </w:rPr>
              <w:t>’</w:t>
            </w:r>
            <w:r w:rsidRPr="00927778">
              <w:rPr>
                <w:iCs/>
                <w:color w:val="333333"/>
                <w:lang w:val="fr-FR"/>
              </w:rPr>
              <w:t>ici à la fin</w:t>
            </w:r>
            <w:r w:rsidR="00002037" w:rsidRPr="00927778">
              <w:rPr>
                <w:iCs/>
                <w:color w:val="333333"/>
                <w:lang w:val="fr-FR"/>
              </w:rPr>
              <w:t> </w:t>
            </w:r>
            <w:r w:rsidRPr="00927778">
              <w:rPr>
                <w:iCs/>
                <w:color w:val="333333"/>
                <w:lang w:val="fr-FR"/>
              </w:rPr>
              <w:t>2018 comme prévu.</w:t>
            </w:r>
          </w:p>
          <w:p w:rsidR="005E6718" w:rsidRPr="00927778" w:rsidRDefault="005E6718" w:rsidP="006031CF">
            <w:pPr>
              <w:widowControl w:val="0"/>
              <w:rPr>
                <w:iCs/>
                <w:color w:val="333333"/>
                <w:lang w:val="fr-FR"/>
              </w:rPr>
            </w:pPr>
          </w:p>
          <w:p w:rsidR="00EA2C86" w:rsidRPr="00927778" w:rsidRDefault="00490617" w:rsidP="006031CF">
            <w:pPr>
              <w:widowControl w:val="0"/>
              <w:rPr>
                <w:iCs/>
                <w:color w:val="333333"/>
                <w:lang w:val="fr-FR"/>
              </w:rPr>
            </w:pPr>
            <w:r w:rsidRPr="00927778">
              <w:rPr>
                <w:iCs/>
                <w:color w:val="333333"/>
                <w:lang w:val="fr-FR"/>
              </w:rPr>
              <w:t>Le manuel et la série d</w:t>
            </w:r>
            <w:r w:rsidR="00EA2C86" w:rsidRPr="00927778">
              <w:rPr>
                <w:iCs/>
                <w:color w:val="333333"/>
                <w:lang w:val="fr-FR"/>
              </w:rPr>
              <w:t>’</w:t>
            </w:r>
            <w:r w:rsidRPr="00927778">
              <w:rPr>
                <w:iCs/>
                <w:color w:val="333333"/>
                <w:lang w:val="fr-FR"/>
              </w:rPr>
              <w:t xml:space="preserve">outils révisés </w:t>
            </w:r>
            <w:r w:rsidR="00280E28" w:rsidRPr="00927778">
              <w:rPr>
                <w:iCs/>
                <w:color w:val="333333"/>
                <w:lang w:val="fr-FR"/>
              </w:rPr>
              <w:t>devraient</w:t>
            </w:r>
            <w:r w:rsidRPr="00927778">
              <w:rPr>
                <w:iCs/>
                <w:color w:val="333333"/>
                <w:lang w:val="fr-FR"/>
              </w:rPr>
              <w:t xml:space="preserve"> être </w:t>
            </w:r>
            <w:r w:rsidR="0083204C" w:rsidRPr="00927778">
              <w:rPr>
                <w:iCs/>
                <w:color w:val="333333"/>
                <w:lang w:val="fr-FR"/>
              </w:rPr>
              <w:t>remis</w:t>
            </w:r>
            <w:r w:rsidRPr="00927778">
              <w:rPr>
                <w:iCs/>
                <w:color w:val="333333"/>
                <w:lang w:val="fr-FR"/>
              </w:rPr>
              <w:t xml:space="preserve"> d</w:t>
            </w:r>
            <w:r w:rsidR="00EA2C86" w:rsidRPr="00927778">
              <w:rPr>
                <w:iCs/>
                <w:color w:val="333333"/>
                <w:lang w:val="fr-FR"/>
              </w:rPr>
              <w:t>’</w:t>
            </w:r>
            <w:r w:rsidRPr="00927778">
              <w:rPr>
                <w:iCs/>
                <w:color w:val="333333"/>
                <w:lang w:val="fr-FR"/>
              </w:rPr>
              <w:t xml:space="preserve">ici à la fin </w:t>
            </w:r>
            <w:r w:rsidR="00EA2C86" w:rsidRPr="00927778">
              <w:rPr>
                <w:iCs/>
                <w:color w:val="333333"/>
                <w:lang w:val="fr-FR"/>
              </w:rPr>
              <w:t>de 2018</w:t>
            </w:r>
            <w:r w:rsidRPr="00927778">
              <w:rPr>
                <w:iCs/>
                <w:color w:val="333333"/>
                <w:lang w:val="fr-FR"/>
              </w:rPr>
              <w:t xml:space="preserve"> comme prévu, sous réserve que les experts des pays fassent </w:t>
            </w:r>
            <w:r w:rsidR="0083204C" w:rsidRPr="00927778">
              <w:rPr>
                <w:iCs/>
                <w:color w:val="333333"/>
                <w:lang w:val="fr-FR"/>
              </w:rPr>
              <w:t>parvenir leurs remarques dans les délais</w:t>
            </w:r>
            <w:r w:rsidRPr="00927778">
              <w:rPr>
                <w:iCs/>
                <w:color w:val="333333"/>
                <w:lang w:val="fr-FR"/>
              </w:rPr>
              <w:t xml:space="preserve"> imparti</w:t>
            </w:r>
            <w:r w:rsidR="0083204C" w:rsidRPr="00927778">
              <w:rPr>
                <w:iCs/>
                <w:color w:val="333333"/>
                <w:lang w:val="fr-FR"/>
              </w:rPr>
              <w:t>s</w:t>
            </w:r>
            <w:r w:rsidRPr="00927778">
              <w:rPr>
                <w:iCs/>
                <w:color w:val="333333"/>
                <w:lang w:val="fr-FR"/>
              </w:rPr>
              <w:t>.</w:t>
            </w:r>
          </w:p>
          <w:p w:rsidR="005E6718" w:rsidRPr="00927778" w:rsidRDefault="005E6718" w:rsidP="006031CF">
            <w:pPr>
              <w:widowControl w:val="0"/>
              <w:rPr>
                <w:iCs/>
                <w:color w:val="333333"/>
                <w:lang w:val="fr-FR"/>
              </w:rPr>
            </w:pPr>
          </w:p>
          <w:p w:rsidR="00EA2C86" w:rsidRPr="00927778" w:rsidRDefault="008A2B92" w:rsidP="008A2B92">
            <w:pPr>
              <w:widowControl w:val="0"/>
              <w:rPr>
                <w:iCs/>
                <w:color w:val="333333"/>
                <w:lang w:val="fr-FR"/>
              </w:rPr>
            </w:pPr>
            <w:r w:rsidRPr="00927778">
              <w:rPr>
                <w:iCs/>
                <w:color w:val="333333"/>
                <w:lang w:val="fr-FR"/>
              </w:rPr>
              <w:t xml:space="preserve">Les activités de formation seront mises en œuvre </w:t>
            </w:r>
            <w:r w:rsidR="00EA2C86" w:rsidRPr="00927778">
              <w:rPr>
                <w:iCs/>
                <w:color w:val="333333"/>
                <w:lang w:val="fr-FR"/>
              </w:rPr>
              <w:t>en 2019</w:t>
            </w:r>
            <w:r w:rsidRPr="00927778">
              <w:rPr>
                <w:iCs/>
                <w:color w:val="333333"/>
                <w:lang w:val="fr-FR"/>
              </w:rPr>
              <w:t xml:space="preserve"> dans le respect des programmes de formation.</w:t>
            </w:r>
          </w:p>
          <w:p w:rsidR="008A2B92" w:rsidRPr="00927778" w:rsidRDefault="008A2B92" w:rsidP="008A2B92">
            <w:pPr>
              <w:widowControl w:val="0"/>
              <w:rPr>
                <w:iCs/>
                <w:color w:val="333333"/>
                <w:lang w:val="fr-FR"/>
              </w:rPr>
            </w:pPr>
          </w:p>
        </w:tc>
      </w:tr>
      <w:tr w:rsidR="00047C22" w:rsidRPr="00927778" w:rsidTr="00C3651B">
        <w:trPr>
          <w:trHeight w:val="848"/>
        </w:trPr>
        <w:tc>
          <w:tcPr>
            <w:tcW w:w="2376" w:type="dxa"/>
            <w:shd w:val="clear" w:color="auto" w:fill="auto"/>
          </w:tcPr>
          <w:p w:rsidR="001B0EEB" w:rsidRPr="00927778" w:rsidRDefault="00963AA1" w:rsidP="00963AA1">
            <w:pPr>
              <w:pStyle w:val="Heading3"/>
              <w:keepNext w:val="0"/>
              <w:widowControl w:val="0"/>
              <w:rPr>
                <w:color w:val="333333"/>
                <w:lang w:val="fr-FR"/>
              </w:rPr>
            </w:pPr>
            <w:r w:rsidRPr="00927778">
              <w:rPr>
                <w:color w:val="333333"/>
                <w:lang w:val="fr-FR"/>
              </w:rPr>
              <w:t>Taux d</w:t>
            </w:r>
            <w:r w:rsidR="00EA2C86" w:rsidRPr="00927778">
              <w:rPr>
                <w:color w:val="333333"/>
                <w:lang w:val="fr-FR"/>
              </w:rPr>
              <w:t>’</w:t>
            </w:r>
            <w:r w:rsidRPr="00927778">
              <w:rPr>
                <w:color w:val="333333"/>
                <w:lang w:val="fr-FR"/>
              </w:rPr>
              <w:t>exécution du projet</w:t>
            </w:r>
            <w:r w:rsidR="001B0EEB" w:rsidRPr="00927778">
              <w:rPr>
                <w:color w:val="333333"/>
                <w:lang w:val="fr-FR"/>
              </w:rPr>
              <w:t xml:space="preserve"> </w:t>
            </w:r>
          </w:p>
        </w:tc>
        <w:tc>
          <w:tcPr>
            <w:tcW w:w="6912" w:type="dxa"/>
          </w:tcPr>
          <w:p w:rsidR="005E6718" w:rsidRPr="00927778" w:rsidRDefault="005E6718" w:rsidP="006031CF">
            <w:pPr>
              <w:widowControl w:val="0"/>
              <w:rPr>
                <w:iCs/>
                <w:color w:val="333333"/>
                <w:lang w:val="fr-FR"/>
              </w:rPr>
            </w:pPr>
          </w:p>
          <w:p w:rsidR="00EA2C86" w:rsidRPr="00927778" w:rsidRDefault="000D43C9" w:rsidP="006031CF">
            <w:pPr>
              <w:widowControl w:val="0"/>
              <w:rPr>
                <w:iCs/>
                <w:color w:val="333333"/>
                <w:lang w:val="fr-FR"/>
              </w:rPr>
            </w:pPr>
            <w:r w:rsidRPr="00927778">
              <w:rPr>
                <w:iCs/>
                <w:color w:val="333333"/>
                <w:lang w:val="fr-FR"/>
              </w:rPr>
              <w:t>Taux d</w:t>
            </w:r>
            <w:r w:rsidR="00EA2C86" w:rsidRPr="00927778">
              <w:rPr>
                <w:iCs/>
                <w:color w:val="333333"/>
                <w:lang w:val="fr-FR"/>
              </w:rPr>
              <w:t>’</w:t>
            </w:r>
            <w:r w:rsidRPr="00927778">
              <w:rPr>
                <w:iCs/>
                <w:color w:val="333333"/>
                <w:lang w:val="fr-FR"/>
              </w:rPr>
              <w:t>utilisation du budget à la fin du mois d</w:t>
            </w:r>
            <w:r w:rsidR="00EA2C86" w:rsidRPr="00927778">
              <w:rPr>
                <w:iCs/>
                <w:color w:val="333333"/>
                <w:lang w:val="fr-FR"/>
              </w:rPr>
              <w:t>’août 20</w:t>
            </w:r>
            <w:r w:rsidRPr="00927778">
              <w:rPr>
                <w:iCs/>
                <w:color w:val="333333"/>
                <w:lang w:val="fr-FR"/>
              </w:rPr>
              <w:t>18</w:t>
            </w:r>
            <w:r w:rsidR="00EA2C86" w:rsidRPr="00927778">
              <w:rPr>
                <w:iCs/>
                <w:color w:val="333333"/>
                <w:lang w:val="fr-FR"/>
              </w:rPr>
              <w:t> :</w:t>
            </w:r>
            <w:r w:rsidR="001B0EEB" w:rsidRPr="00927778">
              <w:rPr>
                <w:iCs/>
                <w:color w:val="333333"/>
                <w:lang w:val="fr-FR"/>
              </w:rPr>
              <w:t xml:space="preserve"> 22%</w:t>
            </w:r>
          </w:p>
          <w:p w:rsidR="001B0EEB" w:rsidRPr="00927778" w:rsidRDefault="001B0EEB" w:rsidP="006031CF">
            <w:pPr>
              <w:widowControl w:val="0"/>
              <w:rPr>
                <w:iCs/>
                <w:color w:val="333333"/>
                <w:lang w:val="fr-FR"/>
              </w:rPr>
            </w:pPr>
          </w:p>
        </w:tc>
      </w:tr>
      <w:tr w:rsidR="001B0EEB" w:rsidRPr="00927778" w:rsidTr="00C3651B">
        <w:trPr>
          <w:trHeight w:val="848"/>
        </w:trPr>
        <w:tc>
          <w:tcPr>
            <w:tcW w:w="2376" w:type="dxa"/>
            <w:shd w:val="clear" w:color="auto" w:fill="auto"/>
          </w:tcPr>
          <w:p w:rsidR="001B0EEB" w:rsidRPr="00927778" w:rsidRDefault="00963AA1" w:rsidP="00963AA1">
            <w:pPr>
              <w:pStyle w:val="Heading3"/>
              <w:rPr>
                <w:color w:val="333333"/>
                <w:lang w:val="fr-FR"/>
              </w:rPr>
            </w:pPr>
            <w:r w:rsidRPr="00927778">
              <w:rPr>
                <w:color w:val="333333"/>
                <w:lang w:val="fr-FR"/>
              </w:rPr>
              <w:t>Rapports précédents</w:t>
            </w:r>
          </w:p>
        </w:tc>
        <w:tc>
          <w:tcPr>
            <w:tcW w:w="6912" w:type="dxa"/>
          </w:tcPr>
          <w:p w:rsidR="005E6718" w:rsidRPr="00927778" w:rsidRDefault="005E6718" w:rsidP="00C3651B">
            <w:pPr>
              <w:rPr>
                <w:iCs/>
                <w:color w:val="333333"/>
                <w:lang w:val="fr-FR"/>
              </w:rPr>
            </w:pPr>
          </w:p>
          <w:p w:rsidR="00EA2C86" w:rsidRPr="00927778" w:rsidRDefault="00963AA1" w:rsidP="00963AA1">
            <w:pPr>
              <w:rPr>
                <w:iCs/>
                <w:color w:val="333333"/>
                <w:lang w:val="fr-FR"/>
              </w:rPr>
            </w:pPr>
            <w:r w:rsidRPr="00927778">
              <w:rPr>
                <w:iCs/>
                <w:color w:val="333333"/>
                <w:lang w:val="fr-FR"/>
              </w:rPr>
              <w:t>Ceci est le premier rapport présenté</w:t>
            </w:r>
            <w:r w:rsidR="00EA2C86" w:rsidRPr="00927778">
              <w:rPr>
                <w:iCs/>
                <w:color w:val="333333"/>
                <w:lang w:val="fr-FR"/>
              </w:rPr>
              <w:t xml:space="preserve"> au CDI</w:t>
            </w:r>
            <w:r w:rsidRPr="00927778">
              <w:rPr>
                <w:iCs/>
                <w:color w:val="333333"/>
                <w:lang w:val="fr-FR"/>
              </w:rPr>
              <w:t>P.</w:t>
            </w:r>
          </w:p>
          <w:p w:rsidR="001B0EEB" w:rsidRPr="00927778" w:rsidRDefault="001B0EEB" w:rsidP="00C3651B">
            <w:pPr>
              <w:rPr>
                <w:iCs/>
                <w:color w:val="333333"/>
                <w:lang w:val="fr-FR"/>
              </w:rPr>
            </w:pPr>
          </w:p>
        </w:tc>
      </w:tr>
    </w:tbl>
    <w:p w:rsidR="005E6718" w:rsidRPr="00927778" w:rsidRDefault="005E6718" w:rsidP="001B0EEB">
      <w:pPr>
        <w:rPr>
          <w:color w:val="333333"/>
          <w:lang w:val="fr-FR"/>
        </w:rPr>
      </w:pPr>
    </w:p>
    <w:p w:rsidR="001B0EEB" w:rsidRPr="00927778" w:rsidRDefault="001B0EEB" w:rsidP="001B0EEB">
      <w:pPr>
        <w:rPr>
          <w:color w:val="333333"/>
          <w:lang w:val="fr-FR"/>
        </w:rPr>
      </w:pPr>
      <w:r w:rsidRPr="00927778">
        <w:rPr>
          <w:color w:val="333333"/>
          <w:lang w:val="fr-FR"/>
        </w:rPr>
        <w:br w:type="page"/>
      </w:r>
    </w:p>
    <w:tbl>
      <w:tblPr>
        <w:tblW w:w="0" w:type="auto"/>
        <w:tblLook w:val="01E0" w:firstRow="1" w:lastRow="1" w:firstColumn="1" w:lastColumn="1" w:noHBand="0" w:noVBand="0"/>
      </w:tblPr>
      <w:tblGrid>
        <w:gridCol w:w="9287"/>
      </w:tblGrid>
      <w:tr w:rsidR="001B0EEB" w:rsidRPr="0020073A" w:rsidTr="00C3651B">
        <w:trPr>
          <w:trHeight w:val="494"/>
        </w:trPr>
        <w:tc>
          <w:tcPr>
            <w:tcW w:w="9287" w:type="dxa"/>
            <w:vAlign w:val="center"/>
          </w:tcPr>
          <w:p w:rsidR="001B0EEB" w:rsidRPr="0020073A" w:rsidRDefault="001B0EEB" w:rsidP="00963AA1">
            <w:pPr>
              <w:rPr>
                <w:caps/>
                <w:color w:val="333333"/>
                <w:lang w:val="fr-FR"/>
              </w:rPr>
            </w:pPr>
            <w:r w:rsidRPr="0020073A">
              <w:rPr>
                <w:caps/>
                <w:color w:val="333333"/>
                <w:lang w:val="fr-FR"/>
              </w:rPr>
              <w:br w:type="page"/>
            </w:r>
            <w:r w:rsidR="00963AA1" w:rsidRPr="0020073A">
              <w:rPr>
                <w:caps/>
                <w:color w:val="333333"/>
                <w:lang w:val="fr-FR"/>
              </w:rPr>
              <w:t>AUTO</w:t>
            </w:r>
            <w:r w:rsidR="00CB5AE0" w:rsidRPr="0020073A">
              <w:rPr>
                <w:caps/>
                <w:color w:val="333333"/>
                <w:lang w:val="fr-FR"/>
              </w:rPr>
              <w:noBreakHyphen/>
            </w:r>
            <w:r w:rsidR="00963AA1" w:rsidRPr="0020073A">
              <w:rPr>
                <w:caps/>
                <w:color w:val="333333"/>
                <w:lang w:val="fr-FR"/>
              </w:rPr>
              <w:t>ÉVALUATION DU PROJET</w:t>
            </w:r>
          </w:p>
        </w:tc>
      </w:tr>
    </w:tbl>
    <w:p w:rsidR="005E6718" w:rsidRPr="00927778" w:rsidRDefault="005E6718" w:rsidP="001B0EEB">
      <w:pPr>
        <w:rPr>
          <w:color w:val="333333"/>
          <w:lang w:val="fr-FR"/>
        </w:rPr>
      </w:pPr>
    </w:p>
    <w:p w:rsidR="005E6718" w:rsidRPr="00927778" w:rsidRDefault="00963AA1" w:rsidP="00963AA1">
      <w:pPr>
        <w:rPr>
          <w:color w:val="333333"/>
          <w:lang w:val="fr-FR"/>
        </w:rPr>
      </w:pPr>
      <w:r w:rsidRPr="00927778">
        <w:rPr>
          <w:color w:val="333333"/>
          <w:lang w:val="fr-FR"/>
        </w:rPr>
        <w:t>Code d</w:t>
      </w:r>
      <w:r w:rsidR="00EA2C86" w:rsidRPr="00927778">
        <w:rPr>
          <w:color w:val="333333"/>
          <w:lang w:val="fr-FR"/>
        </w:rPr>
        <w:t>’</w:t>
      </w:r>
      <w:r w:rsidRPr="00927778">
        <w:rPr>
          <w:color w:val="333333"/>
          <w:lang w:val="fr-FR"/>
        </w:rPr>
        <w:t>évaluation</w:t>
      </w:r>
    </w:p>
    <w:p w:rsidR="001B0EEB" w:rsidRPr="00927778" w:rsidRDefault="001B0EEB" w:rsidP="001B0EEB">
      <w:pPr>
        <w:rPr>
          <w:color w:val="333333"/>
          <w:lang w:val="fr-FR"/>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927778" w:rsidRPr="00927778" w:rsidTr="00C3651B">
        <w:trPr>
          <w:trHeight w:val="469"/>
        </w:trPr>
        <w:tc>
          <w:tcPr>
            <w:tcW w:w="1416" w:type="dxa"/>
            <w:shd w:val="clear" w:color="auto" w:fill="auto"/>
            <w:vAlign w:val="center"/>
          </w:tcPr>
          <w:p w:rsidR="001B0EEB" w:rsidRPr="00927778" w:rsidRDefault="001B0EEB" w:rsidP="00C3651B">
            <w:pPr>
              <w:rPr>
                <w:color w:val="333333"/>
                <w:lang w:val="fr-FR"/>
              </w:rPr>
            </w:pPr>
            <w:r w:rsidRPr="00927778">
              <w:rPr>
                <w:color w:val="333333"/>
                <w:lang w:val="fr-FR"/>
              </w:rPr>
              <w:t>****</w:t>
            </w:r>
          </w:p>
        </w:tc>
        <w:tc>
          <w:tcPr>
            <w:tcW w:w="1677" w:type="dxa"/>
            <w:shd w:val="clear" w:color="auto" w:fill="auto"/>
            <w:vAlign w:val="center"/>
          </w:tcPr>
          <w:p w:rsidR="001B0EEB" w:rsidRPr="00927778" w:rsidRDefault="001B0EEB" w:rsidP="00C3651B">
            <w:pPr>
              <w:rPr>
                <w:color w:val="333333"/>
                <w:lang w:val="fr-FR"/>
              </w:rPr>
            </w:pPr>
            <w:r w:rsidRPr="00927778">
              <w:rPr>
                <w:color w:val="333333"/>
                <w:lang w:val="fr-FR"/>
              </w:rPr>
              <w:t>***</w:t>
            </w:r>
          </w:p>
        </w:tc>
        <w:tc>
          <w:tcPr>
            <w:tcW w:w="1797" w:type="dxa"/>
            <w:shd w:val="clear" w:color="auto" w:fill="auto"/>
            <w:vAlign w:val="center"/>
          </w:tcPr>
          <w:p w:rsidR="001B0EEB" w:rsidRPr="00927778" w:rsidRDefault="001B0EEB" w:rsidP="00C3651B">
            <w:pPr>
              <w:rPr>
                <w:color w:val="333333"/>
                <w:lang w:val="fr-FR"/>
              </w:rPr>
            </w:pPr>
            <w:r w:rsidRPr="00927778">
              <w:rPr>
                <w:color w:val="333333"/>
                <w:lang w:val="fr-FR"/>
              </w:rPr>
              <w:t>**</w:t>
            </w:r>
          </w:p>
        </w:tc>
        <w:tc>
          <w:tcPr>
            <w:tcW w:w="1895" w:type="dxa"/>
            <w:shd w:val="clear" w:color="auto" w:fill="auto"/>
            <w:vAlign w:val="center"/>
          </w:tcPr>
          <w:p w:rsidR="001B0EEB" w:rsidRPr="00927778" w:rsidRDefault="00963AA1" w:rsidP="00963AA1">
            <w:pPr>
              <w:rPr>
                <w:color w:val="333333"/>
                <w:lang w:val="fr-FR"/>
              </w:rPr>
            </w:pPr>
            <w:r w:rsidRPr="00927778">
              <w:rPr>
                <w:color w:val="333333"/>
                <w:lang w:val="fr-FR"/>
              </w:rPr>
              <w:t>AP</w:t>
            </w:r>
          </w:p>
        </w:tc>
        <w:tc>
          <w:tcPr>
            <w:tcW w:w="2563" w:type="dxa"/>
            <w:shd w:val="clear" w:color="auto" w:fill="auto"/>
            <w:vAlign w:val="center"/>
          </w:tcPr>
          <w:p w:rsidR="001B0EEB" w:rsidRPr="00927778" w:rsidRDefault="00963AA1" w:rsidP="00963AA1">
            <w:pPr>
              <w:rPr>
                <w:color w:val="333333"/>
                <w:lang w:val="fr-FR"/>
              </w:rPr>
            </w:pPr>
            <w:r w:rsidRPr="00927778">
              <w:rPr>
                <w:color w:val="333333"/>
                <w:lang w:val="fr-FR"/>
              </w:rPr>
              <w:t>s.o.</w:t>
            </w:r>
          </w:p>
        </w:tc>
      </w:tr>
      <w:tr w:rsidR="001B0EEB" w:rsidRPr="00927778" w:rsidTr="00C3651B">
        <w:tc>
          <w:tcPr>
            <w:tcW w:w="1416" w:type="dxa"/>
            <w:shd w:val="clear" w:color="auto" w:fill="auto"/>
          </w:tcPr>
          <w:p w:rsidR="001B0EEB" w:rsidRPr="00927778" w:rsidRDefault="00963AA1" w:rsidP="00963AA1">
            <w:pPr>
              <w:rPr>
                <w:color w:val="333333"/>
                <w:lang w:val="fr-FR"/>
              </w:rPr>
            </w:pPr>
            <w:r w:rsidRPr="00927778">
              <w:rPr>
                <w:color w:val="333333"/>
                <w:lang w:val="fr-FR"/>
              </w:rPr>
              <w:t>Objectifs pleinement atteints</w:t>
            </w:r>
          </w:p>
        </w:tc>
        <w:tc>
          <w:tcPr>
            <w:tcW w:w="1677" w:type="dxa"/>
            <w:shd w:val="clear" w:color="auto" w:fill="auto"/>
          </w:tcPr>
          <w:p w:rsidR="001B0EEB" w:rsidRPr="00927778" w:rsidRDefault="00963AA1" w:rsidP="00963AA1">
            <w:pPr>
              <w:rPr>
                <w:color w:val="333333"/>
                <w:lang w:val="fr-FR"/>
              </w:rPr>
            </w:pPr>
            <w:r w:rsidRPr="00927778">
              <w:rPr>
                <w:color w:val="333333"/>
                <w:lang w:val="fr-FR"/>
              </w:rPr>
              <w:t>Progrès considérables</w:t>
            </w:r>
          </w:p>
        </w:tc>
        <w:tc>
          <w:tcPr>
            <w:tcW w:w="1797" w:type="dxa"/>
            <w:shd w:val="clear" w:color="auto" w:fill="auto"/>
          </w:tcPr>
          <w:p w:rsidR="001B0EEB" w:rsidRPr="00927778" w:rsidRDefault="00963AA1" w:rsidP="00963AA1">
            <w:pPr>
              <w:rPr>
                <w:color w:val="333333"/>
                <w:lang w:val="fr-FR"/>
              </w:rPr>
            </w:pPr>
            <w:r w:rsidRPr="00927778">
              <w:rPr>
                <w:color w:val="333333"/>
                <w:lang w:val="fr-FR"/>
              </w:rPr>
              <w:t>Quelques progrès</w:t>
            </w:r>
          </w:p>
        </w:tc>
        <w:tc>
          <w:tcPr>
            <w:tcW w:w="1895" w:type="dxa"/>
            <w:shd w:val="clear" w:color="auto" w:fill="auto"/>
          </w:tcPr>
          <w:p w:rsidR="001B0EEB" w:rsidRPr="00927778" w:rsidRDefault="00963AA1" w:rsidP="00963AA1">
            <w:pPr>
              <w:rPr>
                <w:color w:val="333333"/>
                <w:lang w:val="fr-FR"/>
              </w:rPr>
            </w:pPr>
            <w:r w:rsidRPr="00927778">
              <w:rPr>
                <w:color w:val="333333"/>
                <w:lang w:val="fr-FR"/>
              </w:rPr>
              <w:t>Aucun progrès</w:t>
            </w:r>
          </w:p>
        </w:tc>
        <w:tc>
          <w:tcPr>
            <w:tcW w:w="2563" w:type="dxa"/>
            <w:shd w:val="clear" w:color="auto" w:fill="auto"/>
          </w:tcPr>
          <w:p w:rsidR="001B0EEB" w:rsidRPr="00927778" w:rsidRDefault="00963AA1" w:rsidP="00963AA1">
            <w:pPr>
              <w:rPr>
                <w:color w:val="333333"/>
                <w:lang w:val="fr-FR"/>
              </w:rPr>
            </w:pPr>
            <w:r w:rsidRPr="00927778">
              <w:rPr>
                <w:color w:val="333333"/>
                <w:lang w:val="fr-FR"/>
              </w:rPr>
              <w:t>Non évalué/abandonné</w:t>
            </w:r>
          </w:p>
        </w:tc>
      </w:tr>
    </w:tbl>
    <w:p w:rsidR="001B0EEB" w:rsidRPr="00927778" w:rsidRDefault="001B0EEB" w:rsidP="001B0EEB">
      <w:pPr>
        <w:rPr>
          <w:color w:val="333333"/>
          <w:lang w:val="fr-FR"/>
        </w:rPr>
      </w:pPr>
    </w:p>
    <w:tbl>
      <w:tblPr>
        <w:tblW w:w="9356" w:type="dxa"/>
        <w:tblInd w:w="-34" w:type="dxa"/>
        <w:tblLayout w:type="fixed"/>
        <w:tblLook w:val="01E0" w:firstRow="1" w:lastRow="1" w:firstColumn="1" w:lastColumn="1" w:noHBand="0" w:noVBand="0"/>
      </w:tblPr>
      <w:tblGrid>
        <w:gridCol w:w="2410"/>
        <w:gridCol w:w="2694"/>
        <w:gridCol w:w="3118"/>
        <w:gridCol w:w="1134"/>
      </w:tblGrid>
      <w:tr w:rsidR="00047C22" w:rsidRPr="00927778" w:rsidTr="003D547D">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E6718" w:rsidRPr="00927778" w:rsidRDefault="005E6718" w:rsidP="00C3651B">
            <w:pPr>
              <w:rPr>
                <w:rStyle w:val="Heading3Char"/>
                <w:color w:val="333333"/>
                <w:lang w:val="fr-FR"/>
              </w:rPr>
            </w:pPr>
          </w:p>
          <w:p w:rsidR="001B0EEB" w:rsidRPr="00927778" w:rsidRDefault="00963AA1" w:rsidP="00963AA1">
            <w:pPr>
              <w:rPr>
                <w:color w:val="333333"/>
                <w:lang w:val="fr-FR"/>
              </w:rPr>
            </w:pPr>
            <w:r w:rsidRPr="00927778">
              <w:rPr>
                <w:color w:val="333333"/>
                <w:u w:val="single"/>
                <w:lang w:val="fr-FR"/>
              </w:rPr>
              <w:t>Résultats du projet</w:t>
            </w:r>
            <w:r w:rsidRPr="00927778">
              <w:rPr>
                <w:rStyle w:val="FootnoteReference"/>
                <w:color w:val="333333"/>
                <w:lang w:val="fr-FR"/>
              </w:rPr>
              <w:footnoteReference w:id="2"/>
            </w:r>
            <w:r w:rsidRPr="00927778">
              <w:rPr>
                <w:color w:val="333333"/>
                <w:lang w:val="fr-FR"/>
              </w:rPr>
              <w:t xml:space="preserve"> (résultat escompté)</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E6718" w:rsidRPr="00927778" w:rsidRDefault="005E6718" w:rsidP="00C3651B">
            <w:pPr>
              <w:rPr>
                <w:rStyle w:val="Heading3Char"/>
                <w:color w:val="333333"/>
                <w:lang w:val="fr-FR"/>
              </w:rPr>
            </w:pPr>
          </w:p>
          <w:p w:rsidR="005E6718" w:rsidRPr="00927778" w:rsidRDefault="00963AA1" w:rsidP="00963AA1">
            <w:pPr>
              <w:rPr>
                <w:color w:val="333333"/>
                <w:lang w:val="fr-FR"/>
              </w:rPr>
            </w:pPr>
            <w:r w:rsidRPr="00927778">
              <w:rPr>
                <w:color w:val="333333"/>
                <w:u w:val="single"/>
                <w:lang w:val="fr-FR"/>
              </w:rPr>
              <w:t>Indicateurs d</w:t>
            </w:r>
            <w:r w:rsidR="00EA2C86" w:rsidRPr="00927778">
              <w:rPr>
                <w:color w:val="333333"/>
                <w:u w:val="single"/>
                <w:lang w:val="fr-FR"/>
              </w:rPr>
              <w:t>’</w:t>
            </w:r>
            <w:r w:rsidRPr="00927778">
              <w:rPr>
                <w:color w:val="333333"/>
                <w:u w:val="single"/>
                <w:lang w:val="fr-FR"/>
              </w:rPr>
              <w:t>exécution</w:t>
            </w:r>
            <w:r w:rsidRPr="00927778">
              <w:rPr>
                <w:color w:val="333333"/>
                <w:lang w:val="fr-FR"/>
              </w:rPr>
              <w:t xml:space="preserve"> (indicateurs de résultats)</w:t>
            </w:r>
          </w:p>
          <w:p w:rsidR="001B0EEB" w:rsidRPr="00927778" w:rsidRDefault="001B0EEB" w:rsidP="00C3651B">
            <w:pPr>
              <w:rPr>
                <w:color w:val="333333"/>
                <w:lang w:val="fr-FR"/>
              </w:rPr>
            </w:pP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rsidR="001B0EEB" w:rsidRPr="00927778" w:rsidRDefault="00963AA1" w:rsidP="00963AA1">
            <w:pPr>
              <w:pStyle w:val="Heading3"/>
              <w:rPr>
                <w:color w:val="333333"/>
                <w:lang w:val="fr-FR"/>
              </w:rPr>
            </w:pPr>
            <w:r w:rsidRPr="00927778">
              <w:rPr>
                <w:color w:val="333333"/>
                <w:lang w:val="fr-FR"/>
              </w:rPr>
              <w:t>Données relatives à l</w:t>
            </w:r>
            <w:r w:rsidR="00EA2C86" w:rsidRPr="00927778">
              <w:rPr>
                <w:color w:val="333333"/>
                <w:lang w:val="fr-FR"/>
              </w:rPr>
              <w:t>’</w:t>
            </w:r>
            <w:r w:rsidRPr="00927778">
              <w:rPr>
                <w:color w:val="333333"/>
                <w:lang w:val="fr-FR"/>
              </w:rPr>
              <w:t>exécution</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1B0EEB" w:rsidRPr="00927778" w:rsidRDefault="00963AA1" w:rsidP="00963AA1">
            <w:pPr>
              <w:pStyle w:val="Heading3"/>
              <w:rPr>
                <w:color w:val="333333"/>
                <w:lang w:val="fr-FR"/>
              </w:rPr>
            </w:pPr>
            <w:r w:rsidRPr="00263F34">
              <w:rPr>
                <w:color w:val="333333"/>
                <w:sz w:val="20"/>
                <w:lang w:val="fr-FR"/>
              </w:rPr>
              <w:t>Code d</w:t>
            </w:r>
            <w:r w:rsidR="00EA2C86" w:rsidRPr="00263F34">
              <w:rPr>
                <w:color w:val="333333"/>
                <w:sz w:val="20"/>
                <w:lang w:val="fr-FR"/>
              </w:rPr>
              <w:t>’</w:t>
            </w:r>
            <w:r w:rsidRPr="00263F34">
              <w:rPr>
                <w:color w:val="333333"/>
                <w:sz w:val="20"/>
                <w:lang w:val="fr-FR"/>
              </w:rPr>
              <w:t>évaluation</w:t>
            </w:r>
          </w:p>
        </w:tc>
      </w:tr>
      <w:tr w:rsidR="00047C22" w:rsidRPr="00927778" w:rsidTr="003D547D">
        <w:trPr>
          <w:trHeight w:val="509"/>
        </w:trPr>
        <w:tc>
          <w:tcPr>
            <w:tcW w:w="2410" w:type="dxa"/>
            <w:tcBorders>
              <w:top w:val="single" w:sz="2" w:space="0" w:color="000000"/>
              <w:left w:val="single" w:sz="2" w:space="0" w:color="000000"/>
              <w:right w:val="single" w:sz="6" w:space="0" w:color="000000"/>
            </w:tcBorders>
            <w:shd w:val="clear" w:color="auto" w:fill="auto"/>
          </w:tcPr>
          <w:p w:rsidR="005E6718" w:rsidRPr="00927778" w:rsidRDefault="005E6718" w:rsidP="00C3651B">
            <w:pPr>
              <w:rPr>
                <w:color w:val="333333"/>
                <w:lang w:val="fr-FR"/>
              </w:rPr>
            </w:pPr>
          </w:p>
          <w:p w:rsidR="005E6718" w:rsidRPr="00927778" w:rsidRDefault="00963AA1" w:rsidP="00963AA1">
            <w:pPr>
              <w:rPr>
                <w:color w:val="333333"/>
                <w:lang w:val="fr-FR"/>
              </w:rPr>
            </w:pPr>
            <w:r w:rsidRPr="00927778">
              <w:rPr>
                <w:color w:val="333333"/>
                <w:lang w:val="fr-FR"/>
              </w:rPr>
              <w:t>1.</w:t>
            </w:r>
            <w:r w:rsidRPr="00927778">
              <w:rPr>
                <w:color w:val="333333"/>
                <w:lang w:val="fr-FR"/>
              </w:rPr>
              <w:tab/>
              <w:t>Fourniture d</w:t>
            </w:r>
            <w:r w:rsidR="00EA2C86" w:rsidRPr="00927778">
              <w:rPr>
                <w:color w:val="333333"/>
                <w:lang w:val="fr-FR"/>
              </w:rPr>
              <w:t>’</w:t>
            </w:r>
            <w:r w:rsidRPr="00927778">
              <w:rPr>
                <w:color w:val="333333"/>
                <w:lang w:val="fr-FR"/>
              </w:rPr>
              <w:t>une méthodologie et d</w:t>
            </w:r>
            <w:r w:rsidR="00EA2C86" w:rsidRPr="00927778">
              <w:rPr>
                <w:color w:val="333333"/>
                <w:lang w:val="fr-FR"/>
              </w:rPr>
              <w:t>’</w:t>
            </w:r>
            <w:r w:rsidRPr="00927778">
              <w:rPr>
                <w:color w:val="333333"/>
                <w:lang w:val="fr-FR"/>
              </w:rPr>
              <w:t>une série d</w:t>
            </w:r>
            <w:r w:rsidR="00EA2C86" w:rsidRPr="00927778">
              <w:rPr>
                <w:color w:val="333333"/>
                <w:lang w:val="fr-FR"/>
              </w:rPr>
              <w:t>’</w:t>
            </w:r>
            <w:r w:rsidRPr="00927778">
              <w:rPr>
                <w:color w:val="333333"/>
                <w:lang w:val="fr-FR"/>
              </w:rPr>
              <w:t>outils d</w:t>
            </w:r>
            <w:r w:rsidR="00EA2C86" w:rsidRPr="00927778">
              <w:rPr>
                <w:color w:val="333333"/>
                <w:lang w:val="fr-FR"/>
              </w:rPr>
              <w:t>’</w:t>
            </w:r>
            <w:r w:rsidRPr="00927778">
              <w:rPr>
                <w:color w:val="333333"/>
                <w:lang w:val="fr-FR"/>
              </w:rPr>
              <w:t>évaluation des besoins de formation</w:t>
            </w:r>
          </w:p>
          <w:p w:rsidR="001B0EEB" w:rsidRPr="00927778" w:rsidRDefault="001B0EEB" w:rsidP="00C3651B">
            <w:pPr>
              <w:rPr>
                <w:color w:val="333333"/>
                <w:lang w:val="fr-FR"/>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5E6718" w:rsidRPr="00927778" w:rsidRDefault="005E6718" w:rsidP="00C3651B">
            <w:pPr>
              <w:rPr>
                <w:color w:val="333333"/>
                <w:lang w:val="fr-FR"/>
              </w:rPr>
            </w:pPr>
          </w:p>
          <w:p w:rsidR="001B0EEB" w:rsidRPr="00927778" w:rsidRDefault="00963AA1" w:rsidP="00963AA1">
            <w:pPr>
              <w:rPr>
                <w:color w:val="333333"/>
                <w:lang w:val="fr-FR"/>
              </w:rPr>
            </w:pPr>
            <w:r w:rsidRPr="00927778">
              <w:rPr>
                <w:color w:val="333333"/>
                <w:lang w:val="fr-FR"/>
              </w:rPr>
              <w:t>Livraison de la première version finalisée de la méthodologie et de la série d</w:t>
            </w:r>
            <w:r w:rsidR="00EA2C86" w:rsidRPr="00927778">
              <w:rPr>
                <w:color w:val="333333"/>
                <w:lang w:val="fr-FR"/>
              </w:rPr>
              <w:t>’</w:t>
            </w:r>
            <w:r w:rsidRPr="00927778">
              <w:rPr>
                <w:color w:val="333333"/>
                <w:lang w:val="fr-FR"/>
              </w:rPr>
              <w:t>outils d</w:t>
            </w:r>
            <w:r w:rsidR="00EA2C86" w:rsidRPr="00927778">
              <w:rPr>
                <w:color w:val="333333"/>
                <w:lang w:val="fr-FR"/>
              </w:rPr>
              <w:t>’</w:t>
            </w:r>
            <w:r w:rsidRPr="00927778">
              <w:rPr>
                <w:color w:val="333333"/>
                <w:lang w:val="fr-FR"/>
              </w:rPr>
              <w:t>ici la mi</w:t>
            </w:r>
            <w:r w:rsidR="00CB5AE0" w:rsidRPr="00927778">
              <w:rPr>
                <w:color w:val="333333"/>
                <w:lang w:val="fr-FR"/>
              </w:rPr>
              <w:noBreakHyphen/>
            </w:r>
            <w:r w:rsidRPr="00927778">
              <w:rPr>
                <w:color w:val="333333"/>
                <w:lang w:val="fr-FR"/>
              </w:rPr>
              <w:t>2018.</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rsidR="005E6718" w:rsidRPr="00927778" w:rsidRDefault="005E6718" w:rsidP="00C3651B">
            <w:pPr>
              <w:rPr>
                <w:color w:val="333333"/>
                <w:lang w:val="fr-FR"/>
              </w:rPr>
            </w:pPr>
          </w:p>
          <w:p w:rsidR="005E6718" w:rsidRPr="00927778" w:rsidRDefault="00610B22" w:rsidP="00C3651B">
            <w:pPr>
              <w:rPr>
                <w:color w:val="333333"/>
                <w:lang w:val="fr-FR"/>
              </w:rPr>
            </w:pPr>
            <w:r w:rsidRPr="00927778">
              <w:rPr>
                <w:color w:val="333333"/>
                <w:lang w:val="fr-FR"/>
              </w:rPr>
              <w:t>Livraison de la première version du manuel et de la série d</w:t>
            </w:r>
            <w:r w:rsidR="00EA2C86" w:rsidRPr="00927778">
              <w:rPr>
                <w:color w:val="333333"/>
                <w:lang w:val="fr-FR"/>
              </w:rPr>
              <w:t>’</w:t>
            </w:r>
            <w:r w:rsidRPr="00927778">
              <w:rPr>
                <w:color w:val="333333"/>
                <w:lang w:val="fr-FR"/>
              </w:rPr>
              <w:t>outils le 2</w:t>
            </w:r>
            <w:r w:rsidR="00EA2C86" w:rsidRPr="00927778">
              <w:rPr>
                <w:color w:val="333333"/>
                <w:lang w:val="fr-FR"/>
              </w:rPr>
              <w:t>9 juin 20</w:t>
            </w:r>
            <w:r w:rsidR="001B0EEB" w:rsidRPr="00927778">
              <w:rPr>
                <w:color w:val="333333"/>
                <w:lang w:val="fr-FR"/>
              </w:rPr>
              <w:t>18.</w:t>
            </w:r>
          </w:p>
          <w:p w:rsidR="005E6718" w:rsidRPr="00927778" w:rsidRDefault="005E6718" w:rsidP="00C3651B">
            <w:pPr>
              <w:rPr>
                <w:color w:val="333333"/>
                <w:lang w:val="fr-FR"/>
              </w:rPr>
            </w:pPr>
          </w:p>
          <w:p w:rsidR="005E6718" w:rsidRPr="00927778" w:rsidRDefault="00610B22" w:rsidP="00C3651B">
            <w:pPr>
              <w:rPr>
                <w:color w:val="333333"/>
                <w:lang w:val="fr-FR"/>
              </w:rPr>
            </w:pPr>
            <w:r w:rsidRPr="00927778">
              <w:rPr>
                <w:color w:val="333333"/>
                <w:lang w:val="fr-FR"/>
              </w:rPr>
              <w:t>Livraison de la version finale du manuel et de la série d</w:t>
            </w:r>
            <w:r w:rsidR="00EA2C86" w:rsidRPr="00927778">
              <w:rPr>
                <w:color w:val="333333"/>
                <w:lang w:val="fr-FR"/>
              </w:rPr>
              <w:t>’</w:t>
            </w:r>
            <w:r w:rsidRPr="00927778">
              <w:rPr>
                <w:color w:val="333333"/>
                <w:lang w:val="fr-FR"/>
              </w:rPr>
              <w:t>outils prévue d</w:t>
            </w:r>
            <w:r w:rsidR="00EA2C86" w:rsidRPr="00927778">
              <w:rPr>
                <w:color w:val="333333"/>
                <w:lang w:val="fr-FR"/>
              </w:rPr>
              <w:t>’</w:t>
            </w:r>
            <w:r w:rsidRPr="00927778">
              <w:rPr>
                <w:color w:val="333333"/>
                <w:lang w:val="fr-FR"/>
              </w:rPr>
              <w:t xml:space="preserve">ici à la fin </w:t>
            </w:r>
            <w:r w:rsidR="00EA2C86" w:rsidRPr="00927778">
              <w:rPr>
                <w:color w:val="333333"/>
                <w:lang w:val="fr-FR"/>
              </w:rPr>
              <w:t>de 2018</w:t>
            </w:r>
            <w:r w:rsidR="001B0EEB" w:rsidRPr="00927778">
              <w:rPr>
                <w:color w:val="333333"/>
                <w:lang w:val="fr-FR"/>
              </w:rPr>
              <w:t>.</w:t>
            </w:r>
          </w:p>
          <w:p w:rsidR="001B0EEB" w:rsidRPr="00927778" w:rsidRDefault="001B0EEB" w:rsidP="00C3651B">
            <w:pPr>
              <w:rPr>
                <w:color w:val="333333"/>
                <w:lang w:val="fr-FR"/>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5E6718" w:rsidRPr="00927778" w:rsidRDefault="005E6718" w:rsidP="00C3651B">
            <w:pPr>
              <w:rPr>
                <w:color w:val="333333"/>
                <w:lang w:val="fr-FR"/>
              </w:rPr>
            </w:pPr>
          </w:p>
          <w:p w:rsidR="001B0EEB" w:rsidRPr="00927778" w:rsidRDefault="001B0EEB" w:rsidP="00C3651B">
            <w:pPr>
              <w:rPr>
                <w:color w:val="333333"/>
                <w:lang w:val="fr-FR"/>
              </w:rPr>
            </w:pPr>
            <w:r w:rsidRPr="00927778">
              <w:rPr>
                <w:color w:val="333333"/>
                <w:lang w:val="fr-FR"/>
              </w:rPr>
              <w:t>***</w:t>
            </w:r>
          </w:p>
        </w:tc>
      </w:tr>
      <w:tr w:rsidR="00047C22" w:rsidRPr="00927778" w:rsidTr="003D547D">
        <w:trPr>
          <w:trHeight w:val="509"/>
        </w:trPr>
        <w:tc>
          <w:tcPr>
            <w:tcW w:w="2410" w:type="dxa"/>
            <w:tcBorders>
              <w:top w:val="single" w:sz="2" w:space="0" w:color="000000"/>
              <w:left w:val="single" w:sz="2" w:space="0" w:color="000000"/>
              <w:right w:val="single" w:sz="6" w:space="0" w:color="000000"/>
            </w:tcBorders>
            <w:shd w:val="clear" w:color="auto" w:fill="auto"/>
          </w:tcPr>
          <w:p w:rsidR="005E6718" w:rsidRPr="00927778" w:rsidRDefault="005E6718" w:rsidP="00C3651B">
            <w:pPr>
              <w:rPr>
                <w:color w:val="333333"/>
                <w:lang w:val="fr-FR"/>
              </w:rPr>
            </w:pPr>
          </w:p>
          <w:p w:rsidR="00EA2C86" w:rsidRPr="00927778" w:rsidRDefault="001B0EEB" w:rsidP="00C3651B">
            <w:pPr>
              <w:rPr>
                <w:color w:val="333333"/>
                <w:lang w:val="fr-FR"/>
              </w:rPr>
            </w:pPr>
            <w:r w:rsidRPr="00927778">
              <w:rPr>
                <w:color w:val="333333"/>
                <w:lang w:val="fr-FR"/>
              </w:rPr>
              <w:t>2.</w:t>
            </w:r>
            <w:r w:rsidR="0057466D" w:rsidRPr="00927778">
              <w:rPr>
                <w:color w:val="333333"/>
                <w:lang w:val="fr-FR"/>
              </w:rPr>
              <w:t xml:space="preserve"> </w:t>
            </w:r>
            <w:r w:rsidRPr="00927778">
              <w:rPr>
                <w:color w:val="333333"/>
                <w:lang w:val="fr-FR"/>
              </w:rPr>
              <w:t xml:space="preserve"> </w:t>
            </w:r>
            <w:r w:rsidR="00A34E0E" w:rsidRPr="00927778">
              <w:rPr>
                <w:color w:val="333333"/>
                <w:lang w:val="fr-FR"/>
              </w:rPr>
              <w:t xml:space="preserve">Inventaire des chaînes de </w:t>
            </w:r>
            <w:r w:rsidR="0039550E" w:rsidRPr="00927778">
              <w:rPr>
                <w:color w:val="333333"/>
                <w:lang w:val="fr-FR"/>
              </w:rPr>
              <w:t>valorisation</w:t>
            </w:r>
            <w:r w:rsidR="00A34E0E" w:rsidRPr="00927778">
              <w:rPr>
                <w:color w:val="333333"/>
                <w:lang w:val="fr-FR"/>
              </w:rPr>
              <w:t xml:space="preserve"> dans </w:t>
            </w:r>
            <w:r w:rsidR="009915CE" w:rsidRPr="00927778">
              <w:rPr>
                <w:color w:val="333333"/>
                <w:lang w:val="fr-FR"/>
              </w:rPr>
              <w:t xml:space="preserve">les </w:t>
            </w:r>
            <w:r w:rsidR="00A34E0E" w:rsidRPr="00927778">
              <w:rPr>
                <w:color w:val="333333"/>
                <w:lang w:val="fr-FR"/>
              </w:rPr>
              <w:t>quatre</w:t>
            </w:r>
            <w:r w:rsidR="0057466D" w:rsidRPr="00927778">
              <w:rPr>
                <w:color w:val="333333"/>
                <w:lang w:val="fr-FR"/>
              </w:rPr>
              <w:t> </w:t>
            </w:r>
            <w:r w:rsidR="00A34E0E" w:rsidRPr="00927778">
              <w:rPr>
                <w:color w:val="333333"/>
                <w:lang w:val="fr-FR"/>
              </w:rPr>
              <w:t>pays pilotes</w:t>
            </w:r>
          </w:p>
          <w:p w:rsidR="001B0EEB" w:rsidRPr="00927778" w:rsidRDefault="001B0EEB" w:rsidP="00C3651B">
            <w:pPr>
              <w:rPr>
                <w:color w:val="333333"/>
                <w:lang w:val="fr-FR"/>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5E6718" w:rsidRPr="00927778" w:rsidRDefault="005E6718" w:rsidP="00C3651B">
            <w:pPr>
              <w:rPr>
                <w:color w:val="333333"/>
                <w:lang w:val="fr-FR"/>
              </w:rPr>
            </w:pPr>
          </w:p>
          <w:p w:rsidR="001B0EEB" w:rsidRPr="00927778" w:rsidRDefault="00963AA1" w:rsidP="00963AA1">
            <w:pPr>
              <w:rPr>
                <w:color w:val="333333"/>
                <w:lang w:val="fr-FR"/>
              </w:rPr>
            </w:pPr>
            <w:r w:rsidRPr="00927778">
              <w:rPr>
                <w:color w:val="333333"/>
                <w:lang w:val="fr-FR"/>
              </w:rPr>
              <w:t>Livraison de l</w:t>
            </w:r>
            <w:r w:rsidR="00EA2C86" w:rsidRPr="00927778">
              <w:rPr>
                <w:color w:val="333333"/>
                <w:lang w:val="fr-FR"/>
              </w:rPr>
              <w:t>’</w:t>
            </w:r>
            <w:r w:rsidRPr="00927778">
              <w:rPr>
                <w:color w:val="333333"/>
                <w:lang w:val="fr-FR"/>
              </w:rPr>
              <w:t>inventaire d</w:t>
            </w:r>
            <w:r w:rsidR="00EA2C86" w:rsidRPr="00927778">
              <w:rPr>
                <w:color w:val="333333"/>
                <w:lang w:val="fr-FR"/>
              </w:rPr>
              <w:t>’</w:t>
            </w:r>
            <w:r w:rsidRPr="00927778">
              <w:rPr>
                <w:color w:val="333333"/>
                <w:lang w:val="fr-FR"/>
              </w:rPr>
              <w:t>ici la mi</w:t>
            </w:r>
            <w:r w:rsidR="00CB5AE0" w:rsidRPr="00927778">
              <w:rPr>
                <w:color w:val="333333"/>
                <w:lang w:val="fr-FR"/>
              </w:rPr>
              <w:noBreakHyphen/>
            </w:r>
            <w:r w:rsidRPr="00927778">
              <w:rPr>
                <w:color w:val="333333"/>
                <w:lang w:val="fr-FR"/>
              </w:rPr>
              <w:t>2018.</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rsidR="005E6718" w:rsidRPr="00927778" w:rsidRDefault="005E6718" w:rsidP="00C3651B">
            <w:pPr>
              <w:rPr>
                <w:color w:val="333333"/>
                <w:lang w:val="fr-FR"/>
              </w:rPr>
            </w:pPr>
          </w:p>
          <w:p w:rsidR="005E6718" w:rsidRPr="00927778" w:rsidRDefault="00C7301B" w:rsidP="00C3651B">
            <w:pPr>
              <w:rPr>
                <w:color w:val="333333"/>
                <w:lang w:val="fr-FR"/>
              </w:rPr>
            </w:pPr>
            <w:r w:rsidRPr="00927778">
              <w:rPr>
                <w:color w:val="333333"/>
                <w:lang w:val="fr-FR"/>
              </w:rPr>
              <w:t xml:space="preserve">Livraison du rapport </w:t>
            </w:r>
            <w:r w:rsidR="009915CE" w:rsidRPr="00927778">
              <w:rPr>
                <w:color w:val="333333"/>
                <w:lang w:val="fr-FR"/>
              </w:rPr>
              <w:t>sur</w:t>
            </w:r>
            <w:r w:rsidRPr="00927778">
              <w:rPr>
                <w:color w:val="333333"/>
                <w:lang w:val="fr-FR"/>
              </w:rPr>
              <w:t xml:space="preserve"> l</w:t>
            </w:r>
            <w:r w:rsidR="00EA2C86" w:rsidRPr="00927778">
              <w:rPr>
                <w:color w:val="333333"/>
                <w:lang w:val="fr-FR"/>
              </w:rPr>
              <w:t>’</w:t>
            </w:r>
            <w:r w:rsidRPr="00927778">
              <w:rPr>
                <w:color w:val="333333"/>
                <w:lang w:val="fr-FR"/>
              </w:rPr>
              <w:t>inventaire de l</w:t>
            </w:r>
            <w:r w:rsidR="00EA2C86" w:rsidRPr="00927778">
              <w:rPr>
                <w:color w:val="333333"/>
                <w:lang w:val="fr-FR"/>
              </w:rPr>
              <w:t>’</w:t>
            </w:r>
            <w:r w:rsidRPr="00927778">
              <w:rPr>
                <w:color w:val="333333"/>
                <w:lang w:val="fr-FR"/>
              </w:rPr>
              <w:t xml:space="preserve">Afrique du Sud le </w:t>
            </w:r>
            <w:r w:rsidR="001B0EEB" w:rsidRPr="00927778">
              <w:rPr>
                <w:color w:val="333333"/>
                <w:lang w:val="fr-FR"/>
              </w:rPr>
              <w:t>2</w:t>
            </w:r>
            <w:r w:rsidR="00EA2C86" w:rsidRPr="00927778">
              <w:rPr>
                <w:color w:val="333333"/>
                <w:lang w:val="fr-FR"/>
              </w:rPr>
              <w:t>9 juin 20</w:t>
            </w:r>
            <w:r w:rsidR="001B0EEB" w:rsidRPr="00927778">
              <w:rPr>
                <w:color w:val="333333"/>
                <w:lang w:val="fr-FR"/>
              </w:rPr>
              <w:t>18.</w:t>
            </w:r>
          </w:p>
          <w:p w:rsidR="005E6718" w:rsidRPr="00927778" w:rsidRDefault="005E6718" w:rsidP="00C3651B">
            <w:pPr>
              <w:rPr>
                <w:color w:val="333333"/>
                <w:lang w:val="fr-FR"/>
              </w:rPr>
            </w:pPr>
          </w:p>
          <w:p w:rsidR="005E6718" w:rsidRPr="00927778" w:rsidRDefault="00C7301B" w:rsidP="00C3651B">
            <w:pPr>
              <w:rPr>
                <w:color w:val="333333"/>
                <w:lang w:val="fr-FR"/>
              </w:rPr>
            </w:pPr>
            <w:r w:rsidRPr="00927778">
              <w:rPr>
                <w:color w:val="333333"/>
                <w:lang w:val="fr-FR"/>
              </w:rPr>
              <w:t xml:space="preserve">Livraison du rapport </w:t>
            </w:r>
            <w:r w:rsidR="009915CE" w:rsidRPr="00927778">
              <w:rPr>
                <w:color w:val="333333"/>
                <w:lang w:val="fr-FR"/>
              </w:rPr>
              <w:t>sur</w:t>
            </w:r>
            <w:r w:rsidRPr="00927778">
              <w:rPr>
                <w:color w:val="333333"/>
                <w:lang w:val="fr-FR"/>
              </w:rPr>
              <w:t xml:space="preserve"> l</w:t>
            </w:r>
            <w:r w:rsidR="00EA2C86" w:rsidRPr="00927778">
              <w:rPr>
                <w:color w:val="333333"/>
                <w:lang w:val="fr-FR"/>
              </w:rPr>
              <w:t>’</w:t>
            </w:r>
            <w:r w:rsidRPr="00927778">
              <w:rPr>
                <w:color w:val="333333"/>
                <w:lang w:val="fr-FR"/>
              </w:rPr>
              <w:t xml:space="preserve">inventaire du </w:t>
            </w:r>
            <w:r w:rsidR="001B0EEB" w:rsidRPr="00927778">
              <w:rPr>
                <w:color w:val="333333"/>
                <w:lang w:val="fr-FR"/>
              </w:rPr>
              <w:t>Chil</w:t>
            </w:r>
            <w:r w:rsidRPr="00927778">
              <w:rPr>
                <w:color w:val="333333"/>
                <w:lang w:val="fr-FR"/>
              </w:rPr>
              <w:t>i le</w:t>
            </w:r>
            <w:r w:rsidR="001B0EEB" w:rsidRPr="00927778">
              <w:rPr>
                <w:color w:val="333333"/>
                <w:lang w:val="fr-FR"/>
              </w:rPr>
              <w:t xml:space="preserve"> </w:t>
            </w:r>
            <w:r w:rsidR="00EA2C86" w:rsidRPr="00927778">
              <w:rPr>
                <w:color w:val="333333"/>
                <w:lang w:val="fr-FR"/>
              </w:rPr>
              <w:t>2 juillet 20</w:t>
            </w:r>
            <w:r w:rsidR="001B0EEB" w:rsidRPr="00927778">
              <w:rPr>
                <w:color w:val="333333"/>
                <w:lang w:val="fr-FR"/>
              </w:rPr>
              <w:t>18.</w:t>
            </w:r>
          </w:p>
          <w:p w:rsidR="005E6718" w:rsidRPr="00927778" w:rsidRDefault="005E6718" w:rsidP="00C3651B">
            <w:pPr>
              <w:rPr>
                <w:color w:val="333333"/>
                <w:lang w:val="fr-FR"/>
              </w:rPr>
            </w:pPr>
          </w:p>
          <w:p w:rsidR="005E6718" w:rsidRPr="00927778" w:rsidRDefault="00C7301B" w:rsidP="00C3651B">
            <w:pPr>
              <w:rPr>
                <w:color w:val="333333"/>
                <w:lang w:val="fr-FR"/>
              </w:rPr>
            </w:pPr>
            <w:r w:rsidRPr="00927778">
              <w:rPr>
                <w:color w:val="333333"/>
                <w:lang w:val="fr-FR"/>
              </w:rPr>
              <w:t xml:space="preserve">Livraison du rapport </w:t>
            </w:r>
            <w:r w:rsidR="009915CE" w:rsidRPr="00927778">
              <w:rPr>
                <w:color w:val="333333"/>
                <w:lang w:val="fr-FR"/>
              </w:rPr>
              <w:t>sur</w:t>
            </w:r>
            <w:r w:rsidRPr="00927778">
              <w:rPr>
                <w:color w:val="333333"/>
                <w:lang w:val="fr-FR"/>
              </w:rPr>
              <w:t xml:space="preserve"> l</w:t>
            </w:r>
            <w:r w:rsidR="00EA2C86" w:rsidRPr="00927778">
              <w:rPr>
                <w:color w:val="333333"/>
                <w:lang w:val="fr-FR"/>
              </w:rPr>
              <w:t>’</w:t>
            </w:r>
            <w:r w:rsidRPr="00927778">
              <w:rPr>
                <w:color w:val="333333"/>
                <w:lang w:val="fr-FR"/>
              </w:rPr>
              <w:t>inventaire de l</w:t>
            </w:r>
            <w:r w:rsidR="00EA2C86" w:rsidRPr="00927778">
              <w:rPr>
                <w:color w:val="333333"/>
                <w:lang w:val="fr-FR"/>
              </w:rPr>
              <w:t>’</w:t>
            </w:r>
            <w:r w:rsidR="001B0EEB" w:rsidRPr="00927778">
              <w:rPr>
                <w:color w:val="333333"/>
                <w:lang w:val="fr-FR"/>
              </w:rPr>
              <w:t>Indon</w:t>
            </w:r>
            <w:r w:rsidRPr="00927778">
              <w:rPr>
                <w:color w:val="333333"/>
                <w:lang w:val="fr-FR"/>
              </w:rPr>
              <w:t>é</w:t>
            </w:r>
            <w:r w:rsidR="001B0EEB" w:rsidRPr="00927778">
              <w:rPr>
                <w:color w:val="333333"/>
                <w:lang w:val="fr-FR"/>
              </w:rPr>
              <w:t>si</w:t>
            </w:r>
            <w:r w:rsidRPr="00927778">
              <w:rPr>
                <w:color w:val="333333"/>
                <w:lang w:val="fr-FR"/>
              </w:rPr>
              <w:t>e</w:t>
            </w:r>
            <w:r w:rsidR="001B0EEB" w:rsidRPr="00927778">
              <w:rPr>
                <w:color w:val="333333"/>
                <w:lang w:val="fr-FR"/>
              </w:rPr>
              <w:t xml:space="preserve"> </w:t>
            </w:r>
            <w:r w:rsidRPr="00927778">
              <w:rPr>
                <w:color w:val="333333"/>
                <w:lang w:val="fr-FR"/>
              </w:rPr>
              <w:t>le</w:t>
            </w:r>
            <w:r w:rsidR="001B0EEB" w:rsidRPr="00927778">
              <w:rPr>
                <w:color w:val="333333"/>
                <w:lang w:val="fr-FR"/>
              </w:rPr>
              <w:t xml:space="preserve"> 3</w:t>
            </w:r>
            <w:r w:rsidR="00EA2C86" w:rsidRPr="00927778">
              <w:rPr>
                <w:color w:val="333333"/>
                <w:lang w:val="fr-FR"/>
              </w:rPr>
              <w:t>0 juin 20</w:t>
            </w:r>
            <w:r w:rsidR="001B0EEB" w:rsidRPr="00927778">
              <w:rPr>
                <w:color w:val="333333"/>
                <w:lang w:val="fr-FR"/>
              </w:rPr>
              <w:t>18.</w:t>
            </w:r>
          </w:p>
          <w:p w:rsidR="005E6718" w:rsidRPr="00927778" w:rsidRDefault="005E6718" w:rsidP="00C3651B">
            <w:pPr>
              <w:rPr>
                <w:color w:val="333333"/>
                <w:lang w:val="fr-FR"/>
              </w:rPr>
            </w:pPr>
          </w:p>
          <w:p w:rsidR="005E6718" w:rsidRPr="00927778" w:rsidRDefault="00C7301B" w:rsidP="00C3651B">
            <w:pPr>
              <w:rPr>
                <w:color w:val="333333"/>
                <w:lang w:val="fr-FR"/>
              </w:rPr>
            </w:pPr>
            <w:r w:rsidRPr="00927778">
              <w:rPr>
                <w:color w:val="333333"/>
                <w:lang w:val="fr-FR"/>
              </w:rPr>
              <w:t xml:space="preserve">Livraison du rapport </w:t>
            </w:r>
            <w:r w:rsidR="009915CE" w:rsidRPr="00927778">
              <w:rPr>
                <w:color w:val="333333"/>
                <w:lang w:val="fr-FR"/>
              </w:rPr>
              <w:t>sur</w:t>
            </w:r>
            <w:r w:rsidRPr="00927778">
              <w:rPr>
                <w:color w:val="333333"/>
                <w:lang w:val="fr-FR"/>
              </w:rPr>
              <w:t xml:space="preserve"> l</w:t>
            </w:r>
            <w:r w:rsidR="00EA2C86" w:rsidRPr="00927778">
              <w:rPr>
                <w:color w:val="333333"/>
                <w:lang w:val="fr-FR"/>
              </w:rPr>
              <w:t>’</w:t>
            </w:r>
            <w:r w:rsidRPr="00927778">
              <w:rPr>
                <w:color w:val="333333"/>
                <w:lang w:val="fr-FR"/>
              </w:rPr>
              <w:t xml:space="preserve">inventaire du </w:t>
            </w:r>
            <w:r w:rsidR="00EB1466" w:rsidRPr="00927778">
              <w:rPr>
                <w:color w:val="333333"/>
                <w:lang w:val="fr-FR"/>
              </w:rPr>
              <w:t>Rwanda</w:t>
            </w:r>
            <w:r w:rsidR="001B0EEB" w:rsidRPr="00927778">
              <w:rPr>
                <w:color w:val="333333"/>
                <w:lang w:val="fr-FR"/>
              </w:rPr>
              <w:t xml:space="preserve"> </w:t>
            </w:r>
            <w:r w:rsidRPr="00927778">
              <w:rPr>
                <w:color w:val="333333"/>
                <w:lang w:val="fr-FR"/>
              </w:rPr>
              <w:t>le</w:t>
            </w:r>
            <w:r w:rsidR="00EA2C86" w:rsidRPr="00927778">
              <w:rPr>
                <w:color w:val="333333"/>
                <w:lang w:val="fr-FR"/>
              </w:rPr>
              <w:t xml:space="preserve"> 1</w:t>
            </w:r>
            <w:r w:rsidR="00EA2C86" w:rsidRPr="00927778">
              <w:rPr>
                <w:color w:val="333333"/>
                <w:vertAlign w:val="superscript"/>
                <w:lang w:val="fr-FR"/>
              </w:rPr>
              <w:t>er</w:t>
            </w:r>
            <w:r w:rsidR="00EA2C86" w:rsidRPr="00927778">
              <w:rPr>
                <w:color w:val="333333"/>
                <w:lang w:val="fr-FR"/>
              </w:rPr>
              <w:t> juillet 20</w:t>
            </w:r>
            <w:r w:rsidR="001B0EEB" w:rsidRPr="00927778">
              <w:rPr>
                <w:color w:val="333333"/>
                <w:lang w:val="fr-FR"/>
              </w:rPr>
              <w:t>18.</w:t>
            </w:r>
          </w:p>
          <w:p w:rsidR="001B0EEB" w:rsidRPr="00927778" w:rsidRDefault="001B0EEB" w:rsidP="00C3651B">
            <w:pPr>
              <w:rPr>
                <w:color w:val="333333"/>
                <w:lang w:val="fr-FR"/>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5E6718" w:rsidRPr="00927778" w:rsidRDefault="005E6718" w:rsidP="00C3651B">
            <w:pPr>
              <w:rPr>
                <w:color w:val="333333"/>
                <w:lang w:val="fr-FR"/>
              </w:rPr>
            </w:pPr>
          </w:p>
          <w:p w:rsidR="001B0EEB" w:rsidRPr="00927778" w:rsidRDefault="001B0EEB" w:rsidP="00C3651B">
            <w:pPr>
              <w:rPr>
                <w:color w:val="333333"/>
                <w:lang w:val="fr-FR"/>
              </w:rPr>
            </w:pPr>
            <w:r w:rsidRPr="00927778">
              <w:rPr>
                <w:color w:val="333333"/>
                <w:lang w:val="fr-FR"/>
              </w:rPr>
              <w:t>****</w:t>
            </w:r>
          </w:p>
        </w:tc>
      </w:tr>
      <w:tr w:rsidR="00047C22" w:rsidRPr="00927778" w:rsidTr="009F0451">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5E6718" w:rsidRPr="00927778" w:rsidRDefault="005E6718" w:rsidP="00C3651B">
            <w:pPr>
              <w:rPr>
                <w:color w:val="333333"/>
                <w:lang w:val="fr-FR"/>
              </w:rPr>
            </w:pPr>
          </w:p>
          <w:p w:rsidR="005E6718" w:rsidRPr="00927778" w:rsidRDefault="00E7667B" w:rsidP="00E7667B">
            <w:pPr>
              <w:rPr>
                <w:color w:val="333333"/>
                <w:lang w:val="fr-FR"/>
              </w:rPr>
            </w:pPr>
            <w:r w:rsidRPr="00927778">
              <w:rPr>
                <w:color w:val="333333"/>
                <w:lang w:val="fr-FR"/>
              </w:rPr>
              <w:t>3.</w:t>
            </w:r>
            <w:r w:rsidRPr="00927778">
              <w:rPr>
                <w:color w:val="333333"/>
                <w:lang w:val="fr-FR"/>
              </w:rPr>
              <w:tab/>
              <w:t>Mise au point d</w:t>
            </w:r>
            <w:r w:rsidR="00EA2C86" w:rsidRPr="00927778">
              <w:rPr>
                <w:color w:val="333333"/>
                <w:lang w:val="fr-FR"/>
              </w:rPr>
              <w:t>’</w:t>
            </w:r>
            <w:r w:rsidRPr="00927778">
              <w:rPr>
                <w:color w:val="333333"/>
                <w:lang w:val="fr-FR"/>
              </w:rPr>
              <w:t>un programme de formation en fonction de l</w:t>
            </w:r>
            <w:r w:rsidR="00EA2C86" w:rsidRPr="00927778">
              <w:rPr>
                <w:color w:val="333333"/>
                <w:lang w:val="fr-FR"/>
              </w:rPr>
              <w:t>’</w:t>
            </w:r>
            <w:r w:rsidRPr="00927778">
              <w:rPr>
                <w:color w:val="333333"/>
                <w:lang w:val="fr-FR"/>
              </w:rPr>
              <w:t>évaluation des besoins de formation</w:t>
            </w:r>
          </w:p>
          <w:p w:rsidR="001B0EEB" w:rsidRPr="00927778" w:rsidRDefault="001B0EEB" w:rsidP="00C3651B">
            <w:pPr>
              <w:rPr>
                <w:color w:val="333333"/>
                <w:lang w:val="fr-FR"/>
              </w:rPr>
            </w:pP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5E6718" w:rsidRPr="00927778" w:rsidRDefault="005E6718" w:rsidP="00C3651B">
            <w:pPr>
              <w:rPr>
                <w:color w:val="333333"/>
                <w:lang w:val="fr-FR"/>
              </w:rPr>
            </w:pPr>
          </w:p>
          <w:p w:rsidR="001B0EEB" w:rsidRPr="00927778" w:rsidRDefault="00E7667B" w:rsidP="00E7667B">
            <w:pPr>
              <w:rPr>
                <w:color w:val="333333"/>
                <w:lang w:val="fr-FR"/>
              </w:rPr>
            </w:pPr>
            <w:r w:rsidRPr="00927778">
              <w:rPr>
                <w:color w:val="333333"/>
                <w:lang w:val="fr-FR"/>
              </w:rPr>
              <w:t>Livraison du programme de formation d</w:t>
            </w:r>
            <w:r w:rsidR="00EA2C86" w:rsidRPr="00927778">
              <w:rPr>
                <w:color w:val="333333"/>
                <w:lang w:val="fr-FR"/>
              </w:rPr>
              <w:t>’</w:t>
            </w:r>
            <w:r w:rsidRPr="00927778">
              <w:rPr>
                <w:color w:val="333333"/>
                <w:lang w:val="fr-FR"/>
              </w:rPr>
              <w:t xml:space="preserve">ici </w:t>
            </w:r>
            <w:r w:rsidR="00B17D52" w:rsidRPr="00927778">
              <w:rPr>
                <w:color w:val="333333"/>
                <w:lang w:val="fr-FR"/>
              </w:rPr>
              <w:t xml:space="preserve">à </w:t>
            </w:r>
            <w:r w:rsidRPr="00927778">
              <w:rPr>
                <w:color w:val="333333"/>
                <w:lang w:val="fr-FR"/>
              </w:rPr>
              <w:t xml:space="preserve">la fin </w:t>
            </w:r>
            <w:r w:rsidR="00EA2C86" w:rsidRPr="00927778">
              <w:rPr>
                <w:color w:val="333333"/>
                <w:lang w:val="fr-FR"/>
              </w:rPr>
              <w:t>de 2018</w:t>
            </w:r>
            <w:r w:rsidRPr="00927778">
              <w:rPr>
                <w:color w:val="333333"/>
                <w:lang w:val="fr-FR"/>
              </w:rPr>
              <w:t>.</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rsidR="005E6718" w:rsidRPr="00927778" w:rsidRDefault="005E6718" w:rsidP="00C3651B">
            <w:pPr>
              <w:rPr>
                <w:color w:val="333333"/>
                <w:lang w:val="fr-FR"/>
              </w:rPr>
            </w:pPr>
          </w:p>
          <w:p w:rsidR="005E6718" w:rsidRPr="00927778" w:rsidRDefault="00FB0444" w:rsidP="00C3651B">
            <w:pPr>
              <w:rPr>
                <w:color w:val="333333"/>
                <w:lang w:val="fr-FR"/>
              </w:rPr>
            </w:pPr>
            <w:r w:rsidRPr="00927778">
              <w:rPr>
                <w:color w:val="333333"/>
                <w:lang w:val="fr-FR"/>
              </w:rPr>
              <w:t xml:space="preserve">Les experts des pays ont commencé à évaluer les besoins de formation en </w:t>
            </w:r>
            <w:r w:rsidR="00EA2C86" w:rsidRPr="00927778">
              <w:rPr>
                <w:color w:val="333333"/>
                <w:lang w:val="fr-FR"/>
              </w:rPr>
              <w:t>juillet 20</w:t>
            </w:r>
            <w:r w:rsidR="001B0EEB" w:rsidRPr="00927778">
              <w:rPr>
                <w:color w:val="333333"/>
                <w:lang w:val="fr-FR"/>
              </w:rPr>
              <w:t>18.</w:t>
            </w:r>
          </w:p>
          <w:p w:rsidR="005E6718" w:rsidRPr="00927778" w:rsidRDefault="005E6718" w:rsidP="00C3651B">
            <w:pPr>
              <w:rPr>
                <w:color w:val="333333"/>
                <w:lang w:val="fr-FR"/>
              </w:rPr>
            </w:pPr>
          </w:p>
          <w:p w:rsidR="00EA2C86" w:rsidRPr="00927778" w:rsidRDefault="00B71273" w:rsidP="00C3651B">
            <w:pPr>
              <w:rPr>
                <w:color w:val="333333"/>
                <w:lang w:val="fr-FR"/>
              </w:rPr>
            </w:pPr>
            <w:r w:rsidRPr="00927778">
              <w:rPr>
                <w:color w:val="333333"/>
                <w:lang w:val="fr-FR"/>
              </w:rPr>
              <w:t>Les rapports d</w:t>
            </w:r>
            <w:r w:rsidR="00EA2C86" w:rsidRPr="00927778">
              <w:rPr>
                <w:color w:val="333333"/>
                <w:lang w:val="fr-FR"/>
              </w:rPr>
              <w:t>’</w:t>
            </w:r>
            <w:r w:rsidRPr="00927778">
              <w:rPr>
                <w:color w:val="333333"/>
                <w:lang w:val="fr-FR"/>
              </w:rPr>
              <w:t xml:space="preserve">évaluation des besoins de formation </w:t>
            </w:r>
            <w:r w:rsidR="00280E28" w:rsidRPr="00927778">
              <w:rPr>
                <w:color w:val="333333"/>
                <w:lang w:val="fr-FR"/>
              </w:rPr>
              <w:t>devraient</w:t>
            </w:r>
            <w:r w:rsidRPr="00927778">
              <w:rPr>
                <w:color w:val="333333"/>
                <w:lang w:val="fr-FR"/>
              </w:rPr>
              <w:t xml:space="preserve"> être remis d</w:t>
            </w:r>
            <w:r w:rsidR="00EA2C86" w:rsidRPr="00927778">
              <w:rPr>
                <w:color w:val="333333"/>
                <w:lang w:val="fr-FR"/>
              </w:rPr>
              <w:t>’</w:t>
            </w:r>
            <w:r w:rsidRPr="00927778">
              <w:rPr>
                <w:color w:val="333333"/>
                <w:lang w:val="fr-FR"/>
              </w:rPr>
              <w:t>ici à la fin du mois d</w:t>
            </w:r>
            <w:r w:rsidR="00EA2C86" w:rsidRPr="00927778">
              <w:rPr>
                <w:color w:val="333333"/>
                <w:lang w:val="fr-FR"/>
              </w:rPr>
              <w:t>’octobre 20</w:t>
            </w:r>
            <w:r w:rsidRPr="00927778">
              <w:rPr>
                <w:color w:val="333333"/>
                <w:lang w:val="fr-FR"/>
              </w:rPr>
              <w:t xml:space="preserve">18. </w:t>
            </w:r>
            <w:r w:rsidR="0057466D" w:rsidRPr="00927778">
              <w:rPr>
                <w:color w:val="333333"/>
                <w:lang w:val="fr-FR"/>
              </w:rPr>
              <w:t xml:space="preserve"> </w:t>
            </w:r>
            <w:r w:rsidRPr="00927778">
              <w:rPr>
                <w:color w:val="333333"/>
                <w:lang w:val="fr-FR"/>
              </w:rPr>
              <w:t xml:space="preserve">Les programmes de formation </w:t>
            </w:r>
            <w:r w:rsidR="00280E28" w:rsidRPr="00927778">
              <w:rPr>
                <w:color w:val="333333"/>
                <w:lang w:val="fr-FR"/>
              </w:rPr>
              <w:t>devraient</w:t>
            </w:r>
            <w:r w:rsidRPr="00927778">
              <w:rPr>
                <w:color w:val="333333"/>
                <w:lang w:val="fr-FR"/>
              </w:rPr>
              <w:t xml:space="preserve"> être remis d</w:t>
            </w:r>
            <w:r w:rsidR="00EA2C86" w:rsidRPr="00927778">
              <w:rPr>
                <w:color w:val="333333"/>
                <w:lang w:val="fr-FR"/>
              </w:rPr>
              <w:t>’</w:t>
            </w:r>
            <w:r w:rsidRPr="00927778">
              <w:rPr>
                <w:color w:val="333333"/>
                <w:lang w:val="fr-FR"/>
              </w:rPr>
              <w:t xml:space="preserve">ici à </w:t>
            </w:r>
            <w:r w:rsidR="00B17D52" w:rsidRPr="00927778">
              <w:rPr>
                <w:color w:val="333333"/>
                <w:lang w:val="fr-FR"/>
              </w:rPr>
              <w:t>l</w:t>
            </w:r>
            <w:r w:rsidRPr="00927778">
              <w:rPr>
                <w:color w:val="333333"/>
                <w:lang w:val="fr-FR"/>
              </w:rPr>
              <w:t xml:space="preserve">a fin </w:t>
            </w:r>
            <w:r w:rsidR="00EA2C86" w:rsidRPr="00927778">
              <w:rPr>
                <w:color w:val="333333"/>
                <w:lang w:val="fr-FR"/>
              </w:rPr>
              <w:t>de 2018</w:t>
            </w:r>
            <w:r w:rsidRPr="00927778">
              <w:rPr>
                <w:color w:val="333333"/>
                <w:lang w:val="fr-FR"/>
              </w:rPr>
              <w:t>.</w:t>
            </w:r>
          </w:p>
          <w:p w:rsidR="001B0EEB" w:rsidRPr="00927778" w:rsidRDefault="001B0EEB" w:rsidP="00C3651B">
            <w:pPr>
              <w:rPr>
                <w:color w:val="333333"/>
                <w:lang w:val="fr-FR"/>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5E6718" w:rsidRPr="00927778" w:rsidRDefault="005E6718" w:rsidP="00C3651B">
            <w:pPr>
              <w:rPr>
                <w:color w:val="333333"/>
                <w:lang w:val="fr-FR"/>
              </w:rPr>
            </w:pPr>
          </w:p>
          <w:p w:rsidR="001B0EEB" w:rsidRPr="00927778" w:rsidRDefault="001B0EEB" w:rsidP="00C3651B">
            <w:pPr>
              <w:rPr>
                <w:color w:val="333333"/>
                <w:lang w:val="fr-FR"/>
              </w:rPr>
            </w:pPr>
            <w:r w:rsidRPr="00927778">
              <w:rPr>
                <w:color w:val="333333"/>
                <w:lang w:val="fr-FR"/>
              </w:rPr>
              <w:t>**</w:t>
            </w:r>
          </w:p>
        </w:tc>
      </w:tr>
      <w:tr w:rsidR="00047C22" w:rsidRPr="00927778" w:rsidTr="009F0451">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5E6718" w:rsidRPr="006F0B33" w:rsidRDefault="005E6718" w:rsidP="00C3651B">
            <w:pPr>
              <w:rPr>
                <w:color w:val="333333"/>
                <w:sz w:val="14"/>
                <w:lang w:val="fr-FR"/>
              </w:rPr>
            </w:pPr>
          </w:p>
          <w:p w:rsidR="00EA2C86" w:rsidRPr="00927778" w:rsidRDefault="00E7667B" w:rsidP="00E7667B">
            <w:pPr>
              <w:rPr>
                <w:color w:val="333333"/>
                <w:lang w:val="fr-FR"/>
              </w:rPr>
            </w:pPr>
            <w:r w:rsidRPr="00927778">
              <w:rPr>
                <w:color w:val="333333"/>
                <w:lang w:val="fr-FR"/>
              </w:rPr>
              <w:t>4.</w:t>
            </w:r>
            <w:r w:rsidRPr="00927778">
              <w:rPr>
                <w:color w:val="333333"/>
                <w:lang w:val="fr-FR"/>
              </w:rPr>
              <w:tab/>
              <w:t>Mise en place des activités de formation conformément au programme de formation</w:t>
            </w:r>
          </w:p>
          <w:p w:rsidR="001B0EEB" w:rsidRPr="006F0B33" w:rsidRDefault="001B0EEB" w:rsidP="00C3651B">
            <w:pPr>
              <w:rPr>
                <w:color w:val="333333"/>
                <w:sz w:val="14"/>
                <w:lang w:val="fr-FR"/>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5E6718" w:rsidRPr="006F0B33" w:rsidRDefault="005E6718" w:rsidP="00C3651B">
            <w:pPr>
              <w:rPr>
                <w:color w:val="333333"/>
                <w:sz w:val="14"/>
                <w:lang w:val="fr-FR"/>
              </w:rPr>
            </w:pPr>
          </w:p>
          <w:p w:rsidR="001B0EEB" w:rsidRPr="00927778" w:rsidRDefault="00E7667B" w:rsidP="00E7667B">
            <w:pPr>
              <w:rPr>
                <w:color w:val="333333"/>
                <w:lang w:val="fr-FR"/>
              </w:rPr>
            </w:pPr>
            <w:r w:rsidRPr="00927778">
              <w:rPr>
                <w:color w:val="333333"/>
                <w:lang w:val="fr-FR"/>
              </w:rPr>
              <w:t>Fin de la formation d</w:t>
            </w:r>
            <w:r w:rsidR="00EA2C86" w:rsidRPr="00927778">
              <w:rPr>
                <w:color w:val="333333"/>
                <w:lang w:val="fr-FR"/>
              </w:rPr>
              <w:t>’</w:t>
            </w:r>
            <w:r w:rsidRPr="00927778">
              <w:rPr>
                <w:color w:val="333333"/>
                <w:lang w:val="fr-FR"/>
              </w:rPr>
              <w:t xml:space="preserve">ici </w:t>
            </w:r>
            <w:r w:rsidR="00B17D52" w:rsidRPr="00927778">
              <w:rPr>
                <w:color w:val="333333"/>
                <w:lang w:val="fr-FR"/>
              </w:rPr>
              <w:t xml:space="preserve">à </w:t>
            </w:r>
            <w:r w:rsidRPr="00927778">
              <w:rPr>
                <w:color w:val="333333"/>
                <w:lang w:val="fr-FR"/>
              </w:rPr>
              <w:t xml:space="preserve">la fin </w:t>
            </w:r>
            <w:r w:rsidR="00EA2C86" w:rsidRPr="00927778">
              <w:rPr>
                <w:color w:val="333333"/>
                <w:lang w:val="fr-FR"/>
              </w:rPr>
              <w:t>de 2019</w:t>
            </w:r>
            <w:r w:rsidRPr="00927778">
              <w:rPr>
                <w:color w:val="333333"/>
                <w:lang w:val="fr-FR"/>
              </w:rPr>
              <w:t>.</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rsidR="005E6718" w:rsidRPr="006F0B33" w:rsidRDefault="005E6718" w:rsidP="00C3651B">
            <w:pPr>
              <w:rPr>
                <w:color w:val="333333"/>
                <w:sz w:val="14"/>
                <w:lang w:val="fr-FR"/>
              </w:rPr>
            </w:pPr>
          </w:p>
          <w:p w:rsidR="005E6718" w:rsidRPr="00927778" w:rsidRDefault="00684DC5" w:rsidP="00C3651B">
            <w:pPr>
              <w:rPr>
                <w:color w:val="333333"/>
                <w:lang w:val="fr-FR"/>
              </w:rPr>
            </w:pPr>
            <w:r w:rsidRPr="00927778">
              <w:rPr>
                <w:color w:val="333333"/>
                <w:lang w:val="fr-FR"/>
              </w:rPr>
              <w:t xml:space="preserve">s.o. </w:t>
            </w:r>
            <w:r w:rsidR="001B0EEB" w:rsidRPr="00927778">
              <w:rPr>
                <w:color w:val="333333"/>
                <w:lang w:val="fr-FR"/>
              </w:rPr>
              <w:t>(</w:t>
            </w:r>
            <w:r w:rsidRPr="00927778">
              <w:rPr>
                <w:color w:val="333333"/>
                <w:lang w:val="fr-FR"/>
              </w:rPr>
              <w:t xml:space="preserve">les activités de formation se fonderont sur les programmes de formation qui </w:t>
            </w:r>
            <w:r w:rsidR="00280E28" w:rsidRPr="00927778">
              <w:rPr>
                <w:color w:val="333333"/>
                <w:lang w:val="fr-FR"/>
              </w:rPr>
              <w:t>devraient</w:t>
            </w:r>
            <w:r w:rsidRPr="00927778">
              <w:rPr>
                <w:color w:val="333333"/>
                <w:lang w:val="fr-FR"/>
              </w:rPr>
              <w:t xml:space="preserve"> être </w:t>
            </w:r>
            <w:r w:rsidR="00B17D52" w:rsidRPr="00927778">
              <w:rPr>
                <w:color w:val="333333"/>
                <w:lang w:val="fr-FR"/>
              </w:rPr>
              <w:t>achevés</w:t>
            </w:r>
            <w:r w:rsidRPr="00927778">
              <w:rPr>
                <w:color w:val="333333"/>
                <w:lang w:val="fr-FR"/>
              </w:rPr>
              <w:t xml:space="preserve"> d</w:t>
            </w:r>
            <w:r w:rsidR="00EA2C86" w:rsidRPr="00927778">
              <w:rPr>
                <w:color w:val="333333"/>
                <w:lang w:val="fr-FR"/>
              </w:rPr>
              <w:t>’</w:t>
            </w:r>
            <w:r w:rsidRPr="00927778">
              <w:rPr>
                <w:color w:val="333333"/>
                <w:lang w:val="fr-FR"/>
              </w:rPr>
              <w:t xml:space="preserve">ici à la fin </w:t>
            </w:r>
            <w:r w:rsidR="00EA2C86" w:rsidRPr="00927778">
              <w:rPr>
                <w:color w:val="333333"/>
                <w:lang w:val="fr-FR"/>
              </w:rPr>
              <w:t>de 2018</w:t>
            </w:r>
            <w:r w:rsidR="001B0EEB" w:rsidRPr="00927778">
              <w:rPr>
                <w:color w:val="333333"/>
                <w:lang w:val="fr-FR"/>
              </w:rPr>
              <w:t>).</w:t>
            </w:r>
          </w:p>
          <w:p w:rsidR="001B0EEB" w:rsidRPr="00927778" w:rsidRDefault="001B0EEB" w:rsidP="00C3651B">
            <w:pPr>
              <w:rPr>
                <w:color w:val="333333"/>
                <w:lang w:val="fr-FR"/>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5E6718" w:rsidRPr="006F0B33" w:rsidRDefault="005E6718" w:rsidP="00C3651B">
            <w:pPr>
              <w:rPr>
                <w:color w:val="333333"/>
                <w:sz w:val="14"/>
                <w:lang w:val="fr-FR"/>
              </w:rPr>
            </w:pPr>
          </w:p>
          <w:p w:rsidR="001B0EEB" w:rsidRPr="00927778" w:rsidRDefault="00E7667B" w:rsidP="00E7667B">
            <w:pPr>
              <w:rPr>
                <w:color w:val="333333"/>
                <w:lang w:val="fr-FR"/>
              </w:rPr>
            </w:pPr>
            <w:r w:rsidRPr="00927778">
              <w:rPr>
                <w:color w:val="333333"/>
                <w:lang w:val="fr-FR"/>
              </w:rPr>
              <w:t>s.o.</w:t>
            </w:r>
          </w:p>
        </w:tc>
      </w:tr>
      <w:tr w:rsidR="00047C22" w:rsidRPr="00927778" w:rsidTr="003D547D">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5E6718" w:rsidRPr="006F0B33" w:rsidRDefault="005E6718" w:rsidP="00C3651B">
            <w:pPr>
              <w:rPr>
                <w:color w:val="333333"/>
                <w:sz w:val="14"/>
                <w:lang w:val="fr-FR"/>
              </w:rPr>
            </w:pPr>
          </w:p>
          <w:p w:rsidR="005E6718" w:rsidRPr="00927778" w:rsidRDefault="00E7667B" w:rsidP="00E7667B">
            <w:pPr>
              <w:rPr>
                <w:color w:val="333333"/>
                <w:lang w:val="fr-FR"/>
              </w:rPr>
            </w:pPr>
            <w:r w:rsidRPr="00927778">
              <w:rPr>
                <w:color w:val="333333"/>
                <w:lang w:val="fr-FR"/>
              </w:rPr>
              <w:t>5.</w:t>
            </w:r>
            <w:r w:rsidRPr="00927778">
              <w:rPr>
                <w:color w:val="333333"/>
                <w:lang w:val="fr-FR"/>
              </w:rPr>
              <w:tab/>
              <w:t>Évaluation et perfectionnement de la méthodologie et de la série d</w:t>
            </w:r>
            <w:r w:rsidR="00EA2C86" w:rsidRPr="00927778">
              <w:rPr>
                <w:color w:val="333333"/>
                <w:lang w:val="fr-FR"/>
              </w:rPr>
              <w:t>’</w:t>
            </w:r>
            <w:r w:rsidRPr="00927778">
              <w:rPr>
                <w:color w:val="333333"/>
                <w:lang w:val="fr-FR"/>
              </w:rPr>
              <w:t>outils</w:t>
            </w:r>
          </w:p>
          <w:p w:rsidR="001B0EEB" w:rsidRPr="00927778" w:rsidRDefault="001B0EEB" w:rsidP="00C3651B">
            <w:pPr>
              <w:rPr>
                <w:color w:val="333333"/>
                <w:lang w:val="fr-FR"/>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5E6718" w:rsidRPr="006F0B33" w:rsidRDefault="005E6718" w:rsidP="00C3651B">
            <w:pPr>
              <w:rPr>
                <w:color w:val="333333"/>
                <w:sz w:val="14"/>
                <w:lang w:val="fr-FR"/>
              </w:rPr>
            </w:pPr>
          </w:p>
          <w:p w:rsidR="001B0EEB" w:rsidRPr="00927778" w:rsidRDefault="00E7667B" w:rsidP="00E7667B">
            <w:pPr>
              <w:rPr>
                <w:color w:val="333333"/>
                <w:lang w:val="fr-FR"/>
              </w:rPr>
            </w:pPr>
            <w:r w:rsidRPr="00927778">
              <w:rPr>
                <w:color w:val="333333"/>
                <w:lang w:val="fr-FR"/>
              </w:rPr>
              <w:t>Livraison d</w:t>
            </w:r>
            <w:r w:rsidR="00EA2C86" w:rsidRPr="00927778">
              <w:rPr>
                <w:color w:val="333333"/>
                <w:lang w:val="fr-FR"/>
              </w:rPr>
              <w:t>’</w:t>
            </w:r>
            <w:r w:rsidRPr="00927778">
              <w:rPr>
                <w:color w:val="333333"/>
                <w:lang w:val="fr-FR"/>
              </w:rPr>
              <w:t>une méthodologie et d</w:t>
            </w:r>
            <w:r w:rsidR="00EA2C86" w:rsidRPr="00927778">
              <w:rPr>
                <w:color w:val="333333"/>
                <w:lang w:val="fr-FR"/>
              </w:rPr>
              <w:t>’</w:t>
            </w:r>
            <w:r w:rsidRPr="00927778">
              <w:rPr>
                <w:color w:val="333333"/>
                <w:lang w:val="fr-FR"/>
              </w:rPr>
              <w:t>une série d</w:t>
            </w:r>
            <w:r w:rsidR="00EA2C86" w:rsidRPr="00927778">
              <w:rPr>
                <w:color w:val="333333"/>
                <w:lang w:val="fr-FR"/>
              </w:rPr>
              <w:t>’</w:t>
            </w:r>
            <w:r w:rsidRPr="00927778">
              <w:rPr>
                <w:color w:val="333333"/>
                <w:lang w:val="fr-FR"/>
              </w:rPr>
              <w:t xml:space="preserve">outils perfectionnés pour la fin du premier trimestre </w:t>
            </w:r>
            <w:r w:rsidR="00EA2C86" w:rsidRPr="00927778">
              <w:rPr>
                <w:color w:val="333333"/>
                <w:lang w:val="fr-FR"/>
              </w:rPr>
              <w:t>de 2020</w:t>
            </w:r>
            <w:r w:rsidRPr="00927778">
              <w:rPr>
                <w:color w:val="333333"/>
                <w:lang w:val="fr-FR"/>
              </w:rPr>
              <w:t>.</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rsidR="005E6718" w:rsidRPr="006F0B33" w:rsidRDefault="005E6718" w:rsidP="00C3651B">
            <w:pPr>
              <w:rPr>
                <w:color w:val="333333"/>
                <w:sz w:val="14"/>
                <w:lang w:val="fr-FR"/>
              </w:rPr>
            </w:pPr>
          </w:p>
          <w:p w:rsidR="001B0EEB" w:rsidRPr="00927778" w:rsidRDefault="00E7667B" w:rsidP="00E7667B">
            <w:pPr>
              <w:rPr>
                <w:color w:val="333333"/>
                <w:lang w:val="fr-FR"/>
              </w:rPr>
            </w:pPr>
            <w:r w:rsidRPr="00927778">
              <w:rPr>
                <w:color w:val="333333"/>
                <w:lang w:val="fr-FR"/>
              </w:rPr>
              <w:t>n.d.</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5E6718" w:rsidRPr="006F0B33" w:rsidRDefault="005E6718" w:rsidP="00C3651B">
            <w:pPr>
              <w:rPr>
                <w:color w:val="333333"/>
                <w:sz w:val="14"/>
                <w:lang w:val="fr-FR"/>
              </w:rPr>
            </w:pPr>
          </w:p>
          <w:p w:rsidR="001B0EEB" w:rsidRPr="00927778" w:rsidRDefault="00E7667B" w:rsidP="00E7667B">
            <w:pPr>
              <w:rPr>
                <w:color w:val="333333"/>
                <w:lang w:val="fr-FR"/>
              </w:rPr>
            </w:pPr>
            <w:r w:rsidRPr="00927778">
              <w:rPr>
                <w:color w:val="333333"/>
                <w:lang w:val="fr-FR"/>
              </w:rPr>
              <w:t>s.o.</w:t>
            </w:r>
          </w:p>
        </w:tc>
      </w:tr>
    </w:tbl>
    <w:p w:rsidR="005E6718" w:rsidRPr="00927778" w:rsidRDefault="005E6718" w:rsidP="001B0EEB">
      <w:pPr>
        <w:rPr>
          <w:color w:val="333333"/>
          <w:lang w:val="fr-FR"/>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084"/>
        <w:gridCol w:w="1168"/>
      </w:tblGrid>
      <w:tr w:rsidR="00047C22" w:rsidRPr="00927778" w:rsidTr="006F0B33">
        <w:trPr>
          <w:trHeight w:val="616"/>
        </w:trPr>
        <w:tc>
          <w:tcPr>
            <w:tcW w:w="2410" w:type="dxa"/>
            <w:shd w:val="clear" w:color="auto" w:fill="auto"/>
          </w:tcPr>
          <w:p w:rsidR="001B0EEB" w:rsidRPr="00927778" w:rsidRDefault="00E7667B" w:rsidP="00E7667B">
            <w:pPr>
              <w:pStyle w:val="Heading3"/>
              <w:rPr>
                <w:color w:val="333333"/>
                <w:lang w:val="fr-FR"/>
              </w:rPr>
            </w:pPr>
            <w:r w:rsidRPr="00927778">
              <w:rPr>
                <w:color w:val="333333"/>
                <w:lang w:val="fr-FR"/>
              </w:rPr>
              <w:t>Objectifs du projet</w:t>
            </w:r>
          </w:p>
        </w:tc>
        <w:tc>
          <w:tcPr>
            <w:tcW w:w="2694" w:type="dxa"/>
            <w:shd w:val="clear" w:color="auto" w:fill="auto"/>
          </w:tcPr>
          <w:p w:rsidR="005E6718" w:rsidRPr="00927778" w:rsidRDefault="00E7667B" w:rsidP="00E7667B">
            <w:pPr>
              <w:autoSpaceDE w:val="0"/>
              <w:autoSpaceDN w:val="0"/>
              <w:adjustRightInd w:val="0"/>
              <w:rPr>
                <w:bCs/>
                <w:color w:val="333333"/>
                <w:szCs w:val="22"/>
                <w:u w:val="single"/>
                <w:lang w:val="fr-FR"/>
              </w:rPr>
            </w:pPr>
            <w:r w:rsidRPr="00927778">
              <w:rPr>
                <w:bCs/>
                <w:color w:val="333333"/>
                <w:szCs w:val="22"/>
                <w:u w:val="single"/>
                <w:lang w:val="fr-FR"/>
              </w:rPr>
              <w:t>Indicateur(s) de réussite dans la réalisation de l</w:t>
            </w:r>
            <w:r w:rsidR="00EA2C86" w:rsidRPr="00927778">
              <w:rPr>
                <w:bCs/>
                <w:color w:val="333333"/>
                <w:szCs w:val="22"/>
                <w:u w:val="single"/>
                <w:lang w:val="fr-FR"/>
              </w:rPr>
              <w:t>’</w:t>
            </w:r>
            <w:r w:rsidRPr="00927778">
              <w:rPr>
                <w:bCs/>
                <w:color w:val="333333"/>
                <w:szCs w:val="22"/>
                <w:u w:val="single"/>
                <w:lang w:val="fr-FR"/>
              </w:rPr>
              <w:t>objectif du projet</w:t>
            </w:r>
          </w:p>
          <w:p w:rsidR="005E6718" w:rsidRPr="00927778" w:rsidRDefault="00E7667B" w:rsidP="00E7667B">
            <w:pPr>
              <w:autoSpaceDE w:val="0"/>
              <w:autoSpaceDN w:val="0"/>
              <w:adjustRightInd w:val="0"/>
              <w:rPr>
                <w:bCs/>
                <w:color w:val="333333"/>
                <w:szCs w:val="22"/>
                <w:u w:val="single"/>
                <w:lang w:val="fr-FR"/>
              </w:rPr>
            </w:pPr>
            <w:r w:rsidRPr="00927778">
              <w:rPr>
                <w:bCs/>
                <w:color w:val="333333"/>
                <w:szCs w:val="22"/>
                <w:u w:val="single"/>
                <w:lang w:val="fr-FR"/>
              </w:rPr>
              <w:t>(indicateurs de réussite)</w:t>
            </w:r>
          </w:p>
          <w:p w:rsidR="001B0EEB" w:rsidRPr="00927778" w:rsidRDefault="001B0EEB" w:rsidP="00C3651B">
            <w:pPr>
              <w:rPr>
                <w:color w:val="333333"/>
                <w:lang w:val="fr-FR"/>
              </w:rPr>
            </w:pPr>
          </w:p>
        </w:tc>
        <w:tc>
          <w:tcPr>
            <w:tcW w:w="3084" w:type="dxa"/>
            <w:shd w:val="clear" w:color="auto" w:fill="auto"/>
          </w:tcPr>
          <w:p w:rsidR="001B0EEB" w:rsidRPr="00927778" w:rsidRDefault="00E7667B" w:rsidP="00E7667B">
            <w:pPr>
              <w:pStyle w:val="Heading3"/>
              <w:rPr>
                <w:color w:val="333333"/>
                <w:lang w:val="fr-FR"/>
              </w:rPr>
            </w:pPr>
            <w:r w:rsidRPr="00927778">
              <w:rPr>
                <w:color w:val="333333"/>
                <w:lang w:val="fr-FR"/>
              </w:rPr>
              <w:t>Données relatives à l</w:t>
            </w:r>
            <w:r w:rsidR="00EA2C86" w:rsidRPr="00927778">
              <w:rPr>
                <w:color w:val="333333"/>
                <w:lang w:val="fr-FR"/>
              </w:rPr>
              <w:t>’</w:t>
            </w:r>
            <w:r w:rsidRPr="00927778">
              <w:rPr>
                <w:color w:val="333333"/>
                <w:lang w:val="fr-FR"/>
              </w:rPr>
              <w:t>exécution</w:t>
            </w:r>
          </w:p>
        </w:tc>
        <w:tc>
          <w:tcPr>
            <w:tcW w:w="1168" w:type="dxa"/>
            <w:shd w:val="clear" w:color="auto" w:fill="auto"/>
            <w:tcMar>
              <w:left w:w="0" w:type="dxa"/>
              <w:right w:w="0" w:type="dxa"/>
            </w:tcMar>
          </w:tcPr>
          <w:p w:rsidR="001B0EEB" w:rsidRPr="006F0B33" w:rsidRDefault="00E7667B" w:rsidP="00E7667B">
            <w:pPr>
              <w:pStyle w:val="Heading3"/>
              <w:rPr>
                <w:color w:val="333333"/>
                <w:sz w:val="20"/>
                <w:lang w:val="fr-FR"/>
              </w:rPr>
            </w:pPr>
            <w:r w:rsidRPr="006F0B33">
              <w:rPr>
                <w:color w:val="333333"/>
                <w:sz w:val="20"/>
                <w:lang w:val="fr-FR"/>
              </w:rPr>
              <w:t>Code d</w:t>
            </w:r>
            <w:r w:rsidR="00EA2C86" w:rsidRPr="006F0B33">
              <w:rPr>
                <w:color w:val="333333"/>
                <w:sz w:val="20"/>
                <w:lang w:val="fr-FR"/>
              </w:rPr>
              <w:t>’</w:t>
            </w:r>
            <w:r w:rsidRPr="006F0B33">
              <w:rPr>
                <w:color w:val="333333"/>
                <w:sz w:val="20"/>
                <w:lang w:val="fr-FR"/>
              </w:rPr>
              <w:t>évaluation</w:t>
            </w:r>
          </w:p>
        </w:tc>
      </w:tr>
      <w:tr w:rsidR="00047C22" w:rsidRPr="00927778" w:rsidTr="006F0B33">
        <w:trPr>
          <w:trHeight w:val="509"/>
        </w:trPr>
        <w:tc>
          <w:tcPr>
            <w:tcW w:w="2410" w:type="dxa"/>
            <w:shd w:val="clear" w:color="auto" w:fill="auto"/>
          </w:tcPr>
          <w:p w:rsidR="005E6718" w:rsidRPr="006F0B33" w:rsidRDefault="005E6718" w:rsidP="00C3651B">
            <w:pPr>
              <w:rPr>
                <w:color w:val="333333"/>
                <w:sz w:val="14"/>
                <w:lang w:val="fr-FR"/>
              </w:rPr>
            </w:pPr>
          </w:p>
          <w:p w:rsidR="001B0EEB" w:rsidRPr="00927778" w:rsidRDefault="00E7667B" w:rsidP="00E7667B">
            <w:pPr>
              <w:rPr>
                <w:color w:val="333333"/>
                <w:lang w:val="fr-FR"/>
              </w:rPr>
            </w:pPr>
            <w:r w:rsidRPr="00927778">
              <w:rPr>
                <w:color w:val="333333"/>
                <w:lang w:val="fr-FR"/>
              </w:rPr>
              <w:t>1.</w:t>
            </w:r>
            <w:r w:rsidRPr="00927778">
              <w:rPr>
                <w:color w:val="333333"/>
                <w:lang w:val="fr-FR"/>
              </w:rPr>
              <w:tab/>
              <w:t>Créer un cadre pour cibler de manière plus efficace les activités de renforcement des capacités dans le domaine du transfert de technologie.</w:t>
            </w:r>
          </w:p>
        </w:tc>
        <w:tc>
          <w:tcPr>
            <w:tcW w:w="2694" w:type="dxa"/>
            <w:shd w:val="clear" w:color="auto" w:fill="auto"/>
          </w:tcPr>
          <w:p w:rsidR="005E6718" w:rsidRPr="006F0B33" w:rsidRDefault="005E6718" w:rsidP="00C3651B">
            <w:pPr>
              <w:rPr>
                <w:color w:val="333333"/>
                <w:sz w:val="14"/>
                <w:lang w:val="fr-FR"/>
              </w:rPr>
            </w:pPr>
          </w:p>
          <w:p w:rsidR="005E6718" w:rsidRPr="00927778" w:rsidRDefault="00E7667B" w:rsidP="00E7667B">
            <w:pPr>
              <w:rPr>
                <w:color w:val="333333"/>
                <w:lang w:val="fr-FR"/>
              </w:rPr>
            </w:pPr>
            <w:r w:rsidRPr="00927778">
              <w:rPr>
                <w:color w:val="333333"/>
                <w:lang w:val="fr-FR"/>
              </w:rPr>
              <w:t xml:space="preserve">Les participants au sondage indiquent que le renforcement des capacités correspond à leurs besoins et priorités </w:t>
            </w:r>
            <w:r w:rsidR="00551687" w:rsidRPr="00927778">
              <w:rPr>
                <w:color w:val="333333"/>
                <w:lang w:val="fr-FR"/>
              </w:rPr>
              <w:t>(objectif</w:t>
            </w:r>
            <w:r w:rsidR="00EA2C86" w:rsidRPr="00927778">
              <w:rPr>
                <w:color w:val="333333"/>
                <w:lang w:val="fr-FR"/>
              </w:rPr>
              <w:t> :</w:t>
            </w:r>
            <w:r w:rsidR="00CB5AE0" w:rsidRPr="00927778">
              <w:rPr>
                <w:color w:val="333333"/>
                <w:lang w:val="fr-FR"/>
              </w:rPr>
              <w:t> </w:t>
            </w:r>
            <w:r w:rsidR="00551687" w:rsidRPr="00927778">
              <w:rPr>
                <w:color w:val="333333"/>
                <w:lang w:val="fr-FR"/>
              </w:rPr>
              <w:t>60%)</w:t>
            </w:r>
          </w:p>
          <w:p w:rsidR="001B0EEB" w:rsidRPr="00927778" w:rsidRDefault="001B0EEB" w:rsidP="00C3651B">
            <w:pPr>
              <w:rPr>
                <w:color w:val="333333"/>
                <w:lang w:val="fr-FR"/>
              </w:rPr>
            </w:pPr>
          </w:p>
        </w:tc>
        <w:tc>
          <w:tcPr>
            <w:tcW w:w="3084" w:type="dxa"/>
            <w:shd w:val="clear" w:color="auto" w:fill="auto"/>
          </w:tcPr>
          <w:p w:rsidR="005E6718" w:rsidRPr="006F0B33" w:rsidRDefault="005E6718" w:rsidP="00C3651B">
            <w:pPr>
              <w:rPr>
                <w:color w:val="333333"/>
                <w:sz w:val="14"/>
                <w:lang w:val="fr-FR"/>
              </w:rPr>
            </w:pPr>
          </w:p>
          <w:p w:rsidR="001B0EEB" w:rsidRPr="00927778" w:rsidRDefault="00E7667B" w:rsidP="00E7667B">
            <w:pPr>
              <w:rPr>
                <w:color w:val="333333"/>
                <w:lang w:val="fr-FR"/>
              </w:rPr>
            </w:pPr>
            <w:r w:rsidRPr="00927778">
              <w:rPr>
                <w:color w:val="333333"/>
                <w:lang w:val="fr-FR"/>
              </w:rPr>
              <w:t>s.o.</w:t>
            </w:r>
          </w:p>
        </w:tc>
        <w:tc>
          <w:tcPr>
            <w:tcW w:w="1168" w:type="dxa"/>
            <w:shd w:val="clear" w:color="auto" w:fill="auto"/>
            <w:tcMar>
              <w:left w:w="0" w:type="dxa"/>
              <w:right w:w="0" w:type="dxa"/>
            </w:tcMar>
          </w:tcPr>
          <w:p w:rsidR="005E6718" w:rsidRPr="006F0B33" w:rsidRDefault="005E6718" w:rsidP="006F0B33">
            <w:pPr>
              <w:pStyle w:val="Heading3"/>
              <w:spacing w:before="0" w:after="0"/>
              <w:rPr>
                <w:color w:val="333333"/>
                <w:sz w:val="20"/>
                <w:lang w:val="fr-FR"/>
              </w:rPr>
            </w:pPr>
          </w:p>
          <w:p w:rsidR="001B0EEB" w:rsidRPr="006F0B33" w:rsidRDefault="00E7667B" w:rsidP="006F0B33">
            <w:pPr>
              <w:pStyle w:val="Heading3"/>
              <w:spacing w:before="0" w:after="0"/>
              <w:rPr>
                <w:color w:val="333333"/>
                <w:sz w:val="20"/>
                <w:lang w:val="fr-FR"/>
              </w:rPr>
            </w:pPr>
            <w:r w:rsidRPr="006F0B33">
              <w:rPr>
                <w:color w:val="333333"/>
                <w:sz w:val="20"/>
                <w:lang w:val="fr-FR"/>
              </w:rPr>
              <w:t>s.o.</w:t>
            </w:r>
          </w:p>
        </w:tc>
      </w:tr>
      <w:tr w:rsidR="001B0EEB" w:rsidRPr="00927778" w:rsidTr="006F0B33">
        <w:trPr>
          <w:trHeight w:val="509"/>
        </w:trPr>
        <w:tc>
          <w:tcPr>
            <w:tcW w:w="2410" w:type="dxa"/>
            <w:shd w:val="clear" w:color="auto" w:fill="auto"/>
          </w:tcPr>
          <w:p w:rsidR="005E6718" w:rsidRPr="006F0B33" w:rsidRDefault="005E6718" w:rsidP="00C3651B">
            <w:pPr>
              <w:rPr>
                <w:color w:val="333333"/>
                <w:sz w:val="14"/>
                <w:lang w:val="fr-FR"/>
              </w:rPr>
            </w:pPr>
          </w:p>
          <w:p w:rsidR="001B0EEB" w:rsidRPr="00927778" w:rsidRDefault="00E7667B" w:rsidP="00C3651B">
            <w:pPr>
              <w:rPr>
                <w:color w:val="333333"/>
                <w:lang w:val="fr-FR"/>
              </w:rPr>
            </w:pPr>
            <w:r w:rsidRPr="00927778">
              <w:rPr>
                <w:color w:val="333333"/>
                <w:lang w:val="fr-FR"/>
              </w:rPr>
              <w:t>2.</w:t>
            </w:r>
            <w:r w:rsidRPr="00927778">
              <w:rPr>
                <w:color w:val="333333"/>
                <w:lang w:val="fr-FR"/>
              </w:rPr>
              <w:tab/>
              <w:t>Renforcer les capacités en matière de gestion de la propriété intellectuelle et de transfert de technologie des principaux acteurs parmi les donateurs, concepteurs, gestionnaires et utilisateurs dans le domaine de la propriété intellectuelle.</w:t>
            </w:r>
          </w:p>
        </w:tc>
        <w:tc>
          <w:tcPr>
            <w:tcW w:w="2694" w:type="dxa"/>
            <w:shd w:val="clear" w:color="auto" w:fill="auto"/>
          </w:tcPr>
          <w:p w:rsidR="005E6718" w:rsidRPr="006F0B33" w:rsidRDefault="005E6718" w:rsidP="00C3651B">
            <w:pPr>
              <w:rPr>
                <w:color w:val="333333"/>
                <w:sz w:val="14"/>
                <w:lang w:val="fr-FR"/>
              </w:rPr>
            </w:pPr>
          </w:p>
          <w:p w:rsidR="001B0EEB" w:rsidRPr="00927778" w:rsidRDefault="00E7667B" w:rsidP="00551687">
            <w:pPr>
              <w:rPr>
                <w:color w:val="333333"/>
                <w:lang w:val="fr-FR"/>
              </w:rPr>
            </w:pPr>
            <w:r w:rsidRPr="00927778">
              <w:rPr>
                <w:color w:val="333333"/>
                <w:lang w:val="fr-FR"/>
              </w:rPr>
              <w:t>Les participants au sondage considèrent que leurs connaissances et compétences dans le domaine de la gestion de la propriété intellectuelle et du transfert de tech</w:t>
            </w:r>
            <w:r w:rsidR="00551687" w:rsidRPr="00927778">
              <w:rPr>
                <w:color w:val="333333"/>
                <w:lang w:val="fr-FR"/>
              </w:rPr>
              <w:t>nologie ont progressé (objectif</w:t>
            </w:r>
            <w:r w:rsidR="00EA2C86" w:rsidRPr="00927778">
              <w:rPr>
                <w:color w:val="333333"/>
                <w:lang w:val="fr-FR"/>
              </w:rPr>
              <w:t> :</w:t>
            </w:r>
            <w:r w:rsidR="00CB5AE0" w:rsidRPr="00927778">
              <w:rPr>
                <w:color w:val="333333"/>
                <w:lang w:val="fr-FR"/>
              </w:rPr>
              <w:t> </w:t>
            </w:r>
            <w:r w:rsidRPr="00927778">
              <w:rPr>
                <w:color w:val="333333"/>
                <w:lang w:val="fr-FR"/>
              </w:rPr>
              <w:t>60%)</w:t>
            </w:r>
          </w:p>
        </w:tc>
        <w:tc>
          <w:tcPr>
            <w:tcW w:w="3084" w:type="dxa"/>
            <w:shd w:val="clear" w:color="auto" w:fill="auto"/>
          </w:tcPr>
          <w:p w:rsidR="005E6718" w:rsidRPr="006F0B33" w:rsidRDefault="005E6718" w:rsidP="00C3651B">
            <w:pPr>
              <w:rPr>
                <w:color w:val="333333"/>
                <w:sz w:val="14"/>
                <w:lang w:val="fr-FR"/>
              </w:rPr>
            </w:pPr>
          </w:p>
          <w:p w:rsidR="001B0EEB" w:rsidRPr="00927778" w:rsidRDefault="00E7667B" w:rsidP="00E7667B">
            <w:pPr>
              <w:rPr>
                <w:color w:val="333333"/>
                <w:lang w:val="fr-FR"/>
              </w:rPr>
            </w:pPr>
            <w:r w:rsidRPr="00927778">
              <w:rPr>
                <w:color w:val="333333"/>
                <w:lang w:val="fr-FR"/>
              </w:rPr>
              <w:t>s.o.</w:t>
            </w:r>
          </w:p>
        </w:tc>
        <w:tc>
          <w:tcPr>
            <w:tcW w:w="1168" w:type="dxa"/>
            <w:shd w:val="clear" w:color="auto" w:fill="auto"/>
            <w:tcMar>
              <w:left w:w="0" w:type="dxa"/>
              <w:right w:w="0" w:type="dxa"/>
            </w:tcMar>
          </w:tcPr>
          <w:p w:rsidR="005E6718" w:rsidRPr="006F0B33" w:rsidRDefault="005E6718" w:rsidP="006F0B33">
            <w:pPr>
              <w:pStyle w:val="Heading3"/>
              <w:spacing w:before="0" w:after="0"/>
              <w:rPr>
                <w:color w:val="333333"/>
                <w:sz w:val="20"/>
                <w:lang w:val="fr-FR"/>
              </w:rPr>
            </w:pPr>
          </w:p>
          <w:p w:rsidR="001B0EEB" w:rsidRPr="006F0B33" w:rsidRDefault="00E7667B" w:rsidP="006F0B33">
            <w:pPr>
              <w:pStyle w:val="Heading3"/>
              <w:spacing w:before="0"/>
              <w:rPr>
                <w:color w:val="333333"/>
                <w:sz w:val="20"/>
                <w:lang w:val="fr-FR"/>
              </w:rPr>
            </w:pPr>
            <w:r w:rsidRPr="006F0B33">
              <w:rPr>
                <w:color w:val="333333"/>
                <w:sz w:val="20"/>
                <w:lang w:val="fr-FR"/>
              </w:rPr>
              <w:t>s.o.</w:t>
            </w:r>
          </w:p>
        </w:tc>
      </w:tr>
    </w:tbl>
    <w:p w:rsidR="005E6718" w:rsidRPr="006F0B33" w:rsidRDefault="00E7667B" w:rsidP="006F0B33">
      <w:pPr>
        <w:spacing w:before="240"/>
        <w:ind w:left="5534"/>
        <w:rPr>
          <w:rFonts w:eastAsia="SimSun"/>
          <w:color w:val="333333"/>
          <w:lang w:val="fr-FR" w:eastAsia="zh-CN"/>
        </w:rPr>
      </w:pPr>
      <w:r w:rsidRPr="00927778">
        <w:rPr>
          <w:rFonts w:eastAsia="SimSun"/>
          <w:color w:val="333333"/>
          <w:lang w:val="fr-FR" w:eastAsia="zh-CN"/>
        </w:rPr>
        <w:t>[L</w:t>
      </w:r>
      <w:r w:rsidR="00EA2C86" w:rsidRPr="00927778">
        <w:rPr>
          <w:rFonts w:eastAsia="SimSun"/>
          <w:color w:val="333333"/>
          <w:lang w:val="fr-FR" w:eastAsia="zh-CN"/>
        </w:rPr>
        <w:t>’annexe I</w:t>
      </w:r>
      <w:r w:rsidR="006F0B33">
        <w:rPr>
          <w:rFonts w:eastAsia="SimSun"/>
          <w:color w:val="333333"/>
          <w:lang w:val="fr-FR" w:eastAsia="zh-CN"/>
        </w:rPr>
        <w:t>I suit</w:t>
      </w:r>
      <w:r w:rsidR="00BE7129">
        <w:rPr>
          <w:rFonts w:eastAsia="SimSun"/>
          <w:color w:val="333333"/>
          <w:lang w:val="fr-FR" w:eastAsia="zh-CN"/>
        </w:rPr>
        <w:t>]</w:t>
      </w:r>
    </w:p>
    <w:p w:rsidR="00A42400" w:rsidRPr="00927778" w:rsidRDefault="00A42400" w:rsidP="00C3651B">
      <w:pPr>
        <w:pStyle w:val="Heading2"/>
        <w:rPr>
          <w:b/>
          <w:color w:val="333333"/>
          <w:highlight w:val="yellow"/>
          <w:lang w:val="fr-FR"/>
        </w:rPr>
        <w:sectPr w:rsidR="00A42400" w:rsidRPr="00927778" w:rsidSect="00047C22">
          <w:headerReference w:type="default" r:id="rId12"/>
          <w:headerReference w:type="first" r:id="rId13"/>
          <w:pgSz w:w="11906" w:h="16840" w:code="9"/>
          <w:pgMar w:top="567" w:right="1134" w:bottom="1417" w:left="1417" w:header="510" w:footer="1020"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047C22" w:rsidRPr="00927778" w:rsidTr="00C3651B">
        <w:trPr>
          <w:trHeight w:val="432"/>
        </w:trPr>
        <w:tc>
          <w:tcPr>
            <w:tcW w:w="9288" w:type="dxa"/>
            <w:gridSpan w:val="2"/>
            <w:shd w:val="clear" w:color="auto" w:fill="auto"/>
            <w:vAlign w:val="center"/>
          </w:tcPr>
          <w:p w:rsidR="001320FC" w:rsidRPr="00927778" w:rsidRDefault="00E7667B" w:rsidP="00E7667B">
            <w:pPr>
              <w:pStyle w:val="Heading2"/>
              <w:rPr>
                <w:color w:val="333333"/>
                <w:lang w:val="fr-FR"/>
              </w:rPr>
            </w:pPr>
            <w:r w:rsidRPr="00927778">
              <w:rPr>
                <w:rFonts w:eastAsia="Times New Roman"/>
                <w:bCs w:val="0"/>
                <w:caps w:val="0"/>
                <w:color w:val="333333"/>
                <w:szCs w:val="22"/>
                <w:lang w:val="fr-FR"/>
              </w:rPr>
              <w:t>RÉSUMÉ DU PROJET</w:t>
            </w:r>
          </w:p>
        </w:tc>
      </w:tr>
      <w:tr w:rsidR="00047C22" w:rsidRPr="00927778" w:rsidTr="00C3651B">
        <w:trPr>
          <w:trHeight w:val="496"/>
        </w:trPr>
        <w:tc>
          <w:tcPr>
            <w:tcW w:w="2376" w:type="dxa"/>
            <w:shd w:val="clear" w:color="auto" w:fill="auto"/>
          </w:tcPr>
          <w:p w:rsidR="001320FC" w:rsidRPr="00927778" w:rsidRDefault="00E7667B" w:rsidP="00E7667B">
            <w:pPr>
              <w:pStyle w:val="Heading3"/>
              <w:rPr>
                <w:color w:val="333333"/>
                <w:lang w:val="fr-FR"/>
              </w:rPr>
            </w:pPr>
            <w:r w:rsidRPr="00927778">
              <w:rPr>
                <w:color w:val="333333"/>
                <w:lang w:val="fr-FR"/>
              </w:rPr>
              <w:t>Cote du projet</w:t>
            </w:r>
          </w:p>
        </w:tc>
        <w:tc>
          <w:tcPr>
            <w:tcW w:w="6912" w:type="dxa"/>
            <w:shd w:val="clear" w:color="auto" w:fill="auto"/>
            <w:vAlign w:val="center"/>
          </w:tcPr>
          <w:p w:rsidR="001320FC" w:rsidRPr="00927778" w:rsidRDefault="00E7667B" w:rsidP="00E7667B">
            <w:pPr>
              <w:rPr>
                <w:i/>
                <w:color w:val="333333"/>
                <w:lang w:val="fr-FR"/>
              </w:rPr>
            </w:pPr>
            <w:r w:rsidRPr="00927778">
              <w:rPr>
                <w:i/>
                <w:color w:val="333333"/>
                <w:lang w:val="fr-FR"/>
              </w:rPr>
              <w:t>DA_16_20_03</w:t>
            </w:r>
          </w:p>
        </w:tc>
      </w:tr>
      <w:tr w:rsidR="00047C22" w:rsidRPr="00927778" w:rsidTr="00C3651B">
        <w:trPr>
          <w:trHeight w:val="404"/>
        </w:trPr>
        <w:tc>
          <w:tcPr>
            <w:tcW w:w="2376" w:type="dxa"/>
            <w:shd w:val="clear" w:color="auto" w:fill="auto"/>
          </w:tcPr>
          <w:p w:rsidR="005E6718" w:rsidRPr="00927778" w:rsidRDefault="00E7667B" w:rsidP="00E7667B">
            <w:pPr>
              <w:pStyle w:val="Heading3"/>
              <w:rPr>
                <w:color w:val="333333"/>
                <w:lang w:val="fr-FR"/>
              </w:rPr>
            </w:pPr>
            <w:r w:rsidRPr="00927778">
              <w:rPr>
                <w:color w:val="333333"/>
                <w:lang w:val="fr-FR"/>
              </w:rPr>
              <w:t>Titre</w:t>
            </w:r>
          </w:p>
          <w:p w:rsidR="001320FC" w:rsidRPr="00927778" w:rsidRDefault="001320FC" w:rsidP="00C3651B">
            <w:pPr>
              <w:rPr>
                <w:color w:val="333333"/>
                <w:lang w:val="fr-FR"/>
              </w:rPr>
            </w:pPr>
          </w:p>
        </w:tc>
        <w:tc>
          <w:tcPr>
            <w:tcW w:w="6912" w:type="dxa"/>
            <w:shd w:val="clear" w:color="auto" w:fill="auto"/>
            <w:vAlign w:val="center"/>
          </w:tcPr>
          <w:p w:rsidR="001320FC" w:rsidRPr="00927778" w:rsidRDefault="00E7667B" w:rsidP="00E7667B">
            <w:pPr>
              <w:rPr>
                <w:i/>
                <w:color w:val="333333"/>
                <w:lang w:val="fr-FR"/>
              </w:rPr>
            </w:pPr>
            <w:r w:rsidRPr="00927778">
              <w:rPr>
                <w:i/>
                <w:color w:val="333333"/>
                <w:lang w:val="fr-FR"/>
              </w:rPr>
              <w:t>Utilisation de l</w:t>
            </w:r>
            <w:r w:rsidR="00EA2C86" w:rsidRPr="00927778">
              <w:rPr>
                <w:i/>
                <w:color w:val="333333"/>
                <w:lang w:val="fr-FR"/>
              </w:rPr>
              <w:t>’</w:t>
            </w:r>
            <w:r w:rsidRPr="00927778">
              <w:rPr>
                <w:i/>
                <w:color w:val="333333"/>
                <w:lang w:val="fr-FR"/>
              </w:rPr>
              <w:t>information figurant dans le domaine public aux fins du développement économique</w:t>
            </w:r>
          </w:p>
        </w:tc>
      </w:tr>
      <w:tr w:rsidR="00047C22" w:rsidRPr="00927778" w:rsidTr="00C3651B">
        <w:tc>
          <w:tcPr>
            <w:tcW w:w="2376" w:type="dxa"/>
            <w:shd w:val="clear" w:color="auto" w:fill="auto"/>
          </w:tcPr>
          <w:p w:rsidR="005E6718" w:rsidRPr="00927778" w:rsidRDefault="00E7667B" w:rsidP="00E7667B">
            <w:pPr>
              <w:pStyle w:val="Heading3"/>
              <w:rPr>
                <w:color w:val="333333"/>
                <w:lang w:val="fr-FR"/>
              </w:rPr>
            </w:pPr>
            <w:r w:rsidRPr="00927778">
              <w:rPr>
                <w:color w:val="333333"/>
                <w:lang w:val="fr-FR"/>
              </w:rPr>
              <w:t>Recommandation du Plan d</w:t>
            </w:r>
            <w:r w:rsidR="00EA2C86" w:rsidRPr="00927778">
              <w:rPr>
                <w:color w:val="333333"/>
                <w:lang w:val="fr-FR"/>
              </w:rPr>
              <w:t>’</w:t>
            </w:r>
            <w:r w:rsidRPr="00927778">
              <w:rPr>
                <w:color w:val="333333"/>
                <w:lang w:val="fr-FR"/>
              </w:rPr>
              <w:t>action pour le développement</w:t>
            </w:r>
          </w:p>
          <w:p w:rsidR="001320FC" w:rsidRPr="00927778" w:rsidRDefault="001320FC" w:rsidP="00C3651B">
            <w:pPr>
              <w:rPr>
                <w:color w:val="333333"/>
                <w:lang w:val="fr-FR"/>
              </w:rPr>
            </w:pPr>
          </w:p>
        </w:tc>
        <w:tc>
          <w:tcPr>
            <w:tcW w:w="6912" w:type="dxa"/>
            <w:shd w:val="clear" w:color="auto" w:fill="auto"/>
          </w:tcPr>
          <w:p w:rsidR="005E6718" w:rsidRPr="00927778" w:rsidRDefault="005E6718" w:rsidP="00C3651B">
            <w:pPr>
              <w:rPr>
                <w:i/>
                <w:color w:val="333333"/>
                <w:lang w:val="fr-FR"/>
              </w:rPr>
            </w:pPr>
          </w:p>
          <w:p w:rsidR="005E6718" w:rsidRPr="00927778" w:rsidRDefault="00E7667B" w:rsidP="00E7667B">
            <w:pPr>
              <w:rPr>
                <w:color w:val="333333"/>
                <w:lang w:val="fr-FR"/>
              </w:rPr>
            </w:pPr>
            <w:r w:rsidRPr="00927778">
              <w:rPr>
                <w:i/>
                <w:color w:val="333333"/>
                <w:lang w:val="fr-FR"/>
              </w:rPr>
              <w:t>Recommandation n°</w:t>
            </w:r>
            <w:r w:rsidR="0057466D" w:rsidRPr="00927778">
              <w:rPr>
                <w:i/>
                <w:color w:val="333333"/>
                <w:lang w:val="fr-FR"/>
              </w:rPr>
              <w:t> </w:t>
            </w:r>
            <w:r w:rsidRPr="00927778">
              <w:rPr>
                <w:i/>
                <w:color w:val="333333"/>
                <w:lang w:val="fr-FR"/>
              </w:rPr>
              <w:t>16</w:t>
            </w:r>
            <w:r w:rsidR="00EA2C86" w:rsidRPr="00927778">
              <w:rPr>
                <w:i/>
                <w:color w:val="333333"/>
                <w:lang w:val="fr-FR"/>
              </w:rPr>
              <w:t> :</w:t>
            </w:r>
            <w:r w:rsidRPr="00927778">
              <w:rPr>
                <w:color w:val="333333"/>
                <w:lang w:val="fr-FR"/>
              </w:rPr>
              <w:t xml:space="preserve"> Prendre en considération la préservation du domaine public dans l</w:t>
            </w:r>
            <w:r w:rsidR="00EA2C86" w:rsidRPr="00927778">
              <w:rPr>
                <w:color w:val="333333"/>
                <w:lang w:val="fr-FR"/>
              </w:rPr>
              <w:t>’</w:t>
            </w:r>
            <w:r w:rsidRPr="00927778">
              <w:rPr>
                <w:color w:val="333333"/>
                <w:lang w:val="fr-FR"/>
              </w:rPr>
              <w:t>élaboration des normes à l</w:t>
            </w:r>
            <w:r w:rsidR="00EA2C86" w:rsidRPr="00927778">
              <w:rPr>
                <w:color w:val="333333"/>
                <w:lang w:val="fr-FR"/>
              </w:rPr>
              <w:t>’</w:t>
            </w:r>
            <w:r w:rsidRPr="00927778">
              <w:rPr>
                <w:color w:val="333333"/>
                <w:lang w:val="fr-FR"/>
              </w:rPr>
              <w:t>OMPI et approfondir l</w:t>
            </w:r>
            <w:r w:rsidR="00EA2C86" w:rsidRPr="00927778">
              <w:rPr>
                <w:color w:val="333333"/>
                <w:lang w:val="fr-FR"/>
              </w:rPr>
              <w:t>’</w:t>
            </w:r>
            <w:r w:rsidRPr="00927778">
              <w:rPr>
                <w:color w:val="333333"/>
                <w:lang w:val="fr-FR"/>
              </w:rPr>
              <w:t>analyse des conséquences et des avantages d</w:t>
            </w:r>
            <w:r w:rsidR="00EA2C86" w:rsidRPr="00927778">
              <w:rPr>
                <w:color w:val="333333"/>
                <w:lang w:val="fr-FR"/>
              </w:rPr>
              <w:t>’</w:t>
            </w:r>
            <w:r w:rsidRPr="00927778">
              <w:rPr>
                <w:color w:val="333333"/>
                <w:lang w:val="fr-FR"/>
              </w:rPr>
              <w:t>un domaine public riche et accessible</w:t>
            </w:r>
            <w:r w:rsidRPr="00927778">
              <w:rPr>
                <w:i/>
                <w:color w:val="333333"/>
                <w:lang w:val="fr-FR"/>
              </w:rPr>
              <w:t>.</w:t>
            </w:r>
          </w:p>
          <w:p w:rsidR="005E6718" w:rsidRPr="00927778" w:rsidRDefault="005E6718" w:rsidP="00C3651B">
            <w:pPr>
              <w:rPr>
                <w:color w:val="333333"/>
                <w:lang w:val="fr-FR"/>
              </w:rPr>
            </w:pPr>
          </w:p>
          <w:p w:rsidR="005E6718" w:rsidRPr="00927778" w:rsidRDefault="00E7667B" w:rsidP="00E7667B">
            <w:pPr>
              <w:rPr>
                <w:color w:val="333333"/>
                <w:lang w:val="fr-FR"/>
              </w:rPr>
            </w:pPr>
            <w:r w:rsidRPr="00927778">
              <w:rPr>
                <w:i/>
                <w:color w:val="333333"/>
                <w:lang w:val="fr-FR"/>
              </w:rPr>
              <w:t>Recommandation n°</w:t>
            </w:r>
            <w:r w:rsidR="0057466D" w:rsidRPr="00927778">
              <w:rPr>
                <w:i/>
                <w:color w:val="333333"/>
                <w:lang w:val="fr-FR"/>
              </w:rPr>
              <w:t> </w:t>
            </w:r>
            <w:r w:rsidRPr="00927778">
              <w:rPr>
                <w:i/>
                <w:color w:val="333333"/>
                <w:lang w:val="fr-FR"/>
              </w:rPr>
              <w:t>20</w:t>
            </w:r>
            <w:r w:rsidR="00EA2C86" w:rsidRPr="00927778">
              <w:rPr>
                <w:i/>
                <w:color w:val="333333"/>
                <w:lang w:val="fr-FR"/>
              </w:rPr>
              <w:t> :</w:t>
            </w:r>
            <w:r w:rsidRPr="00927778">
              <w:rPr>
                <w:color w:val="333333"/>
                <w:lang w:val="fr-FR"/>
              </w:rPr>
              <w:t xml:space="preserve"> Promouvoir les activités d</w:t>
            </w:r>
            <w:r w:rsidR="00EA2C86" w:rsidRPr="00927778">
              <w:rPr>
                <w:color w:val="333333"/>
                <w:lang w:val="fr-FR"/>
              </w:rPr>
              <w:t>’</w:t>
            </w:r>
            <w:r w:rsidRPr="00927778">
              <w:rPr>
                <w:color w:val="333333"/>
                <w:lang w:val="fr-FR"/>
              </w:rPr>
              <w:t>établissement de normes relatives à la propriété intellectuelle favorisant la consolidation du domaine public dans les États membres de l</w:t>
            </w:r>
            <w:r w:rsidR="00EA2C86" w:rsidRPr="00927778">
              <w:rPr>
                <w:color w:val="333333"/>
                <w:lang w:val="fr-FR"/>
              </w:rPr>
              <w:t>’</w:t>
            </w:r>
            <w:r w:rsidRPr="00927778">
              <w:rPr>
                <w:color w:val="333333"/>
                <w:lang w:val="fr-FR"/>
              </w:rPr>
              <w:t xml:space="preserve">OMPI, </w:t>
            </w:r>
            <w:r w:rsidR="00EA2C86" w:rsidRPr="00927778">
              <w:rPr>
                <w:color w:val="333333"/>
                <w:lang w:val="fr-FR"/>
              </w:rPr>
              <w:t>y compris</w:t>
            </w:r>
            <w:r w:rsidRPr="00927778">
              <w:rPr>
                <w:color w:val="333333"/>
                <w:lang w:val="fr-FR"/>
              </w:rPr>
              <w:t xml:space="preserve"> l</w:t>
            </w:r>
            <w:r w:rsidR="00EA2C86" w:rsidRPr="00927778">
              <w:rPr>
                <w:color w:val="333333"/>
                <w:lang w:val="fr-FR"/>
              </w:rPr>
              <w:t>’</w:t>
            </w:r>
            <w:r w:rsidRPr="00927778">
              <w:rPr>
                <w:color w:val="333333"/>
                <w:lang w:val="fr-FR"/>
              </w:rPr>
              <w:t>élaboration éventuelle de principes directeurs susceptibles d</w:t>
            </w:r>
            <w:r w:rsidR="00EA2C86" w:rsidRPr="00927778">
              <w:rPr>
                <w:color w:val="333333"/>
                <w:lang w:val="fr-FR"/>
              </w:rPr>
              <w:t>’</w:t>
            </w:r>
            <w:r w:rsidRPr="00927778">
              <w:rPr>
                <w:color w:val="333333"/>
                <w:lang w:val="fr-FR"/>
              </w:rPr>
              <w:t>aider les États membres intéressés à recenser les objets tombés dans le domaine public sur leurs territoires respectifs.</w:t>
            </w:r>
          </w:p>
          <w:p w:rsidR="001320FC" w:rsidRPr="00927778" w:rsidRDefault="001320FC" w:rsidP="00C3651B">
            <w:pPr>
              <w:rPr>
                <w:i/>
                <w:color w:val="333333"/>
                <w:lang w:val="fr-FR"/>
              </w:rPr>
            </w:pPr>
          </w:p>
        </w:tc>
      </w:tr>
      <w:tr w:rsidR="00047C22" w:rsidRPr="00927778" w:rsidTr="00C3651B">
        <w:tc>
          <w:tcPr>
            <w:tcW w:w="2376" w:type="dxa"/>
            <w:shd w:val="clear" w:color="auto" w:fill="auto"/>
          </w:tcPr>
          <w:p w:rsidR="005E6718" w:rsidRPr="00927778" w:rsidRDefault="00E7667B" w:rsidP="00E7667B">
            <w:pPr>
              <w:pStyle w:val="Heading3"/>
              <w:rPr>
                <w:color w:val="333333"/>
                <w:lang w:val="fr-FR"/>
              </w:rPr>
            </w:pPr>
            <w:r w:rsidRPr="00927778">
              <w:rPr>
                <w:color w:val="333333"/>
                <w:lang w:val="fr-FR"/>
              </w:rPr>
              <w:t>Budget du projet</w:t>
            </w:r>
          </w:p>
          <w:p w:rsidR="001320FC" w:rsidRPr="00927778" w:rsidRDefault="001320FC" w:rsidP="00C3651B">
            <w:pPr>
              <w:rPr>
                <w:color w:val="333333"/>
                <w:lang w:val="fr-FR"/>
              </w:rPr>
            </w:pPr>
          </w:p>
        </w:tc>
        <w:tc>
          <w:tcPr>
            <w:tcW w:w="6912" w:type="dxa"/>
            <w:shd w:val="clear" w:color="auto" w:fill="auto"/>
          </w:tcPr>
          <w:p w:rsidR="005E6718" w:rsidRPr="00927778" w:rsidRDefault="005E6718" w:rsidP="00C3651B">
            <w:pPr>
              <w:rPr>
                <w:color w:val="333333"/>
                <w:lang w:val="fr-FR"/>
              </w:rPr>
            </w:pPr>
          </w:p>
          <w:p w:rsidR="005E6718" w:rsidRPr="00927778" w:rsidRDefault="00E7667B" w:rsidP="00E7667B">
            <w:pPr>
              <w:rPr>
                <w:color w:val="333333"/>
                <w:lang w:val="fr-FR"/>
              </w:rPr>
            </w:pPr>
            <w:r w:rsidRPr="00927778">
              <w:rPr>
                <w:color w:val="333333"/>
                <w:lang w:val="fr-FR"/>
              </w:rPr>
              <w:t>Dépenses autres que les dépenses de personnel</w:t>
            </w:r>
            <w:r w:rsidR="00EA2C86" w:rsidRPr="00927778">
              <w:rPr>
                <w:color w:val="333333"/>
                <w:lang w:val="fr-FR"/>
              </w:rPr>
              <w:t> :</w:t>
            </w:r>
            <w:r w:rsidRPr="00927778">
              <w:rPr>
                <w:color w:val="333333"/>
                <w:lang w:val="fr-FR"/>
              </w:rPr>
              <w:t xml:space="preserve"> 300 000 francs suisses (2016</w:t>
            </w:r>
            <w:r w:rsidR="00CB5AE0" w:rsidRPr="00927778">
              <w:rPr>
                <w:color w:val="333333"/>
                <w:lang w:val="fr-FR"/>
              </w:rPr>
              <w:noBreakHyphen/>
            </w:r>
            <w:r w:rsidRPr="00927778">
              <w:rPr>
                <w:color w:val="333333"/>
                <w:lang w:val="fr-FR"/>
              </w:rPr>
              <w:t>2017);</w:t>
            </w:r>
            <w:r w:rsidR="00063DA0" w:rsidRPr="00927778">
              <w:rPr>
                <w:color w:val="333333"/>
                <w:lang w:val="fr-FR"/>
              </w:rPr>
              <w:t xml:space="preserve"> </w:t>
            </w:r>
            <w:r w:rsidR="0057466D" w:rsidRPr="00927778">
              <w:rPr>
                <w:color w:val="333333"/>
                <w:lang w:val="fr-FR"/>
              </w:rPr>
              <w:t xml:space="preserve"> </w:t>
            </w:r>
            <w:r w:rsidRPr="00927778">
              <w:rPr>
                <w:color w:val="333333"/>
                <w:lang w:val="fr-FR"/>
              </w:rPr>
              <w:t>250 000 francs suisses (2018)</w:t>
            </w:r>
          </w:p>
          <w:p w:rsidR="005E6718" w:rsidRPr="00927778" w:rsidRDefault="005E6718" w:rsidP="00C3651B">
            <w:pPr>
              <w:rPr>
                <w:color w:val="333333"/>
                <w:lang w:val="fr-FR"/>
              </w:rPr>
            </w:pPr>
          </w:p>
          <w:p w:rsidR="005E6718" w:rsidRPr="00927778" w:rsidRDefault="00E7667B" w:rsidP="00E7667B">
            <w:pPr>
              <w:rPr>
                <w:color w:val="333333"/>
                <w:lang w:val="fr-FR"/>
              </w:rPr>
            </w:pPr>
            <w:r w:rsidRPr="00927778">
              <w:rPr>
                <w:color w:val="333333"/>
                <w:lang w:val="fr-FR"/>
              </w:rPr>
              <w:t>Dépenses de personnel</w:t>
            </w:r>
            <w:r w:rsidR="00EA2C86" w:rsidRPr="00927778">
              <w:rPr>
                <w:color w:val="333333"/>
                <w:lang w:val="fr-FR"/>
              </w:rPr>
              <w:t> :</w:t>
            </w:r>
            <w:r w:rsidRPr="00927778">
              <w:rPr>
                <w:color w:val="333333"/>
                <w:lang w:val="fr-FR"/>
              </w:rPr>
              <w:t xml:space="preserve"> 150 000 francs suisses (2016</w:t>
            </w:r>
            <w:r w:rsidR="00CB5AE0" w:rsidRPr="00927778">
              <w:rPr>
                <w:color w:val="333333"/>
                <w:lang w:val="fr-FR"/>
              </w:rPr>
              <w:noBreakHyphen/>
            </w:r>
            <w:r w:rsidRPr="00927778">
              <w:rPr>
                <w:color w:val="333333"/>
                <w:lang w:val="fr-FR"/>
              </w:rPr>
              <w:t>2017);</w:t>
            </w:r>
            <w:r w:rsidR="00063DA0" w:rsidRPr="00927778">
              <w:rPr>
                <w:color w:val="333333"/>
                <w:lang w:val="fr-FR"/>
              </w:rPr>
              <w:t xml:space="preserve"> </w:t>
            </w:r>
            <w:r w:rsidR="0057466D" w:rsidRPr="00927778">
              <w:rPr>
                <w:color w:val="333333"/>
                <w:lang w:val="fr-FR"/>
              </w:rPr>
              <w:t xml:space="preserve"> </w:t>
            </w:r>
            <w:r w:rsidRPr="00927778">
              <w:rPr>
                <w:color w:val="333333"/>
                <w:lang w:val="fr-FR"/>
              </w:rPr>
              <w:t>100 000 francs suisses (2018)</w:t>
            </w:r>
          </w:p>
          <w:p w:rsidR="001320FC" w:rsidRPr="00927778" w:rsidRDefault="001320FC" w:rsidP="00C3651B">
            <w:pPr>
              <w:rPr>
                <w:color w:val="333333"/>
                <w:lang w:val="fr-FR"/>
              </w:rPr>
            </w:pPr>
          </w:p>
        </w:tc>
      </w:tr>
      <w:tr w:rsidR="00047C22" w:rsidRPr="00927778" w:rsidTr="00C3651B">
        <w:tc>
          <w:tcPr>
            <w:tcW w:w="2376" w:type="dxa"/>
            <w:shd w:val="clear" w:color="auto" w:fill="auto"/>
          </w:tcPr>
          <w:p w:rsidR="005E6718" w:rsidRPr="00927778" w:rsidRDefault="00E7667B" w:rsidP="00E7667B">
            <w:pPr>
              <w:pStyle w:val="Heading3"/>
              <w:rPr>
                <w:color w:val="333333"/>
                <w:lang w:val="fr-FR"/>
              </w:rPr>
            </w:pPr>
            <w:r w:rsidRPr="00927778">
              <w:rPr>
                <w:color w:val="333333"/>
                <w:lang w:val="fr-FR"/>
              </w:rPr>
              <w:t>Début du projet</w:t>
            </w:r>
          </w:p>
          <w:p w:rsidR="001320FC" w:rsidRPr="00927778" w:rsidRDefault="001320FC" w:rsidP="00C3651B">
            <w:pPr>
              <w:rPr>
                <w:color w:val="333333"/>
                <w:lang w:val="fr-FR"/>
              </w:rPr>
            </w:pPr>
          </w:p>
        </w:tc>
        <w:tc>
          <w:tcPr>
            <w:tcW w:w="6912" w:type="dxa"/>
            <w:shd w:val="clear" w:color="auto" w:fill="auto"/>
          </w:tcPr>
          <w:p w:rsidR="005E6718" w:rsidRPr="00927778" w:rsidRDefault="005E6718" w:rsidP="00C3651B">
            <w:pPr>
              <w:rPr>
                <w:color w:val="333333"/>
                <w:lang w:val="fr-FR"/>
              </w:rPr>
            </w:pPr>
          </w:p>
          <w:p w:rsidR="001320FC" w:rsidRPr="00927778" w:rsidRDefault="00E7667B" w:rsidP="00E7667B">
            <w:pPr>
              <w:rPr>
                <w:color w:val="333333"/>
                <w:lang w:val="fr-FR"/>
              </w:rPr>
            </w:pPr>
            <w:r w:rsidRPr="00927778">
              <w:rPr>
                <w:color w:val="333333"/>
                <w:lang w:val="fr-FR"/>
              </w:rPr>
              <w:t>Avril</w:t>
            </w:r>
            <w:r w:rsidR="00CB5AE0" w:rsidRPr="00927778">
              <w:rPr>
                <w:color w:val="333333"/>
                <w:lang w:val="fr-FR"/>
              </w:rPr>
              <w:t> </w:t>
            </w:r>
            <w:r w:rsidRPr="00927778">
              <w:rPr>
                <w:color w:val="333333"/>
                <w:lang w:val="fr-FR"/>
              </w:rPr>
              <w:t>2016</w:t>
            </w:r>
          </w:p>
        </w:tc>
      </w:tr>
      <w:tr w:rsidR="00047C22" w:rsidRPr="00927778" w:rsidTr="00C3651B">
        <w:tc>
          <w:tcPr>
            <w:tcW w:w="2376" w:type="dxa"/>
            <w:shd w:val="clear" w:color="auto" w:fill="auto"/>
          </w:tcPr>
          <w:p w:rsidR="005E6718" w:rsidRPr="00927778" w:rsidRDefault="00E7667B" w:rsidP="00E7667B">
            <w:pPr>
              <w:pStyle w:val="Heading3"/>
              <w:rPr>
                <w:color w:val="333333"/>
                <w:lang w:val="fr-FR"/>
              </w:rPr>
            </w:pPr>
            <w:r w:rsidRPr="00927778">
              <w:rPr>
                <w:color w:val="333333"/>
                <w:lang w:val="fr-FR"/>
              </w:rPr>
              <w:t>Durée du projet</w:t>
            </w:r>
          </w:p>
          <w:p w:rsidR="001320FC" w:rsidRPr="00927778" w:rsidRDefault="001320FC" w:rsidP="00C3651B">
            <w:pPr>
              <w:rPr>
                <w:color w:val="333333"/>
                <w:lang w:val="fr-FR"/>
              </w:rPr>
            </w:pPr>
          </w:p>
        </w:tc>
        <w:tc>
          <w:tcPr>
            <w:tcW w:w="6912" w:type="dxa"/>
            <w:shd w:val="clear" w:color="auto" w:fill="auto"/>
          </w:tcPr>
          <w:p w:rsidR="005E6718" w:rsidRPr="00927778" w:rsidRDefault="005E6718" w:rsidP="00C3651B">
            <w:pPr>
              <w:rPr>
                <w:color w:val="333333"/>
                <w:lang w:val="fr-FR"/>
              </w:rPr>
            </w:pPr>
          </w:p>
          <w:p w:rsidR="001320FC" w:rsidRPr="00927778" w:rsidRDefault="00E7667B" w:rsidP="00E7667B">
            <w:pPr>
              <w:rPr>
                <w:color w:val="333333"/>
                <w:lang w:val="fr-FR"/>
              </w:rPr>
            </w:pPr>
            <w:r w:rsidRPr="00927778">
              <w:rPr>
                <w:color w:val="333333"/>
                <w:lang w:val="fr-FR"/>
              </w:rPr>
              <w:t>36 mois</w:t>
            </w:r>
          </w:p>
        </w:tc>
      </w:tr>
      <w:tr w:rsidR="00047C22" w:rsidRPr="00927778" w:rsidTr="00C3651B">
        <w:tc>
          <w:tcPr>
            <w:tcW w:w="2376" w:type="dxa"/>
            <w:shd w:val="clear" w:color="auto" w:fill="auto"/>
          </w:tcPr>
          <w:p w:rsidR="001320FC" w:rsidRPr="00927778" w:rsidRDefault="00E7667B" w:rsidP="00E7667B">
            <w:pPr>
              <w:pStyle w:val="Heading3"/>
              <w:rPr>
                <w:color w:val="333333"/>
                <w:lang w:val="fr-FR"/>
              </w:rPr>
            </w:pPr>
            <w:r w:rsidRPr="00927778">
              <w:rPr>
                <w:color w:val="333333"/>
                <w:lang w:val="fr-FR"/>
              </w:rPr>
              <w:t>Principaux secteurs de l</w:t>
            </w:r>
            <w:r w:rsidR="00EA2C86" w:rsidRPr="00927778">
              <w:rPr>
                <w:color w:val="333333"/>
                <w:lang w:val="fr-FR"/>
              </w:rPr>
              <w:t>’</w:t>
            </w:r>
            <w:r w:rsidRPr="00927778">
              <w:rPr>
                <w:color w:val="333333"/>
                <w:lang w:val="fr-FR"/>
              </w:rPr>
              <w:t>OMPI concernés et liens avec les programmes de l</w:t>
            </w:r>
            <w:r w:rsidR="00EA2C86" w:rsidRPr="00927778">
              <w:rPr>
                <w:color w:val="333333"/>
                <w:lang w:val="fr-FR"/>
              </w:rPr>
              <w:t>’</w:t>
            </w:r>
            <w:r w:rsidRPr="00927778">
              <w:rPr>
                <w:color w:val="333333"/>
                <w:lang w:val="fr-FR"/>
              </w:rPr>
              <w:t>OMPI</w:t>
            </w:r>
          </w:p>
        </w:tc>
        <w:tc>
          <w:tcPr>
            <w:tcW w:w="6912" w:type="dxa"/>
            <w:shd w:val="clear" w:color="auto" w:fill="auto"/>
          </w:tcPr>
          <w:p w:rsidR="005E6718" w:rsidRPr="00927778" w:rsidRDefault="005E6718" w:rsidP="00C3651B">
            <w:pPr>
              <w:rPr>
                <w:color w:val="333333"/>
                <w:lang w:val="fr-FR"/>
              </w:rPr>
            </w:pPr>
          </w:p>
          <w:p w:rsidR="001320FC" w:rsidRPr="00927778" w:rsidRDefault="00E7667B" w:rsidP="00E7667B">
            <w:pPr>
              <w:rPr>
                <w:color w:val="333333"/>
                <w:lang w:val="fr-FR"/>
              </w:rPr>
            </w:pPr>
            <w:r w:rsidRPr="00927778">
              <w:rPr>
                <w:color w:val="333333"/>
                <w:lang w:val="fr-FR"/>
              </w:rPr>
              <w:t>Liens avec les programmes</w:t>
            </w:r>
            <w:r w:rsidR="00002037" w:rsidRPr="00927778">
              <w:rPr>
                <w:color w:val="333333"/>
                <w:lang w:val="fr-FR"/>
              </w:rPr>
              <w:t> </w:t>
            </w:r>
            <w:r w:rsidRPr="00927778">
              <w:rPr>
                <w:color w:val="333333"/>
                <w:lang w:val="fr-FR"/>
              </w:rPr>
              <w:t>1, 9, 10 et 14.</w:t>
            </w:r>
          </w:p>
        </w:tc>
      </w:tr>
      <w:tr w:rsidR="00047C22" w:rsidRPr="00927778" w:rsidTr="00C3651B">
        <w:trPr>
          <w:trHeight w:val="438"/>
        </w:trPr>
        <w:tc>
          <w:tcPr>
            <w:tcW w:w="2376" w:type="dxa"/>
            <w:shd w:val="clear" w:color="auto" w:fill="auto"/>
          </w:tcPr>
          <w:p w:rsidR="001320FC" w:rsidRPr="00927778" w:rsidRDefault="00E7667B" w:rsidP="00E7667B">
            <w:pPr>
              <w:pStyle w:val="Heading3"/>
              <w:rPr>
                <w:color w:val="333333"/>
                <w:lang w:val="fr-FR"/>
              </w:rPr>
            </w:pPr>
            <w:r w:rsidRPr="00927778">
              <w:rPr>
                <w:color w:val="333333"/>
                <w:lang w:val="fr-FR"/>
              </w:rPr>
              <w:t>Brève description du projet</w:t>
            </w:r>
          </w:p>
        </w:tc>
        <w:tc>
          <w:tcPr>
            <w:tcW w:w="6912" w:type="dxa"/>
            <w:shd w:val="clear" w:color="auto" w:fill="auto"/>
          </w:tcPr>
          <w:p w:rsidR="005E6718" w:rsidRPr="00927778" w:rsidRDefault="005E6718" w:rsidP="00C3651B">
            <w:pPr>
              <w:rPr>
                <w:iCs/>
                <w:color w:val="333333"/>
                <w:szCs w:val="22"/>
                <w:lang w:val="fr-FR"/>
              </w:rPr>
            </w:pPr>
          </w:p>
          <w:p w:rsidR="005E6718" w:rsidRPr="00927778" w:rsidRDefault="00E7667B" w:rsidP="00E7667B">
            <w:pPr>
              <w:rPr>
                <w:iCs/>
                <w:color w:val="333333"/>
                <w:szCs w:val="22"/>
                <w:lang w:val="fr-FR"/>
              </w:rPr>
            </w:pPr>
            <w:r w:rsidRPr="00927778">
              <w:rPr>
                <w:iCs/>
                <w:color w:val="333333"/>
                <w:szCs w:val="22"/>
                <w:lang w:val="fr-FR"/>
              </w:rPr>
              <w:t>Le projet proposé s</w:t>
            </w:r>
            <w:r w:rsidR="00EA2C86" w:rsidRPr="00927778">
              <w:rPr>
                <w:iCs/>
                <w:color w:val="333333"/>
                <w:szCs w:val="22"/>
                <w:lang w:val="fr-FR"/>
              </w:rPr>
              <w:t>’</w:t>
            </w:r>
            <w:r w:rsidRPr="00927778">
              <w:rPr>
                <w:iCs/>
                <w:color w:val="333333"/>
                <w:szCs w:val="22"/>
                <w:lang w:val="fr-FR"/>
              </w:rPr>
              <w:t>appuie sur les activités de programme en cours visant à créer et renforcer des centres d</w:t>
            </w:r>
            <w:r w:rsidR="00EA2C86" w:rsidRPr="00927778">
              <w:rPr>
                <w:iCs/>
                <w:color w:val="333333"/>
                <w:szCs w:val="22"/>
                <w:lang w:val="fr-FR"/>
              </w:rPr>
              <w:t>’</w:t>
            </w:r>
            <w:r w:rsidRPr="00927778">
              <w:rPr>
                <w:iCs/>
                <w:color w:val="333333"/>
                <w:szCs w:val="22"/>
                <w:lang w:val="fr-FR"/>
              </w:rPr>
              <w:t>appui à la technologie et à l</w:t>
            </w:r>
            <w:r w:rsidR="00EA2C86" w:rsidRPr="00927778">
              <w:rPr>
                <w:iCs/>
                <w:color w:val="333333"/>
                <w:szCs w:val="22"/>
                <w:lang w:val="fr-FR"/>
              </w:rPr>
              <w:t>’</w:t>
            </w:r>
            <w:r w:rsidRPr="00927778">
              <w:rPr>
                <w:iCs/>
                <w:color w:val="333333"/>
                <w:szCs w:val="22"/>
                <w:lang w:val="fr-FR"/>
              </w:rPr>
              <w:t>innovation (CATI), les conclusions d</w:t>
            </w:r>
            <w:r w:rsidR="00EA2C86" w:rsidRPr="00927778">
              <w:rPr>
                <w:iCs/>
                <w:color w:val="333333"/>
                <w:szCs w:val="22"/>
                <w:lang w:val="fr-FR"/>
              </w:rPr>
              <w:t>’</w:t>
            </w:r>
            <w:r w:rsidRPr="00927778">
              <w:rPr>
                <w:iCs/>
                <w:color w:val="333333"/>
                <w:szCs w:val="22"/>
                <w:lang w:val="fr-FR"/>
              </w:rPr>
              <w:t>études antérieures sur la propriété intellectuelle et le domaine public (en ce qui concerne les brevets) et les brevets et le domaine public, et sur le portail existant sur la situation juridique qui a été créé dans le cadre du projet finalisé du Plan d</w:t>
            </w:r>
            <w:r w:rsidR="00EA2C86" w:rsidRPr="00927778">
              <w:rPr>
                <w:iCs/>
                <w:color w:val="333333"/>
                <w:szCs w:val="22"/>
                <w:lang w:val="fr-FR"/>
              </w:rPr>
              <w:t>’</w:t>
            </w:r>
            <w:r w:rsidRPr="00927778">
              <w:rPr>
                <w:iCs/>
                <w:color w:val="333333"/>
                <w:szCs w:val="22"/>
                <w:lang w:val="fr-FR"/>
              </w:rPr>
              <w:t>action pour le développement relatif aux données sur la situation juridique des brevets.</w:t>
            </w:r>
          </w:p>
          <w:p w:rsidR="005E6718" w:rsidRPr="00927778" w:rsidRDefault="005E6718" w:rsidP="00C3651B">
            <w:pPr>
              <w:rPr>
                <w:iCs/>
                <w:color w:val="333333"/>
                <w:szCs w:val="22"/>
                <w:lang w:val="fr-FR"/>
              </w:rPr>
            </w:pPr>
          </w:p>
          <w:p w:rsidR="005E6718" w:rsidRPr="00927778" w:rsidRDefault="00E7667B" w:rsidP="00E7667B">
            <w:pPr>
              <w:rPr>
                <w:iCs/>
                <w:color w:val="333333"/>
                <w:szCs w:val="22"/>
                <w:lang w:val="fr-FR"/>
              </w:rPr>
            </w:pPr>
            <w:r w:rsidRPr="00927778">
              <w:rPr>
                <w:iCs/>
                <w:color w:val="333333"/>
                <w:szCs w:val="22"/>
                <w:lang w:val="fr-FR"/>
              </w:rPr>
              <w:t>Plus précisément, le projet a pour objet de compléter les services existants</w:t>
            </w:r>
            <w:r w:rsidR="00EA2C86" w:rsidRPr="00927778">
              <w:rPr>
                <w:iCs/>
                <w:color w:val="333333"/>
                <w:szCs w:val="22"/>
                <w:lang w:val="fr-FR"/>
              </w:rPr>
              <w:t xml:space="preserve"> des CAT</w:t>
            </w:r>
            <w:r w:rsidRPr="00927778">
              <w:rPr>
                <w:iCs/>
                <w:color w:val="333333"/>
                <w:szCs w:val="22"/>
                <w:lang w:val="fr-FR"/>
              </w:rPr>
              <w:t>I en ajoutant de nouveaux services et outils à ceux qu</w:t>
            </w:r>
            <w:r w:rsidR="00EA2C86" w:rsidRPr="00927778">
              <w:rPr>
                <w:iCs/>
                <w:color w:val="333333"/>
                <w:szCs w:val="22"/>
                <w:lang w:val="fr-FR"/>
              </w:rPr>
              <w:t>’</w:t>
            </w:r>
            <w:r w:rsidRPr="00927778">
              <w:rPr>
                <w:iCs/>
                <w:color w:val="333333"/>
                <w:szCs w:val="22"/>
                <w:lang w:val="fr-FR"/>
              </w:rPr>
              <w:t>ils proposent déjà, permettant non seulement de recenser les inventions se trouvant dans le domaine public mais également d</w:t>
            </w:r>
            <w:r w:rsidR="00EA2C86" w:rsidRPr="00927778">
              <w:rPr>
                <w:iCs/>
                <w:color w:val="333333"/>
                <w:szCs w:val="22"/>
                <w:lang w:val="fr-FR"/>
              </w:rPr>
              <w:t>’</w:t>
            </w:r>
            <w:r w:rsidRPr="00927778">
              <w:rPr>
                <w:iCs/>
                <w:color w:val="333333"/>
                <w:szCs w:val="22"/>
                <w:lang w:val="fr-FR"/>
              </w:rPr>
              <w:t>aider les inventeurs, les chercheurs et les chefs d</w:t>
            </w:r>
            <w:r w:rsidR="00EA2C86" w:rsidRPr="00927778">
              <w:rPr>
                <w:iCs/>
                <w:color w:val="333333"/>
                <w:szCs w:val="22"/>
                <w:lang w:val="fr-FR"/>
              </w:rPr>
              <w:t>’</w:t>
            </w:r>
            <w:r w:rsidRPr="00927778">
              <w:rPr>
                <w:iCs/>
                <w:color w:val="333333"/>
                <w:szCs w:val="22"/>
                <w:lang w:val="fr-FR"/>
              </w:rPr>
              <w:t>entreprise à utiliser cette information pour obtenir de nouveaux résultats de recherche et créer de nouveaux produits, favorisant ainsi une exploitation et une utilisation plus efficaces des inventions du domaine public en tant que source de création locale de savoirs et d</w:t>
            </w:r>
            <w:r w:rsidR="00EA2C86" w:rsidRPr="00927778">
              <w:rPr>
                <w:iCs/>
                <w:color w:val="333333"/>
                <w:szCs w:val="22"/>
                <w:lang w:val="fr-FR"/>
              </w:rPr>
              <w:t>’</w:t>
            </w:r>
            <w:r w:rsidRPr="00927778">
              <w:rPr>
                <w:iCs/>
                <w:color w:val="333333"/>
                <w:szCs w:val="22"/>
                <w:lang w:val="fr-FR"/>
              </w:rPr>
              <w:t>innovations et d</w:t>
            </w:r>
            <w:r w:rsidR="00EA2C86" w:rsidRPr="00927778">
              <w:rPr>
                <w:iCs/>
                <w:color w:val="333333"/>
                <w:szCs w:val="22"/>
                <w:lang w:val="fr-FR"/>
              </w:rPr>
              <w:t>’</w:t>
            </w:r>
            <w:r w:rsidRPr="00927778">
              <w:rPr>
                <w:iCs/>
                <w:color w:val="333333"/>
                <w:szCs w:val="22"/>
                <w:lang w:val="fr-FR"/>
              </w:rPr>
              <w:t>augmentation des capacités d</w:t>
            </w:r>
            <w:r w:rsidR="00EA2C86" w:rsidRPr="00927778">
              <w:rPr>
                <w:iCs/>
                <w:color w:val="333333"/>
                <w:szCs w:val="22"/>
                <w:lang w:val="fr-FR"/>
              </w:rPr>
              <w:t>’</w:t>
            </w:r>
            <w:r w:rsidRPr="00927778">
              <w:rPr>
                <w:iCs/>
                <w:color w:val="333333"/>
                <w:szCs w:val="22"/>
                <w:lang w:val="fr-FR"/>
              </w:rPr>
              <w:t>absorption des pays en développement et</w:t>
            </w:r>
            <w:r w:rsidR="00EA2C86" w:rsidRPr="00927778">
              <w:rPr>
                <w:iCs/>
                <w:color w:val="333333"/>
                <w:szCs w:val="22"/>
                <w:lang w:val="fr-FR"/>
              </w:rPr>
              <w:t xml:space="preserve"> des PMA</w:t>
            </w:r>
            <w:r w:rsidRPr="00927778">
              <w:rPr>
                <w:iCs/>
                <w:color w:val="333333"/>
                <w:szCs w:val="22"/>
                <w:lang w:val="fr-FR"/>
              </w:rPr>
              <w:t xml:space="preserve"> du point de vue de l</w:t>
            </w:r>
            <w:r w:rsidR="00EA2C86" w:rsidRPr="00927778">
              <w:rPr>
                <w:iCs/>
                <w:color w:val="333333"/>
                <w:szCs w:val="22"/>
                <w:lang w:val="fr-FR"/>
              </w:rPr>
              <w:t>’</w:t>
            </w:r>
            <w:r w:rsidRPr="00927778">
              <w:rPr>
                <w:iCs/>
                <w:color w:val="333333"/>
                <w:szCs w:val="22"/>
                <w:lang w:val="fr-FR"/>
              </w:rPr>
              <w:t>adaptation et de l</w:t>
            </w:r>
            <w:r w:rsidR="00EA2C86" w:rsidRPr="00927778">
              <w:rPr>
                <w:iCs/>
                <w:color w:val="333333"/>
                <w:szCs w:val="22"/>
                <w:lang w:val="fr-FR"/>
              </w:rPr>
              <w:t>’</w:t>
            </w:r>
            <w:r w:rsidRPr="00927778">
              <w:rPr>
                <w:iCs/>
                <w:color w:val="333333"/>
                <w:szCs w:val="22"/>
                <w:lang w:val="fr-FR"/>
              </w:rPr>
              <w:t>assimilation de différentes technologies.</w:t>
            </w:r>
          </w:p>
          <w:p w:rsidR="00526FCB" w:rsidRPr="00927778" w:rsidRDefault="00526FCB" w:rsidP="00C3651B">
            <w:pPr>
              <w:rPr>
                <w:color w:val="333333"/>
                <w:lang w:val="fr-FR"/>
              </w:rPr>
            </w:pPr>
          </w:p>
        </w:tc>
      </w:tr>
      <w:tr w:rsidR="00047C22" w:rsidRPr="00927778" w:rsidTr="00C3651B">
        <w:trPr>
          <w:trHeight w:val="484"/>
        </w:trPr>
        <w:tc>
          <w:tcPr>
            <w:tcW w:w="2376" w:type="dxa"/>
            <w:shd w:val="clear" w:color="auto" w:fill="auto"/>
          </w:tcPr>
          <w:p w:rsidR="001320FC" w:rsidRPr="00927778" w:rsidRDefault="00E7667B" w:rsidP="00E7667B">
            <w:pPr>
              <w:pStyle w:val="Heading3"/>
              <w:rPr>
                <w:color w:val="333333"/>
                <w:lang w:val="fr-FR"/>
              </w:rPr>
            </w:pPr>
            <w:r w:rsidRPr="00927778">
              <w:rPr>
                <w:color w:val="333333"/>
                <w:lang w:val="fr-FR"/>
              </w:rPr>
              <w:t>Chef de projet</w:t>
            </w:r>
          </w:p>
        </w:tc>
        <w:tc>
          <w:tcPr>
            <w:tcW w:w="6912" w:type="dxa"/>
            <w:vAlign w:val="center"/>
          </w:tcPr>
          <w:p w:rsidR="001320FC" w:rsidRPr="00927778" w:rsidRDefault="00E7667B" w:rsidP="00E7667B">
            <w:pPr>
              <w:rPr>
                <w:iCs/>
                <w:color w:val="333333"/>
                <w:lang w:val="fr-FR"/>
              </w:rPr>
            </w:pPr>
            <w:r w:rsidRPr="00927778">
              <w:rPr>
                <w:iCs/>
                <w:color w:val="333333"/>
                <w:lang w:val="fr-FR"/>
              </w:rPr>
              <w:t>MM.</w:t>
            </w:r>
            <w:r w:rsidR="0057466D" w:rsidRPr="00927778">
              <w:rPr>
                <w:iCs/>
                <w:color w:val="333333"/>
                <w:lang w:val="fr-FR"/>
              </w:rPr>
              <w:t> </w:t>
            </w:r>
            <w:r w:rsidRPr="00927778">
              <w:rPr>
                <w:iCs/>
                <w:color w:val="333333"/>
                <w:lang w:val="fr-FR"/>
              </w:rPr>
              <w:t>Alejandro Roca Campaña et Andrew Czajkowski</w:t>
            </w:r>
          </w:p>
        </w:tc>
      </w:tr>
      <w:tr w:rsidR="00047C22" w:rsidRPr="00927778" w:rsidTr="00C3651B">
        <w:trPr>
          <w:trHeight w:val="1165"/>
        </w:trPr>
        <w:tc>
          <w:tcPr>
            <w:tcW w:w="2376" w:type="dxa"/>
            <w:shd w:val="clear" w:color="auto" w:fill="auto"/>
          </w:tcPr>
          <w:p w:rsidR="00EA2C86" w:rsidRPr="00927778" w:rsidRDefault="00E7667B" w:rsidP="00E7667B">
            <w:pPr>
              <w:pStyle w:val="Heading3"/>
              <w:rPr>
                <w:color w:val="333333"/>
                <w:lang w:val="fr-FR"/>
              </w:rPr>
            </w:pPr>
            <w:r w:rsidRPr="00927778">
              <w:rPr>
                <w:color w:val="333333"/>
                <w:lang w:val="fr-FR"/>
              </w:rPr>
              <w:t>Liens avec les résultats escomptés dans le programme et budget</w:t>
            </w:r>
          </w:p>
          <w:p w:rsidR="001320FC" w:rsidRPr="00927778" w:rsidDel="00196374" w:rsidRDefault="001320FC" w:rsidP="00C3651B">
            <w:pPr>
              <w:rPr>
                <w:color w:val="333333"/>
                <w:lang w:val="fr-FR"/>
              </w:rPr>
            </w:pPr>
          </w:p>
        </w:tc>
        <w:tc>
          <w:tcPr>
            <w:tcW w:w="6912" w:type="dxa"/>
          </w:tcPr>
          <w:p w:rsidR="005E6718" w:rsidRPr="00927778" w:rsidRDefault="005E6718" w:rsidP="00C3651B">
            <w:pPr>
              <w:rPr>
                <w:iCs/>
                <w:color w:val="333333"/>
                <w:lang w:val="fr-FR"/>
              </w:rPr>
            </w:pPr>
          </w:p>
          <w:p w:rsidR="005E6718" w:rsidRPr="00927778" w:rsidRDefault="00E7667B" w:rsidP="00E7667B">
            <w:pPr>
              <w:rPr>
                <w:iCs/>
                <w:color w:val="333333"/>
                <w:lang w:val="fr-FR"/>
              </w:rPr>
            </w:pPr>
            <w:r w:rsidRPr="00927778">
              <w:rPr>
                <w:iCs/>
                <w:color w:val="333333"/>
                <w:lang w:val="fr-FR"/>
              </w:rPr>
              <w:t>III.2 (programme</w:t>
            </w:r>
            <w:r w:rsidR="00002037" w:rsidRPr="00927778">
              <w:rPr>
                <w:iCs/>
                <w:color w:val="333333"/>
                <w:lang w:val="fr-FR"/>
              </w:rPr>
              <w:t> </w:t>
            </w:r>
            <w:r w:rsidRPr="00927778">
              <w:rPr>
                <w:iCs/>
                <w:color w:val="333333"/>
                <w:lang w:val="fr-FR"/>
              </w:rPr>
              <w:t>9)</w:t>
            </w:r>
            <w:r w:rsidR="00EA2C86" w:rsidRPr="00927778">
              <w:rPr>
                <w:iCs/>
                <w:color w:val="333333"/>
                <w:lang w:val="fr-FR"/>
              </w:rPr>
              <w:t> :</w:t>
            </w:r>
            <w:r w:rsidRPr="00927778">
              <w:rPr>
                <w:iCs/>
                <w:color w:val="333333"/>
                <w:lang w:val="fr-FR"/>
              </w:rPr>
              <w:t xml:space="preserve"> Renforcement des capacités en matière de ressources humaines pour pouvoir répondre aux nombreuses exigences en ce qui concerne l</w:t>
            </w:r>
            <w:r w:rsidR="00EA2C86" w:rsidRPr="00927778">
              <w:rPr>
                <w:iCs/>
                <w:color w:val="333333"/>
                <w:lang w:val="fr-FR"/>
              </w:rPr>
              <w:t>’</w:t>
            </w:r>
            <w:r w:rsidRPr="00927778">
              <w:rPr>
                <w:iCs/>
                <w:color w:val="333333"/>
                <w:lang w:val="fr-FR"/>
              </w:rPr>
              <w:t>utilisation efficace de la propriété intellectuelle au service du développement dans les pays en développement,</w:t>
            </w:r>
            <w:r w:rsidR="00EA2C86" w:rsidRPr="00927778">
              <w:rPr>
                <w:iCs/>
                <w:color w:val="333333"/>
                <w:lang w:val="fr-FR"/>
              </w:rPr>
              <w:t xml:space="preserve"> les PMA</w:t>
            </w:r>
            <w:r w:rsidRPr="00927778">
              <w:rPr>
                <w:iCs/>
                <w:color w:val="333333"/>
                <w:lang w:val="fr-FR"/>
              </w:rPr>
              <w:t xml:space="preserve"> et les pays en transition.</w:t>
            </w:r>
          </w:p>
          <w:p w:rsidR="005E6718" w:rsidRPr="00927778" w:rsidRDefault="005E6718" w:rsidP="00C3651B">
            <w:pPr>
              <w:rPr>
                <w:iCs/>
                <w:color w:val="333333"/>
                <w:lang w:val="fr-FR"/>
              </w:rPr>
            </w:pPr>
          </w:p>
          <w:p w:rsidR="005E6718" w:rsidRPr="00927778" w:rsidRDefault="00E7667B" w:rsidP="00E7667B">
            <w:pPr>
              <w:rPr>
                <w:iCs/>
                <w:color w:val="333333"/>
                <w:lang w:val="fr-FR"/>
              </w:rPr>
            </w:pPr>
            <w:r w:rsidRPr="00927778">
              <w:rPr>
                <w:iCs/>
                <w:color w:val="333333"/>
                <w:lang w:val="fr-FR"/>
              </w:rPr>
              <w:t>IV.2 (programmes</w:t>
            </w:r>
            <w:r w:rsidR="00002037" w:rsidRPr="00927778">
              <w:rPr>
                <w:iCs/>
                <w:color w:val="333333"/>
                <w:lang w:val="fr-FR"/>
              </w:rPr>
              <w:t> </w:t>
            </w:r>
            <w:r w:rsidRPr="00927778">
              <w:rPr>
                <w:iCs/>
                <w:color w:val="333333"/>
                <w:lang w:val="fr-FR"/>
              </w:rPr>
              <w:t>9 et 14)</w:t>
            </w:r>
            <w:r w:rsidR="00EA2C86" w:rsidRPr="00927778">
              <w:rPr>
                <w:iCs/>
                <w:color w:val="333333"/>
                <w:lang w:val="fr-FR"/>
              </w:rPr>
              <w:t> :</w:t>
            </w:r>
            <w:r w:rsidRPr="00927778">
              <w:rPr>
                <w:iCs/>
                <w:color w:val="333333"/>
                <w:lang w:val="fr-FR"/>
              </w:rPr>
              <w:t xml:space="preserve"> Amélioration de l</w:t>
            </w:r>
            <w:r w:rsidR="00EA2C86" w:rsidRPr="00927778">
              <w:rPr>
                <w:iCs/>
                <w:color w:val="333333"/>
                <w:lang w:val="fr-FR"/>
              </w:rPr>
              <w:t>’</w:t>
            </w:r>
            <w:r w:rsidRPr="00927778">
              <w:rPr>
                <w:iCs/>
                <w:color w:val="333333"/>
                <w:lang w:val="fr-FR"/>
              </w:rPr>
              <w:t>accessibilité et de l</w:t>
            </w:r>
            <w:r w:rsidR="00EA2C86" w:rsidRPr="00927778">
              <w:rPr>
                <w:iCs/>
                <w:color w:val="333333"/>
                <w:lang w:val="fr-FR"/>
              </w:rPr>
              <w:t>’</w:t>
            </w:r>
            <w:r w:rsidRPr="00927778">
              <w:rPr>
                <w:iCs/>
                <w:color w:val="333333"/>
                <w:lang w:val="fr-FR"/>
              </w:rPr>
              <w:t>utilisation des informations en matière de propriété intellectuelle par les institutions compétentes et le public afin de promouvoir l</w:t>
            </w:r>
            <w:r w:rsidR="00EA2C86" w:rsidRPr="00927778">
              <w:rPr>
                <w:iCs/>
                <w:color w:val="333333"/>
                <w:lang w:val="fr-FR"/>
              </w:rPr>
              <w:t>’</w:t>
            </w:r>
            <w:r w:rsidRPr="00927778">
              <w:rPr>
                <w:iCs/>
                <w:color w:val="333333"/>
                <w:lang w:val="fr-FR"/>
              </w:rPr>
              <w:t>innovation et la créativité.</w:t>
            </w:r>
          </w:p>
          <w:p w:rsidR="001320FC" w:rsidRPr="00927778" w:rsidDel="00196374" w:rsidRDefault="001320FC" w:rsidP="00C3651B">
            <w:pPr>
              <w:rPr>
                <w:iCs/>
                <w:color w:val="333333"/>
                <w:lang w:val="fr-FR"/>
              </w:rPr>
            </w:pPr>
          </w:p>
        </w:tc>
      </w:tr>
      <w:tr w:rsidR="00047C22" w:rsidRPr="00927778" w:rsidTr="00C3651B">
        <w:trPr>
          <w:trHeight w:val="1735"/>
        </w:trPr>
        <w:tc>
          <w:tcPr>
            <w:tcW w:w="2376" w:type="dxa"/>
            <w:shd w:val="clear" w:color="auto" w:fill="auto"/>
          </w:tcPr>
          <w:p w:rsidR="005E6718" w:rsidRPr="00927778" w:rsidRDefault="00E7667B" w:rsidP="00E7667B">
            <w:pPr>
              <w:pStyle w:val="Heading3"/>
              <w:rPr>
                <w:color w:val="333333"/>
                <w:lang w:val="fr-FR"/>
              </w:rPr>
            </w:pPr>
            <w:r w:rsidRPr="00927778">
              <w:rPr>
                <w:color w:val="333333"/>
                <w:lang w:val="fr-FR"/>
              </w:rPr>
              <w:t>État d</w:t>
            </w:r>
            <w:r w:rsidR="00EA2C86" w:rsidRPr="00927778">
              <w:rPr>
                <w:color w:val="333333"/>
                <w:lang w:val="fr-FR"/>
              </w:rPr>
              <w:t>’</w:t>
            </w:r>
            <w:r w:rsidRPr="00927778">
              <w:rPr>
                <w:color w:val="333333"/>
                <w:lang w:val="fr-FR"/>
              </w:rPr>
              <w:t>avancement du projet</w:t>
            </w:r>
          </w:p>
          <w:p w:rsidR="001320FC" w:rsidRPr="00927778" w:rsidRDefault="001320FC" w:rsidP="00C3651B">
            <w:pPr>
              <w:rPr>
                <w:color w:val="333333"/>
                <w:lang w:val="fr-FR"/>
              </w:rPr>
            </w:pPr>
          </w:p>
        </w:tc>
        <w:tc>
          <w:tcPr>
            <w:tcW w:w="6912" w:type="dxa"/>
          </w:tcPr>
          <w:p w:rsidR="005E6718" w:rsidRPr="00927778" w:rsidRDefault="005E6718" w:rsidP="00AC0A60">
            <w:pPr>
              <w:pStyle w:val="ListParagraph"/>
              <w:ind w:left="459"/>
              <w:rPr>
                <w:bCs/>
                <w:color w:val="333333"/>
                <w:u w:val="single"/>
                <w:lang w:val="fr-FR"/>
              </w:rPr>
            </w:pPr>
          </w:p>
          <w:p w:rsidR="00EA2C86" w:rsidRPr="00927778" w:rsidRDefault="00E7667B" w:rsidP="00E7667B">
            <w:pPr>
              <w:pStyle w:val="ListParagraph"/>
              <w:numPr>
                <w:ilvl w:val="3"/>
                <w:numId w:val="14"/>
              </w:numPr>
              <w:ind w:left="459" w:hanging="425"/>
              <w:rPr>
                <w:bCs/>
                <w:color w:val="333333"/>
                <w:u w:val="single"/>
                <w:lang w:val="fr-FR"/>
              </w:rPr>
            </w:pPr>
            <w:r w:rsidRPr="00927778">
              <w:rPr>
                <w:bCs/>
                <w:color w:val="333333"/>
                <w:u w:val="single"/>
                <w:lang w:val="fr-FR"/>
              </w:rPr>
              <w:t>Guides pratiques sur le recensement et l</w:t>
            </w:r>
            <w:r w:rsidR="00EA2C86" w:rsidRPr="00927778">
              <w:rPr>
                <w:bCs/>
                <w:color w:val="333333"/>
                <w:u w:val="single"/>
                <w:lang w:val="fr-FR"/>
              </w:rPr>
              <w:t>’</w:t>
            </w:r>
            <w:r w:rsidRPr="00927778">
              <w:rPr>
                <w:bCs/>
                <w:color w:val="333333"/>
                <w:u w:val="single"/>
                <w:lang w:val="fr-FR"/>
              </w:rPr>
              <w:t>utilisation des inventions relevant du domaine public.</w:t>
            </w:r>
          </w:p>
          <w:p w:rsidR="005E6718" w:rsidRPr="00927778" w:rsidRDefault="005E6718" w:rsidP="00C3651B">
            <w:pPr>
              <w:rPr>
                <w:color w:val="333333"/>
                <w:lang w:val="fr-FR"/>
              </w:rPr>
            </w:pPr>
          </w:p>
          <w:p w:rsidR="005E6718" w:rsidRPr="00927778" w:rsidRDefault="00B76366" w:rsidP="00C3651B">
            <w:pPr>
              <w:rPr>
                <w:bCs/>
                <w:color w:val="333333"/>
                <w:lang w:val="fr-FR"/>
              </w:rPr>
            </w:pPr>
            <w:r w:rsidRPr="00927778">
              <w:rPr>
                <w:bCs/>
                <w:color w:val="333333"/>
                <w:lang w:val="fr-FR"/>
              </w:rPr>
              <w:t>Conformément à la stratégie visant à l</w:t>
            </w:r>
            <w:r w:rsidR="00EA2C86" w:rsidRPr="00927778">
              <w:rPr>
                <w:bCs/>
                <w:color w:val="333333"/>
                <w:lang w:val="fr-FR"/>
              </w:rPr>
              <w:t>’</w:t>
            </w:r>
            <w:r w:rsidRPr="00927778">
              <w:rPr>
                <w:bCs/>
                <w:color w:val="333333"/>
                <w:lang w:val="fr-FR"/>
              </w:rPr>
              <w:t>élaboration de deux</w:t>
            </w:r>
            <w:r w:rsidR="0057466D" w:rsidRPr="00927778">
              <w:rPr>
                <w:bCs/>
                <w:color w:val="333333"/>
                <w:lang w:val="fr-FR"/>
              </w:rPr>
              <w:t> </w:t>
            </w:r>
            <w:r w:rsidRPr="00927778">
              <w:rPr>
                <w:bCs/>
                <w:color w:val="333333"/>
                <w:lang w:val="fr-FR"/>
              </w:rPr>
              <w:t>guides pratiques sur le recensement et l</w:t>
            </w:r>
            <w:r w:rsidR="00EA2C86" w:rsidRPr="00927778">
              <w:rPr>
                <w:bCs/>
                <w:color w:val="333333"/>
                <w:lang w:val="fr-FR"/>
              </w:rPr>
              <w:t>’</w:t>
            </w:r>
            <w:r w:rsidRPr="00927778">
              <w:rPr>
                <w:bCs/>
                <w:color w:val="333333"/>
                <w:lang w:val="fr-FR"/>
              </w:rPr>
              <w:t>utilisation des inventions relevant du domaine public, et afin de veiller à ce que ces guides correspondent aux besoins du personnel</w:t>
            </w:r>
            <w:r w:rsidR="00EA2C86" w:rsidRPr="00927778">
              <w:rPr>
                <w:bCs/>
                <w:color w:val="333333"/>
                <w:lang w:val="fr-FR"/>
              </w:rPr>
              <w:t xml:space="preserve"> des CAT</w:t>
            </w:r>
            <w:r w:rsidR="00CA042C" w:rsidRPr="00927778">
              <w:rPr>
                <w:bCs/>
                <w:color w:val="333333"/>
                <w:lang w:val="fr-FR"/>
              </w:rPr>
              <w:t>I</w:t>
            </w:r>
            <w:r w:rsidRPr="00927778">
              <w:rPr>
                <w:bCs/>
                <w:color w:val="333333"/>
                <w:lang w:val="fr-FR"/>
              </w:rPr>
              <w:t>, des chercheurs et des entrepreneurs dans les p</w:t>
            </w:r>
            <w:r w:rsidR="00CA042C" w:rsidRPr="00927778">
              <w:rPr>
                <w:bCs/>
                <w:color w:val="333333"/>
                <w:lang w:val="fr-FR"/>
              </w:rPr>
              <w:t>ays en développement, les premiè</w:t>
            </w:r>
            <w:r w:rsidRPr="00927778">
              <w:rPr>
                <w:bCs/>
                <w:color w:val="333333"/>
                <w:lang w:val="fr-FR"/>
              </w:rPr>
              <w:t>r</w:t>
            </w:r>
            <w:r w:rsidR="00CA042C" w:rsidRPr="00927778">
              <w:rPr>
                <w:bCs/>
                <w:color w:val="333333"/>
                <w:lang w:val="fr-FR"/>
              </w:rPr>
              <w:t>e</w:t>
            </w:r>
            <w:r w:rsidRPr="00927778">
              <w:rPr>
                <w:bCs/>
                <w:color w:val="333333"/>
                <w:lang w:val="fr-FR"/>
              </w:rPr>
              <w:t xml:space="preserve">s </w:t>
            </w:r>
            <w:r w:rsidR="00CA042C" w:rsidRPr="00927778">
              <w:rPr>
                <w:bCs/>
                <w:color w:val="333333"/>
                <w:lang w:val="fr-FR"/>
              </w:rPr>
              <w:t>versions</w:t>
            </w:r>
            <w:r w:rsidRPr="00927778">
              <w:rPr>
                <w:bCs/>
                <w:color w:val="333333"/>
                <w:lang w:val="fr-FR"/>
              </w:rPr>
              <w:t xml:space="preserve"> des guides ont été diffusé</w:t>
            </w:r>
            <w:r w:rsidR="00CA042C" w:rsidRPr="00927778">
              <w:rPr>
                <w:bCs/>
                <w:color w:val="333333"/>
                <w:lang w:val="fr-FR"/>
              </w:rPr>
              <w:t>e</w:t>
            </w:r>
            <w:r w:rsidRPr="00927778">
              <w:rPr>
                <w:bCs/>
                <w:color w:val="333333"/>
                <w:lang w:val="fr-FR"/>
              </w:rPr>
              <w:t>s et testé</w:t>
            </w:r>
            <w:r w:rsidR="00CA042C" w:rsidRPr="00927778">
              <w:rPr>
                <w:bCs/>
                <w:color w:val="333333"/>
                <w:lang w:val="fr-FR"/>
              </w:rPr>
              <w:t>e</w:t>
            </w:r>
            <w:r w:rsidRPr="00927778">
              <w:rPr>
                <w:bCs/>
                <w:color w:val="333333"/>
                <w:lang w:val="fr-FR"/>
              </w:rPr>
              <w:t xml:space="preserve">s auprès de CATI </w:t>
            </w:r>
            <w:r w:rsidR="00C111BE" w:rsidRPr="00927778">
              <w:rPr>
                <w:bCs/>
                <w:color w:val="333333"/>
                <w:lang w:val="fr-FR"/>
              </w:rPr>
              <w:t>sélectionnés</w:t>
            </w:r>
            <w:r w:rsidRPr="00927778">
              <w:rPr>
                <w:bCs/>
                <w:color w:val="333333"/>
                <w:lang w:val="fr-FR"/>
              </w:rPr>
              <w:t xml:space="preserve"> dans neuf</w:t>
            </w:r>
            <w:r w:rsidR="0057466D" w:rsidRPr="00927778">
              <w:rPr>
                <w:bCs/>
                <w:color w:val="333333"/>
                <w:lang w:val="fr-FR"/>
              </w:rPr>
              <w:t> </w:t>
            </w:r>
            <w:r w:rsidRPr="00927778">
              <w:rPr>
                <w:bCs/>
                <w:color w:val="333333"/>
                <w:lang w:val="fr-FR"/>
              </w:rPr>
              <w:t>pays pilotes</w:t>
            </w:r>
            <w:r w:rsidR="00EA2C86" w:rsidRPr="00927778">
              <w:rPr>
                <w:bCs/>
                <w:color w:val="333333"/>
                <w:lang w:val="fr-FR"/>
              </w:rPr>
              <w:t> :</w:t>
            </w:r>
            <w:r w:rsidRPr="00927778">
              <w:rPr>
                <w:bCs/>
                <w:color w:val="333333"/>
                <w:lang w:val="fr-FR"/>
              </w:rPr>
              <w:t xml:space="preserve"> le </w:t>
            </w:r>
            <w:r w:rsidR="00CA042C" w:rsidRPr="00927778">
              <w:rPr>
                <w:color w:val="333333"/>
                <w:lang w:val="fr-FR"/>
              </w:rPr>
              <w:t xml:space="preserve">Kenya, </w:t>
            </w:r>
            <w:r w:rsidRPr="00927778">
              <w:rPr>
                <w:color w:val="333333"/>
                <w:lang w:val="fr-FR"/>
              </w:rPr>
              <w:t>l</w:t>
            </w:r>
            <w:r w:rsidR="00EA2C86" w:rsidRPr="00927778">
              <w:rPr>
                <w:color w:val="333333"/>
                <w:lang w:val="fr-FR"/>
              </w:rPr>
              <w:t>’</w:t>
            </w:r>
            <w:r w:rsidRPr="00927778">
              <w:rPr>
                <w:color w:val="333333"/>
                <w:lang w:val="fr-FR"/>
              </w:rPr>
              <w:t>Afrique du Sud (Afrique</w:t>
            </w:r>
            <w:r w:rsidR="001320FC" w:rsidRPr="00927778">
              <w:rPr>
                <w:color w:val="333333"/>
                <w:lang w:val="fr-FR"/>
              </w:rPr>
              <w:t xml:space="preserve">), </w:t>
            </w:r>
            <w:r w:rsidRPr="00927778">
              <w:rPr>
                <w:color w:val="333333"/>
                <w:lang w:val="fr-FR"/>
              </w:rPr>
              <w:t xml:space="preserve">le </w:t>
            </w:r>
            <w:r w:rsidR="001320FC" w:rsidRPr="00927778">
              <w:rPr>
                <w:color w:val="333333"/>
                <w:lang w:val="fr-FR"/>
              </w:rPr>
              <w:t>M</w:t>
            </w:r>
            <w:r w:rsidRPr="00927778">
              <w:rPr>
                <w:color w:val="333333"/>
                <w:lang w:val="fr-FR"/>
              </w:rPr>
              <w:t>aroc</w:t>
            </w:r>
            <w:r w:rsidR="001320FC" w:rsidRPr="00927778">
              <w:rPr>
                <w:color w:val="333333"/>
                <w:lang w:val="fr-FR"/>
              </w:rPr>
              <w:t xml:space="preserve"> (</w:t>
            </w:r>
            <w:r w:rsidRPr="00927778">
              <w:rPr>
                <w:color w:val="333333"/>
                <w:lang w:val="fr-FR"/>
              </w:rPr>
              <w:t>pays arabes</w:t>
            </w:r>
            <w:r w:rsidR="001320FC" w:rsidRPr="00927778">
              <w:rPr>
                <w:color w:val="333333"/>
                <w:lang w:val="fr-FR"/>
              </w:rPr>
              <w:t xml:space="preserve">), </w:t>
            </w:r>
            <w:r w:rsidRPr="00927778">
              <w:rPr>
                <w:color w:val="333333"/>
                <w:lang w:val="fr-FR"/>
              </w:rPr>
              <w:t xml:space="preserve">la </w:t>
            </w:r>
            <w:r w:rsidR="001320FC" w:rsidRPr="00927778">
              <w:rPr>
                <w:color w:val="333333"/>
                <w:lang w:val="fr-FR"/>
              </w:rPr>
              <w:t>Mala</w:t>
            </w:r>
            <w:r w:rsidRPr="00927778">
              <w:rPr>
                <w:color w:val="333333"/>
                <w:lang w:val="fr-FR"/>
              </w:rPr>
              <w:t>i</w:t>
            </w:r>
            <w:r w:rsidR="001320FC" w:rsidRPr="00927778">
              <w:rPr>
                <w:color w:val="333333"/>
                <w:lang w:val="fr-FR"/>
              </w:rPr>
              <w:t>si</w:t>
            </w:r>
            <w:r w:rsidRPr="00927778">
              <w:rPr>
                <w:color w:val="333333"/>
                <w:lang w:val="fr-FR"/>
              </w:rPr>
              <w:t>e</w:t>
            </w:r>
            <w:r w:rsidR="00CA042C" w:rsidRPr="00927778">
              <w:rPr>
                <w:color w:val="333333"/>
                <w:lang w:val="fr-FR"/>
              </w:rPr>
              <w:t>,</w:t>
            </w:r>
            <w:r w:rsidRPr="00927778">
              <w:rPr>
                <w:color w:val="333333"/>
                <w:lang w:val="fr-FR"/>
              </w:rPr>
              <w:t xml:space="preserve"> les</w:t>
            </w:r>
            <w:r w:rsidR="001320FC" w:rsidRPr="00927778">
              <w:rPr>
                <w:color w:val="333333"/>
                <w:lang w:val="fr-FR"/>
              </w:rPr>
              <w:t xml:space="preserve"> Philippines (Asi</w:t>
            </w:r>
            <w:r w:rsidR="005B28ED" w:rsidRPr="00927778">
              <w:rPr>
                <w:color w:val="333333"/>
                <w:lang w:val="fr-FR"/>
              </w:rPr>
              <w:t>e et Pacifique</w:t>
            </w:r>
            <w:r w:rsidR="001320FC" w:rsidRPr="00927778">
              <w:rPr>
                <w:color w:val="333333"/>
                <w:lang w:val="fr-FR"/>
              </w:rPr>
              <w:t xml:space="preserve">), </w:t>
            </w:r>
            <w:r w:rsidR="005B28ED" w:rsidRPr="00927778">
              <w:rPr>
                <w:color w:val="333333"/>
                <w:lang w:val="fr-FR"/>
              </w:rPr>
              <w:t>l</w:t>
            </w:r>
            <w:r w:rsidR="00EA2C86" w:rsidRPr="00927778">
              <w:rPr>
                <w:color w:val="333333"/>
                <w:lang w:val="fr-FR"/>
              </w:rPr>
              <w:t>’</w:t>
            </w:r>
            <w:r w:rsidR="001320FC" w:rsidRPr="00927778">
              <w:rPr>
                <w:color w:val="333333"/>
                <w:lang w:val="fr-FR"/>
              </w:rPr>
              <w:t>Argentin</w:t>
            </w:r>
            <w:r w:rsidR="005B28ED" w:rsidRPr="00927778">
              <w:rPr>
                <w:color w:val="333333"/>
                <w:lang w:val="fr-FR"/>
              </w:rPr>
              <w:t>e</w:t>
            </w:r>
            <w:r w:rsidR="001320FC" w:rsidRPr="00927778">
              <w:rPr>
                <w:color w:val="333333"/>
                <w:lang w:val="fr-FR"/>
              </w:rPr>
              <w:t xml:space="preserve">, </w:t>
            </w:r>
            <w:r w:rsidR="005B28ED" w:rsidRPr="00927778">
              <w:rPr>
                <w:color w:val="333333"/>
                <w:lang w:val="fr-FR"/>
              </w:rPr>
              <w:t xml:space="preserve">la </w:t>
            </w:r>
            <w:r w:rsidR="001320FC" w:rsidRPr="00927778">
              <w:rPr>
                <w:color w:val="333333"/>
                <w:lang w:val="fr-FR"/>
              </w:rPr>
              <w:t>Colombi</w:t>
            </w:r>
            <w:r w:rsidR="005B28ED" w:rsidRPr="00927778">
              <w:rPr>
                <w:color w:val="333333"/>
                <w:lang w:val="fr-FR"/>
              </w:rPr>
              <w:t>e</w:t>
            </w:r>
            <w:r w:rsidR="00CA042C" w:rsidRPr="00927778">
              <w:rPr>
                <w:color w:val="333333"/>
                <w:lang w:val="fr-FR"/>
              </w:rPr>
              <w:t>,</w:t>
            </w:r>
            <w:r w:rsidR="001320FC" w:rsidRPr="00927778">
              <w:rPr>
                <w:color w:val="333333"/>
                <w:lang w:val="fr-FR"/>
              </w:rPr>
              <w:t xml:space="preserve"> Cuba (Am</w:t>
            </w:r>
            <w:r w:rsidR="005B28ED" w:rsidRPr="00927778">
              <w:rPr>
                <w:color w:val="333333"/>
                <w:lang w:val="fr-FR"/>
              </w:rPr>
              <w:t>é</w:t>
            </w:r>
            <w:r w:rsidR="001320FC" w:rsidRPr="00927778">
              <w:rPr>
                <w:color w:val="333333"/>
                <w:lang w:val="fr-FR"/>
              </w:rPr>
              <w:t>ri</w:t>
            </w:r>
            <w:r w:rsidR="00CA042C" w:rsidRPr="00927778">
              <w:rPr>
                <w:color w:val="333333"/>
                <w:lang w:val="fr-FR"/>
              </w:rPr>
              <w:t xml:space="preserve">que latine et Caraïbes) </w:t>
            </w:r>
            <w:r w:rsidR="005B28ED" w:rsidRPr="00927778">
              <w:rPr>
                <w:color w:val="333333"/>
                <w:lang w:val="fr-FR"/>
              </w:rPr>
              <w:t>et la Fédération de Russie</w:t>
            </w:r>
            <w:r w:rsidR="001320FC" w:rsidRPr="00927778">
              <w:rPr>
                <w:color w:val="333333"/>
                <w:lang w:val="fr-FR"/>
              </w:rPr>
              <w:t xml:space="preserve"> (</w:t>
            </w:r>
            <w:r w:rsidR="005B28ED" w:rsidRPr="00927778">
              <w:rPr>
                <w:color w:val="333333"/>
                <w:lang w:val="fr-FR"/>
              </w:rPr>
              <w:t>pays en développement et en transition</w:t>
            </w:r>
            <w:r w:rsidR="001320FC" w:rsidRPr="00927778">
              <w:rPr>
                <w:color w:val="333333"/>
                <w:lang w:val="fr-FR"/>
              </w:rPr>
              <w:t>).</w:t>
            </w:r>
          </w:p>
          <w:p w:rsidR="005E6718" w:rsidRPr="00927778" w:rsidRDefault="005E6718" w:rsidP="00C3651B">
            <w:pPr>
              <w:rPr>
                <w:color w:val="333333"/>
                <w:lang w:val="fr-FR"/>
              </w:rPr>
            </w:pPr>
          </w:p>
          <w:p w:rsidR="00EA2C86" w:rsidRPr="00927778" w:rsidRDefault="00F51C8A" w:rsidP="00C3651B">
            <w:pPr>
              <w:pStyle w:val="NormalWeb"/>
              <w:spacing w:before="0" w:beforeAutospacing="0" w:after="0" w:afterAutospacing="0"/>
              <w:rPr>
                <w:rFonts w:ascii="Arial" w:hAnsi="Arial" w:cs="Arial"/>
                <w:color w:val="333333"/>
                <w:sz w:val="22"/>
                <w:szCs w:val="20"/>
                <w:lang w:eastAsia="en-US"/>
              </w:rPr>
            </w:pPr>
            <w:r w:rsidRPr="00927778">
              <w:rPr>
                <w:rFonts w:ascii="Arial" w:hAnsi="Arial" w:cs="Arial"/>
                <w:color w:val="333333"/>
                <w:sz w:val="22"/>
                <w:szCs w:val="20"/>
                <w:lang w:eastAsia="en-US"/>
              </w:rPr>
              <w:t>Sept experts doté</w:t>
            </w:r>
            <w:r w:rsidR="003B30CD" w:rsidRPr="00927778">
              <w:rPr>
                <w:rFonts w:ascii="Arial" w:hAnsi="Arial" w:cs="Arial"/>
                <w:color w:val="333333"/>
                <w:sz w:val="22"/>
                <w:szCs w:val="20"/>
                <w:lang w:eastAsia="en-US"/>
              </w:rPr>
              <w:t>s</w:t>
            </w:r>
            <w:r w:rsidRPr="00927778">
              <w:rPr>
                <w:rFonts w:ascii="Arial" w:hAnsi="Arial" w:cs="Arial"/>
                <w:color w:val="333333"/>
                <w:sz w:val="22"/>
                <w:szCs w:val="20"/>
                <w:lang w:eastAsia="en-US"/>
              </w:rPr>
              <w:t xml:space="preserve"> d</w:t>
            </w:r>
            <w:r w:rsidR="00EA2C86" w:rsidRPr="00927778">
              <w:rPr>
                <w:rFonts w:ascii="Arial" w:hAnsi="Arial" w:cs="Arial"/>
                <w:color w:val="333333"/>
                <w:sz w:val="22"/>
                <w:szCs w:val="20"/>
                <w:lang w:eastAsia="en-US"/>
              </w:rPr>
              <w:t>’</w:t>
            </w:r>
            <w:r w:rsidRPr="00927778">
              <w:rPr>
                <w:rFonts w:ascii="Arial" w:hAnsi="Arial" w:cs="Arial"/>
                <w:color w:val="333333"/>
                <w:sz w:val="22"/>
                <w:szCs w:val="20"/>
                <w:lang w:eastAsia="en-US"/>
              </w:rPr>
              <w:t>une connaissance approfondie du sujet traité dans les guides et des réseaux</w:t>
            </w:r>
            <w:r w:rsidR="00EA2C86" w:rsidRPr="00927778">
              <w:rPr>
                <w:rFonts w:ascii="Arial" w:hAnsi="Arial" w:cs="Arial"/>
                <w:color w:val="333333"/>
                <w:sz w:val="22"/>
                <w:szCs w:val="20"/>
                <w:lang w:eastAsia="en-US"/>
              </w:rPr>
              <w:t xml:space="preserve"> des CAT</w:t>
            </w:r>
            <w:r w:rsidRPr="00927778">
              <w:rPr>
                <w:rFonts w:ascii="Arial" w:hAnsi="Arial" w:cs="Arial"/>
                <w:color w:val="333333"/>
                <w:sz w:val="22"/>
                <w:szCs w:val="20"/>
                <w:lang w:eastAsia="en-US"/>
              </w:rPr>
              <w:t xml:space="preserve">I dans les pays pilotes sélectionnés ont été nommés pour </w:t>
            </w:r>
            <w:r w:rsidR="009C0773" w:rsidRPr="00927778">
              <w:rPr>
                <w:rFonts w:ascii="Arial" w:hAnsi="Arial" w:cs="Arial"/>
                <w:color w:val="333333"/>
                <w:sz w:val="22"/>
                <w:szCs w:val="20"/>
                <w:lang w:eastAsia="en-US"/>
              </w:rPr>
              <w:t xml:space="preserve">piloter le processus </w:t>
            </w:r>
            <w:r w:rsidR="003B30CD" w:rsidRPr="00927778">
              <w:rPr>
                <w:rFonts w:ascii="Arial" w:hAnsi="Arial" w:cs="Arial"/>
                <w:color w:val="333333"/>
                <w:sz w:val="22"/>
                <w:szCs w:val="20"/>
                <w:lang w:eastAsia="en-US"/>
              </w:rPr>
              <w:t>ainsi que</w:t>
            </w:r>
            <w:r w:rsidR="009C0773" w:rsidRPr="00927778">
              <w:rPr>
                <w:rFonts w:ascii="Arial" w:hAnsi="Arial" w:cs="Arial"/>
                <w:color w:val="333333"/>
                <w:sz w:val="22"/>
                <w:szCs w:val="20"/>
                <w:lang w:eastAsia="en-US"/>
              </w:rPr>
              <w:t xml:space="preserve"> recenser et évaluer les expériences</w:t>
            </w:r>
            <w:r w:rsidR="00EA2C86" w:rsidRPr="00927778">
              <w:rPr>
                <w:rFonts w:ascii="Arial" w:hAnsi="Arial" w:cs="Arial"/>
                <w:color w:val="333333"/>
                <w:sz w:val="22"/>
                <w:szCs w:val="20"/>
                <w:lang w:eastAsia="en-US"/>
              </w:rPr>
              <w:t xml:space="preserve"> des CAT</w:t>
            </w:r>
            <w:r w:rsidR="009C0773" w:rsidRPr="00927778">
              <w:rPr>
                <w:rFonts w:ascii="Arial" w:hAnsi="Arial" w:cs="Arial"/>
                <w:color w:val="333333"/>
                <w:sz w:val="22"/>
                <w:szCs w:val="20"/>
                <w:lang w:eastAsia="en-US"/>
              </w:rPr>
              <w:t xml:space="preserve">I </w:t>
            </w:r>
            <w:r w:rsidR="003B30CD" w:rsidRPr="00927778">
              <w:rPr>
                <w:rFonts w:ascii="Arial" w:hAnsi="Arial" w:cs="Arial"/>
                <w:color w:val="333333"/>
                <w:sz w:val="22"/>
                <w:szCs w:val="20"/>
                <w:lang w:eastAsia="en-US"/>
              </w:rPr>
              <w:t>appliquant</w:t>
            </w:r>
            <w:r w:rsidR="009C0773" w:rsidRPr="00927778">
              <w:rPr>
                <w:rFonts w:ascii="Arial" w:hAnsi="Arial" w:cs="Arial"/>
                <w:color w:val="333333"/>
                <w:sz w:val="22"/>
                <w:szCs w:val="20"/>
                <w:lang w:eastAsia="en-US"/>
              </w:rPr>
              <w:t xml:space="preserve"> les guid</w:t>
            </w:r>
            <w:r w:rsidR="00306E74" w:rsidRPr="00927778">
              <w:rPr>
                <w:rFonts w:ascii="Arial" w:hAnsi="Arial" w:cs="Arial"/>
                <w:color w:val="333333"/>
                <w:sz w:val="22"/>
                <w:szCs w:val="20"/>
                <w:lang w:eastAsia="en-US"/>
              </w:rPr>
              <w:t xml:space="preserve">es.  À </w:t>
            </w:r>
            <w:r w:rsidR="009C0773" w:rsidRPr="00927778">
              <w:rPr>
                <w:rFonts w:ascii="Arial" w:hAnsi="Arial" w:cs="Arial"/>
                <w:color w:val="333333"/>
                <w:sz w:val="22"/>
                <w:szCs w:val="20"/>
                <w:lang w:eastAsia="en-US"/>
              </w:rPr>
              <w:t xml:space="preserve">cette fin, ils ont utilisé une méthode fondée sur le modèle de Kirkpatrick, </w:t>
            </w:r>
            <w:r w:rsidR="00EA2C86" w:rsidRPr="00927778">
              <w:rPr>
                <w:rFonts w:ascii="Arial" w:hAnsi="Arial" w:cs="Arial"/>
                <w:color w:val="333333"/>
                <w:sz w:val="22"/>
                <w:szCs w:val="20"/>
                <w:lang w:eastAsia="en-US"/>
              </w:rPr>
              <w:t>à savoir</w:t>
            </w:r>
            <w:r w:rsidR="003B30CD" w:rsidRPr="00927778">
              <w:rPr>
                <w:rFonts w:ascii="Arial" w:hAnsi="Arial" w:cs="Arial"/>
                <w:color w:val="333333"/>
                <w:sz w:val="22"/>
                <w:szCs w:val="20"/>
                <w:lang w:eastAsia="en-US"/>
              </w:rPr>
              <w:t xml:space="preserve"> </w:t>
            </w:r>
            <w:r w:rsidR="009C0773" w:rsidRPr="00927778">
              <w:rPr>
                <w:rFonts w:ascii="Arial" w:hAnsi="Arial" w:cs="Arial"/>
                <w:color w:val="333333"/>
                <w:sz w:val="22"/>
                <w:szCs w:val="20"/>
                <w:lang w:eastAsia="en-US"/>
              </w:rPr>
              <w:t>un modèle d</w:t>
            </w:r>
            <w:r w:rsidR="00EA2C86" w:rsidRPr="00927778">
              <w:rPr>
                <w:rFonts w:ascii="Arial" w:hAnsi="Arial" w:cs="Arial"/>
                <w:color w:val="333333"/>
                <w:sz w:val="22"/>
                <w:szCs w:val="20"/>
                <w:lang w:eastAsia="en-US"/>
              </w:rPr>
              <w:t>’</w:t>
            </w:r>
            <w:r w:rsidR="009C0773" w:rsidRPr="00927778">
              <w:rPr>
                <w:rFonts w:ascii="Arial" w:hAnsi="Arial" w:cs="Arial"/>
                <w:color w:val="333333"/>
                <w:sz w:val="22"/>
                <w:szCs w:val="20"/>
                <w:lang w:eastAsia="en-US"/>
              </w:rPr>
              <w:t xml:space="preserve">évaluation des formations </w:t>
            </w:r>
            <w:r w:rsidR="003B30CD" w:rsidRPr="00927778">
              <w:rPr>
                <w:rFonts w:ascii="Arial" w:hAnsi="Arial" w:cs="Arial"/>
                <w:color w:val="333333"/>
                <w:sz w:val="22"/>
                <w:szCs w:val="20"/>
                <w:lang w:eastAsia="en-US"/>
              </w:rPr>
              <w:t>prenant en compte quatre</w:t>
            </w:r>
            <w:r w:rsidR="0057466D" w:rsidRPr="00927778">
              <w:rPr>
                <w:rFonts w:ascii="Arial" w:hAnsi="Arial" w:cs="Arial"/>
                <w:color w:val="333333"/>
                <w:sz w:val="22"/>
                <w:szCs w:val="20"/>
                <w:lang w:eastAsia="en-US"/>
              </w:rPr>
              <w:t> </w:t>
            </w:r>
            <w:r w:rsidR="00C65887" w:rsidRPr="00927778">
              <w:rPr>
                <w:rFonts w:ascii="Arial" w:hAnsi="Arial" w:cs="Arial"/>
                <w:color w:val="333333"/>
                <w:sz w:val="22"/>
                <w:szCs w:val="20"/>
                <w:lang w:eastAsia="en-US"/>
              </w:rPr>
              <w:t xml:space="preserve">critères </w:t>
            </w:r>
            <w:r w:rsidR="003B30CD" w:rsidRPr="00927778">
              <w:rPr>
                <w:rFonts w:ascii="Arial" w:hAnsi="Arial" w:cs="Arial"/>
                <w:color w:val="333333"/>
                <w:sz w:val="22"/>
                <w:szCs w:val="20"/>
                <w:lang w:eastAsia="en-US"/>
              </w:rPr>
              <w:t>qui sont la</w:t>
            </w:r>
            <w:r w:rsidR="00C65887" w:rsidRPr="00927778">
              <w:rPr>
                <w:rFonts w:ascii="Arial" w:hAnsi="Arial" w:cs="Arial"/>
                <w:color w:val="333333"/>
                <w:sz w:val="22"/>
                <w:szCs w:val="20"/>
                <w:lang w:eastAsia="en-US"/>
              </w:rPr>
              <w:t xml:space="preserve"> satisfaction</w:t>
            </w:r>
            <w:r w:rsidR="003B30CD" w:rsidRPr="00927778">
              <w:rPr>
                <w:rFonts w:ascii="Arial" w:hAnsi="Arial" w:cs="Arial"/>
                <w:color w:val="333333"/>
                <w:sz w:val="22"/>
                <w:szCs w:val="20"/>
                <w:lang w:eastAsia="en-US"/>
              </w:rPr>
              <w:t>, l</w:t>
            </w:r>
            <w:r w:rsidR="00EA2C86" w:rsidRPr="00927778">
              <w:rPr>
                <w:rFonts w:ascii="Arial" w:hAnsi="Arial" w:cs="Arial"/>
                <w:color w:val="333333"/>
                <w:sz w:val="22"/>
                <w:szCs w:val="20"/>
                <w:lang w:eastAsia="en-US"/>
              </w:rPr>
              <w:t>’</w:t>
            </w:r>
            <w:r w:rsidR="00C65887" w:rsidRPr="00927778">
              <w:rPr>
                <w:rFonts w:ascii="Arial" w:hAnsi="Arial" w:cs="Arial"/>
                <w:color w:val="333333"/>
                <w:sz w:val="22"/>
                <w:szCs w:val="20"/>
                <w:lang w:eastAsia="en-US"/>
              </w:rPr>
              <w:t xml:space="preserve">efficacité, </w:t>
            </w:r>
            <w:r w:rsidR="003B30CD" w:rsidRPr="00927778">
              <w:rPr>
                <w:rFonts w:ascii="Arial" w:hAnsi="Arial" w:cs="Arial"/>
                <w:color w:val="333333"/>
                <w:sz w:val="22"/>
                <w:szCs w:val="20"/>
                <w:lang w:eastAsia="en-US"/>
              </w:rPr>
              <w:t>la</w:t>
            </w:r>
            <w:r w:rsidR="00C65887" w:rsidRPr="00927778">
              <w:rPr>
                <w:rFonts w:ascii="Arial" w:hAnsi="Arial" w:cs="Arial"/>
                <w:color w:val="333333"/>
                <w:sz w:val="22"/>
                <w:szCs w:val="20"/>
                <w:lang w:eastAsia="en-US"/>
              </w:rPr>
              <w:t xml:space="preserve"> pertinence et </w:t>
            </w:r>
            <w:r w:rsidR="003B30CD" w:rsidRPr="00927778">
              <w:rPr>
                <w:rFonts w:ascii="Arial" w:hAnsi="Arial" w:cs="Arial"/>
                <w:color w:val="333333"/>
                <w:sz w:val="22"/>
                <w:szCs w:val="20"/>
                <w:lang w:eastAsia="en-US"/>
              </w:rPr>
              <w:t>l</w:t>
            </w:r>
            <w:r w:rsidR="00EA2C86" w:rsidRPr="00927778">
              <w:rPr>
                <w:rFonts w:ascii="Arial" w:hAnsi="Arial" w:cs="Arial"/>
                <w:color w:val="333333"/>
                <w:sz w:val="22"/>
                <w:szCs w:val="20"/>
                <w:lang w:eastAsia="en-US"/>
              </w:rPr>
              <w:t>’</w:t>
            </w:r>
            <w:r w:rsidR="00C65887" w:rsidRPr="00927778">
              <w:rPr>
                <w:rFonts w:ascii="Arial" w:hAnsi="Arial" w:cs="Arial"/>
                <w:color w:val="333333"/>
                <w:sz w:val="22"/>
                <w:szCs w:val="20"/>
                <w:lang w:eastAsia="en-US"/>
              </w:rPr>
              <w:t>incidence</w:t>
            </w:r>
            <w:r w:rsidR="003B30CD" w:rsidRPr="00927778">
              <w:rPr>
                <w:rFonts w:ascii="Arial" w:hAnsi="Arial" w:cs="Arial"/>
                <w:color w:val="333333"/>
                <w:sz w:val="22"/>
                <w:szCs w:val="20"/>
                <w:lang w:eastAsia="en-US"/>
              </w:rPr>
              <w:t>,</w:t>
            </w:r>
            <w:r w:rsidR="00C65887" w:rsidRPr="00927778">
              <w:rPr>
                <w:rFonts w:ascii="Arial" w:hAnsi="Arial" w:cs="Arial"/>
                <w:color w:val="333333"/>
                <w:sz w:val="22"/>
                <w:szCs w:val="20"/>
                <w:lang w:eastAsia="en-US"/>
              </w:rPr>
              <w:t xml:space="preserve"> afin </w:t>
            </w:r>
            <w:r w:rsidR="003B30CD" w:rsidRPr="00927778">
              <w:rPr>
                <w:rFonts w:ascii="Arial" w:hAnsi="Arial" w:cs="Arial"/>
                <w:color w:val="333333"/>
                <w:sz w:val="22"/>
                <w:szCs w:val="20"/>
                <w:lang w:eastAsia="en-US"/>
              </w:rPr>
              <w:t>d</w:t>
            </w:r>
            <w:r w:rsidR="00EA2C86" w:rsidRPr="00927778">
              <w:rPr>
                <w:rFonts w:ascii="Arial" w:hAnsi="Arial" w:cs="Arial"/>
                <w:color w:val="333333"/>
                <w:sz w:val="22"/>
                <w:szCs w:val="20"/>
                <w:lang w:eastAsia="en-US"/>
              </w:rPr>
              <w:t>’</w:t>
            </w:r>
            <w:r w:rsidR="003B30CD" w:rsidRPr="00927778">
              <w:rPr>
                <w:rFonts w:ascii="Arial" w:hAnsi="Arial" w:cs="Arial"/>
                <w:color w:val="333333"/>
                <w:sz w:val="22"/>
                <w:szCs w:val="20"/>
                <w:lang w:eastAsia="en-US"/>
              </w:rPr>
              <w:t>examiner</w:t>
            </w:r>
            <w:r w:rsidR="00C65887" w:rsidRPr="00927778">
              <w:rPr>
                <w:rFonts w:ascii="Arial" w:hAnsi="Arial" w:cs="Arial"/>
                <w:color w:val="333333"/>
                <w:sz w:val="22"/>
                <w:szCs w:val="20"/>
                <w:lang w:eastAsia="en-US"/>
              </w:rPr>
              <w:t xml:space="preserve"> certains aspects spécifiques des expériences</w:t>
            </w:r>
            <w:r w:rsidR="00EA2C86" w:rsidRPr="00927778">
              <w:rPr>
                <w:rFonts w:ascii="Arial" w:hAnsi="Arial" w:cs="Arial"/>
                <w:color w:val="333333"/>
                <w:sz w:val="22"/>
                <w:szCs w:val="20"/>
                <w:lang w:eastAsia="en-US"/>
              </w:rPr>
              <w:t xml:space="preserve"> des CAT</w:t>
            </w:r>
            <w:r w:rsidR="00C65887" w:rsidRPr="00927778">
              <w:rPr>
                <w:rFonts w:ascii="Arial" w:hAnsi="Arial" w:cs="Arial"/>
                <w:color w:val="333333"/>
                <w:sz w:val="22"/>
                <w:szCs w:val="20"/>
                <w:lang w:eastAsia="en-US"/>
              </w:rPr>
              <w:t>I.</w:t>
            </w:r>
          </w:p>
          <w:p w:rsidR="005E6718" w:rsidRPr="00927778" w:rsidRDefault="005E6718" w:rsidP="00C3651B">
            <w:pPr>
              <w:pStyle w:val="NormalWeb"/>
              <w:spacing w:before="0" w:beforeAutospacing="0" w:after="0" w:afterAutospacing="0"/>
              <w:rPr>
                <w:rFonts w:ascii="Arial" w:hAnsi="Arial" w:cs="Arial"/>
                <w:color w:val="333333"/>
                <w:sz w:val="22"/>
                <w:szCs w:val="20"/>
                <w:lang w:eastAsia="en-US"/>
              </w:rPr>
            </w:pPr>
          </w:p>
          <w:p w:rsidR="00EA2C86" w:rsidRPr="00927778" w:rsidRDefault="00C65887" w:rsidP="00C3651B">
            <w:pPr>
              <w:pStyle w:val="NormalWeb"/>
              <w:spacing w:before="0" w:beforeAutospacing="0" w:after="0" w:afterAutospacing="0"/>
              <w:rPr>
                <w:rFonts w:ascii="Arial" w:hAnsi="Arial" w:cs="Arial"/>
                <w:color w:val="333333"/>
                <w:sz w:val="22"/>
                <w:szCs w:val="20"/>
                <w:lang w:eastAsia="en-US"/>
              </w:rPr>
            </w:pPr>
            <w:r w:rsidRPr="00927778">
              <w:rPr>
                <w:rFonts w:ascii="Arial" w:hAnsi="Arial" w:cs="Arial"/>
                <w:color w:val="333333"/>
                <w:sz w:val="22"/>
                <w:szCs w:val="20"/>
                <w:lang w:eastAsia="en-US"/>
              </w:rPr>
              <w:t>Le processus de pilotage d</w:t>
            </w:r>
            <w:r w:rsidR="00EA2C86" w:rsidRPr="00927778">
              <w:rPr>
                <w:rFonts w:ascii="Arial" w:hAnsi="Arial" w:cs="Arial"/>
                <w:color w:val="333333"/>
                <w:sz w:val="22"/>
                <w:szCs w:val="20"/>
                <w:lang w:eastAsia="en-US"/>
              </w:rPr>
              <w:t>’</w:t>
            </w:r>
            <w:r w:rsidRPr="00927778">
              <w:rPr>
                <w:rFonts w:ascii="Arial" w:hAnsi="Arial" w:cs="Arial"/>
                <w:color w:val="333333"/>
                <w:sz w:val="22"/>
                <w:szCs w:val="20"/>
                <w:lang w:eastAsia="en-US"/>
              </w:rPr>
              <w:t>une durée de six</w:t>
            </w:r>
            <w:r w:rsidR="0057466D" w:rsidRPr="00927778">
              <w:rPr>
                <w:rFonts w:ascii="Arial" w:hAnsi="Arial" w:cs="Arial"/>
                <w:color w:val="333333"/>
                <w:sz w:val="22"/>
                <w:szCs w:val="20"/>
                <w:lang w:eastAsia="en-US"/>
              </w:rPr>
              <w:t> </w:t>
            </w:r>
            <w:r w:rsidRPr="00927778">
              <w:rPr>
                <w:rFonts w:ascii="Arial" w:hAnsi="Arial" w:cs="Arial"/>
                <w:color w:val="333333"/>
                <w:sz w:val="22"/>
                <w:szCs w:val="20"/>
                <w:lang w:eastAsia="en-US"/>
              </w:rPr>
              <w:t xml:space="preserve">mois (de juillet à </w:t>
            </w:r>
            <w:r w:rsidR="00EA2C86" w:rsidRPr="00927778">
              <w:rPr>
                <w:rFonts w:ascii="Arial" w:hAnsi="Arial" w:cs="Arial"/>
                <w:color w:val="333333"/>
                <w:sz w:val="22"/>
                <w:szCs w:val="20"/>
                <w:lang w:eastAsia="en-US"/>
              </w:rPr>
              <w:t>décembre 20</w:t>
            </w:r>
            <w:r w:rsidRPr="00927778">
              <w:rPr>
                <w:rFonts w:ascii="Arial" w:hAnsi="Arial" w:cs="Arial"/>
                <w:color w:val="333333"/>
                <w:sz w:val="22"/>
                <w:szCs w:val="20"/>
                <w:lang w:eastAsia="en-US"/>
              </w:rPr>
              <w:t>17) a débuté par une réunion</w:t>
            </w:r>
            <w:r w:rsidR="00A90710" w:rsidRPr="00927778">
              <w:rPr>
                <w:rFonts w:ascii="Arial" w:hAnsi="Arial" w:cs="Arial"/>
                <w:color w:val="333333"/>
                <w:sz w:val="22"/>
                <w:szCs w:val="20"/>
                <w:lang w:eastAsia="en-US"/>
              </w:rPr>
              <w:t>,</w:t>
            </w:r>
            <w:r w:rsidRPr="00927778">
              <w:rPr>
                <w:rFonts w:ascii="Arial" w:hAnsi="Arial" w:cs="Arial"/>
                <w:color w:val="333333"/>
                <w:sz w:val="22"/>
                <w:szCs w:val="20"/>
                <w:lang w:eastAsia="en-US"/>
              </w:rPr>
              <w:t xml:space="preserve"> </w:t>
            </w:r>
            <w:r w:rsidR="00B37489" w:rsidRPr="00927778">
              <w:rPr>
                <w:rFonts w:ascii="Arial" w:hAnsi="Arial" w:cs="Arial"/>
                <w:color w:val="333333"/>
                <w:sz w:val="22"/>
                <w:szCs w:val="20"/>
                <w:lang w:eastAsia="en-US"/>
              </w:rPr>
              <w:t xml:space="preserve">qui a </w:t>
            </w:r>
            <w:r w:rsidR="000B3A6A" w:rsidRPr="00927778">
              <w:rPr>
                <w:rFonts w:ascii="Arial" w:hAnsi="Arial" w:cs="Arial"/>
                <w:color w:val="333333"/>
                <w:sz w:val="22"/>
                <w:szCs w:val="20"/>
                <w:lang w:eastAsia="en-US"/>
              </w:rPr>
              <w:t>rassemblé</w:t>
            </w:r>
            <w:r w:rsidR="00B37489" w:rsidRPr="00927778">
              <w:rPr>
                <w:rFonts w:ascii="Arial" w:hAnsi="Arial" w:cs="Arial"/>
                <w:color w:val="333333"/>
                <w:sz w:val="22"/>
                <w:szCs w:val="20"/>
                <w:lang w:eastAsia="en-US"/>
              </w:rPr>
              <w:t xml:space="preserve"> à Genève les 25 et 2</w:t>
            </w:r>
            <w:r w:rsidR="00EA2C86" w:rsidRPr="00927778">
              <w:rPr>
                <w:rFonts w:ascii="Arial" w:hAnsi="Arial" w:cs="Arial"/>
                <w:color w:val="333333"/>
                <w:sz w:val="22"/>
                <w:szCs w:val="20"/>
                <w:lang w:eastAsia="en-US"/>
              </w:rPr>
              <w:t>6 juillet 20</w:t>
            </w:r>
            <w:r w:rsidR="00B37489" w:rsidRPr="00927778">
              <w:rPr>
                <w:rFonts w:ascii="Arial" w:hAnsi="Arial" w:cs="Arial"/>
                <w:color w:val="333333"/>
                <w:sz w:val="22"/>
                <w:szCs w:val="20"/>
                <w:lang w:eastAsia="en-US"/>
              </w:rPr>
              <w:t>17 les deux</w:t>
            </w:r>
            <w:r w:rsidR="0057466D" w:rsidRPr="00927778">
              <w:rPr>
                <w:rFonts w:ascii="Arial" w:hAnsi="Arial" w:cs="Arial"/>
                <w:color w:val="333333"/>
                <w:sz w:val="22"/>
                <w:szCs w:val="20"/>
                <w:lang w:eastAsia="en-US"/>
              </w:rPr>
              <w:t> </w:t>
            </w:r>
            <w:r w:rsidR="00B37489" w:rsidRPr="00927778">
              <w:rPr>
                <w:rFonts w:ascii="Arial" w:hAnsi="Arial" w:cs="Arial"/>
                <w:color w:val="333333"/>
                <w:sz w:val="22"/>
                <w:szCs w:val="20"/>
                <w:lang w:eastAsia="en-US"/>
              </w:rPr>
              <w:t xml:space="preserve">principaux experts </w:t>
            </w:r>
            <w:r w:rsidR="00B91C8D" w:rsidRPr="00927778">
              <w:rPr>
                <w:rFonts w:ascii="Arial" w:hAnsi="Arial" w:cs="Arial"/>
                <w:color w:val="333333"/>
                <w:sz w:val="22"/>
                <w:szCs w:val="20"/>
                <w:lang w:eastAsia="en-US"/>
              </w:rPr>
              <w:t>du domaine</w:t>
            </w:r>
            <w:r w:rsidR="00B37489" w:rsidRPr="00927778">
              <w:rPr>
                <w:rFonts w:ascii="Arial" w:hAnsi="Arial" w:cs="Arial"/>
                <w:color w:val="333333"/>
                <w:sz w:val="22"/>
                <w:szCs w:val="20"/>
                <w:lang w:eastAsia="en-US"/>
              </w:rPr>
              <w:t xml:space="preserve"> et les </w:t>
            </w:r>
            <w:r w:rsidR="00C111BE" w:rsidRPr="00927778">
              <w:rPr>
                <w:rFonts w:ascii="Arial" w:hAnsi="Arial" w:cs="Arial"/>
                <w:color w:val="333333"/>
                <w:sz w:val="22"/>
                <w:szCs w:val="20"/>
                <w:lang w:eastAsia="en-US"/>
              </w:rPr>
              <w:t>sept</w:t>
            </w:r>
            <w:r w:rsidR="0057466D" w:rsidRPr="00927778">
              <w:rPr>
                <w:rFonts w:ascii="Arial" w:hAnsi="Arial" w:cs="Arial"/>
                <w:color w:val="333333"/>
                <w:sz w:val="22"/>
                <w:szCs w:val="20"/>
                <w:lang w:eastAsia="en-US"/>
              </w:rPr>
              <w:t> </w:t>
            </w:r>
            <w:r w:rsidR="00B37489" w:rsidRPr="00927778">
              <w:rPr>
                <w:rFonts w:ascii="Arial" w:hAnsi="Arial" w:cs="Arial"/>
                <w:color w:val="333333"/>
                <w:sz w:val="22"/>
                <w:szCs w:val="20"/>
                <w:lang w:eastAsia="en-US"/>
              </w:rPr>
              <w:t>experts des pays</w:t>
            </w:r>
            <w:r w:rsidR="00A90710" w:rsidRPr="00927778">
              <w:rPr>
                <w:rFonts w:ascii="Arial" w:hAnsi="Arial" w:cs="Arial"/>
                <w:color w:val="333333"/>
                <w:sz w:val="22"/>
                <w:szCs w:val="20"/>
                <w:lang w:eastAsia="en-US"/>
              </w:rPr>
              <w:t>,</w:t>
            </w:r>
            <w:r w:rsidR="00B37489" w:rsidRPr="00927778">
              <w:rPr>
                <w:rFonts w:ascii="Arial" w:hAnsi="Arial" w:cs="Arial"/>
                <w:color w:val="333333"/>
                <w:sz w:val="22"/>
                <w:szCs w:val="20"/>
                <w:lang w:eastAsia="en-US"/>
              </w:rPr>
              <w:t xml:space="preserve"> afin qu</w:t>
            </w:r>
            <w:r w:rsidR="00EA2C86" w:rsidRPr="00927778">
              <w:rPr>
                <w:rFonts w:ascii="Arial" w:hAnsi="Arial" w:cs="Arial"/>
                <w:color w:val="333333"/>
                <w:sz w:val="22"/>
                <w:szCs w:val="20"/>
                <w:lang w:eastAsia="en-US"/>
              </w:rPr>
              <w:t>’</w:t>
            </w:r>
            <w:r w:rsidR="00B37489" w:rsidRPr="00927778">
              <w:rPr>
                <w:rFonts w:ascii="Arial" w:hAnsi="Arial" w:cs="Arial"/>
                <w:color w:val="333333"/>
                <w:sz w:val="22"/>
                <w:szCs w:val="20"/>
                <w:lang w:eastAsia="en-US"/>
              </w:rPr>
              <w:t xml:space="preserve">ils déterminent le contenu des guides </w:t>
            </w:r>
            <w:r w:rsidR="00A90710" w:rsidRPr="00927778">
              <w:rPr>
                <w:rFonts w:ascii="Arial" w:hAnsi="Arial" w:cs="Arial"/>
                <w:color w:val="333333"/>
                <w:sz w:val="22"/>
                <w:szCs w:val="20"/>
                <w:lang w:eastAsia="en-US"/>
              </w:rPr>
              <w:t>ainsi qu</w:t>
            </w:r>
            <w:r w:rsidR="00EA2C86" w:rsidRPr="00927778">
              <w:rPr>
                <w:rFonts w:ascii="Arial" w:hAnsi="Arial" w:cs="Arial"/>
                <w:color w:val="333333"/>
                <w:sz w:val="22"/>
                <w:szCs w:val="20"/>
                <w:lang w:eastAsia="en-US"/>
              </w:rPr>
              <w:t>’</w:t>
            </w:r>
            <w:r w:rsidR="00A90710" w:rsidRPr="00927778">
              <w:rPr>
                <w:rFonts w:ascii="Arial" w:hAnsi="Arial" w:cs="Arial"/>
                <w:color w:val="333333"/>
                <w:sz w:val="22"/>
                <w:szCs w:val="20"/>
                <w:lang w:eastAsia="en-US"/>
              </w:rPr>
              <w:t>une façon</w:t>
            </w:r>
            <w:r w:rsidR="000B3A6A" w:rsidRPr="00927778">
              <w:rPr>
                <w:rFonts w:ascii="Arial" w:hAnsi="Arial" w:cs="Arial"/>
                <w:color w:val="333333"/>
                <w:sz w:val="22"/>
                <w:szCs w:val="20"/>
                <w:lang w:eastAsia="en-US"/>
              </w:rPr>
              <w:t xml:space="preserve"> efficace et homogène d</w:t>
            </w:r>
            <w:r w:rsidR="00A90710" w:rsidRPr="00927778">
              <w:rPr>
                <w:rFonts w:ascii="Arial" w:hAnsi="Arial" w:cs="Arial"/>
                <w:color w:val="333333"/>
                <w:sz w:val="22"/>
                <w:szCs w:val="20"/>
                <w:lang w:eastAsia="en-US"/>
              </w:rPr>
              <w:t>e procéder a</w:t>
            </w:r>
            <w:r w:rsidR="000B3A6A" w:rsidRPr="00927778">
              <w:rPr>
                <w:rFonts w:ascii="Arial" w:hAnsi="Arial" w:cs="Arial"/>
                <w:color w:val="333333"/>
                <w:sz w:val="22"/>
                <w:szCs w:val="20"/>
                <w:lang w:eastAsia="en-US"/>
              </w:rPr>
              <w:t>u pilotage dans chac</w:t>
            </w:r>
            <w:r w:rsidR="00A90710" w:rsidRPr="00927778">
              <w:rPr>
                <w:rFonts w:ascii="Arial" w:hAnsi="Arial" w:cs="Arial"/>
                <w:color w:val="333333"/>
                <w:sz w:val="22"/>
                <w:szCs w:val="20"/>
                <w:lang w:eastAsia="en-US"/>
              </w:rPr>
              <w:t>un des pays sélectionn</w:t>
            </w:r>
            <w:r w:rsidR="00306E74" w:rsidRPr="00927778">
              <w:rPr>
                <w:rFonts w:ascii="Arial" w:hAnsi="Arial" w:cs="Arial"/>
                <w:color w:val="333333"/>
                <w:sz w:val="22"/>
                <w:szCs w:val="20"/>
                <w:lang w:eastAsia="en-US"/>
              </w:rPr>
              <w:t>és.  Le</w:t>
            </w:r>
            <w:r w:rsidR="008F3DEF" w:rsidRPr="00927778">
              <w:rPr>
                <w:rFonts w:ascii="Arial" w:hAnsi="Arial" w:cs="Arial"/>
                <w:color w:val="333333"/>
                <w:sz w:val="22"/>
                <w:szCs w:val="20"/>
                <w:lang w:eastAsia="en-US"/>
              </w:rPr>
              <w:t xml:space="preserve"> pilotage dans les neuf</w:t>
            </w:r>
            <w:r w:rsidR="0057466D" w:rsidRPr="00927778">
              <w:rPr>
                <w:rFonts w:ascii="Arial" w:hAnsi="Arial" w:cs="Arial"/>
                <w:color w:val="333333"/>
                <w:sz w:val="22"/>
                <w:szCs w:val="20"/>
                <w:lang w:eastAsia="en-US"/>
              </w:rPr>
              <w:t> </w:t>
            </w:r>
            <w:r w:rsidR="000B3A6A" w:rsidRPr="00927778">
              <w:rPr>
                <w:rFonts w:ascii="Arial" w:hAnsi="Arial" w:cs="Arial"/>
                <w:color w:val="333333"/>
                <w:sz w:val="22"/>
                <w:szCs w:val="20"/>
                <w:lang w:eastAsia="en-US"/>
              </w:rPr>
              <w:t xml:space="preserve">pays </w:t>
            </w:r>
            <w:r w:rsidR="00E0712E" w:rsidRPr="00927778">
              <w:rPr>
                <w:rFonts w:ascii="Arial" w:hAnsi="Arial" w:cs="Arial"/>
                <w:color w:val="333333"/>
                <w:sz w:val="22"/>
                <w:szCs w:val="20"/>
                <w:lang w:eastAsia="en-US"/>
              </w:rPr>
              <w:t xml:space="preserve">des travaux relatifs aux guides </w:t>
            </w:r>
            <w:r w:rsidR="000B3A6A" w:rsidRPr="00927778">
              <w:rPr>
                <w:rFonts w:ascii="Arial" w:hAnsi="Arial" w:cs="Arial"/>
                <w:color w:val="333333"/>
                <w:sz w:val="22"/>
                <w:szCs w:val="20"/>
                <w:lang w:eastAsia="en-US"/>
              </w:rPr>
              <w:t>a donné lieu à un certain nombre de recommandations visant à améliorer les gui</w:t>
            </w:r>
            <w:r w:rsidR="00E0712E" w:rsidRPr="00927778">
              <w:rPr>
                <w:rFonts w:ascii="Arial" w:hAnsi="Arial" w:cs="Arial"/>
                <w:color w:val="333333"/>
                <w:sz w:val="22"/>
                <w:szCs w:val="20"/>
                <w:lang w:eastAsia="en-US"/>
              </w:rPr>
              <w:t xml:space="preserve">des et à les adapter davantage </w:t>
            </w:r>
            <w:r w:rsidR="000B3A6A" w:rsidRPr="00927778">
              <w:rPr>
                <w:rFonts w:ascii="Arial" w:hAnsi="Arial" w:cs="Arial"/>
                <w:color w:val="333333"/>
                <w:sz w:val="22"/>
                <w:szCs w:val="20"/>
                <w:lang w:eastAsia="en-US"/>
              </w:rPr>
              <w:t>aux besoins et exp</w:t>
            </w:r>
            <w:r w:rsidR="00B91C8D" w:rsidRPr="00927778">
              <w:rPr>
                <w:rFonts w:ascii="Arial" w:hAnsi="Arial" w:cs="Arial"/>
                <w:color w:val="333333"/>
                <w:sz w:val="22"/>
                <w:szCs w:val="20"/>
                <w:lang w:eastAsia="en-US"/>
              </w:rPr>
              <w:t>é</w:t>
            </w:r>
            <w:r w:rsidR="000B3A6A" w:rsidRPr="00927778">
              <w:rPr>
                <w:rFonts w:ascii="Arial" w:hAnsi="Arial" w:cs="Arial"/>
                <w:color w:val="333333"/>
                <w:sz w:val="22"/>
                <w:szCs w:val="20"/>
                <w:lang w:eastAsia="en-US"/>
              </w:rPr>
              <w:t>riences</w:t>
            </w:r>
            <w:r w:rsidR="00EA2C86" w:rsidRPr="00927778">
              <w:rPr>
                <w:rFonts w:ascii="Arial" w:hAnsi="Arial" w:cs="Arial"/>
                <w:color w:val="333333"/>
                <w:sz w:val="22"/>
                <w:szCs w:val="20"/>
                <w:lang w:eastAsia="en-US"/>
              </w:rPr>
              <w:t xml:space="preserve"> des C</w:t>
            </w:r>
            <w:r w:rsidR="00306E74" w:rsidRPr="00927778">
              <w:rPr>
                <w:rFonts w:ascii="Arial" w:hAnsi="Arial" w:cs="Arial"/>
                <w:color w:val="333333"/>
                <w:sz w:val="22"/>
                <w:szCs w:val="20"/>
                <w:lang w:eastAsia="en-US"/>
              </w:rPr>
              <w:t>ATI.  Ce</w:t>
            </w:r>
            <w:r w:rsidR="00B91C8D" w:rsidRPr="00927778">
              <w:rPr>
                <w:rFonts w:ascii="Arial" w:hAnsi="Arial" w:cs="Arial"/>
                <w:color w:val="333333"/>
                <w:sz w:val="22"/>
                <w:szCs w:val="20"/>
                <w:lang w:eastAsia="en-US"/>
              </w:rPr>
              <w:t>s recommandations ont été passées en revue par les deux</w:t>
            </w:r>
            <w:r w:rsidR="0057466D" w:rsidRPr="00927778">
              <w:rPr>
                <w:rFonts w:ascii="Arial" w:hAnsi="Arial" w:cs="Arial"/>
                <w:color w:val="333333"/>
                <w:sz w:val="22"/>
                <w:szCs w:val="20"/>
                <w:lang w:eastAsia="en-US"/>
              </w:rPr>
              <w:t> </w:t>
            </w:r>
            <w:r w:rsidR="00B91C8D" w:rsidRPr="00927778">
              <w:rPr>
                <w:rFonts w:ascii="Arial" w:hAnsi="Arial" w:cs="Arial"/>
                <w:color w:val="333333"/>
                <w:sz w:val="22"/>
                <w:szCs w:val="20"/>
                <w:lang w:eastAsia="en-US"/>
              </w:rPr>
              <w:t xml:space="preserve">principaux experts du domaine </w:t>
            </w:r>
            <w:r w:rsidR="00E0712E" w:rsidRPr="00927778">
              <w:rPr>
                <w:rFonts w:ascii="Arial" w:hAnsi="Arial" w:cs="Arial"/>
                <w:color w:val="333333"/>
                <w:sz w:val="22"/>
                <w:szCs w:val="20"/>
                <w:lang w:eastAsia="en-US"/>
              </w:rPr>
              <w:t>en collaboration</w:t>
            </w:r>
            <w:r w:rsidR="00B91C8D" w:rsidRPr="00927778">
              <w:rPr>
                <w:rFonts w:ascii="Arial" w:hAnsi="Arial" w:cs="Arial"/>
                <w:color w:val="333333"/>
                <w:sz w:val="22"/>
                <w:szCs w:val="20"/>
                <w:lang w:eastAsia="en-US"/>
              </w:rPr>
              <w:t xml:space="preserve"> avec l</w:t>
            </w:r>
            <w:r w:rsidR="00EA2C86" w:rsidRPr="00927778">
              <w:rPr>
                <w:rFonts w:ascii="Arial" w:hAnsi="Arial" w:cs="Arial"/>
                <w:color w:val="333333"/>
                <w:sz w:val="22"/>
                <w:szCs w:val="20"/>
                <w:lang w:eastAsia="en-US"/>
              </w:rPr>
              <w:t>’</w:t>
            </w:r>
            <w:r w:rsidR="00B91C8D" w:rsidRPr="00927778">
              <w:rPr>
                <w:rFonts w:ascii="Arial" w:hAnsi="Arial" w:cs="Arial"/>
                <w:color w:val="333333"/>
                <w:sz w:val="22"/>
                <w:szCs w:val="20"/>
                <w:lang w:eastAsia="en-US"/>
              </w:rPr>
              <w:t xml:space="preserve">OMPI et ont été intégrées dans les </w:t>
            </w:r>
            <w:r w:rsidR="00E0712E" w:rsidRPr="00927778">
              <w:rPr>
                <w:rFonts w:ascii="Arial" w:hAnsi="Arial" w:cs="Arial"/>
                <w:color w:val="333333"/>
                <w:sz w:val="22"/>
                <w:szCs w:val="20"/>
                <w:lang w:eastAsia="en-US"/>
              </w:rPr>
              <w:t>versions</w:t>
            </w:r>
            <w:r w:rsidR="00B91C8D" w:rsidRPr="00927778">
              <w:rPr>
                <w:rFonts w:ascii="Arial" w:hAnsi="Arial" w:cs="Arial"/>
                <w:color w:val="333333"/>
                <w:sz w:val="22"/>
                <w:szCs w:val="20"/>
                <w:lang w:eastAsia="en-US"/>
              </w:rPr>
              <w:t xml:space="preserve"> révisé</w:t>
            </w:r>
            <w:r w:rsidR="00306E74" w:rsidRPr="00927778">
              <w:rPr>
                <w:rFonts w:ascii="Arial" w:hAnsi="Arial" w:cs="Arial"/>
                <w:color w:val="333333"/>
                <w:sz w:val="22"/>
                <w:szCs w:val="20"/>
                <w:lang w:eastAsia="en-US"/>
              </w:rPr>
              <w:t>es.  Un</w:t>
            </w:r>
            <w:r w:rsidR="00780865" w:rsidRPr="00927778">
              <w:rPr>
                <w:rFonts w:ascii="Arial" w:hAnsi="Arial" w:cs="Arial"/>
                <w:color w:val="333333"/>
                <w:sz w:val="22"/>
                <w:szCs w:val="20"/>
                <w:lang w:eastAsia="en-US"/>
              </w:rPr>
              <w:t xml:space="preserve"> expert en matière de développement de produits et de transfert de technologie </w:t>
            </w:r>
            <w:r w:rsidR="00CB4E43" w:rsidRPr="00927778">
              <w:rPr>
                <w:rFonts w:ascii="Arial" w:hAnsi="Arial" w:cs="Arial"/>
                <w:color w:val="333333"/>
                <w:sz w:val="22"/>
                <w:szCs w:val="20"/>
                <w:lang w:eastAsia="en-US"/>
              </w:rPr>
              <w:t xml:space="preserve">a également été sollicité afin </w:t>
            </w:r>
            <w:r w:rsidR="00780865" w:rsidRPr="00927778">
              <w:rPr>
                <w:rFonts w:ascii="Arial" w:hAnsi="Arial" w:cs="Arial"/>
                <w:color w:val="333333"/>
                <w:sz w:val="22"/>
                <w:szCs w:val="20"/>
                <w:lang w:eastAsia="en-US"/>
              </w:rPr>
              <w:t>de contribuer à la révision du guide sur l</w:t>
            </w:r>
            <w:r w:rsidR="00EA2C86" w:rsidRPr="00927778">
              <w:rPr>
                <w:rFonts w:ascii="Arial" w:hAnsi="Arial" w:cs="Arial"/>
                <w:color w:val="333333"/>
                <w:sz w:val="22"/>
                <w:szCs w:val="20"/>
                <w:lang w:eastAsia="en-US"/>
              </w:rPr>
              <w:t>’</w:t>
            </w:r>
            <w:r w:rsidR="00780865" w:rsidRPr="00927778">
              <w:rPr>
                <w:rFonts w:ascii="Arial" w:hAnsi="Arial" w:cs="Arial"/>
                <w:color w:val="333333"/>
                <w:sz w:val="22"/>
                <w:szCs w:val="20"/>
                <w:lang w:eastAsia="en-US"/>
              </w:rPr>
              <w:t>utilisation des inventions relevant du domaine public en tenant compte des remarques recueillies auprès des pays pilotes.</w:t>
            </w:r>
          </w:p>
          <w:p w:rsidR="005E6718" w:rsidRPr="00927778" w:rsidRDefault="005E6718" w:rsidP="00C3651B">
            <w:pPr>
              <w:pStyle w:val="NormalWeb"/>
              <w:spacing w:before="0" w:beforeAutospacing="0" w:after="0" w:afterAutospacing="0"/>
              <w:rPr>
                <w:rFonts w:ascii="Arial" w:hAnsi="Arial" w:cs="Arial"/>
                <w:color w:val="333333"/>
                <w:sz w:val="22"/>
                <w:szCs w:val="20"/>
                <w:lang w:eastAsia="en-US"/>
              </w:rPr>
            </w:pPr>
          </w:p>
          <w:p w:rsidR="00EA2C86" w:rsidRPr="00927778" w:rsidRDefault="00C111BE" w:rsidP="00C3651B">
            <w:pPr>
              <w:pStyle w:val="NormalWeb"/>
              <w:spacing w:before="0" w:beforeAutospacing="0" w:after="0" w:afterAutospacing="0"/>
              <w:rPr>
                <w:rFonts w:ascii="Arial" w:hAnsi="Arial" w:cs="Arial"/>
                <w:color w:val="333333"/>
                <w:sz w:val="22"/>
                <w:szCs w:val="20"/>
                <w:lang w:eastAsia="en-US"/>
              </w:rPr>
            </w:pPr>
            <w:r w:rsidRPr="00927778">
              <w:rPr>
                <w:rFonts w:ascii="Arial" w:hAnsi="Arial" w:cs="Arial"/>
                <w:color w:val="333333"/>
                <w:sz w:val="22"/>
                <w:szCs w:val="20"/>
                <w:lang w:eastAsia="en-US"/>
              </w:rPr>
              <w:t xml:space="preserve">La version </w:t>
            </w:r>
            <w:r w:rsidR="00CB4E43" w:rsidRPr="00927778">
              <w:rPr>
                <w:rFonts w:ascii="Arial" w:hAnsi="Arial" w:cs="Arial"/>
                <w:color w:val="333333"/>
                <w:sz w:val="22"/>
                <w:szCs w:val="20"/>
                <w:lang w:eastAsia="en-US"/>
              </w:rPr>
              <w:t xml:space="preserve">intégrale </w:t>
            </w:r>
            <w:r w:rsidRPr="00927778">
              <w:rPr>
                <w:rFonts w:ascii="Arial" w:hAnsi="Arial" w:cs="Arial"/>
                <w:color w:val="333333"/>
                <w:sz w:val="22"/>
                <w:szCs w:val="20"/>
                <w:lang w:eastAsia="en-US"/>
              </w:rPr>
              <w:t xml:space="preserve">finale du guide sur le recensement des inventions relevant du domaine public a été </w:t>
            </w:r>
            <w:r w:rsidR="00CB4E43" w:rsidRPr="00927778">
              <w:rPr>
                <w:rFonts w:ascii="Arial" w:hAnsi="Arial" w:cs="Arial"/>
                <w:color w:val="333333"/>
                <w:sz w:val="22"/>
                <w:szCs w:val="20"/>
                <w:lang w:eastAsia="en-US"/>
              </w:rPr>
              <w:t>achevée</w:t>
            </w:r>
            <w:r w:rsidRPr="00927778">
              <w:rPr>
                <w:rFonts w:ascii="Arial" w:hAnsi="Arial" w:cs="Arial"/>
                <w:color w:val="333333"/>
                <w:sz w:val="22"/>
                <w:szCs w:val="20"/>
                <w:lang w:eastAsia="en-US"/>
              </w:rPr>
              <w:t xml:space="preserve"> en </w:t>
            </w:r>
            <w:r w:rsidR="00EA2C86" w:rsidRPr="00927778">
              <w:rPr>
                <w:rFonts w:ascii="Arial" w:hAnsi="Arial" w:cs="Arial"/>
                <w:color w:val="333333"/>
                <w:sz w:val="22"/>
                <w:szCs w:val="20"/>
                <w:lang w:eastAsia="en-US"/>
              </w:rPr>
              <w:t>juin 20</w:t>
            </w:r>
            <w:r w:rsidRPr="00927778">
              <w:rPr>
                <w:rFonts w:ascii="Arial" w:hAnsi="Arial" w:cs="Arial"/>
                <w:color w:val="333333"/>
                <w:sz w:val="22"/>
                <w:szCs w:val="20"/>
                <w:lang w:eastAsia="en-US"/>
              </w:rPr>
              <w:t xml:space="preserve">18 tandis que </w:t>
            </w:r>
            <w:r w:rsidR="00CB4E43" w:rsidRPr="00927778">
              <w:rPr>
                <w:rFonts w:ascii="Arial" w:hAnsi="Arial" w:cs="Arial"/>
                <w:color w:val="333333"/>
                <w:sz w:val="22"/>
                <w:szCs w:val="20"/>
                <w:lang w:eastAsia="en-US"/>
              </w:rPr>
              <w:t>celle</w:t>
            </w:r>
            <w:r w:rsidRPr="00927778">
              <w:rPr>
                <w:rFonts w:ascii="Arial" w:hAnsi="Arial" w:cs="Arial"/>
                <w:color w:val="333333"/>
                <w:sz w:val="22"/>
                <w:szCs w:val="20"/>
                <w:lang w:eastAsia="en-US"/>
              </w:rPr>
              <w:t xml:space="preserve"> du guide sur l</w:t>
            </w:r>
            <w:r w:rsidR="00EA2C86" w:rsidRPr="00927778">
              <w:rPr>
                <w:rFonts w:ascii="Arial" w:hAnsi="Arial" w:cs="Arial"/>
                <w:color w:val="333333"/>
                <w:sz w:val="22"/>
                <w:szCs w:val="20"/>
                <w:lang w:eastAsia="en-US"/>
              </w:rPr>
              <w:t>’</w:t>
            </w:r>
            <w:r w:rsidRPr="00927778">
              <w:rPr>
                <w:rFonts w:ascii="Arial" w:hAnsi="Arial" w:cs="Arial"/>
                <w:color w:val="333333"/>
                <w:sz w:val="22"/>
                <w:szCs w:val="20"/>
                <w:lang w:eastAsia="en-US"/>
              </w:rPr>
              <w:t xml:space="preserve">utilisation des inventions relevant du domaine public </w:t>
            </w:r>
            <w:r w:rsidR="00CB4E43" w:rsidRPr="00927778">
              <w:rPr>
                <w:rFonts w:ascii="Arial" w:hAnsi="Arial" w:cs="Arial"/>
                <w:color w:val="333333"/>
                <w:sz w:val="22"/>
                <w:szCs w:val="20"/>
                <w:lang w:eastAsia="en-US"/>
              </w:rPr>
              <w:t>l</w:t>
            </w:r>
            <w:r w:rsidR="00EA2C86" w:rsidRPr="00927778">
              <w:rPr>
                <w:rFonts w:ascii="Arial" w:hAnsi="Arial" w:cs="Arial"/>
                <w:color w:val="333333"/>
                <w:sz w:val="22"/>
                <w:szCs w:val="20"/>
                <w:lang w:eastAsia="en-US"/>
              </w:rPr>
              <w:t>’</w:t>
            </w:r>
            <w:r w:rsidRPr="00927778">
              <w:rPr>
                <w:rFonts w:ascii="Arial" w:hAnsi="Arial" w:cs="Arial"/>
                <w:color w:val="333333"/>
                <w:sz w:val="22"/>
                <w:szCs w:val="20"/>
                <w:lang w:eastAsia="en-US"/>
              </w:rPr>
              <w:t xml:space="preserve">a été en </w:t>
            </w:r>
            <w:r w:rsidR="00EA2C86" w:rsidRPr="00927778">
              <w:rPr>
                <w:rFonts w:ascii="Arial" w:hAnsi="Arial" w:cs="Arial"/>
                <w:color w:val="333333"/>
                <w:sz w:val="22"/>
                <w:szCs w:val="20"/>
                <w:lang w:eastAsia="en-US"/>
              </w:rPr>
              <w:t>juillet 20</w:t>
            </w:r>
            <w:r w:rsidRPr="00927778">
              <w:rPr>
                <w:rFonts w:ascii="Arial" w:hAnsi="Arial" w:cs="Arial"/>
                <w:color w:val="333333"/>
                <w:sz w:val="22"/>
                <w:szCs w:val="20"/>
                <w:lang w:eastAsia="en-US"/>
              </w:rPr>
              <w:t xml:space="preserve">18. </w:t>
            </w:r>
            <w:r w:rsidR="0057466D" w:rsidRPr="00927778">
              <w:rPr>
                <w:rFonts w:ascii="Arial" w:hAnsi="Arial" w:cs="Arial"/>
                <w:color w:val="333333"/>
                <w:sz w:val="22"/>
                <w:szCs w:val="20"/>
                <w:lang w:eastAsia="en-US"/>
              </w:rPr>
              <w:t xml:space="preserve"> </w:t>
            </w:r>
            <w:r w:rsidR="008522BA" w:rsidRPr="00927778">
              <w:rPr>
                <w:rFonts w:ascii="Arial" w:hAnsi="Arial" w:cs="Arial"/>
                <w:color w:val="333333"/>
                <w:sz w:val="22"/>
                <w:szCs w:val="20"/>
                <w:lang w:eastAsia="en-US"/>
              </w:rPr>
              <w:t xml:space="preserve">Au vu de ce qui précède, des </w:t>
            </w:r>
            <w:r w:rsidR="00CB4E43" w:rsidRPr="00927778">
              <w:rPr>
                <w:rFonts w:ascii="Arial" w:hAnsi="Arial" w:cs="Arial"/>
                <w:color w:val="333333"/>
                <w:sz w:val="22"/>
                <w:szCs w:val="20"/>
                <w:lang w:eastAsia="en-US"/>
              </w:rPr>
              <w:t xml:space="preserve">mesures </w:t>
            </w:r>
            <w:r w:rsidR="008522BA" w:rsidRPr="00927778">
              <w:rPr>
                <w:rFonts w:ascii="Arial" w:hAnsi="Arial" w:cs="Arial"/>
                <w:color w:val="333333"/>
                <w:sz w:val="22"/>
                <w:szCs w:val="20"/>
                <w:lang w:eastAsia="en-US"/>
              </w:rPr>
              <w:t>préparat</w:t>
            </w:r>
            <w:r w:rsidR="00CB4E43" w:rsidRPr="00927778">
              <w:rPr>
                <w:rFonts w:ascii="Arial" w:hAnsi="Arial" w:cs="Arial"/>
                <w:color w:val="333333"/>
                <w:sz w:val="22"/>
                <w:szCs w:val="20"/>
                <w:lang w:eastAsia="en-US"/>
              </w:rPr>
              <w:t>oires</w:t>
            </w:r>
            <w:r w:rsidR="008522BA" w:rsidRPr="00927778">
              <w:rPr>
                <w:rFonts w:ascii="Arial" w:hAnsi="Arial" w:cs="Arial"/>
                <w:color w:val="333333"/>
                <w:sz w:val="22"/>
                <w:szCs w:val="20"/>
                <w:lang w:eastAsia="en-US"/>
              </w:rPr>
              <w:t xml:space="preserve"> ont été </w:t>
            </w:r>
            <w:r w:rsidR="00CB4E43" w:rsidRPr="00927778">
              <w:rPr>
                <w:rFonts w:ascii="Arial" w:hAnsi="Arial" w:cs="Arial"/>
                <w:color w:val="333333"/>
                <w:sz w:val="22"/>
                <w:szCs w:val="20"/>
                <w:lang w:eastAsia="en-US"/>
              </w:rPr>
              <w:t>prises</w:t>
            </w:r>
            <w:r w:rsidR="008522BA" w:rsidRPr="00927778">
              <w:rPr>
                <w:rFonts w:ascii="Arial" w:hAnsi="Arial" w:cs="Arial"/>
                <w:color w:val="333333"/>
                <w:sz w:val="22"/>
                <w:szCs w:val="20"/>
                <w:lang w:eastAsia="en-US"/>
              </w:rPr>
              <w:t xml:space="preserve"> en interne, conformément </w:t>
            </w:r>
            <w:r w:rsidR="00CB4E43" w:rsidRPr="00927778">
              <w:rPr>
                <w:rFonts w:ascii="Arial" w:hAnsi="Arial" w:cs="Arial"/>
                <w:color w:val="333333"/>
                <w:sz w:val="22"/>
                <w:szCs w:val="20"/>
                <w:lang w:eastAsia="en-US"/>
              </w:rPr>
              <w:t xml:space="preserve">à la Politique </w:t>
            </w:r>
            <w:r w:rsidR="008522BA" w:rsidRPr="00927778">
              <w:rPr>
                <w:rFonts w:ascii="Arial" w:hAnsi="Arial" w:cs="Arial"/>
                <w:color w:val="333333"/>
                <w:sz w:val="22"/>
                <w:szCs w:val="20"/>
                <w:lang w:eastAsia="en-US"/>
              </w:rPr>
              <w:t>de l</w:t>
            </w:r>
            <w:r w:rsidR="00EA2C86" w:rsidRPr="00927778">
              <w:rPr>
                <w:rFonts w:ascii="Arial" w:hAnsi="Arial" w:cs="Arial"/>
                <w:color w:val="333333"/>
                <w:sz w:val="22"/>
                <w:szCs w:val="20"/>
                <w:lang w:eastAsia="en-US"/>
              </w:rPr>
              <w:t>’</w:t>
            </w:r>
            <w:r w:rsidR="008522BA" w:rsidRPr="00927778">
              <w:rPr>
                <w:rFonts w:ascii="Arial" w:hAnsi="Arial" w:cs="Arial"/>
                <w:color w:val="333333"/>
                <w:sz w:val="22"/>
                <w:szCs w:val="20"/>
                <w:lang w:eastAsia="en-US"/>
              </w:rPr>
              <w:t>OMPI</w:t>
            </w:r>
            <w:r w:rsidR="00CB4E43" w:rsidRPr="00927778">
              <w:rPr>
                <w:rFonts w:ascii="Arial" w:hAnsi="Arial" w:cs="Arial"/>
                <w:color w:val="333333"/>
                <w:sz w:val="22"/>
                <w:szCs w:val="20"/>
                <w:lang w:eastAsia="en-US"/>
              </w:rPr>
              <w:t xml:space="preserve"> en matière de publications</w:t>
            </w:r>
            <w:r w:rsidR="008522BA" w:rsidRPr="00927778">
              <w:rPr>
                <w:rFonts w:ascii="Arial" w:hAnsi="Arial" w:cs="Arial"/>
                <w:color w:val="333333"/>
                <w:sz w:val="22"/>
                <w:szCs w:val="20"/>
                <w:lang w:eastAsia="en-US"/>
              </w:rPr>
              <w:t xml:space="preserve">, pour </w:t>
            </w:r>
            <w:r w:rsidR="00CB4E43" w:rsidRPr="00927778">
              <w:rPr>
                <w:rFonts w:ascii="Arial" w:hAnsi="Arial" w:cs="Arial"/>
                <w:color w:val="333333"/>
                <w:sz w:val="22"/>
                <w:szCs w:val="20"/>
                <w:lang w:eastAsia="en-US"/>
              </w:rPr>
              <w:t>obtenir que l</w:t>
            </w:r>
            <w:r w:rsidR="008522BA" w:rsidRPr="00927778">
              <w:rPr>
                <w:rFonts w:ascii="Arial" w:hAnsi="Arial" w:cs="Arial"/>
                <w:color w:val="333333"/>
                <w:sz w:val="22"/>
                <w:szCs w:val="20"/>
                <w:lang w:eastAsia="en-US"/>
              </w:rPr>
              <w:t>es guides</w:t>
            </w:r>
            <w:r w:rsidR="00CB4E43" w:rsidRPr="00927778">
              <w:rPr>
                <w:rFonts w:ascii="Arial" w:hAnsi="Arial" w:cs="Arial"/>
                <w:color w:val="333333"/>
                <w:sz w:val="22"/>
                <w:szCs w:val="20"/>
                <w:lang w:eastAsia="en-US"/>
              </w:rPr>
              <w:t>,</w:t>
            </w:r>
            <w:r w:rsidR="008522BA" w:rsidRPr="00927778">
              <w:rPr>
                <w:rFonts w:ascii="Arial" w:hAnsi="Arial" w:cs="Arial"/>
                <w:color w:val="333333"/>
                <w:sz w:val="22"/>
                <w:szCs w:val="20"/>
                <w:lang w:eastAsia="en-US"/>
              </w:rPr>
              <w:t xml:space="preserve"> en tant que publications de l</w:t>
            </w:r>
            <w:r w:rsidR="00EA2C86" w:rsidRPr="00927778">
              <w:rPr>
                <w:rFonts w:ascii="Arial" w:hAnsi="Arial" w:cs="Arial"/>
                <w:color w:val="333333"/>
                <w:sz w:val="22"/>
                <w:szCs w:val="20"/>
                <w:lang w:eastAsia="en-US"/>
              </w:rPr>
              <w:t>’</w:t>
            </w:r>
            <w:r w:rsidR="008522BA" w:rsidRPr="00927778">
              <w:rPr>
                <w:rFonts w:ascii="Arial" w:hAnsi="Arial" w:cs="Arial"/>
                <w:color w:val="333333"/>
                <w:sz w:val="22"/>
                <w:szCs w:val="20"/>
                <w:lang w:eastAsia="en-US"/>
              </w:rPr>
              <w:t>OMPI</w:t>
            </w:r>
            <w:r w:rsidR="00CB4E43" w:rsidRPr="00927778">
              <w:rPr>
                <w:rFonts w:ascii="Arial" w:hAnsi="Arial" w:cs="Arial"/>
                <w:color w:val="333333"/>
                <w:sz w:val="22"/>
                <w:szCs w:val="20"/>
                <w:lang w:eastAsia="en-US"/>
              </w:rPr>
              <w:t>, bénéficie</w:t>
            </w:r>
            <w:r w:rsidR="008522BA" w:rsidRPr="00927778">
              <w:rPr>
                <w:rFonts w:ascii="Arial" w:hAnsi="Arial" w:cs="Arial"/>
                <w:color w:val="333333"/>
                <w:sz w:val="22"/>
                <w:szCs w:val="20"/>
                <w:lang w:eastAsia="en-US"/>
              </w:rPr>
              <w:t>nt d</w:t>
            </w:r>
            <w:r w:rsidR="00EA2C86" w:rsidRPr="00927778">
              <w:rPr>
                <w:rFonts w:ascii="Arial" w:hAnsi="Arial" w:cs="Arial"/>
                <w:color w:val="333333"/>
                <w:sz w:val="22"/>
                <w:szCs w:val="20"/>
                <w:lang w:eastAsia="en-US"/>
              </w:rPr>
              <w:t>’</w:t>
            </w:r>
            <w:r w:rsidR="008522BA" w:rsidRPr="00927778">
              <w:rPr>
                <w:rFonts w:ascii="Arial" w:hAnsi="Arial" w:cs="Arial"/>
                <w:color w:val="333333"/>
                <w:sz w:val="22"/>
                <w:szCs w:val="20"/>
                <w:lang w:eastAsia="en-US"/>
              </w:rPr>
              <w:t xml:space="preserve">une </w:t>
            </w:r>
            <w:r w:rsidR="00CB4E43" w:rsidRPr="00927778">
              <w:rPr>
                <w:rFonts w:ascii="Arial" w:hAnsi="Arial" w:cs="Arial"/>
                <w:color w:val="333333"/>
                <w:sz w:val="22"/>
                <w:szCs w:val="20"/>
                <w:lang w:eastAsia="en-US"/>
              </w:rPr>
              <w:t>correction</w:t>
            </w:r>
            <w:r w:rsidR="008522BA" w:rsidRPr="00927778">
              <w:rPr>
                <w:rFonts w:ascii="Arial" w:hAnsi="Arial" w:cs="Arial"/>
                <w:color w:val="333333"/>
                <w:sz w:val="22"/>
                <w:szCs w:val="20"/>
                <w:lang w:eastAsia="en-US"/>
              </w:rPr>
              <w:t xml:space="preserve"> et d</w:t>
            </w:r>
            <w:r w:rsidR="00EA2C86" w:rsidRPr="00927778">
              <w:rPr>
                <w:rFonts w:ascii="Arial" w:hAnsi="Arial" w:cs="Arial"/>
                <w:color w:val="333333"/>
                <w:sz w:val="22"/>
                <w:szCs w:val="20"/>
                <w:lang w:eastAsia="en-US"/>
              </w:rPr>
              <w:t>’</w:t>
            </w:r>
            <w:r w:rsidR="008522BA" w:rsidRPr="00927778">
              <w:rPr>
                <w:rFonts w:ascii="Arial" w:hAnsi="Arial" w:cs="Arial"/>
                <w:color w:val="333333"/>
                <w:sz w:val="22"/>
                <w:szCs w:val="20"/>
                <w:lang w:eastAsia="en-US"/>
              </w:rPr>
              <w:t>une mise en page professionnelle</w:t>
            </w:r>
            <w:r w:rsidR="00CB4E43" w:rsidRPr="00927778">
              <w:rPr>
                <w:rFonts w:ascii="Arial" w:hAnsi="Arial" w:cs="Arial"/>
                <w:color w:val="333333"/>
                <w:sz w:val="22"/>
                <w:szCs w:val="20"/>
                <w:lang w:eastAsia="en-US"/>
              </w:rPr>
              <w:t>s afin de maximiser</w:t>
            </w:r>
            <w:r w:rsidR="008522BA" w:rsidRPr="00927778">
              <w:rPr>
                <w:rFonts w:ascii="Arial" w:hAnsi="Arial" w:cs="Arial"/>
                <w:color w:val="333333"/>
                <w:sz w:val="22"/>
                <w:szCs w:val="20"/>
                <w:lang w:eastAsia="en-US"/>
              </w:rPr>
              <w:t xml:space="preserve"> leur utilisation et leur </w:t>
            </w:r>
            <w:r w:rsidR="00B71585" w:rsidRPr="00927778">
              <w:rPr>
                <w:rFonts w:ascii="Arial" w:hAnsi="Arial" w:cs="Arial"/>
                <w:color w:val="333333"/>
                <w:sz w:val="22"/>
                <w:szCs w:val="20"/>
                <w:lang w:eastAsia="en-US"/>
              </w:rPr>
              <w:t>portée.</w:t>
            </w:r>
          </w:p>
          <w:p w:rsidR="00EA2C86" w:rsidRPr="00927778" w:rsidRDefault="00EA2C86" w:rsidP="00C3651B">
            <w:pPr>
              <w:pStyle w:val="NormalWeb"/>
              <w:spacing w:before="0" w:beforeAutospacing="0" w:after="0" w:afterAutospacing="0"/>
              <w:rPr>
                <w:rFonts w:ascii="Arial" w:hAnsi="Arial" w:cs="Arial"/>
                <w:color w:val="333333"/>
                <w:sz w:val="22"/>
                <w:szCs w:val="20"/>
                <w:lang w:eastAsia="en-US"/>
              </w:rPr>
            </w:pPr>
          </w:p>
          <w:p w:rsidR="005E6718" w:rsidRPr="00927778" w:rsidRDefault="00B71585" w:rsidP="00C3651B">
            <w:pPr>
              <w:pStyle w:val="NormalWeb"/>
              <w:spacing w:before="0" w:beforeAutospacing="0" w:after="0" w:afterAutospacing="0"/>
              <w:rPr>
                <w:rFonts w:ascii="Arial" w:hAnsi="Arial" w:cs="Arial"/>
                <w:color w:val="333333"/>
                <w:sz w:val="22"/>
                <w:szCs w:val="20"/>
                <w:lang w:eastAsia="en-US"/>
              </w:rPr>
            </w:pPr>
            <w:r w:rsidRPr="00927778">
              <w:rPr>
                <w:rFonts w:ascii="Arial" w:hAnsi="Arial" w:cs="Arial"/>
                <w:color w:val="333333"/>
                <w:sz w:val="22"/>
                <w:szCs w:val="20"/>
                <w:lang w:eastAsia="en-US"/>
              </w:rPr>
              <w:t xml:space="preserve">Outre la rédaction des guides, les experts principaux </w:t>
            </w:r>
            <w:r w:rsidR="005F3FA4" w:rsidRPr="00927778">
              <w:rPr>
                <w:rFonts w:ascii="Arial" w:hAnsi="Arial" w:cs="Arial"/>
                <w:color w:val="333333"/>
                <w:sz w:val="22"/>
                <w:szCs w:val="20"/>
                <w:lang w:eastAsia="en-US"/>
              </w:rPr>
              <w:t>ont élaboré du matériel de formation s</w:t>
            </w:r>
            <w:r w:rsidR="00EA2C86" w:rsidRPr="00927778">
              <w:rPr>
                <w:rFonts w:ascii="Arial" w:hAnsi="Arial" w:cs="Arial"/>
                <w:color w:val="333333"/>
                <w:sz w:val="22"/>
                <w:szCs w:val="20"/>
                <w:lang w:eastAsia="en-US"/>
              </w:rPr>
              <w:t>’</w:t>
            </w:r>
            <w:r w:rsidR="005F3FA4" w:rsidRPr="00927778">
              <w:rPr>
                <w:rFonts w:ascii="Arial" w:hAnsi="Arial" w:cs="Arial"/>
                <w:color w:val="333333"/>
                <w:sz w:val="22"/>
                <w:szCs w:val="20"/>
                <w:lang w:eastAsia="en-US"/>
              </w:rPr>
              <w:t>appuyant sur les guides</w:t>
            </w:r>
            <w:r w:rsidR="00176DD9" w:rsidRPr="00927778">
              <w:rPr>
                <w:rFonts w:ascii="Arial" w:hAnsi="Arial" w:cs="Arial"/>
                <w:color w:val="333333"/>
                <w:sz w:val="22"/>
                <w:szCs w:val="20"/>
                <w:lang w:eastAsia="en-US"/>
              </w:rPr>
              <w:t>,</w:t>
            </w:r>
            <w:r w:rsidRPr="00927778">
              <w:rPr>
                <w:rFonts w:ascii="Arial" w:hAnsi="Arial" w:cs="Arial"/>
                <w:color w:val="333333"/>
                <w:sz w:val="22"/>
                <w:szCs w:val="20"/>
                <w:lang w:eastAsia="en-US"/>
              </w:rPr>
              <w:t xml:space="preserve"> qui sera utilisé</w:t>
            </w:r>
            <w:r w:rsidR="00A92038" w:rsidRPr="00927778">
              <w:rPr>
                <w:rFonts w:ascii="Arial" w:hAnsi="Arial" w:cs="Arial"/>
                <w:color w:val="333333"/>
                <w:sz w:val="22"/>
                <w:szCs w:val="20"/>
                <w:lang w:eastAsia="en-US"/>
              </w:rPr>
              <w:t xml:space="preserve"> </w:t>
            </w:r>
            <w:r w:rsidR="00CB6CF0" w:rsidRPr="00927778">
              <w:rPr>
                <w:rFonts w:ascii="Arial" w:hAnsi="Arial" w:cs="Arial"/>
                <w:color w:val="333333"/>
                <w:sz w:val="22"/>
                <w:szCs w:val="20"/>
                <w:lang w:eastAsia="en-US"/>
              </w:rPr>
              <w:t xml:space="preserve">pour fournir une assistance technique aux réseaux de CATI sélectionnés </w:t>
            </w:r>
            <w:r w:rsidR="00A92038" w:rsidRPr="00927778">
              <w:rPr>
                <w:rFonts w:ascii="Arial" w:hAnsi="Arial" w:cs="Arial"/>
                <w:color w:val="333333"/>
                <w:sz w:val="22"/>
                <w:szCs w:val="20"/>
                <w:lang w:eastAsia="en-US"/>
              </w:rPr>
              <w:t xml:space="preserve">au cours de la prochaine phase du projet </w:t>
            </w:r>
            <w:r w:rsidR="00CB6CF0" w:rsidRPr="00927778">
              <w:rPr>
                <w:rFonts w:ascii="Arial" w:hAnsi="Arial" w:cs="Arial"/>
                <w:color w:val="333333"/>
                <w:sz w:val="22"/>
                <w:szCs w:val="20"/>
                <w:lang w:eastAsia="en-US"/>
              </w:rPr>
              <w:t>dans l</w:t>
            </w:r>
            <w:r w:rsidR="00EA2C86" w:rsidRPr="00927778">
              <w:rPr>
                <w:rFonts w:ascii="Arial" w:hAnsi="Arial" w:cs="Arial"/>
                <w:color w:val="333333"/>
                <w:sz w:val="22"/>
                <w:szCs w:val="20"/>
                <w:lang w:eastAsia="en-US"/>
              </w:rPr>
              <w:t>’</w:t>
            </w:r>
            <w:r w:rsidR="00B104C1" w:rsidRPr="00927778">
              <w:rPr>
                <w:rFonts w:ascii="Arial" w:hAnsi="Arial" w:cs="Arial"/>
                <w:color w:val="333333"/>
                <w:sz w:val="22"/>
                <w:szCs w:val="20"/>
                <w:lang w:eastAsia="en-US"/>
              </w:rPr>
              <w:t>objectif</w:t>
            </w:r>
            <w:r w:rsidR="00A92038" w:rsidRPr="00927778">
              <w:rPr>
                <w:rFonts w:ascii="Arial" w:hAnsi="Arial" w:cs="Arial"/>
                <w:color w:val="333333"/>
                <w:sz w:val="22"/>
                <w:szCs w:val="20"/>
                <w:lang w:eastAsia="en-US"/>
              </w:rPr>
              <w:t xml:space="preserve"> </w:t>
            </w:r>
            <w:r w:rsidR="00CB6CF0" w:rsidRPr="00927778">
              <w:rPr>
                <w:rFonts w:ascii="Arial" w:hAnsi="Arial" w:cs="Arial"/>
                <w:color w:val="333333"/>
                <w:sz w:val="22"/>
                <w:szCs w:val="20"/>
                <w:lang w:eastAsia="en-US"/>
              </w:rPr>
              <w:t>d</w:t>
            </w:r>
            <w:r w:rsidR="00EA2C86" w:rsidRPr="00927778">
              <w:rPr>
                <w:rFonts w:ascii="Arial" w:hAnsi="Arial" w:cs="Arial"/>
                <w:color w:val="333333"/>
                <w:sz w:val="22"/>
                <w:szCs w:val="20"/>
                <w:lang w:eastAsia="en-US"/>
              </w:rPr>
              <w:t>’</w:t>
            </w:r>
            <w:r w:rsidR="00A92038" w:rsidRPr="00927778">
              <w:rPr>
                <w:rFonts w:ascii="Arial" w:hAnsi="Arial" w:cs="Arial"/>
                <w:color w:val="333333"/>
                <w:sz w:val="22"/>
                <w:szCs w:val="20"/>
                <w:lang w:eastAsia="en-US"/>
              </w:rPr>
              <w:t>accroître les compétences</w:t>
            </w:r>
            <w:r w:rsidR="00EA2C86" w:rsidRPr="00927778">
              <w:rPr>
                <w:rFonts w:ascii="Arial" w:hAnsi="Arial" w:cs="Arial"/>
                <w:color w:val="333333"/>
                <w:sz w:val="22"/>
                <w:szCs w:val="20"/>
                <w:lang w:eastAsia="en-US"/>
              </w:rPr>
              <w:t xml:space="preserve"> des CAT</w:t>
            </w:r>
            <w:r w:rsidR="00A92038" w:rsidRPr="00927778">
              <w:rPr>
                <w:rFonts w:ascii="Arial" w:hAnsi="Arial" w:cs="Arial"/>
                <w:color w:val="333333"/>
                <w:sz w:val="22"/>
                <w:szCs w:val="20"/>
                <w:lang w:eastAsia="en-US"/>
              </w:rPr>
              <w:t xml:space="preserve">I et </w:t>
            </w:r>
            <w:r w:rsidR="00CB6CF0" w:rsidRPr="00927778">
              <w:rPr>
                <w:rFonts w:ascii="Arial" w:hAnsi="Arial" w:cs="Arial"/>
                <w:color w:val="333333"/>
                <w:sz w:val="22"/>
                <w:szCs w:val="20"/>
                <w:lang w:eastAsia="en-US"/>
              </w:rPr>
              <w:t>d</w:t>
            </w:r>
            <w:r w:rsidR="00EA2C86" w:rsidRPr="00927778">
              <w:rPr>
                <w:rFonts w:ascii="Arial" w:hAnsi="Arial" w:cs="Arial"/>
                <w:color w:val="333333"/>
                <w:sz w:val="22"/>
                <w:szCs w:val="20"/>
                <w:lang w:eastAsia="en-US"/>
              </w:rPr>
              <w:t>’</w:t>
            </w:r>
            <w:r w:rsidR="00A92038" w:rsidRPr="00927778">
              <w:rPr>
                <w:rFonts w:ascii="Arial" w:hAnsi="Arial" w:cs="Arial"/>
                <w:color w:val="333333"/>
                <w:sz w:val="22"/>
                <w:szCs w:val="20"/>
                <w:lang w:eastAsia="en-US"/>
              </w:rPr>
              <w:t xml:space="preserve">y mettre en place des services chargés de recenser les inventions relevant du domaine public et de faciliter la recherche et le développement de nouveaux produits en se </w:t>
            </w:r>
            <w:r w:rsidR="00CB6CF0" w:rsidRPr="00927778">
              <w:rPr>
                <w:rFonts w:ascii="Arial" w:hAnsi="Arial" w:cs="Arial"/>
                <w:color w:val="333333"/>
                <w:sz w:val="22"/>
                <w:szCs w:val="20"/>
                <w:lang w:eastAsia="en-US"/>
              </w:rPr>
              <w:t>fondant</w:t>
            </w:r>
            <w:r w:rsidR="00A92038" w:rsidRPr="00927778">
              <w:rPr>
                <w:rFonts w:ascii="Arial" w:hAnsi="Arial" w:cs="Arial"/>
                <w:color w:val="333333"/>
                <w:sz w:val="22"/>
                <w:szCs w:val="20"/>
                <w:lang w:eastAsia="en-US"/>
              </w:rPr>
              <w:t xml:space="preserve"> sur l</w:t>
            </w:r>
            <w:r w:rsidR="00EA2C86" w:rsidRPr="00927778">
              <w:rPr>
                <w:rFonts w:ascii="Arial" w:hAnsi="Arial" w:cs="Arial"/>
                <w:color w:val="333333"/>
                <w:sz w:val="22"/>
                <w:szCs w:val="20"/>
                <w:lang w:eastAsia="en-US"/>
              </w:rPr>
              <w:t>’</w:t>
            </w:r>
            <w:r w:rsidR="00A92038" w:rsidRPr="00927778">
              <w:rPr>
                <w:rFonts w:ascii="Arial" w:hAnsi="Arial" w:cs="Arial"/>
                <w:color w:val="333333"/>
                <w:sz w:val="22"/>
                <w:szCs w:val="20"/>
                <w:lang w:eastAsia="en-US"/>
              </w:rPr>
              <w:t>utilisation des inventi</w:t>
            </w:r>
            <w:r w:rsidR="00CB6CF0" w:rsidRPr="00927778">
              <w:rPr>
                <w:rFonts w:ascii="Arial" w:hAnsi="Arial" w:cs="Arial"/>
                <w:color w:val="333333"/>
                <w:sz w:val="22"/>
                <w:szCs w:val="20"/>
                <w:lang w:eastAsia="en-US"/>
              </w:rPr>
              <w:t>ons relevant du domaine public.</w:t>
            </w:r>
          </w:p>
          <w:p w:rsidR="005E6718" w:rsidRPr="00927778" w:rsidRDefault="005E6718" w:rsidP="00C3651B">
            <w:pPr>
              <w:pStyle w:val="NormalWeb"/>
              <w:spacing w:before="0" w:beforeAutospacing="0" w:after="0" w:afterAutospacing="0"/>
              <w:rPr>
                <w:rFonts w:ascii="Arial" w:hAnsi="Arial" w:cs="Arial"/>
                <w:color w:val="333333"/>
                <w:sz w:val="22"/>
                <w:szCs w:val="20"/>
                <w:lang w:eastAsia="en-US"/>
              </w:rPr>
            </w:pPr>
          </w:p>
          <w:p w:rsidR="005E6718" w:rsidRPr="002B4A41" w:rsidRDefault="00E7667B" w:rsidP="00E7667B">
            <w:pPr>
              <w:pStyle w:val="ListParagraph"/>
              <w:numPr>
                <w:ilvl w:val="3"/>
                <w:numId w:val="14"/>
              </w:numPr>
              <w:ind w:left="459" w:hanging="425"/>
              <w:rPr>
                <w:bCs/>
                <w:color w:val="333333"/>
                <w:u w:val="single"/>
                <w:lang w:val="fr-FR"/>
              </w:rPr>
            </w:pPr>
            <w:r w:rsidRPr="002B4A41">
              <w:rPr>
                <w:bCs/>
                <w:color w:val="333333"/>
                <w:u w:val="single"/>
                <w:lang w:val="fr-FR"/>
              </w:rPr>
              <w:t>Amélioration du portail sur la situation juridique (portail d</w:t>
            </w:r>
            <w:r w:rsidR="00EA2C86" w:rsidRPr="002B4A41">
              <w:rPr>
                <w:bCs/>
                <w:color w:val="333333"/>
                <w:u w:val="single"/>
                <w:lang w:val="fr-FR"/>
              </w:rPr>
              <w:t>’</w:t>
            </w:r>
            <w:r w:rsidRPr="002B4A41">
              <w:rPr>
                <w:bCs/>
                <w:color w:val="333333"/>
                <w:u w:val="single"/>
                <w:lang w:val="fr-FR"/>
              </w:rPr>
              <w:t>accès au registre des brevets)</w:t>
            </w:r>
          </w:p>
          <w:p w:rsidR="005E6718" w:rsidRPr="00927778" w:rsidRDefault="005E6718" w:rsidP="00C3651B">
            <w:pPr>
              <w:rPr>
                <w:bCs/>
                <w:color w:val="333333"/>
                <w:lang w:val="fr-FR"/>
              </w:rPr>
            </w:pPr>
          </w:p>
          <w:p w:rsidR="00EA2C86" w:rsidRPr="00927778" w:rsidRDefault="00A8776E" w:rsidP="00C3651B">
            <w:pPr>
              <w:rPr>
                <w:iCs/>
                <w:color w:val="333333"/>
                <w:lang w:val="fr-FR"/>
              </w:rPr>
            </w:pPr>
            <w:r w:rsidRPr="00927778">
              <w:rPr>
                <w:iCs/>
                <w:color w:val="333333"/>
                <w:lang w:val="fr-FR"/>
              </w:rPr>
              <w:t>La préparation</w:t>
            </w:r>
            <w:r w:rsidR="00386BDB" w:rsidRPr="00927778">
              <w:rPr>
                <w:iCs/>
                <w:color w:val="333333"/>
                <w:lang w:val="fr-FR"/>
              </w:rPr>
              <w:t xml:space="preserve"> de la nouvelle interface, comprenant des fonctionnalités de recherch</w:t>
            </w:r>
            <w:r w:rsidR="005E5517" w:rsidRPr="00927778">
              <w:rPr>
                <w:iCs/>
                <w:color w:val="333333"/>
                <w:lang w:val="fr-FR"/>
              </w:rPr>
              <w:t>e avancée, du contenu actualisé</w:t>
            </w:r>
            <w:r w:rsidR="00386BDB" w:rsidRPr="00927778">
              <w:rPr>
                <w:iCs/>
                <w:color w:val="333333"/>
                <w:lang w:val="fr-FR"/>
              </w:rPr>
              <w:t xml:space="preserve"> et une nouvelle carte interactive</w:t>
            </w:r>
            <w:r w:rsidR="00AC67A5" w:rsidRPr="00927778">
              <w:rPr>
                <w:iCs/>
                <w:color w:val="333333"/>
                <w:lang w:val="fr-FR"/>
              </w:rPr>
              <w:t>,</w:t>
            </w:r>
            <w:r w:rsidR="00386BDB" w:rsidRPr="00927778">
              <w:rPr>
                <w:iCs/>
                <w:color w:val="333333"/>
                <w:lang w:val="fr-FR"/>
              </w:rPr>
              <w:t xml:space="preserve"> s</w:t>
            </w:r>
            <w:r w:rsidR="00EA2C86" w:rsidRPr="00927778">
              <w:rPr>
                <w:iCs/>
                <w:color w:val="333333"/>
                <w:lang w:val="fr-FR"/>
              </w:rPr>
              <w:t>’</w:t>
            </w:r>
            <w:r w:rsidR="00386BDB" w:rsidRPr="00927778">
              <w:rPr>
                <w:iCs/>
                <w:color w:val="333333"/>
                <w:lang w:val="fr-FR"/>
              </w:rPr>
              <w:t>est poursuivie pendant la période considérée</w:t>
            </w:r>
            <w:r w:rsidRPr="00927778">
              <w:rPr>
                <w:iCs/>
                <w:color w:val="333333"/>
                <w:lang w:val="fr-FR"/>
              </w:rPr>
              <w:t xml:space="preserve"> dans le présent rapport</w:t>
            </w:r>
            <w:r w:rsidR="00386BDB" w:rsidRPr="00927778">
              <w:rPr>
                <w:iCs/>
                <w:color w:val="333333"/>
                <w:lang w:val="fr-FR"/>
              </w:rPr>
              <w:t>.</w:t>
            </w:r>
          </w:p>
          <w:p w:rsidR="005E6718" w:rsidRPr="00927778" w:rsidRDefault="005E6718" w:rsidP="00C3651B">
            <w:pPr>
              <w:rPr>
                <w:iCs/>
                <w:color w:val="333333"/>
                <w:lang w:val="fr-FR"/>
              </w:rPr>
            </w:pPr>
          </w:p>
          <w:p w:rsidR="00EA2C86" w:rsidRPr="00927778" w:rsidRDefault="000F27B9" w:rsidP="000F27B9">
            <w:pPr>
              <w:rPr>
                <w:iCs/>
                <w:color w:val="333333"/>
                <w:lang w:val="fr-FR"/>
              </w:rPr>
            </w:pPr>
            <w:r w:rsidRPr="00927778">
              <w:rPr>
                <w:iCs/>
                <w:color w:val="333333"/>
                <w:lang w:val="fr-FR"/>
              </w:rPr>
              <w:t xml:space="preserve">Des consultations </w:t>
            </w:r>
            <w:r w:rsidR="00A8776E" w:rsidRPr="00927778">
              <w:rPr>
                <w:iCs/>
                <w:color w:val="333333"/>
                <w:lang w:val="fr-FR"/>
              </w:rPr>
              <w:t>sur l</w:t>
            </w:r>
            <w:r w:rsidR="00EA2C86" w:rsidRPr="00927778">
              <w:rPr>
                <w:iCs/>
                <w:color w:val="333333"/>
                <w:lang w:val="fr-FR"/>
              </w:rPr>
              <w:t>’</w:t>
            </w:r>
            <w:r w:rsidR="00A8776E" w:rsidRPr="00927778">
              <w:rPr>
                <w:iCs/>
                <w:color w:val="333333"/>
                <w:lang w:val="fr-FR"/>
              </w:rPr>
              <w:t xml:space="preserve">utilisation de données internationales officielles des </w:t>
            </w:r>
            <w:r w:rsidR="00EA2C86" w:rsidRPr="00927778">
              <w:rPr>
                <w:iCs/>
                <w:color w:val="333333"/>
                <w:lang w:val="fr-FR"/>
              </w:rPr>
              <w:t>Nations Unies</w:t>
            </w:r>
            <w:r w:rsidR="00A8776E" w:rsidRPr="00927778">
              <w:rPr>
                <w:iCs/>
                <w:color w:val="333333"/>
                <w:lang w:val="fr-FR"/>
              </w:rPr>
              <w:t xml:space="preserve"> sur les frontières pour la nouvelle carte </w:t>
            </w:r>
            <w:r w:rsidRPr="00927778">
              <w:rPr>
                <w:iCs/>
                <w:color w:val="333333"/>
                <w:lang w:val="fr-FR"/>
              </w:rPr>
              <w:t>ont été mené</w:t>
            </w:r>
            <w:r w:rsidR="00A8776E" w:rsidRPr="00927778">
              <w:rPr>
                <w:iCs/>
                <w:color w:val="333333"/>
                <w:lang w:val="fr-FR"/>
              </w:rPr>
              <w:t>e</w:t>
            </w:r>
            <w:r w:rsidRPr="00927778">
              <w:rPr>
                <w:iCs/>
                <w:color w:val="333333"/>
                <w:lang w:val="fr-FR"/>
              </w:rPr>
              <w:t xml:space="preserve">s </w:t>
            </w:r>
            <w:r w:rsidR="00A8776E" w:rsidRPr="00927778">
              <w:rPr>
                <w:iCs/>
                <w:color w:val="333333"/>
                <w:lang w:val="fr-FR"/>
              </w:rPr>
              <w:t>au sein</w:t>
            </w:r>
            <w:r w:rsidRPr="00927778">
              <w:rPr>
                <w:iCs/>
                <w:color w:val="333333"/>
                <w:lang w:val="fr-FR"/>
              </w:rPr>
              <w:t xml:space="preserve"> des secteurs techniques et opérationnels de l</w:t>
            </w:r>
            <w:r w:rsidR="00EA2C86" w:rsidRPr="00927778">
              <w:rPr>
                <w:iCs/>
                <w:color w:val="333333"/>
                <w:lang w:val="fr-FR"/>
              </w:rPr>
              <w:t>’</w:t>
            </w:r>
            <w:r w:rsidRPr="00927778">
              <w:rPr>
                <w:iCs/>
                <w:color w:val="333333"/>
                <w:lang w:val="fr-FR"/>
              </w:rPr>
              <w:t xml:space="preserve">Organisation et </w:t>
            </w:r>
            <w:r w:rsidR="00A8776E" w:rsidRPr="00927778">
              <w:rPr>
                <w:iCs/>
                <w:color w:val="333333"/>
                <w:lang w:val="fr-FR"/>
              </w:rPr>
              <w:t>auprès du</w:t>
            </w:r>
            <w:r w:rsidRPr="00927778">
              <w:rPr>
                <w:iCs/>
                <w:color w:val="333333"/>
                <w:lang w:val="fr-FR"/>
              </w:rPr>
              <w:t xml:space="preserve"> Groupe des </w:t>
            </w:r>
            <w:r w:rsidR="00EA2C86" w:rsidRPr="00927778">
              <w:rPr>
                <w:iCs/>
                <w:color w:val="333333"/>
                <w:lang w:val="fr-FR"/>
              </w:rPr>
              <w:t>Nations Unies</w:t>
            </w:r>
            <w:r w:rsidRPr="00927778">
              <w:rPr>
                <w:iCs/>
                <w:color w:val="333333"/>
                <w:lang w:val="fr-FR"/>
              </w:rPr>
              <w:t xml:space="preserve"> sur la société de l</w:t>
            </w:r>
            <w:r w:rsidR="00EA2C86" w:rsidRPr="00927778">
              <w:rPr>
                <w:iCs/>
                <w:color w:val="333333"/>
                <w:lang w:val="fr-FR"/>
              </w:rPr>
              <w:t>’</w:t>
            </w:r>
            <w:r w:rsidRPr="00927778">
              <w:rPr>
                <w:iCs/>
                <w:color w:val="333333"/>
                <w:lang w:val="fr-FR"/>
              </w:rPr>
              <w:t xml:space="preserve">information (UNGIS) </w:t>
            </w:r>
            <w:r w:rsidR="00D718F5" w:rsidRPr="00927778">
              <w:rPr>
                <w:iCs/>
                <w:color w:val="333333"/>
                <w:lang w:val="fr-FR"/>
              </w:rPr>
              <w:t>en vue de</w:t>
            </w:r>
            <w:r w:rsidRPr="00927778">
              <w:rPr>
                <w:iCs/>
                <w:color w:val="333333"/>
                <w:lang w:val="fr-FR"/>
              </w:rPr>
              <w:t xml:space="preserve"> garantir le respect de toutes les normes et réglementations </w:t>
            </w:r>
            <w:r w:rsidR="00A2635A" w:rsidRPr="00927778">
              <w:rPr>
                <w:iCs/>
                <w:color w:val="333333"/>
                <w:lang w:val="fr-FR"/>
              </w:rPr>
              <w:t xml:space="preserve">applicables en la matière et pour mettre à </w:t>
            </w:r>
            <w:r w:rsidR="00C111BE" w:rsidRPr="00927778">
              <w:rPr>
                <w:iCs/>
                <w:color w:val="333333"/>
                <w:lang w:val="fr-FR"/>
              </w:rPr>
              <w:t>profit</w:t>
            </w:r>
            <w:r w:rsidR="00A2635A" w:rsidRPr="00927778">
              <w:rPr>
                <w:iCs/>
                <w:color w:val="333333"/>
                <w:lang w:val="fr-FR"/>
              </w:rPr>
              <w:t xml:space="preserve"> dans la nouvelle interface les solutions techniques retenues.</w:t>
            </w:r>
          </w:p>
          <w:p w:rsidR="005E6718" w:rsidRPr="00927778" w:rsidRDefault="005E6718" w:rsidP="00C3651B">
            <w:pPr>
              <w:rPr>
                <w:bCs/>
                <w:color w:val="333333"/>
                <w:lang w:val="fr-FR"/>
              </w:rPr>
            </w:pPr>
          </w:p>
          <w:p w:rsidR="00EA2C86" w:rsidRPr="00927778" w:rsidRDefault="00961AB0" w:rsidP="00C3651B">
            <w:pPr>
              <w:rPr>
                <w:bCs/>
                <w:color w:val="333333"/>
                <w:lang w:val="fr-FR"/>
              </w:rPr>
            </w:pPr>
            <w:r w:rsidRPr="00927778">
              <w:rPr>
                <w:bCs/>
                <w:color w:val="333333"/>
                <w:lang w:val="fr-FR"/>
              </w:rPr>
              <w:t>Dans l</w:t>
            </w:r>
            <w:r w:rsidR="00EA2C86" w:rsidRPr="00927778">
              <w:rPr>
                <w:bCs/>
                <w:color w:val="333333"/>
                <w:lang w:val="fr-FR"/>
              </w:rPr>
              <w:t>’</w:t>
            </w:r>
            <w:r w:rsidRPr="00927778">
              <w:rPr>
                <w:bCs/>
                <w:color w:val="333333"/>
                <w:lang w:val="fr-FR"/>
              </w:rPr>
              <w:t>objectif de fournir du contenu actualisé, l</w:t>
            </w:r>
            <w:r w:rsidR="00EA2C86" w:rsidRPr="00927778">
              <w:rPr>
                <w:bCs/>
                <w:color w:val="333333"/>
                <w:lang w:val="fr-FR"/>
              </w:rPr>
              <w:t>’</w:t>
            </w:r>
            <w:r w:rsidRPr="00927778">
              <w:rPr>
                <w:bCs/>
                <w:color w:val="333333"/>
                <w:lang w:val="fr-FR"/>
              </w:rPr>
              <w:t>expert de l</w:t>
            </w:r>
            <w:r w:rsidR="00EA2C86" w:rsidRPr="00927778">
              <w:rPr>
                <w:bCs/>
                <w:color w:val="333333"/>
                <w:lang w:val="fr-FR"/>
              </w:rPr>
              <w:t>’</w:t>
            </w:r>
            <w:r w:rsidRPr="00927778">
              <w:rPr>
                <w:bCs/>
                <w:color w:val="333333"/>
                <w:lang w:val="fr-FR"/>
              </w:rPr>
              <w:t>information en mati</w:t>
            </w:r>
            <w:r w:rsidR="00D20539" w:rsidRPr="00927778">
              <w:rPr>
                <w:bCs/>
                <w:color w:val="333333"/>
                <w:lang w:val="fr-FR"/>
              </w:rPr>
              <w:t>ère de brevets recruté pour modifi</w:t>
            </w:r>
            <w:r w:rsidRPr="00927778">
              <w:rPr>
                <w:bCs/>
                <w:color w:val="333333"/>
                <w:lang w:val="fr-FR"/>
              </w:rPr>
              <w:t>er et mettre à jour le contenu et les liens présents sur le portail</w:t>
            </w:r>
            <w:r w:rsidR="00D20539" w:rsidRPr="00927778">
              <w:rPr>
                <w:bCs/>
                <w:color w:val="333333"/>
                <w:lang w:val="fr-FR"/>
              </w:rPr>
              <w:t xml:space="preserve"> pendant la première phase du projet (tel qu</w:t>
            </w:r>
            <w:r w:rsidR="00EA2C86" w:rsidRPr="00927778">
              <w:rPr>
                <w:bCs/>
                <w:color w:val="333333"/>
                <w:lang w:val="fr-FR"/>
              </w:rPr>
              <w:t>’</w:t>
            </w:r>
            <w:r w:rsidR="00D20539" w:rsidRPr="00927778">
              <w:rPr>
                <w:bCs/>
                <w:color w:val="333333"/>
                <w:lang w:val="fr-FR"/>
              </w:rPr>
              <w:t>indiqué dans le précédent rapport</w:t>
            </w:r>
            <w:r w:rsidR="00EA2C86" w:rsidRPr="00927778">
              <w:rPr>
                <w:bCs/>
                <w:color w:val="333333"/>
                <w:lang w:val="fr-FR"/>
              </w:rPr>
              <w:t xml:space="preserve"> au CDI</w:t>
            </w:r>
            <w:r w:rsidR="00D20539" w:rsidRPr="00927778">
              <w:rPr>
                <w:bCs/>
                <w:color w:val="333333"/>
                <w:lang w:val="fr-FR"/>
              </w:rPr>
              <w:t xml:space="preserve">P) </w:t>
            </w:r>
            <w:r w:rsidR="00946E20" w:rsidRPr="00927778">
              <w:rPr>
                <w:bCs/>
                <w:color w:val="333333"/>
                <w:lang w:val="fr-FR"/>
              </w:rPr>
              <w:t>a été chargé de préparer</w:t>
            </w:r>
            <w:r w:rsidR="00D20539" w:rsidRPr="00927778">
              <w:rPr>
                <w:bCs/>
                <w:color w:val="333333"/>
                <w:lang w:val="fr-FR"/>
              </w:rPr>
              <w:t xml:space="preserve"> </w:t>
            </w:r>
            <w:r w:rsidR="00946E20" w:rsidRPr="00927778">
              <w:rPr>
                <w:bCs/>
                <w:color w:val="333333"/>
                <w:lang w:val="fr-FR"/>
              </w:rPr>
              <w:t xml:space="preserve">des </w:t>
            </w:r>
            <w:r w:rsidR="00A85DC9" w:rsidRPr="00927778">
              <w:rPr>
                <w:bCs/>
                <w:color w:val="333333"/>
                <w:lang w:val="fr-FR"/>
              </w:rPr>
              <w:t>pages</w:t>
            </w:r>
            <w:r w:rsidR="00946E20" w:rsidRPr="00927778">
              <w:rPr>
                <w:bCs/>
                <w:color w:val="333333"/>
                <w:lang w:val="fr-FR"/>
              </w:rPr>
              <w:t xml:space="preserve"> d</w:t>
            </w:r>
            <w:r w:rsidR="00EA2C86" w:rsidRPr="00927778">
              <w:rPr>
                <w:bCs/>
                <w:color w:val="333333"/>
                <w:lang w:val="fr-FR"/>
              </w:rPr>
              <w:t>’</w:t>
            </w:r>
            <w:r w:rsidR="00946E20" w:rsidRPr="00927778">
              <w:rPr>
                <w:bCs/>
                <w:color w:val="333333"/>
                <w:lang w:val="fr-FR"/>
              </w:rPr>
              <w:t>aide détaillé</w:t>
            </w:r>
            <w:r w:rsidR="00A85DC9" w:rsidRPr="00927778">
              <w:rPr>
                <w:bCs/>
                <w:color w:val="333333"/>
                <w:lang w:val="fr-FR"/>
              </w:rPr>
              <w:t>e</w:t>
            </w:r>
            <w:r w:rsidR="00946E20" w:rsidRPr="00927778">
              <w:rPr>
                <w:bCs/>
                <w:color w:val="333333"/>
                <w:lang w:val="fr-FR"/>
              </w:rPr>
              <w:t xml:space="preserve">s pour chacun des pays listés sur le portail et de recueillir des données supplémentaires, </w:t>
            </w:r>
            <w:r w:rsidR="00EA2C86" w:rsidRPr="00927778">
              <w:rPr>
                <w:bCs/>
                <w:color w:val="333333"/>
                <w:lang w:val="fr-FR"/>
              </w:rPr>
              <w:t>y compris</w:t>
            </w:r>
            <w:r w:rsidR="00946E20" w:rsidRPr="00927778">
              <w:rPr>
                <w:bCs/>
                <w:color w:val="333333"/>
                <w:lang w:val="fr-FR"/>
              </w:rPr>
              <w:t xml:space="preserve"> à caractère juridique, sur les pays et </w:t>
            </w:r>
            <w:r w:rsidR="004E7C4D" w:rsidRPr="00927778">
              <w:rPr>
                <w:bCs/>
                <w:color w:val="333333"/>
                <w:lang w:val="fr-FR"/>
              </w:rPr>
              <w:t>les collections d</w:t>
            </w:r>
            <w:r w:rsidR="00EA2C86" w:rsidRPr="00927778">
              <w:rPr>
                <w:bCs/>
                <w:color w:val="333333"/>
                <w:lang w:val="fr-FR"/>
              </w:rPr>
              <w:t>’</w:t>
            </w:r>
            <w:r w:rsidR="004E7C4D" w:rsidRPr="00927778">
              <w:rPr>
                <w:bCs/>
                <w:color w:val="333333"/>
                <w:lang w:val="fr-FR"/>
              </w:rPr>
              <w:t>informations en matière de brevets qui ne sont pas encore inclus sur le porta</w:t>
            </w:r>
            <w:r w:rsidR="00306E74" w:rsidRPr="00927778">
              <w:rPr>
                <w:bCs/>
                <w:color w:val="333333"/>
                <w:lang w:val="fr-FR"/>
              </w:rPr>
              <w:t>il.  Le</w:t>
            </w:r>
            <w:r w:rsidR="004E7C4D" w:rsidRPr="00927778">
              <w:rPr>
                <w:bCs/>
                <w:color w:val="333333"/>
                <w:lang w:val="fr-FR"/>
              </w:rPr>
              <w:t>s données relatives à plus de 200</w:t>
            </w:r>
            <w:r w:rsidR="00002037" w:rsidRPr="00927778">
              <w:rPr>
                <w:bCs/>
                <w:color w:val="333333"/>
                <w:lang w:val="fr-FR"/>
              </w:rPr>
              <w:t> </w:t>
            </w:r>
            <w:r w:rsidR="004E7C4D" w:rsidRPr="00927778">
              <w:rPr>
                <w:bCs/>
                <w:color w:val="333333"/>
                <w:lang w:val="fr-FR"/>
              </w:rPr>
              <w:t>pays et collections d</w:t>
            </w:r>
            <w:r w:rsidR="00EA2C86" w:rsidRPr="00927778">
              <w:rPr>
                <w:bCs/>
                <w:color w:val="333333"/>
                <w:lang w:val="fr-FR"/>
              </w:rPr>
              <w:t>’</w:t>
            </w:r>
            <w:r w:rsidR="004E7C4D" w:rsidRPr="00927778">
              <w:rPr>
                <w:bCs/>
                <w:color w:val="333333"/>
                <w:lang w:val="fr-FR"/>
              </w:rPr>
              <w:t xml:space="preserve">informations en matière de brevets ont déjà été recueillies </w:t>
            </w:r>
            <w:r w:rsidR="003E392D" w:rsidRPr="00927778">
              <w:rPr>
                <w:bCs/>
                <w:color w:val="333333"/>
                <w:lang w:val="fr-FR"/>
              </w:rPr>
              <w:t>tandis qu</w:t>
            </w:r>
            <w:r w:rsidR="00EA2C86" w:rsidRPr="00927778">
              <w:rPr>
                <w:bCs/>
                <w:color w:val="333333"/>
                <w:lang w:val="fr-FR"/>
              </w:rPr>
              <w:t>’</w:t>
            </w:r>
            <w:r w:rsidR="00D718F5" w:rsidRPr="00927778">
              <w:rPr>
                <w:bCs/>
                <w:color w:val="333333"/>
                <w:lang w:val="fr-FR"/>
              </w:rPr>
              <w:t>ont été mises sur pied</w:t>
            </w:r>
            <w:r w:rsidR="004E7C4D" w:rsidRPr="00927778">
              <w:rPr>
                <w:bCs/>
                <w:color w:val="333333"/>
                <w:lang w:val="fr-FR"/>
              </w:rPr>
              <w:t xml:space="preserve"> des pages d</w:t>
            </w:r>
            <w:r w:rsidR="00EA2C86" w:rsidRPr="00927778">
              <w:rPr>
                <w:bCs/>
                <w:color w:val="333333"/>
                <w:lang w:val="fr-FR"/>
              </w:rPr>
              <w:t>’</w:t>
            </w:r>
            <w:r w:rsidR="004E7C4D" w:rsidRPr="00927778">
              <w:rPr>
                <w:bCs/>
                <w:color w:val="333333"/>
                <w:lang w:val="fr-FR"/>
              </w:rPr>
              <w:t xml:space="preserve">aide accessibles aux </w:t>
            </w:r>
            <w:r w:rsidR="00D63521" w:rsidRPr="00927778">
              <w:rPr>
                <w:bCs/>
                <w:color w:val="333333"/>
                <w:lang w:val="fr-FR"/>
              </w:rPr>
              <w:t>déficients visuels</w:t>
            </w:r>
            <w:r w:rsidR="00934D7D" w:rsidRPr="00927778">
              <w:rPr>
                <w:bCs/>
                <w:color w:val="333333"/>
                <w:lang w:val="fr-FR"/>
              </w:rPr>
              <w:t xml:space="preserve">, qui contiennent </w:t>
            </w:r>
            <w:r w:rsidR="009656C1" w:rsidRPr="00927778">
              <w:rPr>
                <w:bCs/>
                <w:color w:val="333333"/>
                <w:lang w:val="fr-FR"/>
              </w:rPr>
              <w:t xml:space="preserve">pour chaque pays </w:t>
            </w:r>
            <w:r w:rsidR="00934D7D" w:rsidRPr="00927778">
              <w:rPr>
                <w:bCs/>
                <w:color w:val="333333"/>
                <w:lang w:val="fr-FR"/>
              </w:rPr>
              <w:t>des informations précises sur</w:t>
            </w:r>
            <w:r w:rsidR="00D718F5" w:rsidRPr="00927778">
              <w:rPr>
                <w:bCs/>
                <w:color w:val="333333"/>
                <w:lang w:val="fr-FR"/>
              </w:rPr>
              <w:t xml:space="preserve"> les gazettes et registres de brevets en ligne</w:t>
            </w:r>
            <w:r w:rsidR="00D63521" w:rsidRPr="00927778">
              <w:rPr>
                <w:bCs/>
                <w:color w:val="333333"/>
                <w:lang w:val="fr-FR"/>
              </w:rPr>
              <w:t xml:space="preserve"> </w:t>
            </w:r>
            <w:r w:rsidR="00D718F5" w:rsidRPr="00927778">
              <w:rPr>
                <w:bCs/>
                <w:color w:val="333333"/>
                <w:lang w:val="fr-FR"/>
              </w:rPr>
              <w:t>(leur existence, leur</w:t>
            </w:r>
            <w:r w:rsidR="00C20012" w:rsidRPr="00927778">
              <w:rPr>
                <w:bCs/>
                <w:color w:val="333333"/>
                <w:lang w:val="fr-FR"/>
              </w:rPr>
              <w:t xml:space="preserve"> </w:t>
            </w:r>
            <w:r w:rsidR="00F506DA" w:rsidRPr="00927778">
              <w:rPr>
                <w:bCs/>
                <w:color w:val="333333"/>
                <w:lang w:val="fr-FR"/>
              </w:rPr>
              <w:t>fonction de recherche et le</w:t>
            </w:r>
            <w:r w:rsidR="00D718F5" w:rsidRPr="00927778">
              <w:rPr>
                <w:bCs/>
                <w:color w:val="333333"/>
                <w:lang w:val="fr-FR"/>
              </w:rPr>
              <w:t>ur</w:t>
            </w:r>
            <w:r w:rsidR="00F506DA" w:rsidRPr="00927778">
              <w:rPr>
                <w:bCs/>
                <w:color w:val="333333"/>
                <w:lang w:val="fr-FR"/>
              </w:rPr>
              <w:t>s fo</w:t>
            </w:r>
            <w:r w:rsidR="00C20012" w:rsidRPr="00927778">
              <w:rPr>
                <w:bCs/>
                <w:color w:val="333333"/>
                <w:lang w:val="fr-FR"/>
              </w:rPr>
              <w:t>n</w:t>
            </w:r>
            <w:r w:rsidR="00F506DA" w:rsidRPr="00927778">
              <w:rPr>
                <w:bCs/>
                <w:color w:val="333333"/>
                <w:lang w:val="fr-FR"/>
              </w:rPr>
              <w:t>c</w:t>
            </w:r>
            <w:r w:rsidR="00C20012" w:rsidRPr="00927778">
              <w:rPr>
                <w:bCs/>
                <w:color w:val="333333"/>
                <w:lang w:val="fr-FR"/>
              </w:rPr>
              <w:t>tionnalités</w:t>
            </w:r>
            <w:r w:rsidR="00D718F5" w:rsidRPr="00927778">
              <w:rPr>
                <w:bCs/>
                <w:color w:val="333333"/>
                <w:lang w:val="fr-FR"/>
              </w:rPr>
              <w:t>) et</w:t>
            </w:r>
            <w:r w:rsidR="00F506DA" w:rsidRPr="00927778">
              <w:rPr>
                <w:bCs/>
                <w:color w:val="333333"/>
                <w:lang w:val="fr-FR"/>
              </w:rPr>
              <w:t xml:space="preserve"> sur les particularités propres à la protection par brevet</w:t>
            </w:r>
            <w:r w:rsidR="00934D7D" w:rsidRPr="00927778">
              <w:rPr>
                <w:color w:val="333333"/>
                <w:lang w:val="fr-FR"/>
              </w:rPr>
              <w:t>,</w:t>
            </w:r>
            <w:r w:rsidR="00F506DA" w:rsidRPr="00927778">
              <w:rPr>
                <w:color w:val="333333"/>
                <w:lang w:val="fr-FR"/>
              </w:rPr>
              <w:t xml:space="preserve"> ainsi que des conseils supplémentaires de recherche visant à aider les utilisateurs dans leur recherche sur le statut juridique des brevet</w:t>
            </w:r>
            <w:r w:rsidR="00D718F5" w:rsidRPr="00927778">
              <w:rPr>
                <w:color w:val="333333"/>
                <w:lang w:val="fr-FR"/>
              </w:rPr>
              <w:t>s dans différents pays du mon</w:t>
            </w:r>
            <w:r w:rsidR="00306E74" w:rsidRPr="00927778">
              <w:rPr>
                <w:color w:val="333333"/>
                <w:lang w:val="fr-FR"/>
              </w:rPr>
              <w:t xml:space="preserve">de.  </w:t>
            </w:r>
            <w:r w:rsidR="00306E74" w:rsidRPr="00927778">
              <w:rPr>
                <w:bCs/>
                <w:color w:val="333333"/>
                <w:lang w:val="fr-FR"/>
              </w:rPr>
              <w:t>De</w:t>
            </w:r>
            <w:r w:rsidR="009656C1" w:rsidRPr="00927778">
              <w:rPr>
                <w:bCs/>
                <w:color w:val="333333"/>
                <w:lang w:val="fr-FR"/>
              </w:rPr>
              <w:t xml:space="preserve">s consultations ont également été menées auprès de secteurs </w:t>
            </w:r>
            <w:r w:rsidR="00344733" w:rsidRPr="00927778">
              <w:rPr>
                <w:bCs/>
                <w:color w:val="333333"/>
                <w:lang w:val="fr-FR"/>
              </w:rPr>
              <w:t>traitant des questions de fond</w:t>
            </w:r>
            <w:r w:rsidR="009656C1" w:rsidRPr="00927778">
              <w:rPr>
                <w:bCs/>
                <w:color w:val="333333"/>
                <w:lang w:val="fr-FR"/>
              </w:rPr>
              <w:t xml:space="preserve"> (Droit des brevets et Normes) afin de valider la </w:t>
            </w:r>
            <w:r w:rsidR="00C111BE" w:rsidRPr="00927778">
              <w:rPr>
                <w:bCs/>
                <w:color w:val="333333"/>
                <w:lang w:val="fr-FR"/>
              </w:rPr>
              <w:t>terminologie</w:t>
            </w:r>
            <w:r w:rsidR="009656C1" w:rsidRPr="00927778">
              <w:rPr>
                <w:bCs/>
                <w:color w:val="333333"/>
                <w:lang w:val="fr-FR"/>
              </w:rPr>
              <w:t xml:space="preserve"> spécifique employée.</w:t>
            </w:r>
          </w:p>
          <w:p w:rsidR="00EA2C86" w:rsidRPr="00927778" w:rsidRDefault="00EA2C86" w:rsidP="00C3651B">
            <w:pPr>
              <w:rPr>
                <w:bCs/>
                <w:color w:val="333333"/>
                <w:lang w:val="fr-FR"/>
              </w:rPr>
            </w:pPr>
          </w:p>
          <w:p w:rsidR="00EA2C86" w:rsidRPr="00927778" w:rsidRDefault="00736FDF" w:rsidP="00C3651B">
            <w:pPr>
              <w:rPr>
                <w:color w:val="333333"/>
                <w:lang w:val="fr-FR"/>
              </w:rPr>
            </w:pPr>
            <w:r w:rsidRPr="00927778">
              <w:rPr>
                <w:color w:val="333333"/>
                <w:lang w:val="fr-FR"/>
              </w:rPr>
              <w:t>Pour attirer l</w:t>
            </w:r>
            <w:r w:rsidR="00EA2C86" w:rsidRPr="00927778">
              <w:rPr>
                <w:color w:val="333333"/>
                <w:lang w:val="fr-FR"/>
              </w:rPr>
              <w:t>’</w:t>
            </w:r>
            <w:r w:rsidRPr="00927778">
              <w:rPr>
                <w:color w:val="333333"/>
                <w:lang w:val="fr-FR"/>
              </w:rPr>
              <w:t xml:space="preserve">attention </w:t>
            </w:r>
            <w:r w:rsidR="00262058" w:rsidRPr="00927778">
              <w:rPr>
                <w:color w:val="333333"/>
                <w:lang w:val="fr-FR"/>
              </w:rPr>
              <w:t>des utilisateurs</w:t>
            </w:r>
            <w:r w:rsidR="0053460D" w:rsidRPr="00927778">
              <w:rPr>
                <w:color w:val="333333"/>
                <w:lang w:val="fr-FR"/>
              </w:rPr>
              <w:t xml:space="preserve"> qui se servent déjà</w:t>
            </w:r>
            <w:r w:rsidRPr="00927778">
              <w:rPr>
                <w:color w:val="333333"/>
                <w:lang w:val="fr-FR"/>
              </w:rPr>
              <w:t xml:space="preserve"> du portail</w:t>
            </w:r>
            <w:r w:rsidR="0053460D" w:rsidRPr="00927778">
              <w:rPr>
                <w:color w:val="333333"/>
                <w:lang w:val="fr-FR"/>
              </w:rPr>
              <w:t xml:space="preserve"> d</w:t>
            </w:r>
            <w:r w:rsidR="00EA2C86" w:rsidRPr="00927778">
              <w:rPr>
                <w:color w:val="333333"/>
                <w:lang w:val="fr-FR"/>
              </w:rPr>
              <w:t>’</w:t>
            </w:r>
            <w:r w:rsidR="0053460D" w:rsidRPr="00927778">
              <w:rPr>
                <w:color w:val="333333"/>
                <w:lang w:val="fr-FR"/>
              </w:rPr>
              <w:t>accès au registre des brevets</w:t>
            </w:r>
            <w:r w:rsidR="00262058" w:rsidRPr="00927778">
              <w:rPr>
                <w:color w:val="333333"/>
                <w:lang w:val="fr-FR"/>
              </w:rPr>
              <w:t xml:space="preserve"> sur la nouvelle interface du</w:t>
            </w:r>
            <w:r w:rsidR="0053460D" w:rsidRPr="00927778">
              <w:rPr>
                <w:color w:val="333333"/>
                <w:lang w:val="fr-FR"/>
              </w:rPr>
              <w:t>dit</w:t>
            </w:r>
            <w:r w:rsidR="00262058" w:rsidRPr="00927778">
              <w:rPr>
                <w:color w:val="333333"/>
                <w:lang w:val="fr-FR"/>
              </w:rPr>
              <w:t xml:space="preserve"> portail et ses nouvelles caractéristiques et fonctionnalités, un tutoriel vidéo a été élaboré en coopération avec la Division des communications et avec l</w:t>
            </w:r>
            <w:r w:rsidR="00EA2C86" w:rsidRPr="00927778">
              <w:rPr>
                <w:color w:val="333333"/>
                <w:lang w:val="fr-FR"/>
              </w:rPr>
              <w:t>’</w:t>
            </w:r>
            <w:r w:rsidR="00262058" w:rsidRPr="00927778">
              <w:rPr>
                <w:color w:val="333333"/>
                <w:lang w:val="fr-FR"/>
              </w:rPr>
              <w:t>appui d</w:t>
            </w:r>
            <w:r w:rsidR="00EA2C86" w:rsidRPr="00927778">
              <w:rPr>
                <w:color w:val="333333"/>
                <w:lang w:val="fr-FR"/>
              </w:rPr>
              <w:t>’</w:t>
            </w:r>
            <w:r w:rsidR="00262058" w:rsidRPr="00927778">
              <w:rPr>
                <w:color w:val="333333"/>
                <w:lang w:val="fr-FR"/>
              </w:rPr>
              <w:t xml:space="preserve">un expert </w:t>
            </w:r>
            <w:r w:rsidR="0053460D" w:rsidRPr="00927778">
              <w:rPr>
                <w:color w:val="333333"/>
                <w:lang w:val="fr-FR"/>
              </w:rPr>
              <w:t xml:space="preserve">de la </w:t>
            </w:r>
            <w:r w:rsidR="00262058" w:rsidRPr="00927778">
              <w:rPr>
                <w:color w:val="333333"/>
                <w:lang w:val="fr-FR"/>
              </w:rPr>
              <w:t>vid</w:t>
            </w:r>
            <w:r w:rsidR="00306E74" w:rsidRPr="00927778">
              <w:rPr>
                <w:color w:val="333333"/>
                <w:lang w:val="fr-FR"/>
              </w:rPr>
              <w:t>éo.  Il</w:t>
            </w:r>
            <w:r w:rsidR="00262058" w:rsidRPr="00927778">
              <w:rPr>
                <w:color w:val="333333"/>
                <w:lang w:val="fr-FR"/>
              </w:rPr>
              <w:t xml:space="preserve"> sera disponible en même temps que le nouveau portail.</w:t>
            </w:r>
          </w:p>
          <w:p w:rsidR="001320FC" w:rsidRPr="00927778" w:rsidRDefault="001320FC" w:rsidP="00C3651B">
            <w:pPr>
              <w:rPr>
                <w:color w:val="333333"/>
                <w:lang w:val="fr-FR"/>
              </w:rPr>
            </w:pPr>
          </w:p>
        </w:tc>
      </w:tr>
      <w:tr w:rsidR="00047C22" w:rsidRPr="00927778" w:rsidTr="00C3651B">
        <w:trPr>
          <w:trHeight w:val="1212"/>
        </w:trPr>
        <w:tc>
          <w:tcPr>
            <w:tcW w:w="2376" w:type="dxa"/>
            <w:shd w:val="clear" w:color="auto" w:fill="auto"/>
          </w:tcPr>
          <w:p w:rsidR="001320FC" w:rsidRPr="00927778" w:rsidRDefault="00E7667B" w:rsidP="00E7667B">
            <w:pPr>
              <w:pStyle w:val="Heading3"/>
              <w:rPr>
                <w:color w:val="333333"/>
                <w:lang w:val="fr-FR"/>
              </w:rPr>
            </w:pPr>
            <w:r w:rsidRPr="00927778">
              <w:rPr>
                <w:color w:val="333333"/>
                <w:lang w:val="fr-FR"/>
              </w:rPr>
              <w:t>Exemples de succès ou d</w:t>
            </w:r>
            <w:r w:rsidR="00EA2C86" w:rsidRPr="00927778">
              <w:rPr>
                <w:color w:val="333333"/>
                <w:lang w:val="fr-FR"/>
              </w:rPr>
              <w:t>’</w:t>
            </w:r>
            <w:r w:rsidRPr="00927778">
              <w:rPr>
                <w:color w:val="333333"/>
                <w:lang w:val="fr-FR"/>
              </w:rPr>
              <w:t>effets positifs et principaux enseignements</w:t>
            </w:r>
          </w:p>
        </w:tc>
        <w:tc>
          <w:tcPr>
            <w:tcW w:w="6912" w:type="dxa"/>
            <w:vAlign w:val="center"/>
          </w:tcPr>
          <w:p w:rsidR="005E6718" w:rsidRPr="00927778" w:rsidRDefault="005E6718" w:rsidP="00C3651B">
            <w:pPr>
              <w:rPr>
                <w:iCs/>
                <w:color w:val="333333"/>
                <w:lang w:val="fr-FR"/>
              </w:rPr>
            </w:pPr>
          </w:p>
          <w:p w:rsidR="00EA2C86" w:rsidRPr="00927778" w:rsidRDefault="00B13A06" w:rsidP="00C3651B">
            <w:pPr>
              <w:rPr>
                <w:iCs/>
                <w:color w:val="333333"/>
                <w:lang w:val="fr-FR"/>
              </w:rPr>
            </w:pPr>
            <w:r w:rsidRPr="00927778">
              <w:rPr>
                <w:iCs/>
                <w:color w:val="333333"/>
                <w:lang w:val="fr-FR"/>
              </w:rPr>
              <w:t>Préciser avec clarté, dès le début, la contribution spécifique de chaque expert a favorisé le processus collaboratif de rédaction des guid</w:t>
            </w:r>
            <w:r w:rsidR="00306E74" w:rsidRPr="00927778">
              <w:rPr>
                <w:iCs/>
                <w:color w:val="333333"/>
                <w:lang w:val="fr-FR"/>
              </w:rPr>
              <w:t>es.  Le</w:t>
            </w:r>
            <w:r w:rsidR="00BE7043" w:rsidRPr="00927778">
              <w:rPr>
                <w:iCs/>
                <w:color w:val="333333"/>
                <w:lang w:val="fr-FR"/>
              </w:rPr>
              <w:t>s experts principaux ont joué un rôle crucial en compilant, analysant et révisant les contributions</w:t>
            </w:r>
            <w:r w:rsidR="00A7472C" w:rsidRPr="00927778">
              <w:rPr>
                <w:iCs/>
                <w:color w:val="333333"/>
                <w:lang w:val="fr-FR"/>
              </w:rPr>
              <w:t xml:space="preserve"> des cinq</w:t>
            </w:r>
            <w:r w:rsidR="0057466D" w:rsidRPr="00927778">
              <w:rPr>
                <w:iCs/>
                <w:color w:val="333333"/>
                <w:lang w:val="fr-FR"/>
              </w:rPr>
              <w:t> </w:t>
            </w:r>
            <w:r w:rsidR="00A7472C" w:rsidRPr="00927778">
              <w:rPr>
                <w:iCs/>
                <w:color w:val="333333"/>
                <w:lang w:val="fr-FR"/>
              </w:rPr>
              <w:t>experts associés dotés de formation et d</w:t>
            </w:r>
            <w:r w:rsidR="00EA2C86" w:rsidRPr="00927778">
              <w:rPr>
                <w:iCs/>
                <w:color w:val="333333"/>
                <w:lang w:val="fr-FR"/>
              </w:rPr>
              <w:t>’</w:t>
            </w:r>
            <w:r w:rsidR="00A7472C" w:rsidRPr="00927778">
              <w:rPr>
                <w:iCs/>
                <w:color w:val="333333"/>
                <w:lang w:val="fr-FR"/>
              </w:rPr>
              <w:t xml:space="preserve">expériences </w:t>
            </w:r>
            <w:r w:rsidR="006F18C6" w:rsidRPr="00927778">
              <w:rPr>
                <w:iCs/>
                <w:color w:val="333333"/>
                <w:lang w:val="fr-FR"/>
              </w:rPr>
              <w:t>variées</w:t>
            </w:r>
            <w:r w:rsidR="00A7472C" w:rsidRPr="00927778">
              <w:rPr>
                <w:iCs/>
                <w:color w:val="333333"/>
                <w:lang w:val="fr-FR"/>
              </w:rPr>
              <w:t xml:space="preserve"> et de plumes </w:t>
            </w:r>
            <w:r w:rsidR="006F18C6" w:rsidRPr="00927778">
              <w:rPr>
                <w:iCs/>
                <w:color w:val="333333"/>
                <w:lang w:val="fr-FR"/>
              </w:rPr>
              <w:t>différent</w:t>
            </w:r>
            <w:r w:rsidR="00306E74" w:rsidRPr="00927778">
              <w:rPr>
                <w:iCs/>
                <w:color w:val="333333"/>
                <w:lang w:val="fr-FR"/>
              </w:rPr>
              <w:t>es.  Le</w:t>
            </w:r>
            <w:r w:rsidR="006F18C6" w:rsidRPr="00927778">
              <w:rPr>
                <w:iCs/>
                <w:color w:val="333333"/>
                <w:lang w:val="fr-FR"/>
              </w:rPr>
              <w:t>ur</w:t>
            </w:r>
            <w:r w:rsidR="00F3015B" w:rsidRPr="00927778">
              <w:rPr>
                <w:iCs/>
                <w:color w:val="333333"/>
                <w:lang w:val="fr-FR"/>
              </w:rPr>
              <w:t xml:space="preserve"> capacité à synthétiser les informations et à rendre fluide l</w:t>
            </w:r>
            <w:r w:rsidR="00EA2C86" w:rsidRPr="00927778">
              <w:rPr>
                <w:iCs/>
                <w:color w:val="333333"/>
                <w:lang w:val="fr-FR"/>
              </w:rPr>
              <w:t>’</w:t>
            </w:r>
            <w:r w:rsidR="00F3015B" w:rsidRPr="00927778">
              <w:rPr>
                <w:iCs/>
                <w:color w:val="333333"/>
                <w:lang w:val="fr-FR"/>
              </w:rPr>
              <w:t xml:space="preserve">enchaînement des diverses sections des guides a grandement participé à </w:t>
            </w:r>
            <w:r w:rsidR="006F18C6" w:rsidRPr="00927778">
              <w:rPr>
                <w:iCs/>
                <w:color w:val="333333"/>
                <w:lang w:val="fr-FR"/>
              </w:rPr>
              <w:t xml:space="preserve">ce que </w:t>
            </w:r>
            <w:r w:rsidR="003347C2" w:rsidRPr="00927778">
              <w:rPr>
                <w:iCs/>
                <w:color w:val="333333"/>
                <w:lang w:val="fr-FR"/>
              </w:rPr>
              <w:t>la rédaction des guides</w:t>
            </w:r>
            <w:r w:rsidR="006F18C6" w:rsidRPr="00927778">
              <w:rPr>
                <w:iCs/>
                <w:color w:val="333333"/>
                <w:lang w:val="fr-FR"/>
              </w:rPr>
              <w:t xml:space="preserve"> aboutisse</w:t>
            </w:r>
            <w:r w:rsidR="003347C2" w:rsidRPr="00927778">
              <w:rPr>
                <w:iCs/>
                <w:color w:val="333333"/>
                <w:lang w:val="fr-FR"/>
              </w:rPr>
              <w:t>.</w:t>
            </w:r>
          </w:p>
          <w:p w:rsidR="005E6718" w:rsidRPr="00927778" w:rsidRDefault="005E6718" w:rsidP="00C3651B">
            <w:pPr>
              <w:rPr>
                <w:iCs/>
                <w:color w:val="333333"/>
                <w:lang w:val="fr-FR"/>
              </w:rPr>
            </w:pPr>
          </w:p>
          <w:p w:rsidR="00EA2C86" w:rsidRPr="00927778" w:rsidRDefault="00F22AD7" w:rsidP="00C3651B">
            <w:pPr>
              <w:rPr>
                <w:iCs/>
                <w:color w:val="333333"/>
                <w:lang w:val="fr-FR"/>
              </w:rPr>
            </w:pPr>
            <w:r w:rsidRPr="00927778">
              <w:rPr>
                <w:iCs/>
                <w:color w:val="333333"/>
                <w:lang w:val="fr-FR"/>
              </w:rPr>
              <w:t>Les travaux de pilotage des guides dans les réseaux</w:t>
            </w:r>
            <w:r w:rsidR="00EA2C86" w:rsidRPr="00927778">
              <w:rPr>
                <w:iCs/>
                <w:color w:val="333333"/>
                <w:lang w:val="fr-FR"/>
              </w:rPr>
              <w:t xml:space="preserve"> des CAT</w:t>
            </w:r>
            <w:r w:rsidRPr="00927778">
              <w:rPr>
                <w:iCs/>
                <w:color w:val="333333"/>
                <w:lang w:val="fr-FR"/>
              </w:rPr>
              <w:t xml:space="preserve">I nationaux sélectionnés se sont révélés cruciaux pour </w:t>
            </w:r>
            <w:r w:rsidR="00AA6324" w:rsidRPr="00927778">
              <w:rPr>
                <w:iCs/>
                <w:color w:val="333333"/>
                <w:lang w:val="fr-FR"/>
              </w:rPr>
              <w:t>approuver</w:t>
            </w:r>
            <w:r w:rsidRPr="00927778">
              <w:rPr>
                <w:iCs/>
                <w:color w:val="333333"/>
                <w:lang w:val="fr-FR"/>
              </w:rPr>
              <w:t xml:space="preserve"> leur contenu, faire connaître leur valeur et susciter un grand intérêt de la part</w:t>
            </w:r>
            <w:r w:rsidR="00EA2C86" w:rsidRPr="00927778">
              <w:rPr>
                <w:iCs/>
                <w:color w:val="333333"/>
                <w:lang w:val="fr-FR"/>
              </w:rPr>
              <w:t xml:space="preserve"> des C</w:t>
            </w:r>
            <w:r w:rsidR="00306E74" w:rsidRPr="00927778">
              <w:rPr>
                <w:iCs/>
                <w:color w:val="333333"/>
                <w:lang w:val="fr-FR"/>
              </w:rPr>
              <w:t>ATI.  Le</w:t>
            </w:r>
            <w:r w:rsidR="00E5499B" w:rsidRPr="00927778">
              <w:rPr>
                <w:iCs/>
                <w:color w:val="333333"/>
                <w:lang w:val="fr-FR"/>
              </w:rPr>
              <w:t>s réactions recueillies ont confirmé que ces no</w:t>
            </w:r>
            <w:r w:rsidR="00AA6324" w:rsidRPr="00927778">
              <w:rPr>
                <w:iCs/>
                <w:color w:val="333333"/>
                <w:lang w:val="fr-FR"/>
              </w:rPr>
              <w:t>uvelles ressources représentent</w:t>
            </w:r>
            <w:r w:rsidR="00E5499B" w:rsidRPr="00927778">
              <w:rPr>
                <w:iCs/>
                <w:color w:val="333333"/>
                <w:lang w:val="fr-FR"/>
              </w:rPr>
              <w:t xml:space="preserve"> une importante valeur ajoutée pour</w:t>
            </w:r>
            <w:r w:rsidR="00EA2C86" w:rsidRPr="00927778">
              <w:rPr>
                <w:iCs/>
                <w:color w:val="333333"/>
                <w:lang w:val="fr-FR"/>
              </w:rPr>
              <w:t xml:space="preserve"> les C</w:t>
            </w:r>
            <w:r w:rsidR="00306E74" w:rsidRPr="00927778">
              <w:rPr>
                <w:iCs/>
                <w:color w:val="333333"/>
                <w:lang w:val="fr-FR"/>
              </w:rPr>
              <w:t>ATI.  De</w:t>
            </w:r>
            <w:r w:rsidR="00AA6324" w:rsidRPr="00927778">
              <w:rPr>
                <w:iCs/>
                <w:color w:val="333333"/>
                <w:lang w:val="fr-FR"/>
              </w:rPr>
              <w:t xml:space="preserve"> plus, le choix des </w:t>
            </w:r>
            <w:r w:rsidR="00DE354E" w:rsidRPr="00927778">
              <w:rPr>
                <w:iCs/>
                <w:color w:val="333333"/>
                <w:lang w:val="fr-FR"/>
              </w:rPr>
              <w:t>experts des pays</w:t>
            </w:r>
            <w:r w:rsidR="00AA6324" w:rsidRPr="00927778">
              <w:rPr>
                <w:iCs/>
                <w:color w:val="333333"/>
                <w:lang w:val="fr-FR"/>
              </w:rPr>
              <w:t>,</w:t>
            </w:r>
            <w:r w:rsidR="00DE354E" w:rsidRPr="00927778">
              <w:rPr>
                <w:iCs/>
                <w:color w:val="333333"/>
                <w:lang w:val="fr-FR"/>
              </w:rPr>
              <w:t xml:space="preserve"> dotés d</w:t>
            </w:r>
            <w:r w:rsidR="00EA2C86" w:rsidRPr="00927778">
              <w:rPr>
                <w:iCs/>
                <w:color w:val="333333"/>
                <w:lang w:val="fr-FR"/>
              </w:rPr>
              <w:t>’</w:t>
            </w:r>
            <w:r w:rsidR="00DE354E" w:rsidRPr="00927778">
              <w:rPr>
                <w:iCs/>
                <w:color w:val="333333"/>
                <w:lang w:val="fr-FR"/>
              </w:rPr>
              <w:t xml:space="preserve">une bonne connaissance du </w:t>
            </w:r>
            <w:r w:rsidR="00AA6324" w:rsidRPr="00927778">
              <w:rPr>
                <w:iCs/>
                <w:color w:val="333333"/>
                <w:lang w:val="fr-FR"/>
              </w:rPr>
              <w:t>sujet</w:t>
            </w:r>
            <w:r w:rsidR="00DE354E" w:rsidRPr="00927778">
              <w:rPr>
                <w:iCs/>
                <w:color w:val="333333"/>
                <w:lang w:val="fr-FR"/>
              </w:rPr>
              <w:t xml:space="preserve"> et des pays ou régions </w:t>
            </w:r>
            <w:r w:rsidR="00AA6324" w:rsidRPr="00927778">
              <w:rPr>
                <w:iCs/>
                <w:color w:val="333333"/>
                <w:lang w:val="fr-FR"/>
              </w:rPr>
              <w:t>où les travaux de pilotage des guide</w:t>
            </w:r>
            <w:r w:rsidR="0010120A" w:rsidRPr="00927778">
              <w:rPr>
                <w:iCs/>
                <w:color w:val="333333"/>
                <w:lang w:val="fr-FR"/>
              </w:rPr>
              <w:t xml:space="preserve">s </w:t>
            </w:r>
            <w:r w:rsidR="00AA6324" w:rsidRPr="00927778">
              <w:rPr>
                <w:iCs/>
                <w:color w:val="333333"/>
                <w:lang w:val="fr-FR"/>
              </w:rPr>
              <w:t xml:space="preserve">ont eu lieu, </w:t>
            </w:r>
            <w:r w:rsidR="00DE354E" w:rsidRPr="00927778">
              <w:rPr>
                <w:iCs/>
                <w:color w:val="333333"/>
                <w:lang w:val="fr-FR"/>
              </w:rPr>
              <w:t>a été fondamental pour parvenir</w:t>
            </w:r>
            <w:r w:rsidR="00AA6324" w:rsidRPr="00927778">
              <w:rPr>
                <w:iCs/>
                <w:color w:val="333333"/>
                <w:lang w:val="fr-FR"/>
              </w:rPr>
              <w:t>, avec le soutien des coordon</w:t>
            </w:r>
            <w:r w:rsidR="0010120A" w:rsidRPr="00927778">
              <w:rPr>
                <w:iCs/>
                <w:color w:val="333333"/>
                <w:lang w:val="fr-FR"/>
              </w:rPr>
              <w:t>na</w:t>
            </w:r>
            <w:r w:rsidR="00AA6324" w:rsidRPr="00927778">
              <w:rPr>
                <w:iCs/>
                <w:color w:val="333333"/>
                <w:lang w:val="fr-FR"/>
              </w:rPr>
              <w:t>teurs nationaux respectifs,</w:t>
            </w:r>
            <w:r w:rsidR="00DE354E" w:rsidRPr="00927778">
              <w:rPr>
                <w:iCs/>
                <w:color w:val="333333"/>
                <w:lang w:val="fr-FR"/>
              </w:rPr>
              <w:t xml:space="preserve"> à recueillir et </w:t>
            </w:r>
            <w:r w:rsidR="00396EC6" w:rsidRPr="00927778">
              <w:rPr>
                <w:iCs/>
                <w:color w:val="333333"/>
                <w:lang w:val="fr-FR"/>
              </w:rPr>
              <w:t xml:space="preserve">à </w:t>
            </w:r>
            <w:r w:rsidR="00DE354E" w:rsidRPr="00927778">
              <w:rPr>
                <w:iCs/>
                <w:color w:val="333333"/>
                <w:lang w:val="fr-FR"/>
              </w:rPr>
              <w:t>recenser les expériences</w:t>
            </w:r>
            <w:r w:rsidR="00EA2C86" w:rsidRPr="00927778">
              <w:rPr>
                <w:iCs/>
                <w:color w:val="333333"/>
                <w:lang w:val="fr-FR"/>
              </w:rPr>
              <w:t xml:space="preserve"> des CAT</w:t>
            </w:r>
            <w:r w:rsidR="00DE354E" w:rsidRPr="00927778">
              <w:rPr>
                <w:iCs/>
                <w:color w:val="333333"/>
                <w:lang w:val="fr-FR"/>
              </w:rPr>
              <w:t>I</w:t>
            </w:r>
            <w:r w:rsidR="0098359E" w:rsidRPr="00927778">
              <w:rPr>
                <w:iCs/>
                <w:color w:val="333333"/>
                <w:lang w:val="fr-FR"/>
              </w:rPr>
              <w:t>.</w:t>
            </w:r>
          </w:p>
          <w:p w:rsidR="005E6718" w:rsidRPr="00927778" w:rsidRDefault="005E6718" w:rsidP="00C3651B">
            <w:pPr>
              <w:rPr>
                <w:iCs/>
                <w:color w:val="333333"/>
                <w:lang w:val="fr-FR"/>
              </w:rPr>
            </w:pPr>
          </w:p>
          <w:p w:rsidR="00EA2C86" w:rsidRPr="00927778" w:rsidRDefault="0098359E" w:rsidP="00C3651B">
            <w:pPr>
              <w:rPr>
                <w:iCs/>
                <w:color w:val="333333"/>
                <w:lang w:val="fr-FR"/>
              </w:rPr>
            </w:pPr>
            <w:r w:rsidRPr="00927778">
              <w:rPr>
                <w:iCs/>
                <w:color w:val="333333"/>
                <w:lang w:val="fr-FR"/>
              </w:rPr>
              <w:t>La constitution d</w:t>
            </w:r>
            <w:r w:rsidR="00EA2C86" w:rsidRPr="00927778">
              <w:rPr>
                <w:iCs/>
                <w:color w:val="333333"/>
                <w:lang w:val="fr-FR"/>
              </w:rPr>
              <w:t>’</w:t>
            </w:r>
            <w:r w:rsidRPr="00927778">
              <w:rPr>
                <w:iCs/>
                <w:color w:val="333333"/>
                <w:lang w:val="fr-FR"/>
              </w:rPr>
              <w:t>un groupe d</w:t>
            </w:r>
            <w:r w:rsidR="00EA2C86" w:rsidRPr="00927778">
              <w:rPr>
                <w:iCs/>
                <w:color w:val="333333"/>
                <w:lang w:val="fr-FR"/>
              </w:rPr>
              <w:t>’</w:t>
            </w:r>
            <w:r w:rsidRPr="00927778">
              <w:rPr>
                <w:iCs/>
                <w:color w:val="333333"/>
                <w:lang w:val="fr-FR"/>
              </w:rPr>
              <w:t xml:space="preserve">experts issus de différentes aires </w:t>
            </w:r>
            <w:r w:rsidR="00C111BE" w:rsidRPr="00927778">
              <w:rPr>
                <w:iCs/>
                <w:color w:val="333333"/>
                <w:lang w:val="fr-FR"/>
              </w:rPr>
              <w:t>géographiques</w:t>
            </w:r>
            <w:r w:rsidR="00227B36" w:rsidRPr="00927778">
              <w:rPr>
                <w:iCs/>
                <w:color w:val="333333"/>
                <w:lang w:val="fr-FR"/>
              </w:rPr>
              <w:t>,</w:t>
            </w:r>
            <w:r w:rsidRPr="00927778">
              <w:rPr>
                <w:iCs/>
                <w:color w:val="333333"/>
                <w:lang w:val="fr-FR"/>
              </w:rPr>
              <w:t xml:space="preserve"> qui pourront </w:t>
            </w:r>
            <w:r w:rsidR="00227B36" w:rsidRPr="00927778">
              <w:rPr>
                <w:iCs/>
                <w:color w:val="333333"/>
                <w:lang w:val="fr-FR"/>
              </w:rPr>
              <w:t>faire</w:t>
            </w:r>
            <w:r w:rsidRPr="00927778">
              <w:rPr>
                <w:iCs/>
                <w:color w:val="333333"/>
                <w:lang w:val="fr-FR"/>
              </w:rPr>
              <w:t xml:space="preserve"> office de personnes ressources pour aider</w:t>
            </w:r>
            <w:r w:rsidR="00EA2C86" w:rsidRPr="00927778">
              <w:rPr>
                <w:iCs/>
                <w:color w:val="333333"/>
                <w:lang w:val="fr-FR"/>
              </w:rPr>
              <w:t xml:space="preserve"> les CAT</w:t>
            </w:r>
            <w:r w:rsidRPr="00927778">
              <w:rPr>
                <w:iCs/>
                <w:color w:val="333333"/>
                <w:lang w:val="fr-FR"/>
              </w:rPr>
              <w:t>I à exploiter les gu</w:t>
            </w:r>
            <w:r w:rsidR="00227B36" w:rsidRPr="00927778">
              <w:rPr>
                <w:iCs/>
                <w:color w:val="333333"/>
                <w:lang w:val="fr-FR"/>
              </w:rPr>
              <w:t>ides et à renforcer la capacité</w:t>
            </w:r>
            <w:r w:rsidRPr="00927778">
              <w:rPr>
                <w:iCs/>
                <w:color w:val="333333"/>
                <w:lang w:val="fr-FR"/>
              </w:rPr>
              <w:t xml:space="preserve"> de leurs services à recenser et </w:t>
            </w:r>
            <w:r w:rsidR="00E053FD" w:rsidRPr="00927778">
              <w:rPr>
                <w:iCs/>
                <w:color w:val="333333"/>
                <w:lang w:val="fr-FR"/>
              </w:rPr>
              <w:t xml:space="preserve">à </w:t>
            </w:r>
            <w:r w:rsidRPr="00927778">
              <w:rPr>
                <w:iCs/>
                <w:color w:val="333333"/>
                <w:lang w:val="fr-FR"/>
              </w:rPr>
              <w:t>utiliser les inventions relevant du domaine public</w:t>
            </w:r>
            <w:r w:rsidR="00227B36" w:rsidRPr="00927778">
              <w:rPr>
                <w:iCs/>
                <w:color w:val="333333"/>
                <w:lang w:val="fr-FR"/>
              </w:rPr>
              <w:t>,</w:t>
            </w:r>
            <w:r w:rsidR="00CB74D9" w:rsidRPr="00927778">
              <w:rPr>
                <w:iCs/>
                <w:color w:val="333333"/>
                <w:lang w:val="fr-FR"/>
              </w:rPr>
              <w:t xml:space="preserve"> est un bon indicateur</w:t>
            </w:r>
            <w:r w:rsidR="00227B36" w:rsidRPr="00927778">
              <w:rPr>
                <w:iCs/>
                <w:color w:val="333333"/>
                <w:lang w:val="fr-FR"/>
              </w:rPr>
              <w:t xml:space="preserve"> de la réussite du</w:t>
            </w:r>
            <w:r w:rsidR="00CB74D9" w:rsidRPr="00927778">
              <w:rPr>
                <w:iCs/>
                <w:color w:val="333333"/>
                <w:lang w:val="fr-FR"/>
              </w:rPr>
              <w:t xml:space="preserve"> projet et des effets qu</w:t>
            </w:r>
            <w:r w:rsidR="00EA2C86" w:rsidRPr="00927778">
              <w:rPr>
                <w:iCs/>
                <w:color w:val="333333"/>
                <w:lang w:val="fr-FR"/>
              </w:rPr>
              <w:t>’</w:t>
            </w:r>
            <w:r w:rsidR="00CB74D9" w:rsidRPr="00927778">
              <w:rPr>
                <w:iCs/>
                <w:color w:val="333333"/>
                <w:lang w:val="fr-FR"/>
              </w:rPr>
              <w:t>il entraînera, au même titre que l</w:t>
            </w:r>
            <w:r w:rsidR="00EA2C86" w:rsidRPr="00927778">
              <w:rPr>
                <w:iCs/>
                <w:color w:val="333333"/>
                <w:lang w:val="fr-FR"/>
              </w:rPr>
              <w:t>’</w:t>
            </w:r>
            <w:r w:rsidR="00CB74D9" w:rsidRPr="00927778">
              <w:rPr>
                <w:iCs/>
                <w:color w:val="333333"/>
                <w:lang w:val="fr-FR"/>
              </w:rPr>
              <w:t>intérêt que les travaux de pilotage ont suscité auprès</w:t>
            </w:r>
            <w:r w:rsidR="00EA2C86" w:rsidRPr="00927778">
              <w:rPr>
                <w:iCs/>
                <w:color w:val="333333"/>
                <w:lang w:val="fr-FR"/>
              </w:rPr>
              <w:t xml:space="preserve"> des CAT</w:t>
            </w:r>
            <w:r w:rsidR="00CB74D9" w:rsidRPr="00927778">
              <w:rPr>
                <w:iCs/>
                <w:color w:val="333333"/>
                <w:lang w:val="fr-FR"/>
              </w:rPr>
              <w:t>I.</w:t>
            </w:r>
          </w:p>
          <w:p w:rsidR="001320FC" w:rsidRPr="00927778" w:rsidRDefault="001320FC" w:rsidP="00C3651B">
            <w:pPr>
              <w:rPr>
                <w:iCs/>
                <w:color w:val="333333"/>
                <w:lang w:val="fr-FR"/>
              </w:rPr>
            </w:pPr>
          </w:p>
        </w:tc>
      </w:tr>
      <w:tr w:rsidR="00047C22" w:rsidRPr="00927778" w:rsidTr="00C3651B">
        <w:trPr>
          <w:trHeight w:val="713"/>
        </w:trPr>
        <w:tc>
          <w:tcPr>
            <w:tcW w:w="2376" w:type="dxa"/>
            <w:shd w:val="clear" w:color="auto" w:fill="auto"/>
          </w:tcPr>
          <w:p w:rsidR="001320FC" w:rsidRPr="00927778" w:rsidRDefault="00E7667B" w:rsidP="00E7667B">
            <w:pPr>
              <w:pStyle w:val="Heading3"/>
              <w:rPr>
                <w:color w:val="333333"/>
                <w:lang w:val="fr-FR"/>
              </w:rPr>
            </w:pPr>
            <w:r w:rsidRPr="00927778">
              <w:rPr>
                <w:color w:val="333333"/>
                <w:lang w:val="fr-FR"/>
              </w:rPr>
              <w:t>Risques et mesures de prévention</w:t>
            </w:r>
          </w:p>
        </w:tc>
        <w:tc>
          <w:tcPr>
            <w:tcW w:w="6912" w:type="dxa"/>
          </w:tcPr>
          <w:p w:rsidR="005E6718" w:rsidRPr="00927778" w:rsidRDefault="005E6718" w:rsidP="00843040">
            <w:pPr>
              <w:rPr>
                <w:iCs/>
                <w:color w:val="333333"/>
                <w:lang w:val="fr-FR"/>
              </w:rPr>
            </w:pPr>
          </w:p>
          <w:p w:rsidR="005E6718" w:rsidRPr="00927778" w:rsidRDefault="00E7667B" w:rsidP="00E7667B">
            <w:pPr>
              <w:rPr>
                <w:iCs/>
                <w:color w:val="333333"/>
                <w:lang w:val="fr-FR"/>
              </w:rPr>
            </w:pPr>
            <w:r w:rsidRPr="00927778">
              <w:rPr>
                <w:iCs/>
                <w:color w:val="333333"/>
                <w:lang w:val="fr-FR"/>
              </w:rPr>
              <w:t>Risque</w:t>
            </w:r>
            <w:r w:rsidR="00EA2C86" w:rsidRPr="00927778">
              <w:rPr>
                <w:iCs/>
                <w:color w:val="333333"/>
                <w:lang w:val="fr-FR"/>
              </w:rPr>
              <w:t> :</w:t>
            </w:r>
            <w:r w:rsidRPr="00927778">
              <w:rPr>
                <w:iCs/>
                <w:color w:val="333333"/>
                <w:lang w:val="fr-FR"/>
              </w:rPr>
              <w:t xml:space="preserve"> capacité insuffisante du personnel</w:t>
            </w:r>
            <w:r w:rsidR="00EA2C86" w:rsidRPr="00927778">
              <w:rPr>
                <w:iCs/>
                <w:color w:val="333333"/>
                <w:lang w:val="fr-FR"/>
              </w:rPr>
              <w:t xml:space="preserve"> des CAT</w:t>
            </w:r>
            <w:r w:rsidRPr="00927778">
              <w:rPr>
                <w:iCs/>
                <w:color w:val="333333"/>
                <w:lang w:val="fr-FR"/>
              </w:rPr>
              <w:t>I s</w:t>
            </w:r>
            <w:r w:rsidR="00EA2C86" w:rsidRPr="00927778">
              <w:rPr>
                <w:iCs/>
                <w:color w:val="333333"/>
                <w:lang w:val="fr-FR"/>
              </w:rPr>
              <w:t>’</w:t>
            </w:r>
            <w:r w:rsidRPr="00927778">
              <w:rPr>
                <w:iCs/>
                <w:color w:val="333333"/>
                <w:lang w:val="fr-FR"/>
              </w:rPr>
              <w:t>agissant de comprendre et d</w:t>
            </w:r>
            <w:r w:rsidR="00EA2C86" w:rsidRPr="00927778">
              <w:rPr>
                <w:iCs/>
                <w:color w:val="333333"/>
                <w:lang w:val="fr-FR"/>
              </w:rPr>
              <w:t>’</w:t>
            </w:r>
            <w:r w:rsidRPr="00927778">
              <w:rPr>
                <w:iCs/>
                <w:color w:val="333333"/>
                <w:lang w:val="fr-FR"/>
              </w:rPr>
              <w:t xml:space="preserve">utiliser efficacement les informations contenues dans les guides pratiques sur </w:t>
            </w:r>
            <w:r w:rsidR="00DE14D6" w:rsidRPr="00927778">
              <w:rPr>
                <w:iCs/>
                <w:color w:val="333333"/>
                <w:lang w:val="fr-FR"/>
              </w:rPr>
              <w:t>le recensement</w:t>
            </w:r>
            <w:r w:rsidRPr="00927778">
              <w:rPr>
                <w:iCs/>
                <w:color w:val="333333"/>
                <w:lang w:val="fr-FR"/>
              </w:rPr>
              <w:t xml:space="preserve"> et l</w:t>
            </w:r>
            <w:r w:rsidR="00EA2C86" w:rsidRPr="00927778">
              <w:rPr>
                <w:iCs/>
                <w:color w:val="333333"/>
                <w:lang w:val="fr-FR"/>
              </w:rPr>
              <w:t>’</w:t>
            </w:r>
            <w:r w:rsidRPr="00927778">
              <w:rPr>
                <w:iCs/>
                <w:color w:val="333333"/>
                <w:lang w:val="fr-FR"/>
              </w:rPr>
              <w:t>utilisation des inventions figurant dans le domaine public.</w:t>
            </w:r>
          </w:p>
          <w:p w:rsidR="005E6718" w:rsidRPr="00927778" w:rsidRDefault="005E6718" w:rsidP="00843040">
            <w:pPr>
              <w:rPr>
                <w:iCs/>
                <w:color w:val="333333"/>
                <w:lang w:val="fr-FR"/>
              </w:rPr>
            </w:pPr>
          </w:p>
          <w:p w:rsidR="001320FC" w:rsidRPr="00927778" w:rsidRDefault="006B73D6" w:rsidP="008034E6">
            <w:pPr>
              <w:rPr>
                <w:iCs/>
                <w:color w:val="333333"/>
                <w:lang w:val="fr-FR"/>
              </w:rPr>
            </w:pPr>
            <w:r w:rsidRPr="00927778">
              <w:rPr>
                <w:iCs/>
                <w:color w:val="333333"/>
                <w:lang w:val="fr-FR"/>
              </w:rPr>
              <w:t>Mesures de prévention</w:t>
            </w:r>
            <w:r w:rsidR="00EA2C86" w:rsidRPr="00927778">
              <w:rPr>
                <w:iCs/>
                <w:color w:val="333333"/>
                <w:lang w:val="fr-FR"/>
              </w:rPr>
              <w:t> :</w:t>
            </w:r>
            <w:r w:rsidR="00566F90" w:rsidRPr="00927778">
              <w:rPr>
                <w:iCs/>
                <w:color w:val="333333"/>
                <w:lang w:val="fr-FR"/>
              </w:rPr>
              <w:t xml:space="preserve"> </w:t>
            </w:r>
            <w:r w:rsidR="00E316B7" w:rsidRPr="00927778">
              <w:rPr>
                <w:iCs/>
                <w:color w:val="333333"/>
                <w:lang w:val="fr-FR"/>
              </w:rPr>
              <w:t>Des mesures ont été prises pour adapter les guides aux capacités</w:t>
            </w:r>
            <w:r w:rsidR="00EA2C86" w:rsidRPr="00927778">
              <w:rPr>
                <w:iCs/>
                <w:color w:val="333333"/>
                <w:lang w:val="fr-FR"/>
              </w:rPr>
              <w:t xml:space="preserve"> des CAT</w:t>
            </w:r>
            <w:r w:rsidR="00E316B7" w:rsidRPr="00927778">
              <w:rPr>
                <w:iCs/>
                <w:color w:val="333333"/>
                <w:lang w:val="fr-FR"/>
              </w:rPr>
              <w:t xml:space="preserve">I </w:t>
            </w:r>
            <w:r w:rsidR="00566F90" w:rsidRPr="00927778">
              <w:rPr>
                <w:iCs/>
                <w:color w:val="333333"/>
                <w:lang w:val="fr-FR"/>
              </w:rPr>
              <w:t>en effectuant l</w:t>
            </w:r>
            <w:r w:rsidR="00A7094D" w:rsidRPr="00927778">
              <w:rPr>
                <w:iCs/>
                <w:color w:val="333333"/>
                <w:lang w:val="fr-FR"/>
              </w:rPr>
              <w:t>es trava</w:t>
            </w:r>
            <w:r w:rsidR="00566F90" w:rsidRPr="00927778">
              <w:rPr>
                <w:iCs/>
                <w:color w:val="333333"/>
                <w:lang w:val="fr-FR"/>
              </w:rPr>
              <w:t>ux de pilotage des guides dans</w:t>
            </w:r>
            <w:r w:rsidR="00EA2C86" w:rsidRPr="00927778">
              <w:rPr>
                <w:iCs/>
                <w:color w:val="333333"/>
                <w:lang w:val="fr-FR"/>
              </w:rPr>
              <w:t xml:space="preserve"> des CAT</w:t>
            </w:r>
            <w:r w:rsidR="00A7094D" w:rsidRPr="00927778">
              <w:rPr>
                <w:iCs/>
                <w:color w:val="333333"/>
                <w:lang w:val="fr-FR"/>
              </w:rPr>
              <w:t xml:space="preserve">I sélectionnés </w:t>
            </w:r>
            <w:r w:rsidR="00566F90" w:rsidRPr="00927778">
              <w:rPr>
                <w:iCs/>
                <w:color w:val="333333"/>
                <w:lang w:val="fr-FR"/>
              </w:rPr>
              <w:t>au sein des</w:t>
            </w:r>
            <w:r w:rsidR="00A7094D" w:rsidRPr="00927778">
              <w:rPr>
                <w:iCs/>
                <w:color w:val="333333"/>
                <w:lang w:val="fr-FR"/>
              </w:rPr>
              <w:t xml:space="preserve"> neuf</w:t>
            </w:r>
            <w:r w:rsidR="0057466D" w:rsidRPr="00927778">
              <w:rPr>
                <w:iCs/>
                <w:color w:val="333333"/>
                <w:lang w:val="fr-FR"/>
              </w:rPr>
              <w:t> </w:t>
            </w:r>
            <w:r w:rsidR="00A7094D" w:rsidRPr="00927778">
              <w:rPr>
                <w:iCs/>
                <w:color w:val="333333"/>
                <w:lang w:val="fr-FR"/>
              </w:rPr>
              <w:t xml:space="preserve">réseaux de CATI nationaux des pays en </w:t>
            </w:r>
            <w:r w:rsidR="00566F90" w:rsidRPr="00927778">
              <w:rPr>
                <w:iCs/>
                <w:color w:val="333333"/>
                <w:lang w:val="fr-FR"/>
              </w:rPr>
              <w:t>développement et en transiti</w:t>
            </w:r>
            <w:r w:rsidR="00306E74" w:rsidRPr="00927778">
              <w:rPr>
                <w:iCs/>
                <w:color w:val="333333"/>
                <w:lang w:val="fr-FR"/>
              </w:rPr>
              <w:t>on.  Le</w:t>
            </w:r>
            <w:r w:rsidR="00A7094D" w:rsidRPr="00927778">
              <w:rPr>
                <w:iCs/>
                <w:color w:val="333333"/>
                <w:lang w:val="fr-FR"/>
              </w:rPr>
              <w:t xml:space="preserve">s </w:t>
            </w:r>
            <w:r w:rsidR="00566F90" w:rsidRPr="00927778">
              <w:rPr>
                <w:iCs/>
                <w:color w:val="333333"/>
                <w:lang w:val="fr-FR"/>
              </w:rPr>
              <w:t>commentaires recueilli</w:t>
            </w:r>
            <w:r w:rsidR="00A7094D" w:rsidRPr="00927778">
              <w:rPr>
                <w:iCs/>
                <w:color w:val="333333"/>
                <w:lang w:val="fr-FR"/>
              </w:rPr>
              <w:t xml:space="preserve">s </w:t>
            </w:r>
            <w:r w:rsidR="00566F90" w:rsidRPr="00927778">
              <w:rPr>
                <w:iCs/>
                <w:color w:val="333333"/>
                <w:lang w:val="fr-FR"/>
              </w:rPr>
              <w:t>lors du pilotage ont été pri</w:t>
            </w:r>
            <w:r w:rsidR="00A7094D" w:rsidRPr="00927778">
              <w:rPr>
                <w:iCs/>
                <w:color w:val="333333"/>
                <w:lang w:val="fr-FR"/>
              </w:rPr>
              <w:t>s en compte au cours du processus d</w:t>
            </w:r>
            <w:r w:rsidR="00566F90" w:rsidRPr="00927778">
              <w:rPr>
                <w:iCs/>
                <w:color w:val="333333"/>
                <w:lang w:val="fr-FR"/>
              </w:rPr>
              <w:t>e révision et ont été intégrés dans les versions finales</w:t>
            </w:r>
            <w:r w:rsidR="00A7094D" w:rsidRPr="00927778">
              <w:rPr>
                <w:iCs/>
                <w:color w:val="333333"/>
                <w:lang w:val="fr-FR"/>
              </w:rPr>
              <w:t>, qui incluront des orientations pratiques (</w:t>
            </w:r>
            <w:r w:rsidR="00EA2C86" w:rsidRPr="00927778">
              <w:rPr>
                <w:iCs/>
                <w:color w:val="333333"/>
                <w:lang w:val="fr-FR"/>
              </w:rPr>
              <w:t>y compris</w:t>
            </w:r>
            <w:r w:rsidR="00A7094D" w:rsidRPr="00927778">
              <w:rPr>
                <w:iCs/>
                <w:color w:val="333333"/>
                <w:lang w:val="fr-FR"/>
              </w:rPr>
              <w:t xml:space="preserve"> des modèles et des organigrammes), des exemples et des études de c</w:t>
            </w:r>
            <w:r w:rsidR="00306E74" w:rsidRPr="00927778">
              <w:rPr>
                <w:iCs/>
                <w:color w:val="333333"/>
                <w:lang w:val="fr-FR"/>
              </w:rPr>
              <w:t>as.  Le</w:t>
            </w:r>
            <w:r w:rsidR="00A7094D" w:rsidRPr="00927778">
              <w:rPr>
                <w:iCs/>
                <w:color w:val="333333"/>
                <w:lang w:val="fr-FR"/>
              </w:rPr>
              <w:t xml:space="preserve"> groupe d</w:t>
            </w:r>
            <w:r w:rsidR="00EA2C86" w:rsidRPr="00927778">
              <w:rPr>
                <w:iCs/>
                <w:color w:val="333333"/>
                <w:lang w:val="fr-FR"/>
              </w:rPr>
              <w:t>’</w:t>
            </w:r>
            <w:r w:rsidR="00A7094D" w:rsidRPr="00927778">
              <w:rPr>
                <w:iCs/>
                <w:color w:val="333333"/>
                <w:lang w:val="fr-FR"/>
              </w:rPr>
              <w:t xml:space="preserve">experts constitué au titre du projet aidera également à prévenir ce risque en </w:t>
            </w:r>
            <w:r w:rsidR="0038068C" w:rsidRPr="00927778">
              <w:rPr>
                <w:iCs/>
                <w:color w:val="333333"/>
                <w:lang w:val="fr-FR"/>
              </w:rPr>
              <w:t>apportant son appui au personnel</w:t>
            </w:r>
            <w:r w:rsidR="00EA2C86" w:rsidRPr="00927778">
              <w:rPr>
                <w:iCs/>
                <w:color w:val="333333"/>
                <w:lang w:val="fr-FR"/>
              </w:rPr>
              <w:t xml:space="preserve"> des CAT</w:t>
            </w:r>
            <w:r w:rsidR="0038068C" w:rsidRPr="00927778">
              <w:rPr>
                <w:iCs/>
                <w:color w:val="333333"/>
                <w:lang w:val="fr-FR"/>
              </w:rPr>
              <w:t>I sur les questions traitées dans les guides au moyen de futures activités de formation et d</w:t>
            </w:r>
            <w:r w:rsidR="00EA2C86" w:rsidRPr="00927778">
              <w:rPr>
                <w:iCs/>
                <w:color w:val="333333"/>
                <w:lang w:val="fr-FR"/>
              </w:rPr>
              <w:t>’</w:t>
            </w:r>
            <w:r w:rsidR="0038068C" w:rsidRPr="00927778">
              <w:rPr>
                <w:iCs/>
                <w:color w:val="333333"/>
                <w:lang w:val="fr-FR"/>
              </w:rPr>
              <w:t>assistance technique destinées à aider</w:t>
            </w:r>
            <w:r w:rsidR="00EA2C86" w:rsidRPr="00927778">
              <w:rPr>
                <w:iCs/>
                <w:color w:val="333333"/>
                <w:lang w:val="fr-FR"/>
              </w:rPr>
              <w:t xml:space="preserve"> les CAT</w:t>
            </w:r>
            <w:r w:rsidR="0038068C" w:rsidRPr="00927778">
              <w:rPr>
                <w:iCs/>
                <w:color w:val="333333"/>
                <w:lang w:val="fr-FR"/>
              </w:rPr>
              <w:t xml:space="preserve">I à se doter des compétences et des services nécessaires dans ce domaine. </w:t>
            </w:r>
            <w:r w:rsidR="0057466D" w:rsidRPr="00927778">
              <w:rPr>
                <w:iCs/>
                <w:color w:val="333333"/>
                <w:lang w:val="fr-FR"/>
              </w:rPr>
              <w:t xml:space="preserve"> </w:t>
            </w:r>
          </w:p>
        </w:tc>
      </w:tr>
      <w:tr w:rsidR="00047C22" w:rsidRPr="00927778" w:rsidTr="00C3651B">
        <w:trPr>
          <w:trHeight w:val="901"/>
        </w:trPr>
        <w:tc>
          <w:tcPr>
            <w:tcW w:w="2376" w:type="dxa"/>
            <w:shd w:val="clear" w:color="auto" w:fill="auto"/>
          </w:tcPr>
          <w:p w:rsidR="001320FC" w:rsidRPr="00927778" w:rsidRDefault="00E7667B" w:rsidP="00E7667B">
            <w:pPr>
              <w:pStyle w:val="Heading3"/>
              <w:rPr>
                <w:color w:val="333333"/>
                <w:lang w:val="fr-FR"/>
              </w:rPr>
            </w:pPr>
            <w:r w:rsidRPr="00927778">
              <w:rPr>
                <w:color w:val="333333"/>
                <w:lang w:val="fr-FR"/>
              </w:rPr>
              <w:t>Questions nécessitant un appui ou une attention immédiats</w:t>
            </w:r>
          </w:p>
        </w:tc>
        <w:tc>
          <w:tcPr>
            <w:tcW w:w="6912" w:type="dxa"/>
          </w:tcPr>
          <w:p w:rsidR="005E6718" w:rsidRPr="00927778" w:rsidRDefault="005E6718" w:rsidP="00C3651B">
            <w:pPr>
              <w:rPr>
                <w:iCs/>
                <w:color w:val="333333"/>
                <w:lang w:val="fr-FR"/>
              </w:rPr>
            </w:pPr>
          </w:p>
          <w:p w:rsidR="00EA2C86" w:rsidRPr="00927778" w:rsidRDefault="00707B10" w:rsidP="00B46D49">
            <w:pPr>
              <w:rPr>
                <w:bCs/>
                <w:color w:val="333333"/>
                <w:lang w:val="fr-FR"/>
              </w:rPr>
            </w:pPr>
            <w:r w:rsidRPr="00927778">
              <w:rPr>
                <w:bCs/>
                <w:color w:val="333333"/>
                <w:lang w:val="fr-FR"/>
              </w:rPr>
              <w:t>Ainsi qu</w:t>
            </w:r>
            <w:r w:rsidR="00EA2C86" w:rsidRPr="00927778">
              <w:rPr>
                <w:bCs/>
                <w:color w:val="333333"/>
                <w:lang w:val="fr-FR"/>
              </w:rPr>
              <w:t>’</w:t>
            </w:r>
            <w:r w:rsidRPr="00927778">
              <w:rPr>
                <w:bCs/>
                <w:color w:val="333333"/>
                <w:lang w:val="fr-FR"/>
              </w:rPr>
              <w:t>il a été indiqué dans le premier rapport sur l</w:t>
            </w:r>
            <w:r w:rsidR="00EA2C86" w:rsidRPr="00927778">
              <w:rPr>
                <w:bCs/>
                <w:color w:val="333333"/>
                <w:lang w:val="fr-FR"/>
              </w:rPr>
              <w:t>’</w:t>
            </w:r>
            <w:r w:rsidRPr="00927778">
              <w:rPr>
                <w:bCs/>
                <w:color w:val="333333"/>
                <w:lang w:val="fr-FR"/>
              </w:rPr>
              <w:t>état d</w:t>
            </w:r>
            <w:r w:rsidR="00EA2C86" w:rsidRPr="00927778">
              <w:rPr>
                <w:bCs/>
                <w:color w:val="333333"/>
                <w:lang w:val="fr-FR"/>
              </w:rPr>
              <w:t>’</w:t>
            </w:r>
            <w:r w:rsidRPr="00927778">
              <w:rPr>
                <w:bCs/>
                <w:color w:val="333333"/>
                <w:lang w:val="fr-FR"/>
              </w:rPr>
              <w:t xml:space="preserve">avancement du projet </w:t>
            </w:r>
            <w:r w:rsidR="001320FC" w:rsidRPr="00927778">
              <w:rPr>
                <w:bCs/>
                <w:color w:val="333333"/>
                <w:lang w:val="fr-FR"/>
              </w:rPr>
              <w:t>(</w:t>
            </w:r>
            <w:r w:rsidR="001320FC" w:rsidRPr="00927778">
              <w:rPr>
                <w:iCs/>
                <w:color w:val="333333"/>
                <w:lang w:val="fr-FR"/>
              </w:rPr>
              <w:t xml:space="preserve">CDIP/18/2, </w:t>
            </w:r>
            <w:r w:rsidR="00EA2C86" w:rsidRPr="00927778">
              <w:rPr>
                <w:iCs/>
                <w:color w:val="333333"/>
                <w:lang w:val="fr-FR"/>
              </w:rPr>
              <w:t>Annexe V</w:t>
            </w:r>
            <w:r w:rsidR="001320FC" w:rsidRPr="00927778">
              <w:rPr>
                <w:iCs/>
                <w:color w:val="333333"/>
                <w:lang w:val="fr-FR"/>
              </w:rPr>
              <w:t xml:space="preserve">), </w:t>
            </w:r>
            <w:r w:rsidRPr="00927778">
              <w:rPr>
                <w:iCs/>
                <w:color w:val="333333"/>
                <w:lang w:val="fr-FR"/>
              </w:rPr>
              <w:t>l</w:t>
            </w:r>
            <w:r w:rsidR="006E1E81" w:rsidRPr="00927778">
              <w:rPr>
                <w:iCs/>
                <w:color w:val="333333"/>
                <w:lang w:val="fr-FR"/>
              </w:rPr>
              <w:t>e</w:t>
            </w:r>
            <w:r w:rsidRPr="00927778">
              <w:rPr>
                <w:iCs/>
                <w:color w:val="333333"/>
                <w:lang w:val="fr-FR"/>
              </w:rPr>
              <w:t xml:space="preserve"> projet a débuté avec un retard initial de six</w:t>
            </w:r>
            <w:r w:rsidR="0057466D" w:rsidRPr="00927778">
              <w:rPr>
                <w:iCs/>
                <w:color w:val="333333"/>
                <w:lang w:val="fr-FR"/>
              </w:rPr>
              <w:t> </w:t>
            </w:r>
            <w:r w:rsidRPr="00927778">
              <w:rPr>
                <w:iCs/>
                <w:color w:val="333333"/>
                <w:lang w:val="fr-FR"/>
              </w:rPr>
              <w:t xml:space="preserve">mois, les activités proprement dites ayant commencé en </w:t>
            </w:r>
            <w:r w:rsidR="00EA2C86" w:rsidRPr="00927778">
              <w:rPr>
                <w:iCs/>
                <w:color w:val="333333"/>
                <w:lang w:val="fr-FR"/>
              </w:rPr>
              <w:t>octobre 20</w:t>
            </w:r>
            <w:r w:rsidRPr="00927778">
              <w:rPr>
                <w:iCs/>
                <w:color w:val="333333"/>
                <w:lang w:val="fr-FR"/>
              </w:rPr>
              <w:t>16</w:t>
            </w:r>
            <w:r w:rsidR="00566F90" w:rsidRPr="00927778">
              <w:rPr>
                <w:iCs/>
                <w:color w:val="333333"/>
                <w:lang w:val="fr-FR"/>
              </w:rPr>
              <w:t xml:space="preserve"> (les procédures engagées</w:t>
            </w:r>
            <w:r w:rsidR="00B46D49" w:rsidRPr="00927778">
              <w:rPr>
                <w:iCs/>
                <w:color w:val="333333"/>
                <w:lang w:val="fr-FR"/>
              </w:rPr>
              <w:t xml:space="preserve"> à la suite de l</w:t>
            </w:r>
            <w:r w:rsidR="00EA2C86" w:rsidRPr="00927778">
              <w:rPr>
                <w:iCs/>
                <w:color w:val="333333"/>
                <w:lang w:val="fr-FR"/>
              </w:rPr>
              <w:t>’</w:t>
            </w:r>
            <w:r w:rsidR="00B46D49" w:rsidRPr="00927778">
              <w:rPr>
                <w:iCs/>
                <w:color w:val="333333"/>
                <w:lang w:val="fr-FR"/>
              </w:rPr>
              <w:t>approbation du projet par</w:t>
            </w:r>
            <w:r w:rsidR="00EA2C86" w:rsidRPr="00927778">
              <w:rPr>
                <w:iCs/>
                <w:color w:val="333333"/>
                <w:lang w:val="fr-FR"/>
              </w:rPr>
              <w:t xml:space="preserve"> le CDI</w:t>
            </w:r>
            <w:r w:rsidR="00B46D49" w:rsidRPr="00927778">
              <w:rPr>
                <w:iCs/>
                <w:color w:val="333333"/>
                <w:lang w:val="fr-FR"/>
              </w:rPr>
              <w:t xml:space="preserve">P en </w:t>
            </w:r>
            <w:r w:rsidR="00EA2C86" w:rsidRPr="00927778">
              <w:rPr>
                <w:iCs/>
                <w:color w:val="333333"/>
                <w:lang w:val="fr-FR"/>
              </w:rPr>
              <w:t>avril 20</w:t>
            </w:r>
            <w:r w:rsidR="00B46D49" w:rsidRPr="00927778">
              <w:rPr>
                <w:iCs/>
                <w:color w:val="333333"/>
                <w:lang w:val="fr-FR"/>
              </w:rPr>
              <w:t>16 pour recruter un agent temporaire chargé de coordonner les activités relatives au projet, ainsi que des consultants extérieurs chargés d</w:t>
            </w:r>
            <w:r w:rsidR="00EA2C86" w:rsidRPr="00927778">
              <w:rPr>
                <w:iCs/>
                <w:color w:val="333333"/>
                <w:lang w:val="fr-FR"/>
              </w:rPr>
              <w:t>’</w:t>
            </w:r>
            <w:r w:rsidR="00B46D49" w:rsidRPr="00927778">
              <w:rPr>
                <w:iCs/>
                <w:color w:val="333333"/>
                <w:lang w:val="fr-FR"/>
              </w:rPr>
              <w:t xml:space="preserve">élaborer des documents précis attendus du projet, ont abouti en </w:t>
            </w:r>
            <w:r w:rsidR="00EA2C86" w:rsidRPr="00927778">
              <w:rPr>
                <w:iCs/>
                <w:color w:val="333333"/>
                <w:lang w:val="fr-FR"/>
              </w:rPr>
              <w:t>septembre 20</w:t>
            </w:r>
            <w:r w:rsidR="00B46D49" w:rsidRPr="00927778">
              <w:rPr>
                <w:iCs/>
                <w:color w:val="333333"/>
                <w:lang w:val="fr-FR"/>
              </w:rPr>
              <w:t xml:space="preserve">16 de sorte que la première phase du projet a pu formellement débuter en </w:t>
            </w:r>
            <w:r w:rsidR="00EA2C86" w:rsidRPr="00927778">
              <w:rPr>
                <w:iCs/>
                <w:color w:val="333333"/>
                <w:lang w:val="fr-FR"/>
              </w:rPr>
              <w:t>octobre 20</w:t>
            </w:r>
            <w:r w:rsidR="00B46D49" w:rsidRPr="00927778">
              <w:rPr>
                <w:iCs/>
                <w:color w:val="333333"/>
                <w:lang w:val="fr-FR"/>
              </w:rPr>
              <w:t>16</w:t>
            </w:r>
            <w:r w:rsidR="001320FC" w:rsidRPr="00927778">
              <w:rPr>
                <w:bCs/>
                <w:color w:val="333333"/>
                <w:lang w:val="fr-FR"/>
              </w:rPr>
              <w:t>).</w:t>
            </w:r>
          </w:p>
          <w:p w:rsidR="005E6718" w:rsidRPr="00927778" w:rsidRDefault="005E6718" w:rsidP="00C3651B">
            <w:pPr>
              <w:rPr>
                <w:bCs/>
                <w:color w:val="333333"/>
                <w:lang w:val="fr-FR"/>
              </w:rPr>
            </w:pPr>
          </w:p>
          <w:p w:rsidR="00EA2C86" w:rsidRPr="00927778" w:rsidRDefault="00F54FC0" w:rsidP="00C3651B">
            <w:pPr>
              <w:rPr>
                <w:iCs/>
                <w:color w:val="333333"/>
                <w:lang w:val="fr-FR"/>
              </w:rPr>
            </w:pPr>
            <w:r w:rsidRPr="00927778">
              <w:rPr>
                <w:bCs/>
                <w:color w:val="333333"/>
                <w:lang w:val="fr-FR"/>
              </w:rPr>
              <w:t>Le</w:t>
            </w:r>
            <w:r w:rsidR="0087231D" w:rsidRPr="00927778">
              <w:rPr>
                <w:bCs/>
                <w:color w:val="333333"/>
                <w:lang w:val="fr-FR"/>
              </w:rPr>
              <w:t xml:space="preserve"> retard initial de six</w:t>
            </w:r>
            <w:r w:rsidR="0057466D" w:rsidRPr="00927778">
              <w:rPr>
                <w:bCs/>
                <w:color w:val="333333"/>
                <w:lang w:val="fr-FR"/>
              </w:rPr>
              <w:t> </w:t>
            </w:r>
            <w:r w:rsidR="0087231D" w:rsidRPr="00927778">
              <w:rPr>
                <w:bCs/>
                <w:color w:val="333333"/>
                <w:lang w:val="fr-FR"/>
              </w:rPr>
              <w:t xml:space="preserve">mois </w:t>
            </w:r>
            <w:r w:rsidR="00566F90" w:rsidRPr="00927778">
              <w:rPr>
                <w:bCs/>
                <w:color w:val="333333"/>
                <w:lang w:val="fr-FR"/>
              </w:rPr>
              <w:t xml:space="preserve">pris avant </w:t>
            </w:r>
            <w:r w:rsidR="0087231D" w:rsidRPr="00927778">
              <w:rPr>
                <w:bCs/>
                <w:color w:val="333333"/>
                <w:lang w:val="fr-FR"/>
              </w:rPr>
              <w:t>le début réel du projet</w:t>
            </w:r>
            <w:r w:rsidRPr="00927778">
              <w:rPr>
                <w:bCs/>
                <w:color w:val="333333"/>
                <w:lang w:val="fr-FR"/>
              </w:rPr>
              <w:t xml:space="preserve"> requiert de prolonger la disponibilité des</w:t>
            </w:r>
            <w:r w:rsidR="00566F90" w:rsidRPr="00927778">
              <w:rPr>
                <w:bCs/>
                <w:color w:val="333333"/>
                <w:lang w:val="fr-FR"/>
              </w:rPr>
              <w:t xml:space="preserve"> ressources allouées au projet et</w:t>
            </w:r>
            <w:r w:rsidRPr="00927778">
              <w:rPr>
                <w:bCs/>
                <w:color w:val="333333"/>
                <w:lang w:val="fr-FR"/>
              </w:rPr>
              <w:t xml:space="preserve"> de permettre que tous les documents attendus soient </w:t>
            </w:r>
            <w:r w:rsidR="00566F90" w:rsidRPr="00927778">
              <w:rPr>
                <w:bCs/>
                <w:color w:val="333333"/>
                <w:lang w:val="fr-FR"/>
              </w:rPr>
              <w:t>remis d</w:t>
            </w:r>
            <w:r w:rsidR="00EA2C86" w:rsidRPr="00927778">
              <w:rPr>
                <w:bCs/>
                <w:color w:val="333333"/>
                <w:lang w:val="fr-FR"/>
              </w:rPr>
              <w:t>’</w:t>
            </w:r>
            <w:r w:rsidR="00566F90" w:rsidRPr="00927778">
              <w:rPr>
                <w:bCs/>
                <w:color w:val="333333"/>
                <w:lang w:val="fr-FR"/>
              </w:rPr>
              <w:t>ici au mois d</w:t>
            </w:r>
            <w:r w:rsidR="00EA2C86" w:rsidRPr="00927778">
              <w:rPr>
                <w:bCs/>
                <w:color w:val="333333"/>
                <w:lang w:val="fr-FR"/>
              </w:rPr>
              <w:t>’avril 20</w:t>
            </w:r>
            <w:r w:rsidRPr="00927778">
              <w:rPr>
                <w:bCs/>
                <w:color w:val="333333"/>
                <w:lang w:val="fr-FR"/>
              </w:rPr>
              <w:t>19, autrement dit en l</w:t>
            </w:r>
            <w:r w:rsidR="00EA2C86" w:rsidRPr="00927778">
              <w:rPr>
                <w:bCs/>
                <w:color w:val="333333"/>
                <w:lang w:val="fr-FR"/>
              </w:rPr>
              <w:t>’</w:t>
            </w:r>
            <w:r w:rsidRPr="00927778">
              <w:rPr>
                <w:bCs/>
                <w:color w:val="333333"/>
                <w:lang w:val="fr-FR"/>
              </w:rPr>
              <w:t>espace de 36</w:t>
            </w:r>
            <w:r w:rsidR="00002037" w:rsidRPr="00927778">
              <w:rPr>
                <w:bCs/>
                <w:color w:val="333333"/>
                <w:lang w:val="fr-FR"/>
              </w:rPr>
              <w:t> </w:t>
            </w:r>
            <w:r w:rsidRPr="00927778">
              <w:rPr>
                <w:bCs/>
                <w:color w:val="333333"/>
                <w:lang w:val="fr-FR"/>
              </w:rPr>
              <w:t>mois</w:t>
            </w:r>
            <w:r w:rsidR="0010120A" w:rsidRPr="00927778">
              <w:rPr>
                <w:bCs/>
                <w:color w:val="333333"/>
                <w:lang w:val="fr-FR"/>
              </w:rPr>
              <w:t>,</w:t>
            </w:r>
            <w:r w:rsidRPr="00927778">
              <w:rPr>
                <w:bCs/>
                <w:color w:val="333333"/>
                <w:lang w:val="fr-FR"/>
              </w:rPr>
              <w:t xml:space="preserve"> tel qu</w:t>
            </w:r>
            <w:r w:rsidR="00EA2C86" w:rsidRPr="00927778">
              <w:rPr>
                <w:bCs/>
                <w:color w:val="333333"/>
                <w:lang w:val="fr-FR"/>
              </w:rPr>
              <w:t>’</w:t>
            </w:r>
            <w:r w:rsidRPr="00927778">
              <w:rPr>
                <w:bCs/>
                <w:color w:val="333333"/>
                <w:lang w:val="fr-FR"/>
              </w:rPr>
              <w:t>approuvé par</w:t>
            </w:r>
            <w:r w:rsidR="00EA2C86" w:rsidRPr="00927778">
              <w:rPr>
                <w:bCs/>
                <w:color w:val="333333"/>
                <w:lang w:val="fr-FR"/>
              </w:rPr>
              <w:t xml:space="preserve"> le CDI</w:t>
            </w:r>
            <w:r w:rsidRPr="00927778">
              <w:rPr>
                <w:bCs/>
                <w:color w:val="333333"/>
                <w:lang w:val="fr-FR"/>
              </w:rPr>
              <w:t>P pour ce proj</w:t>
            </w:r>
            <w:r w:rsidR="00306E74" w:rsidRPr="00927778">
              <w:rPr>
                <w:bCs/>
                <w:color w:val="333333"/>
                <w:lang w:val="fr-FR"/>
              </w:rPr>
              <w:t>et.  Un</w:t>
            </w:r>
            <w:r w:rsidRPr="00927778">
              <w:rPr>
                <w:bCs/>
                <w:color w:val="333333"/>
                <w:lang w:val="fr-FR"/>
              </w:rPr>
              <w:t xml:space="preserve"> calendrier </w:t>
            </w:r>
            <w:r w:rsidR="00112390" w:rsidRPr="00927778">
              <w:rPr>
                <w:bCs/>
                <w:color w:val="333333"/>
                <w:lang w:val="fr-FR"/>
              </w:rPr>
              <w:t xml:space="preserve">de mise en œuvre </w:t>
            </w:r>
            <w:r w:rsidRPr="00927778">
              <w:rPr>
                <w:bCs/>
                <w:color w:val="333333"/>
                <w:lang w:val="fr-FR"/>
              </w:rPr>
              <w:t xml:space="preserve">révisé tenant compte du retard </w:t>
            </w:r>
            <w:r w:rsidR="00C111BE" w:rsidRPr="00927778">
              <w:rPr>
                <w:bCs/>
                <w:color w:val="333333"/>
                <w:lang w:val="fr-FR"/>
              </w:rPr>
              <w:t>initial</w:t>
            </w:r>
            <w:r w:rsidRPr="00927778">
              <w:rPr>
                <w:bCs/>
                <w:color w:val="333333"/>
                <w:lang w:val="fr-FR"/>
              </w:rPr>
              <w:t xml:space="preserve"> dans la mise en œuvre des activités du projet et un </w:t>
            </w:r>
            <w:r w:rsidR="00566F90" w:rsidRPr="00927778">
              <w:rPr>
                <w:bCs/>
                <w:color w:val="333333"/>
                <w:lang w:val="fr-FR"/>
              </w:rPr>
              <w:t>tableau sur</w:t>
            </w:r>
            <w:r w:rsidR="00B6494E" w:rsidRPr="00927778">
              <w:rPr>
                <w:bCs/>
                <w:color w:val="333333"/>
                <w:lang w:val="fr-FR"/>
              </w:rPr>
              <w:t xml:space="preserve"> la ré</w:t>
            </w:r>
            <w:r w:rsidR="008B2744" w:rsidRPr="00927778">
              <w:rPr>
                <w:bCs/>
                <w:color w:val="333333"/>
                <w:lang w:val="fr-FR"/>
              </w:rPr>
              <w:t>allocation</w:t>
            </w:r>
            <w:r w:rsidR="00566F90" w:rsidRPr="00927778">
              <w:rPr>
                <w:bCs/>
                <w:color w:val="333333"/>
                <w:lang w:val="fr-FR"/>
              </w:rPr>
              <w:t xml:space="preserve"> des ressources par produit</w:t>
            </w:r>
            <w:r w:rsidR="008B2744" w:rsidRPr="00927778">
              <w:rPr>
                <w:bCs/>
                <w:color w:val="333333"/>
                <w:lang w:val="fr-FR"/>
              </w:rPr>
              <w:t xml:space="preserve"> du projet sont annexés au présent rapport sur l</w:t>
            </w:r>
            <w:r w:rsidR="00EA2C86" w:rsidRPr="00927778">
              <w:rPr>
                <w:bCs/>
                <w:color w:val="333333"/>
                <w:lang w:val="fr-FR"/>
              </w:rPr>
              <w:t>’</w:t>
            </w:r>
            <w:r w:rsidR="008B2744" w:rsidRPr="00927778">
              <w:rPr>
                <w:bCs/>
                <w:color w:val="333333"/>
                <w:lang w:val="fr-FR"/>
              </w:rPr>
              <w:t>état d</w:t>
            </w:r>
            <w:r w:rsidR="00EA2C86" w:rsidRPr="00927778">
              <w:rPr>
                <w:bCs/>
                <w:color w:val="333333"/>
                <w:lang w:val="fr-FR"/>
              </w:rPr>
              <w:t>’</w:t>
            </w:r>
            <w:r w:rsidR="008B2744" w:rsidRPr="00927778">
              <w:rPr>
                <w:bCs/>
                <w:color w:val="333333"/>
                <w:lang w:val="fr-FR"/>
              </w:rPr>
              <w:t>avancement.</w:t>
            </w:r>
          </w:p>
          <w:p w:rsidR="005E6718" w:rsidRPr="00927778" w:rsidRDefault="005E6718" w:rsidP="00C3651B">
            <w:pPr>
              <w:rPr>
                <w:iCs/>
                <w:color w:val="333333"/>
                <w:lang w:val="fr-FR"/>
              </w:rPr>
            </w:pPr>
          </w:p>
          <w:p w:rsidR="00EA2C86" w:rsidRPr="00927778" w:rsidRDefault="008B2744" w:rsidP="00C3651B">
            <w:pPr>
              <w:rPr>
                <w:color w:val="333333"/>
                <w:szCs w:val="22"/>
                <w:lang w:val="fr-FR"/>
              </w:rPr>
            </w:pPr>
            <w:r w:rsidRPr="00927778">
              <w:rPr>
                <w:iCs/>
                <w:color w:val="333333"/>
                <w:lang w:val="fr-FR"/>
              </w:rPr>
              <w:t>Les fonds destinés à l</w:t>
            </w:r>
            <w:r w:rsidR="00EA2C86" w:rsidRPr="00927778">
              <w:rPr>
                <w:iCs/>
                <w:color w:val="333333"/>
                <w:lang w:val="fr-FR"/>
              </w:rPr>
              <w:t>’</w:t>
            </w:r>
            <w:r w:rsidRPr="00927778">
              <w:rPr>
                <w:iCs/>
                <w:color w:val="333333"/>
                <w:lang w:val="fr-FR"/>
              </w:rPr>
              <w:t xml:space="preserve">exercice </w:t>
            </w:r>
            <w:r w:rsidR="00EA2C86" w:rsidRPr="00927778">
              <w:rPr>
                <w:iCs/>
                <w:color w:val="333333"/>
                <w:lang w:val="fr-FR"/>
              </w:rPr>
              <w:t>biennal </w:t>
            </w:r>
            <w:r w:rsidR="00EA2C86" w:rsidRPr="00927778">
              <w:rPr>
                <w:color w:val="333333"/>
                <w:szCs w:val="22"/>
                <w:lang w:val="fr-FR"/>
              </w:rPr>
              <w:t>2016</w:t>
            </w:r>
            <w:r w:rsidR="00CB5AE0" w:rsidRPr="00927778">
              <w:rPr>
                <w:color w:val="333333"/>
                <w:szCs w:val="22"/>
                <w:lang w:val="fr-FR"/>
              </w:rPr>
              <w:noBreakHyphen/>
            </w:r>
            <w:r w:rsidR="001320FC" w:rsidRPr="00927778">
              <w:rPr>
                <w:color w:val="333333"/>
                <w:szCs w:val="22"/>
                <w:lang w:val="fr-FR"/>
              </w:rPr>
              <w:t xml:space="preserve">2017 </w:t>
            </w:r>
            <w:r w:rsidRPr="00927778">
              <w:rPr>
                <w:color w:val="333333"/>
                <w:szCs w:val="22"/>
                <w:lang w:val="fr-FR"/>
              </w:rPr>
              <w:t xml:space="preserve">ont été </w:t>
            </w:r>
            <w:r w:rsidR="00C111BE" w:rsidRPr="00927778">
              <w:rPr>
                <w:color w:val="333333"/>
                <w:szCs w:val="22"/>
                <w:lang w:val="fr-FR"/>
              </w:rPr>
              <w:t>réalloués</w:t>
            </w:r>
            <w:r w:rsidRPr="00927778">
              <w:rPr>
                <w:color w:val="333333"/>
                <w:szCs w:val="22"/>
                <w:lang w:val="fr-FR"/>
              </w:rPr>
              <w:t xml:space="preserve"> compte tenu du retard initial de six</w:t>
            </w:r>
            <w:r w:rsidR="0057466D" w:rsidRPr="00927778">
              <w:rPr>
                <w:color w:val="333333"/>
                <w:szCs w:val="22"/>
                <w:lang w:val="fr-FR"/>
              </w:rPr>
              <w:t> </w:t>
            </w:r>
            <w:r w:rsidRPr="00927778">
              <w:rPr>
                <w:color w:val="333333"/>
                <w:szCs w:val="22"/>
                <w:lang w:val="fr-FR"/>
              </w:rPr>
              <w:t xml:space="preserve">mois et constituent des dépenses </w:t>
            </w:r>
            <w:r w:rsidR="00566F90" w:rsidRPr="00927778">
              <w:rPr>
                <w:color w:val="333333"/>
                <w:szCs w:val="22"/>
                <w:lang w:val="fr-FR"/>
              </w:rPr>
              <w:t>actuelles</w:t>
            </w:r>
            <w:r w:rsidR="00DA7B48" w:rsidRPr="00927778">
              <w:rPr>
                <w:color w:val="333333"/>
                <w:szCs w:val="22"/>
                <w:lang w:val="fr-FR"/>
              </w:rPr>
              <w:t xml:space="preserve"> comme </w:t>
            </w:r>
            <w:r w:rsidRPr="00927778">
              <w:rPr>
                <w:color w:val="333333"/>
                <w:szCs w:val="22"/>
                <w:lang w:val="fr-FR"/>
              </w:rPr>
              <w:t xml:space="preserve">indiqué dans le tableau </w:t>
            </w:r>
            <w:r w:rsidR="00566F90" w:rsidRPr="00927778">
              <w:rPr>
                <w:color w:val="333333"/>
                <w:szCs w:val="22"/>
                <w:lang w:val="fr-FR"/>
              </w:rPr>
              <w:t>ci</w:t>
            </w:r>
            <w:r w:rsidR="00CB5AE0" w:rsidRPr="00927778">
              <w:rPr>
                <w:color w:val="333333"/>
                <w:szCs w:val="22"/>
                <w:lang w:val="fr-FR"/>
              </w:rPr>
              <w:noBreakHyphen/>
            </w:r>
            <w:r w:rsidRPr="00927778">
              <w:rPr>
                <w:color w:val="333333"/>
                <w:szCs w:val="22"/>
                <w:lang w:val="fr-FR"/>
              </w:rPr>
              <w:t>joi</w:t>
            </w:r>
            <w:r w:rsidR="00306E74" w:rsidRPr="00927778">
              <w:rPr>
                <w:color w:val="333333"/>
                <w:szCs w:val="22"/>
                <w:lang w:val="fr-FR"/>
              </w:rPr>
              <w:t>nt.  Ga</w:t>
            </w:r>
            <w:r w:rsidRPr="00927778">
              <w:rPr>
                <w:color w:val="333333"/>
                <w:szCs w:val="22"/>
                <w:lang w:val="fr-FR"/>
              </w:rPr>
              <w:t xml:space="preserve">rantir la mise en œuvre des activités du projet requiert de réorienter certaines des ressources destinées aux </w:t>
            </w:r>
            <w:r w:rsidR="0023630F" w:rsidRPr="00927778">
              <w:rPr>
                <w:color w:val="333333"/>
                <w:szCs w:val="22"/>
                <w:lang w:val="fr-FR"/>
              </w:rPr>
              <w:t>autres dépenses vers les dépenses de personnel (50 00</w:t>
            </w:r>
            <w:r w:rsidR="00EA2C86" w:rsidRPr="00927778">
              <w:rPr>
                <w:color w:val="333333"/>
                <w:szCs w:val="22"/>
                <w:lang w:val="fr-FR"/>
              </w:rPr>
              <w:t>0 franc</w:t>
            </w:r>
            <w:r w:rsidR="0023630F" w:rsidRPr="00927778">
              <w:rPr>
                <w:color w:val="333333"/>
                <w:szCs w:val="22"/>
                <w:lang w:val="fr-FR"/>
              </w:rPr>
              <w:t xml:space="preserve">s suisses) sans </w:t>
            </w:r>
            <w:r w:rsidR="00566F90" w:rsidRPr="00927778">
              <w:rPr>
                <w:color w:val="333333"/>
                <w:szCs w:val="22"/>
                <w:lang w:val="fr-FR"/>
              </w:rPr>
              <w:t xml:space="preserve">toutefois </w:t>
            </w:r>
            <w:r w:rsidR="0023630F" w:rsidRPr="00927778">
              <w:rPr>
                <w:color w:val="333333"/>
                <w:szCs w:val="22"/>
                <w:lang w:val="fr-FR"/>
              </w:rPr>
              <w:t>dépasser le montant de l</w:t>
            </w:r>
            <w:r w:rsidR="00EA2C86" w:rsidRPr="00927778">
              <w:rPr>
                <w:color w:val="333333"/>
                <w:szCs w:val="22"/>
                <w:lang w:val="fr-FR"/>
              </w:rPr>
              <w:t>’</w:t>
            </w:r>
            <w:r w:rsidR="0023630F" w:rsidRPr="00927778">
              <w:rPr>
                <w:color w:val="333333"/>
                <w:szCs w:val="22"/>
                <w:lang w:val="fr-FR"/>
              </w:rPr>
              <w:t xml:space="preserve">enveloppe </w:t>
            </w:r>
            <w:r w:rsidR="00566F90" w:rsidRPr="00927778">
              <w:rPr>
                <w:color w:val="333333"/>
                <w:szCs w:val="22"/>
                <w:lang w:val="fr-FR"/>
              </w:rPr>
              <w:t>destinée</w:t>
            </w:r>
            <w:r w:rsidR="0023630F" w:rsidRPr="00927778">
              <w:rPr>
                <w:color w:val="333333"/>
                <w:szCs w:val="22"/>
                <w:lang w:val="fr-FR"/>
              </w:rPr>
              <w:t xml:space="preserve"> au proj</w:t>
            </w:r>
            <w:r w:rsidR="00306E74" w:rsidRPr="00927778">
              <w:rPr>
                <w:color w:val="333333"/>
                <w:szCs w:val="22"/>
                <w:lang w:val="fr-FR"/>
              </w:rPr>
              <w:t>et.  Ce</w:t>
            </w:r>
            <w:r w:rsidR="002B312A" w:rsidRPr="00927778">
              <w:rPr>
                <w:color w:val="333333"/>
                <w:szCs w:val="22"/>
                <w:lang w:val="fr-FR"/>
              </w:rPr>
              <w:t>tte somme correspond globalement aux ressources</w:t>
            </w:r>
            <w:r w:rsidR="00B63FD1" w:rsidRPr="00927778">
              <w:rPr>
                <w:color w:val="333333"/>
                <w:szCs w:val="22"/>
                <w:lang w:val="fr-FR"/>
              </w:rPr>
              <w:t xml:space="preserve"> non dépensées </w:t>
            </w:r>
            <w:r w:rsidR="009D497D" w:rsidRPr="00927778">
              <w:rPr>
                <w:color w:val="333333"/>
                <w:szCs w:val="22"/>
                <w:lang w:val="fr-FR"/>
              </w:rPr>
              <w:t>pendant l</w:t>
            </w:r>
            <w:r w:rsidR="00EA2C86" w:rsidRPr="00927778">
              <w:rPr>
                <w:color w:val="333333"/>
                <w:szCs w:val="22"/>
                <w:lang w:val="fr-FR"/>
              </w:rPr>
              <w:t>’</w:t>
            </w:r>
            <w:r w:rsidR="009D497D" w:rsidRPr="00927778">
              <w:rPr>
                <w:color w:val="333333"/>
                <w:szCs w:val="22"/>
                <w:lang w:val="fr-FR"/>
              </w:rPr>
              <w:t xml:space="preserve">exercice </w:t>
            </w:r>
            <w:r w:rsidR="00EA2C86" w:rsidRPr="00927778">
              <w:rPr>
                <w:color w:val="333333"/>
                <w:szCs w:val="22"/>
                <w:lang w:val="fr-FR"/>
              </w:rPr>
              <w:t>biennal 2016</w:t>
            </w:r>
            <w:r w:rsidR="00CB5AE0" w:rsidRPr="00927778">
              <w:rPr>
                <w:color w:val="333333"/>
                <w:szCs w:val="22"/>
                <w:lang w:val="fr-FR"/>
              </w:rPr>
              <w:noBreakHyphen/>
            </w:r>
            <w:r w:rsidR="009D497D" w:rsidRPr="00927778">
              <w:rPr>
                <w:color w:val="333333"/>
                <w:szCs w:val="22"/>
                <w:lang w:val="fr-FR"/>
              </w:rPr>
              <w:t>2017 pour les</w:t>
            </w:r>
            <w:r w:rsidR="002B312A" w:rsidRPr="00927778">
              <w:rPr>
                <w:color w:val="333333"/>
                <w:szCs w:val="22"/>
                <w:lang w:val="fr-FR"/>
              </w:rPr>
              <w:t xml:space="preserve"> missions de </w:t>
            </w:r>
            <w:r w:rsidR="00B63FD1" w:rsidRPr="00927778">
              <w:rPr>
                <w:color w:val="333333"/>
                <w:szCs w:val="22"/>
                <w:lang w:val="fr-FR"/>
              </w:rPr>
              <w:t>personnel et autres services contractuels nécessaires aux travaux de pilotage des guid</w:t>
            </w:r>
            <w:r w:rsidR="00306E74" w:rsidRPr="00927778">
              <w:rPr>
                <w:color w:val="333333"/>
                <w:szCs w:val="22"/>
                <w:lang w:val="fr-FR"/>
              </w:rPr>
              <w:t>es.  De</w:t>
            </w:r>
            <w:r w:rsidR="00221237" w:rsidRPr="00927778">
              <w:rPr>
                <w:color w:val="333333"/>
                <w:szCs w:val="22"/>
                <w:lang w:val="fr-FR"/>
              </w:rPr>
              <w:t>s économies ont été réalisées en organisant une réunion à Genève avec les experts des pays pilotes pour lancer le processus pilote (</w:t>
            </w:r>
            <w:r w:rsidR="00057664" w:rsidRPr="00927778">
              <w:rPr>
                <w:color w:val="333333"/>
                <w:szCs w:val="22"/>
                <w:lang w:val="fr-FR"/>
              </w:rPr>
              <w:t>au lieu</w:t>
            </w:r>
            <w:r w:rsidR="00221237" w:rsidRPr="00927778">
              <w:rPr>
                <w:color w:val="333333"/>
                <w:szCs w:val="22"/>
                <w:lang w:val="fr-FR"/>
              </w:rPr>
              <w:t xml:space="preserve"> d</w:t>
            </w:r>
            <w:r w:rsidR="00EA2C86" w:rsidRPr="00927778">
              <w:rPr>
                <w:color w:val="333333"/>
                <w:szCs w:val="22"/>
                <w:lang w:val="fr-FR"/>
              </w:rPr>
              <w:t>’</w:t>
            </w:r>
            <w:r w:rsidR="00221237" w:rsidRPr="00927778">
              <w:rPr>
                <w:color w:val="333333"/>
                <w:szCs w:val="22"/>
                <w:lang w:val="fr-FR"/>
              </w:rPr>
              <w:t>envoyer le personnel dans chacun des pays pilotes) et en sélectionnant des experts issus des pays ou régions pilotes pour les guides (qui</w:t>
            </w:r>
            <w:r w:rsidR="00057664" w:rsidRPr="00927778">
              <w:rPr>
                <w:color w:val="333333"/>
                <w:szCs w:val="22"/>
                <w:lang w:val="fr-FR"/>
              </w:rPr>
              <w:t>,</w:t>
            </w:r>
            <w:r w:rsidR="00221237" w:rsidRPr="00927778">
              <w:rPr>
                <w:color w:val="333333"/>
                <w:szCs w:val="22"/>
                <w:lang w:val="fr-FR"/>
              </w:rPr>
              <w:t xml:space="preserve"> dans certains cas</w:t>
            </w:r>
            <w:r w:rsidR="00057664" w:rsidRPr="00927778">
              <w:rPr>
                <w:color w:val="333333"/>
                <w:szCs w:val="22"/>
                <w:lang w:val="fr-FR"/>
              </w:rPr>
              <w:t>,</w:t>
            </w:r>
            <w:r w:rsidR="00221237" w:rsidRPr="00927778">
              <w:rPr>
                <w:color w:val="333333"/>
                <w:szCs w:val="22"/>
                <w:lang w:val="fr-FR"/>
              </w:rPr>
              <w:t xml:space="preserve"> s</w:t>
            </w:r>
            <w:r w:rsidR="00EA2C86" w:rsidRPr="00927778">
              <w:rPr>
                <w:color w:val="333333"/>
                <w:szCs w:val="22"/>
                <w:lang w:val="fr-FR"/>
              </w:rPr>
              <w:t>’</w:t>
            </w:r>
            <w:r w:rsidR="00221237" w:rsidRPr="00927778">
              <w:rPr>
                <w:color w:val="333333"/>
                <w:szCs w:val="22"/>
                <w:lang w:val="fr-FR"/>
              </w:rPr>
              <w:t>occupent de plus d</w:t>
            </w:r>
            <w:r w:rsidR="00EA2C86" w:rsidRPr="00927778">
              <w:rPr>
                <w:color w:val="333333"/>
                <w:szCs w:val="22"/>
                <w:lang w:val="fr-FR"/>
              </w:rPr>
              <w:t>’</w:t>
            </w:r>
            <w:r w:rsidR="00221237" w:rsidRPr="00927778">
              <w:rPr>
                <w:color w:val="333333"/>
                <w:szCs w:val="22"/>
                <w:lang w:val="fr-FR"/>
              </w:rPr>
              <w:t>un pays pilote).</w:t>
            </w:r>
          </w:p>
          <w:p w:rsidR="001320FC" w:rsidRPr="00927778" w:rsidRDefault="001320FC" w:rsidP="00C3651B">
            <w:pPr>
              <w:rPr>
                <w:iCs/>
                <w:color w:val="333333"/>
                <w:lang w:val="fr-FR"/>
              </w:rPr>
            </w:pPr>
          </w:p>
        </w:tc>
      </w:tr>
      <w:tr w:rsidR="00047C22" w:rsidRPr="00927778" w:rsidTr="00C3651B">
        <w:trPr>
          <w:trHeight w:val="1081"/>
        </w:trPr>
        <w:tc>
          <w:tcPr>
            <w:tcW w:w="2376" w:type="dxa"/>
            <w:shd w:val="clear" w:color="auto" w:fill="auto"/>
          </w:tcPr>
          <w:p w:rsidR="001320FC" w:rsidRPr="00927778" w:rsidRDefault="001D4D2F" w:rsidP="001D4D2F">
            <w:pPr>
              <w:pStyle w:val="Heading3"/>
              <w:keepNext w:val="0"/>
              <w:widowControl w:val="0"/>
              <w:rPr>
                <w:color w:val="333333"/>
                <w:lang w:val="fr-FR"/>
              </w:rPr>
            </w:pPr>
            <w:r w:rsidRPr="00927778">
              <w:rPr>
                <w:color w:val="333333"/>
                <w:lang w:val="fr-FR"/>
              </w:rPr>
              <w:t>Mesures à prendre</w:t>
            </w:r>
          </w:p>
        </w:tc>
        <w:tc>
          <w:tcPr>
            <w:tcW w:w="6912" w:type="dxa"/>
          </w:tcPr>
          <w:p w:rsidR="005E6718" w:rsidRPr="00927778" w:rsidRDefault="005E6718" w:rsidP="00592898">
            <w:pPr>
              <w:pStyle w:val="NormalWeb"/>
              <w:widowControl w:val="0"/>
              <w:spacing w:before="0" w:beforeAutospacing="0" w:after="0" w:afterAutospacing="0"/>
              <w:rPr>
                <w:rFonts w:ascii="Arial" w:hAnsi="Arial" w:cs="Arial"/>
                <w:color w:val="333333"/>
                <w:sz w:val="22"/>
                <w:szCs w:val="20"/>
                <w:lang w:eastAsia="en-US"/>
              </w:rPr>
            </w:pPr>
          </w:p>
          <w:p w:rsidR="00EA2C86" w:rsidRPr="00927778" w:rsidRDefault="00F17706" w:rsidP="00592898">
            <w:pPr>
              <w:pStyle w:val="NormalWeb"/>
              <w:widowControl w:val="0"/>
              <w:spacing w:before="0" w:beforeAutospacing="0" w:after="0" w:afterAutospacing="0"/>
              <w:rPr>
                <w:rFonts w:ascii="Arial" w:hAnsi="Arial" w:cs="Arial"/>
                <w:color w:val="333333"/>
                <w:sz w:val="22"/>
                <w:szCs w:val="20"/>
                <w:lang w:eastAsia="en-US"/>
              </w:rPr>
            </w:pPr>
            <w:r w:rsidRPr="00927778">
              <w:rPr>
                <w:rFonts w:ascii="Arial" w:hAnsi="Arial" w:cs="Arial"/>
                <w:color w:val="333333"/>
                <w:sz w:val="22"/>
                <w:szCs w:val="20"/>
                <w:lang w:eastAsia="en-US"/>
              </w:rPr>
              <w:t xml:space="preserve">La version </w:t>
            </w:r>
            <w:r w:rsidR="009B6CFC" w:rsidRPr="00927778">
              <w:rPr>
                <w:rFonts w:ascii="Arial" w:hAnsi="Arial" w:cs="Arial"/>
                <w:color w:val="333333"/>
                <w:sz w:val="22"/>
                <w:szCs w:val="20"/>
                <w:lang w:eastAsia="en-US"/>
              </w:rPr>
              <w:t xml:space="preserve">intégrale </w:t>
            </w:r>
            <w:r w:rsidRPr="00927778">
              <w:rPr>
                <w:rFonts w:ascii="Arial" w:hAnsi="Arial" w:cs="Arial"/>
                <w:color w:val="333333"/>
                <w:sz w:val="22"/>
                <w:szCs w:val="20"/>
                <w:lang w:eastAsia="en-US"/>
              </w:rPr>
              <w:t xml:space="preserve">finale du guide sur le recensement des inventions relevant du domaine public et le matériel de formation y afférent ayant été </w:t>
            </w:r>
            <w:r w:rsidR="009B6CFC" w:rsidRPr="00927778">
              <w:rPr>
                <w:rFonts w:ascii="Arial" w:hAnsi="Arial" w:cs="Arial"/>
                <w:color w:val="333333"/>
                <w:sz w:val="22"/>
                <w:szCs w:val="20"/>
                <w:lang w:eastAsia="en-US"/>
              </w:rPr>
              <w:t>achevés</w:t>
            </w:r>
            <w:r w:rsidRPr="00927778">
              <w:rPr>
                <w:rFonts w:ascii="Arial" w:hAnsi="Arial" w:cs="Arial"/>
                <w:color w:val="333333"/>
                <w:sz w:val="22"/>
                <w:szCs w:val="20"/>
                <w:lang w:eastAsia="en-US"/>
              </w:rPr>
              <w:t xml:space="preserve"> en </w:t>
            </w:r>
            <w:r w:rsidR="00EA2C86" w:rsidRPr="00927778">
              <w:rPr>
                <w:rFonts w:ascii="Arial" w:hAnsi="Arial" w:cs="Arial"/>
                <w:color w:val="333333"/>
                <w:sz w:val="22"/>
                <w:szCs w:val="20"/>
                <w:lang w:eastAsia="en-US"/>
              </w:rPr>
              <w:t>juin 20</w:t>
            </w:r>
            <w:r w:rsidRPr="00927778">
              <w:rPr>
                <w:rFonts w:ascii="Arial" w:hAnsi="Arial" w:cs="Arial"/>
                <w:color w:val="333333"/>
                <w:sz w:val="22"/>
                <w:szCs w:val="20"/>
                <w:lang w:eastAsia="en-US"/>
              </w:rPr>
              <w:t>18, la version finale du deuxième guide sur l</w:t>
            </w:r>
            <w:r w:rsidR="00EA2C86" w:rsidRPr="00927778">
              <w:rPr>
                <w:rFonts w:ascii="Arial" w:hAnsi="Arial" w:cs="Arial"/>
                <w:color w:val="333333"/>
                <w:sz w:val="22"/>
                <w:szCs w:val="20"/>
                <w:lang w:eastAsia="en-US"/>
              </w:rPr>
              <w:t>’</w:t>
            </w:r>
            <w:r w:rsidRPr="00927778">
              <w:rPr>
                <w:rFonts w:ascii="Arial" w:hAnsi="Arial" w:cs="Arial"/>
                <w:color w:val="333333"/>
                <w:sz w:val="22"/>
                <w:szCs w:val="20"/>
                <w:lang w:eastAsia="en-US"/>
              </w:rPr>
              <w:t xml:space="preserve">utilisation des inventions dans le domaine public devrait être prête en </w:t>
            </w:r>
            <w:r w:rsidR="00EA2C86" w:rsidRPr="00927778">
              <w:rPr>
                <w:rFonts w:ascii="Arial" w:hAnsi="Arial" w:cs="Arial"/>
                <w:color w:val="333333"/>
                <w:sz w:val="22"/>
                <w:szCs w:val="20"/>
                <w:lang w:eastAsia="en-US"/>
              </w:rPr>
              <w:t>juillet 20</w:t>
            </w:r>
            <w:r w:rsidRPr="00927778">
              <w:rPr>
                <w:rFonts w:ascii="Arial" w:hAnsi="Arial" w:cs="Arial"/>
                <w:color w:val="333333"/>
                <w:sz w:val="22"/>
                <w:szCs w:val="20"/>
                <w:lang w:eastAsia="en-US"/>
              </w:rPr>
              <w:t>18.</w:t>
            </w:r>
          </w:p>
          <w:p w:rsidR="005E6718" w:rsidRPr="00927778" w:rsidRDefault="005E6718" w:rsidP="00592898">
            <w:pPr>
              <w:widowControl w:val="0"/>
              <w:rPr>
                <w:iCs/>
                <w:color w:val="333333"/>
                <w:lang w:val="fr-FR"/>
              </w:rPr>
            </w:pPr>
          </w:p>
          <w:p w:rsidR="00EA2C86" w:rsidRPr="00927778" w:rsidRDefault="00286D49" w:rsidP="00592898">
            <w:pPr>
              <w:widowControl w:val="0"/>
              <w:rPr>
                <w:color w:val="333333"/>
                <w:lang w:val="fr-FR"/>
              </w:rPr>
            </w:pPr>
            <w:r w:rsidRPr="00927778">
              <w:rPr>
                <w:iCs/>
                <w:color w:val="333333"/>
                <w:lang w:val="fr-FR"/>
              </w:rPr>
              <w:t xml:space="preserve">Conformément </w:t>
            </w:r>
            <w:r w:rsidR="009B6CFC" w:rsidRPr="00927778">
              <w:rPr>
                <w:iCs/>
                <w:color w:val="333333"/>
                <w:lang w:val="fr-FR"/>
              </w:rPr>
              <w:t>à la Politique de</w:t>
            </w:r>
            <w:r w:rsidRPr="00927778">
              <w:rPr>
                <w:color w:val="333333"/>
                <w:lang w:val="fr-FR"/>
              </w:rPr>
              <w:t xml:space="preserve"> l</w:t>
            </w:r>
            <w:r w:rsidR="00EA2C86" w:rsidRPr="00927778">
              <w:rPr>
                <w:color w:val="333333"/>
                <w:lang w:val="fr-FR"/>
              </w:rPr>
              <w:t>’</w:t>
            </w:r>
            <w:r w:rsidRPr="00927778">
              <w:rPr>
                <w:color w:val="333333"/>
                <w:lang w:val="fr-FR"/>
              </w:rPr>
              <w:t>OMPI</w:t>
            </w:r>
            <w:r w:rsidR="009B6CFC" w:rsidRPr="00927778">
              <w:rPr>
                <w:color w:val="333333"/>
                <w:lang w:val="fr-FR"/>
              </w:rPr>
              <w:t xml:space="preserve"> en matière de publications</w:t>
            </w:r>
            <w:r w:rsidRPr="00927778">
              <w:rPr>
                <w:color w:val="333333"/>
                <w:lang w:val="fr-FR"/>
              </w:rPr>
              <w:t xml:space="preserve">, et avant la </w:t>
            </w:r>
            <w:r w:rsidR="009B6CFC" w:rsidRPr="00927778">
              <w:rPr>
                <w:color w:val="333333"/>
                <w:lang w:val="fr-FR"/>
              </w:rPr>
              <w:t>correction</w:t>
            </w:r>
            <w:r w:rsidR="00A70F0D" w:rsidRPr="00927778">
              <w:rPr>
                <w:color w:val="333333"/>
                <w:lang w:val="fr-FR"/>
              </w:rPr>
              <w:t xml:space="preserve"> et</w:t>
            </w:r>
            <w:r w:rsidRPr="00927778">
              <w:rPr>
                <w:color w:val="333333"/>
                <w:lang w:val="fr-FR"/>
              </w:rPr>
              <w:t xml:space="preserve"> la mise en page</w:t>
            </w:r>
            <w:r w:rsidR="00A70F0D" w:rsidRPr="00927778">
              <w:rPr>
                <w:color w:val="333333"/>
                <w:lang w:val="fr-FR"/>
              </w:rPr>
              <w:t xml:space="preserve"> professionnelles ainsi que</w:t>
            </w:r>
            <w:r w:rsidRPr="00927778">
              <w:rPr>
                <w:color w:val="333333"/>
                <w:lang w:val="fr-FR"/>
              </w:rPr>
              <w:t xml:space="preserve"> la traduction des guides dans les six</w:t>
            </w:r>
            <w:r w:rsidR="0057466D" w:rsidRPr="00927778">
              <w:rPr>
                <w:color w:val="333333"/>
                <w:lang w:val="fr-FR"/>
              </w:rPr>
              <w:t> </w:t>
            </w:r>
            <w:r w:rsidRPr="00927778">
              <w:rPr>
                <w:color w:val="333333"/>
                <w:lang w:val="fr-FR"/>
              </w:rPr>
              <w:t>langues officielles de l</w:t>
            </w:r>
            <w:r w:rsidR="00EA2C86" w:rsidRPr="00927778">
              <w:rPr>
                <w:color w:val="333333"/>
                <w:lang w:val="fr-FR"/>
              </w:rPr>
              <w:t>’</w:t>
            </w:r>
            <w:r w:rsidRPr="00927778">
              <w:rPr>
                <w:color w:val="333333"/>
                <w:lang w:val="fr-FR"/>
              </w:rPr>
              <w:t xml:space="preserve">OMPI, leur contenu sera soumis à une </w:t>
            </w:r>
            <w:r w:rsidR="00C111BE" w:rsidRPr="00927778">
              <w:rPr>
                <w:color w:val="333333"/>
                <w:lang w:val="fr-FR"/>
              </w:rPr>
              <w:t>évaluation</w:t>
            </w:r>
            <w:r w:rsidRPr="00927778">
              <w:rPr>
                <w:color w:val="333333"/>
                <w:lang w:val="fr-FR"/>
              </w:rPr>
              <w:t xml:space="preserve"> collégiale réalisée par des experts compétents</w:t>
            </w:r>
            <w:r w:rsidR="00A70F0D" w:rsidRPr="00927778">
              <w:rPr>
                <w:color w:val="333333"/>
                <w:lang w:val="fr-FR"/>
              </w:rPr>
              <w:t>,</w:t>
            </w:r>
            <w:r w:rsidRPr="00927778">
              <w:rPr>
                <w:color w:val="333333"/>
                <w:lang w:val="fr-FR"/>
              </w:rPr>
              <w:t xml:space="preserve"> </w:t>
            </w:r>
            <w:r w:rsidR="009B6CFC" w:rsidRPr="00927778">
              <w:rPr>
                <w:color w:val="333333"/>
                <w:lang w:val="fr-FR"/>
              </w:rPr>
              <w:t xml:space="preserve">travaillant ou non </w:t>
            </w:r>
            <w:r w:rsidRPr="00927778">
              <w:rPr>
                <w:color w:val="333333"/>
                <w:lang w:val="fr-FR"/>
              </w:rPr>
              <w:t>au sein de l</w:t>
            </w:r>
            <w:r w:rsidR="00EA2C86" w:rsidRPr="00927778">
              <w:rPr>
                <w:color w:val="333333"/>
                <w:lang w:val="fr-FR"/>
              </w:rPr>
              <w:t>’</w:t>
            </w:r>
            <w:r w:rsidRPr="00927778">
              <w:rPr>
                <w:color w:val="333333"/>
                <w:lang w:val="fr-FR"/>
              </w:rPr>
              <w:t>OMPI.</w:t>
            </w:r>
          </w:p>
          <w:p w:rsidR="005E6718" w:rsidRPr="00927778" w:rsidRDefault="005E6718" w:rsidP="00592898">
            <w:pPr>
              <w:widowControl w:val="0"/>
              <w:rPr>
                <w:iCs/>
                <w:color w:val="333333"/>
                <w:lang w:val="fr-FR"/>
              </w:rPr>
            </w:pPr>
          </w:p>
          <w:p w:rsidR="00EA2C86" w:rsidRPr="00927778" w:rsidRDefault="00095D71" w:rsidP="00592898">
            <w:pPr>
              <w:widowControl w:val="0"/>
              <w:rPr>
                <w:iCs/>
                <w:color w:val="333333"/>
                <w:lang w:val="fr-FR"/>
              </w:rPr>
            </w:pPr>
            <w:r w:rsidRPr="00927778">
              <w:rPr>
                <w:iCs/>
                <w:color w:val="333333"/>
                <w:lang w:val="fr-FR"/>
              </w:rPr>
              <w:t>Le</w:t>
            </w:r>
            <w:r w:rsidR="00060331" w:rsidRPr="00927778">
              <w:rPr>
                <w:iCs/>
                <w:color w:val="333333"/>
                <w:lang w:val="fr-FR"/>
              </w:rPr>
              <w:t xml:space="preserve"> matériel de formation afférent</w:t>
            </w:r>
            <w:r w:rsidRPr="00927778">
              <w:rPr>
                <w:iCs/>
                <w:color w:val="333333"/>
                <w:lang w:val="fr-FR"/>
              </w:rPr>
              <w:t xml:space="preserve"> à ces guides sera également amélioré afin de commencer à fournir une assistance technique aux réseaux de CATI sélectionnés et de les soutenir dans leur acquisition des compétences nécessaires et la mise en place de services susceptibles de recenser et d</w:t>
            </w:r>
            <w:r w:rsidR="00EA2C86" w:rsidRPr="00927778">
              <w:rPr>
                <w:iCs/>
                <w:color w:val="333333"/>
                <w:lang w:val="fr-FR"/>
              </w:rPr>
              <w:t>’</w:t>
            </w:r>
            <w:r w:rsidRPr="00927778">
              <w:rPr>
                <w:iCs/>
                <w:color w:val="333333"/>
                <w:lang w:val="fr-FR"/>
              </w:rPr>
              <w:t>utiliser les inventions relevant du domaine public.</w:t>
            </w:r>
          </w:p>
          <w:p w:rsidR="00EA2C86" w:rsidRPr="00927778" w:rsidRDefault="00BF4A48" w:rsidP="00592898">
            <w:pPr>
              <w:widowControl w:val="0"/>
              <w:rPr>
                <w:color w:val="333333"/>
                <w:lang w:val="fr-FR"/>
              </w:rPr>
            </w:pPr>
            <w:r w:rsidRPr="00927778">
              <w:rPr>
                <w:color w:val="333333"/>
                <w:lang w:val="fr-FR"/>
              </w:rPr>
              <w:t xml:space="preserve">Comme le prévoit la stratégie </w:t>
            </w:r>
            <w:r w:rsidR="008731B7" w:rsidRPr="00927778">
              <w:rPr>
                <w:color w:val="333333"/>
                <w:lang w:val="fr-FR"/>
              </w:rPr>
              <w:t xml:space="preserve">de mise en œuvre </w:t>
            </w:r>
            <w:r w:rsidRPr="00927778">
              <w:rPr>
                <w:color w:val="333333"/>
                <w:lang w:val="fr-FR"/>
              </w:rPr>
              <w:t>du projet, des ateliers seront organisés dans les réseaux sélectionnés de CATI pour les doter peu à peu des compétences et services dans ce domaine.</w:t>
            </w:r>
          </w:p>
          <w:p w:rsidR="005E6718" w:rsidRPr="00927778" w:rsidRDefault="005E6718" w:rsidP="00592898">
            <w:pPr>
              <w:widowControl w:val="0"/>
              <w:rPr>
                <w:iCs/>
                <w:color w:val="333333"/>
                <w:lang w:val="fr-FR"/>
              </w:rPr>
            </w:pPr>
          </w:p>
          <w:p w:rsidR="005E6718" w:rsidRPr="00927778" w:rsidRDefault="00FF66DB" w:rsidP="00592898">
            <w:pPr>
              <w:widowControl w:val="0"/>
              <w:rPr>
                <w:iCs/>
                <w:color w:val="333333"/>
                <w:lang w:val="fr-FR"/>
              </w:rPr>
            </w:pPr>
            <w:r w:rsidRPr="00927778">
              <w:rPr>
                <w:iCs/>
                <w:color w:val="333333"/>
                <w:lang w:val="fr-FR"/>
              </w:rPr>
              <w:t>En parallèle, l</w:t>
            </w:r>
            <w:r w:rsidR="00EA2C86" w:rsidRPr="00927778">
              <w:rPr>
                <w:iCs/>
                <w:color w:val="333333"/>
                <w:lang w:val="fr-FR"/>
              </w:rPr>
              <w:t>’</w:t>
            </w:r>
            <w:r w:rsidRPr="00927778">
              <w:rPr>
                <w:iCs/>
                <w:color w:val="333333"/>
                <w:lang w:val="fr-FR"/>
              </w:rPr>
              <w:t>amélioration du</w:t>
            </w:r>
            <w:r w:rsidR="003825BA" w:rsidRPr="00927778">
              <w:rPr>
                <w:iCs/>
                <w:color w:val="333333"/>
                <w:lang w:val="fr-FR"/>
              </w:rPr>
              <w:t xml:space="preserve"> portail d</w:t>
            </w:r>
            <w:r w:rsidR="00EA2C86" w:rsidRPr="00927778">
              <w:rPr>
                <w:iCs/>
                <w:color w:val="333333"/>
                <w:lang w:val="fr-FR"/>
              </w:rPr>
              <w:t>’</w:t>
            </w:r>
            <w:r w:rsidR="003825BA" w:rsidRPr="00927778">
              <w:rPr>
                <w:iCs/>
                <w:color w:val="333333"/>
                <w:lang w:val="fr-FR"/>
              </w:rPr>
              <w:t xml:space="preserve">accès au registre des brevets sera finalisée en collaboration avec la Division des communications et les autres acteurs concernés, et les </w:t>
            </w:r>
            <w:r w:rsidR="00C111BE" w:rsidRPr="00927778">
              <w:rPr>
                <w:iCs/>
                <w:color w:val="333333"/>
                <w:lang w:val="fr-FR"/>
              </w:rPr>
              <w:t>renseignements</w:t>
            </w:r>
            <w:r w:rsidR="003825BA" w:rsidRPr="00927778">
              <w:rPr>
                <w:iCs/>
                <w:color w:val="333333"/>
                <w:lang w:val="fr-FR"/>
              </w:rPr>
              <w:t xml:space="preserve"> recueillis par le Secrétariat avec l</w:t>
            </w:r>
            <w:r w:rsidR="00EA2C86" w:rsidRPr="00927778">
              <w:rPr>
                <w:iCs/>
                <w:color w:val="333333"/>
                <w:lang w:val="fr-FR"/>
              </w:rPr>
              <w:t>’</w:t>
            </w:r>
            <w:r w:rsidR="003825BA" w:rsidRPr="00927778">
              <w:rPr>
                <w:iCs/>
                <w:color w:val="333333"/>
                <w:lang w:val="fr-FR"/>
              </w:rPr>
              <w:t>aide de l</w:t>
            </w:r>
            <w:r w:rsidR="00EA2C86" w:rsidRPr="00927778">
              <w:rPr>
                <w:iCs/>
                <w:color w:val="333333"/>
                <w:lang w:val="fr-FR"/>
              </w:rPr>
              <w:t>’</w:t>
            </w:r>
            <w:r w:rsidR="003825BA" w:rsidRPr="00927778">
              <w:rPr>
                <w:iCs/>
                <w:color w:val="333333"/>
                <w:lang w:val="fr-FR"/>
              </w:rPr>
              <w:t>expert</w:t>
            </w:r>
            <w:r w:rsidR="006659EA" w:rsidRPr="00927778">
              <w:rPr>
                <w:iCs/>
                <w:color w:val="333333"/>
                <w:lang w:val="fr-FR"/>
              </w:rPr>
              <w:t xml:space="preserve"> de l</w:t>
            </w:r>
            <w:r w:rsidR="00EA2C86" w:rsidRPr="00927778">
              <w:rPr>
                <w:iCs/>
                <w:color w:val="333333"/>
                <w:lang w:val="fr-FR"/>
              </w:rPr>
              <w:t>’</w:t>
            </w:r>
            <w:r w:rsidR="006659EA" w:rsidRPr="00927778">
              <w:rPr>
                <w:iCs/>
                <w:color w:val="333333"/>
                <w:lang w:val="fr-FR"/>
              </w:rPr>
              <w:t xml:space="preserve">information en matière de brevets seront envoyés aux </w:t>
            </w:r>
            <w:r w:rsidR="00060331" w:rsidRPr="00927778">
              <w:rPr>
                <w:iCs/>
                <w:color w:val="333333"/>
                <w:lang w:val="fr-FR"/>
              </w:rPr>
              <w:t>autorités</w:t>
            </w:r>
            <w:r w:rsidR="006659EA" w:rsidRPr="00927778">
              <w:rPr>
                <w:iCs/>
                <w:color w:val="333333"/>
                <w:lang w:val="fr-FR"/>
              </w:rPr>
              <w:t xml:space="preserve"> de propriété </w:t>
            </w:r>
            <w:r w:rsidR="00C111BE" w:rsidRPr="00927778">
              <w:rPr>
                <w:iCs/>
                <w:color w:val="333333"/>
                <w:lang w:val="fr-FR"/>
              </w:rPr>
              <w:t>intellectuelle concernées</w:t>
            </w:r>
            <w:r w:rsidR="00060331" w:rsidRPr="00927778">
              <w:rPr>
                <w:iCs/>
                <w:color w:val="333333"/>
                <w:lang w:val="fr-FR"/>
              </w:rPr>
              <w:t xml:space="preserve"> pour qu</w:t>
            </w:r>
            <w:r w:rsidR="00EA2C86" w:rsidRPr="00927778">
              <w:rPr>
                <w:iCs/>
                <w:color w:val="333333"/>
                <w:lang w:val="fr-FR"/>
              </w:rPr>
              <w:t>’</w:t>
            </w:r>
            <w:r w:rsidR="00060331" w:rsidRPr="00927778">
              <w:rPr>
                <w:iCs/>
                <w:color w:val="333333"/>
                <w:lang w:val="fr-FR"/>
              </w:rPr>
              <w:t>elles les confirme</w:t>
            </w:r>
            <w:r w:rsidR="00306E74" w:rsidRPr="00927778">
              <w:rPr>
                <w:iCs/>
                <w:color w:val="333333"/>
                <w:lang w:val="fr-FR"/>
              </w:rPr>
              <w:t>nt.  S’i</w:t>
            </w:r>
            <w:r w:rsidR="006659EA" w:rsidRPr="00927778">
              <w:rPr>
                <w:iCs/>
                <w:color w:val="333333"/>
                <w:lang w:val="fr-FR"/>
              </w:rPr>
              <w:t>l est envisagé de mettre à jour annuellement le portail d</w:t>
            </w:r>
            <w:r w:rsidR="00EA2C86" w:rsidRPr="00927778">
              <w:rPr>
                <w:iCs/>
                <w:color w:val="333333"/>
                <w:lang w:val="fr-FR"/>
              </w:rPr>
              <w:t>’</w:t>
            </w:r>
            <w:r w:rsidR="006659EA" w:rsidRPr="00927778">
              <w:rPr>
                <w:iCs/>
                <w:color w:val="333333"/>
                <w:lang w:val="fr-FR"/>
              </w:rPr>
              <w:t xml:space="preserve">accès au registre des brevets, un formulaire de contact permettra </w:t>
            </w:r>
            <w:r w:rsidR="00060331" w:rsidRPr="00927778">
              <w:rPr>
                <w:iCs/>
                <w:color w:val="333333"/>
                <w:lang w:val="fr-FR"/>
              </w:rPr>
              <w:t xml:space="preserve">aussi </w:t>
            </w:r>
            <w:r w:rsidR="006659EA" w:rsidRPr="00927778">
              <w:rPr>
                <w:iCs/>
                <w:color w:val="333333"/>
                <w:lang w:val="fr-FR"/>
              </w:rPr>
              <w:t>aux utilisateurs et aux États membres de signaler tout changement devant être pris en compte et consigné sur le portail</w:t>
            </w:r>
            <w:r w:rsidR="001320FC" w:rsidRPr="00927778">
              <w:rPr>
                <w:iCs/>
                <w:color w:val="333333"/>
                <w:lang w:val="fr-FR"/>
              </w:rPr>
              <w:t>.</w:t>
            </w:r>
          </w:p>
          <w:p w:rsidR="001320FC" w:rsidRPr="00927778" w:rsidRDefault="001320FC" w:rsidP="00592898">
            <w:pPr>
              <w:widowControl w:val="0"/>
              <w:rPr>
                <w:iCs/>
                <w:color w:val="333333"/>
                <w:lang w:val="fr-FR"/>
              </w:rPr>
            </w:pPr>
          </w:p>
        </w:tc>
      </w:tr>
      <w:tr w:rsidR="00047C22" w:rsidRPr="00927778" w:rsidTr="00C3651B">
        <w:trPr>
          <w:trHeight w:val="348"/>
        </w:trPr>
        <w:tc>
          <w:tcPr>
            <w:tcW w:w="2376" w:type="dxa"/>
            <w:shd w:val="clear" w:color="auto" w:fill="auto"/>
          </w:tcPr>
          <w:p w:rsidR="001320FC" w:rsidRPr="00927778" w:rsidRDefault="001D4D2F" w:rsidP="00935C65">
            <w:pPr>
              <w:pStyle w:val="Heading3"/>
              <w:keepNext w:val="0"/>
              <w:widowControl w:val="0"/>
              <w:rPr>
                <w:color w:val="333333"/>
                <w:lang w:val="fr-FR"/>
              </w:rPr>
            </w:pPr>
            <w:r w:rsidRPr="00927778">
              <w:rPr>
                <w:color w:val="333333"/>
                <w:lang w:val="fr-FR"/>
              </w:rPr>
              <w:t xml:space="preserve">Calendrier </w:t>
            </w:r>
            <w:r w:rsidR="00935C65" w:rsidRPr="00927778">
              <w:rPr>
                <w:color w:val="333333"/>
                <w:lang w:val="fr-FR"/>
              </w:rPr>
              <w:t xml:space="preserve">de mise en </w:t>
            </w:r>
            <w:r w:rsidR="00B104C1" w:rsidRPr="00927778">
              <w:rPr>
                <w:color w:val="333333"/>
                <w:lang w:val="fr-FR"/>
              </w:rPr>
              <w:t>œuvre</w:t>
            </w:r>
          </w:p>
        </w:tc>
        <w:tc>
          <w:tcPr>
            <w:tcW w:w="6912" w:type="dxa"/>
          </w:tcPr>
          <w:p w:rsidR="005E6718" w:rsidRPr="00927778" w:rsidRDefault="005E6718" w:rsidP="00592898">
            <w:pPr>
              <w:widowControl w:val="0"/>
              <w:rPr>
                <w:iCs/>
                <w:color w:val="333333"/>
                <w:lang w:val="fr-FR"/>
              </w:rPr>
            </w:pPr>
          </w:p>
          <w:p w:rsidR="00EA2C86" w:rsidRPr="00927778" w:rsidRDefault="009E060D" w:rsidP="00592898">
            <w:pPr>
              <w:widowControl w:val="0"/>
              <w:rPr>
                <w:iCs/>
                <w:color w:val="333333"/>
                <w:lang w:val="fr-FR"/>
              </w:rPr>
            </w:pPr>
            <w:r w:rsidRPr="00927778">
              <w:rPr>
                <w:iCs/>
                <w:color w:val="333333"/>
                <w:lang w:val="fr-FR"/>
              </w:rPr>
              <w:t xml:space="preserve">Entre </w:t>
            </w:r>
            <w:r w:rsidR="00EA2C86" w:rsidRPr="00927778">
              <w:rPr>
                <w:iCs/>
                <w:color w:val="333333"/>
                <w:lang w:val="fr-FR"/>
              </w:rPr>
              <w:t>juillet 20</w:t>
            </w:r>
            <w:r w:rsidRPr="00927778">
              <w:rPr>
                <w:iCs/>
                <w:color w:val="333333"/>
                <w:lang w:val="fr-FR"/>
              </w:rPr>
              <w:t>1</w:t>
            </w:r>
            <w:r w:rsidR="006510BE" w:rsidRPr="00927778">
              <w:rPr>
                <w:iCs/>
                <w:color w:val="333333"/>
                <w:lang w:val="fr-FR"/>
              </w:rPr>
              <w:t xml:space="preserve">8 et </w:t>
            </w:r>
            <w:r w:rsidR="00EA2C86" w:rsidRPr="00927778">
              <w:rPr>
                <w:iCs/>
                <w:color w:val="333333"/>
                <w:lang w:val="fr-FR"/>
              </w:rPr>
              <w:t>décembre 20</w:t>
            </w:r>
            <w:r w:rsidR="006510BE" w:rsidRPr="00927778">
              <w:rPr>
                <w:iCs/>
                <w:color w:val="333333"/>
                <w:lang w:val="fr-FR"/>
              </w:rPr>
              <w:t>18, les deux</w:t>
            </w:r>
            <w:r w:rsidR="0057466D" w:rsidRPr="00927778">
              <w:rPr>
                <w:iCs/>
                <w:color w:val="333333"/>
                <w:lang w:val="fr-FR"/>
              </w:rPr>
              <w:t> </w:t>
            </w:r>
            <w:r w:rsidR="006510BE" w:rsidRPr="00927778">
              <w:rPr>
                <w:iCs/>
                <w:color w:val="333333"/>
                <w:lang w:val="fr-FR"/>
              </w:rPr>
              <w:t>guides seront</w:t>
            </w:r>
            <w:r w:rsidRPr="00927778">
              <w:rPr>
                <w:iCs/>
                <w:color w:val="333333"/>
                <w:lang w:val="fr-FR"/>
              </w:rPr>
              <w:t xml:space="preserve"> </w:t>
            </w:r>
            <w:r w:rsidR="006510BE" w:rsidRPr="00927778">
              <w:rPr>
                <w:iCs/>
                <w:color w:val="333333"/>
                <w:lang w:val="fr-FR"/>
              </w:rPr>
              <w:t>révisés sur le</w:t>
            </w:r>
            <w:r w:rsidRPr="00927778">
              <w:rPr>
                <w:iCs/>
                <w:color w:val="333333"/>
                <w:lang w:val="fr-FR"/>
              </w:rPr>
              <w:t xml:space="preserve"> fond par</w:t>
            </w:r>
            <w:r w:rsidRPr="00927778">
              <w:rPr>
                <w:color w:val="333333"/>
                <w:lang w:val="fr-FR"/>
              </w:rPr>
              <w:t xml:space="preserve"> des experts compétents</w:t>
            </w:r>
            <w:r w:rsidR="008731B7" w:rsidRPr="00927778">
              <w:rPr>
                <w:color w:val="333333"/>
                <w:lang w:val="fr-FR"/>
              </w:rPr>
              <w:t>,</w:t>
            </w:r>
            <w:r w:rsidRPr="00927778">
              <w:rPr>
                <w:color w:val="333333"/>
                <w:lang w:val="fr-FR"/>
              </w:rPr>
              <w:t xml:space="preserve"> </w:t>
            </w:r>
            <w:r w:rsidR="006510BE" w:rsidRPr="00927778">
              <w:rPr>
                <w:color w:val="333333"/>
                <w:lang w:val="fr-FR"/>
              </w:rPr>
              <w:t>travaillant ou non au sein de l</w:t>
            </w:r>
            <w:r w:rsidR="00EA2C86" w:rsidRPr="00927778">
              <w:rPr>
                <w:color w:val="333333"/>
                <w:lang w:val="fr-FR"/>
              </w:rPr>
              <w:t>’</w:t>
            </w:r>
            <w:r w:rsidR="006510BE" w:rsidRPr="00927778">
              <w:rPr>
                <w:color w:val="333333"/>
                <w:lang w:val="fr-FR"/>
              </w:rPr>
              <w:t>OMPI</w:t>
            </w:r>
            <w:r w:rsidR="008731B7" w:rsidRPr="00927778">
              <w:rPr>
                <w:color w:val="333333"/>
                <w:lang w:val="fr-FR"/>
              </w:rPr>
              <w:t>,</w:t>
            </w:r>
            <w:r w:rsidR="006510BE" w:rsidRPr="00927778">
              <w:rPr>
                <w:iCs/>
                <w:color w:val="333333"/>
                <w:lang w:val="fr-FR"/>
              </w:rPr>
              <w:t xml:space="preserve"> ainsi que sur la for</w:t>
            </w:r>
            <w:r w:rsidR="00306E74" w:rsidRPr="00927778">
              <w:rPr>
                <w:iCs/>
                <w:color w:val="333333"/>
                <w:lang w:val="fr-FR"/>
              </w:rPr>
              <w:t>me.  Au</w:t>
            </w:r>
            <w:r w:rsidRPr="00927778">
              <w:rPr>
                <w:iCs/>
                <w:color w:val="333333"/>
                <w:lang w:val="fr-FR"/>
              </w:rPr>
              <w:t xml:space="preserve"> vu des étapes requises par </w:t>
            </w:r>
            <w:r w:rsidR="006510BE" w:rsidRPr="00927778">
              <w:rPr>
                <w:iCs/>
                <w:color w:val="333333"/>
                <w:lang w:val="fr-FR"/>
              </w:rPr>
              <w:t>la Politique de</w:t>
            </w:r>
            <w:r w:rsidR="00B104C1" w:rsidRPr="00927778">
              <w:rPr>
                <w:iCs/>
                <w:color w:val="333333"/>
                <w:lang w:val="fr-FR"/>
              </w:rPr>
              <w:t xml:space="preserve"> </w:t>
            </w:r>
            <w:r w:rsidR="006510BE" w:rsidRPr="00927778">
              <w:rPr>
                <w:iCs/>
                <w:color w:val="333333"/>
                <w:lang w:val="fr-FR"/>
              </w:rPr>
              <w:t>l</w:t>
            </w:r>
            <w:r w:rsidR="00EA2C86" w:rsidRPr="00927778">
              <w:rPr>
                <w:iCs/>
                <w:color w:val="333333"/>
                <w:lang w:val="fr-FR"/>
              </w:rPr>
              <w:t>’</w:t>
            </w:r>
            <w:r w:rsidR="006510BE" w:rsidRPr="00927778">
              <w:rPr>
                <w:iCs/>
                <w:color w:val="333333"/>
                <w:lang w:val="fr-FR"/>
              </w:rPr>
              <w:t>OMPI en matière de</w:t>
            </w:r>
            <w:r w:rsidRPr="00927778">
              <w:rPr>
                <w:color w:val="333333"/>
                <w:lang w:val="fr-FR"/>
              </w:rPr>
              <w:t xml:space="preserve"> publication</w:t>
            </w:r>
            <w:r w:rsidR="006510BE" w:rsidRPr="00927778">
              <w:rPr>
                <w:color w:val="333333"/>
                <w:lang w:val="fr-FR"/>
              </w:rPr>
              <w:t>s</w:t>
            </w:r>
            <w:r w:rsidRPr="00927778">
              <w:rPr>
                <w:color w:val="333333"/>
                <w:lang w:val="fr-FR"/>
              </w:rPr>
              <w:t xml:space="preserve"> </w:t>
            </w:r>
            <w:r w:rsidR="006510BE" w:rsidRPr="00927778">
              <w:rPr>
                <w:color w:val="333333"/>
                <w:lang w:val="fr-FR"/>
              </w:rPr>
              <w:t>et du délai envisagé</w:t>
            </w:r>
            <w:r w:rsidRPr="00927778">
              <w:rPr>
                <w:color w:val="333333"/>
                <w:lang w:val="fr-FR"/>
              </w:rPr>
              <w:t xml:space="preserve"> pour la </w:t>
            </w:r>
            <w:r w:rsidR="006510BE" w:rsidRPr="00927778">
              <w:rPr>
                <w:color w:val="333333"/>
                <w:lang w:val="fr-FR"/>
              </w:rPr>
              <w:t>correction</w:t>
            </w:r>
            <w:r w:rsidRPr="00927778">
              <w:rPr>
                <w:color w:val="333333"/>
                <w:lang w:val="fr-FR"/>
              </w:rPr>
              <w:t xml:space="preserve"> et la </w:t>
            </w:r>
            <w:r w:rsidR="00C111BE" w:rsidRPr="00927778">
              <w:rPr>
                <w:color w:val="333333"/>
                <w:lang w:val="fr-FR"/>
              </w:rPr>
              <w:t>mise</w:t>
            </w:r>
            <w:r w:rsidRPr="00927778">
              <w:rPr>
                <w:color w:val="333333"/>
                <w:lang w:val="fr-FR"/>
              </w:rPr>
              <w:t xml:space="preserve"> en page</w:t>
            </w:r>
            <w:r w:rsidR="006510BE" w:rsidRPr="00927778">
              <w:rPr>
                <w:color w:val="333333"/>
                <w:lang w:val="fr-FR"/>
              </w:rPr>
              <w:t xml:space="preserve"> professionnelles</w:t>
            </w:r>
            <w:r w:rsidRPr="00927778">
              <w:rPr>
                <w:color w:val="333333"/>
                <w:lang w:val="fr-FR"/>
              </w:rPr>
              <w:t>, les versions finales</w:t>
            </w:r>
            <w:r w:rsidR="006510BE" w:rsidRPr="00927778">
              <w:rPr>
                <w:color w:val="333333"/>
                <w:lang w:val="fr-FR"/>
              </w:rPr>
              <w:t xml:space="preserve">, corrigées, </w:t>
            </w:r>
            <w:r w:rsidRPr="00927778">
              <w:rPr>
                <w:color w:val="333333"/>
                <w:lang w:val="fr-FR"/>
              </w:rPr>
              <w:t>mises en pages</w:t>
            </w:r>
            <w:r w:rsidR="006510BE" w:rsidRPr="00927778">
              <w:rPr>
                <w:color w:val="333333"/>
                <w:lang w:val="fr-FR"/>
              </w:rPr>
              <w:t xml:space="preserve"> et relues</w:t>
            </w:r>
            <w:r w:rsidRPr="00927778">
              <w:rPr>
                <w:color w:val="333333"/>
                <w:lang w:val="fr-FR"/>
              </w:rPr>
              <w:t xml:space="preserve"> des deux</w:t>
            </w:r>
            <w:r w:rsidR="0057466D" w:rsidRPr="00927778">
              <w:rPr>
                <w:color w:val="333333"/>
                <w:lang w:val="fr-FR"/>
              </w:rPr>
              <w:t> </w:t>
            </w:r>
            <w:r w:rsidRPr="00927778">
              <w:rPr>
                <w:color w:val="333333"/>
                <w:lang w:val="fr-FR"/>
              </w:rPr>
              <w:t>guides devraient être prêtes à envoyer en traduction d</w:t>
            </w:r>
            <w:r w:rsidR="00EA2C86" w:rsidRPr="00927778">
              <w:rPr>
                <w:color w:val="333333"/>
                <w:lang w:val="fr-FR"/>
              </w:rPr>
              <w:t>’</w:t>
            </w:r>
            <w:r w:rsidRPr="00927778">
              <w:rPr>
                <w:color w:val="333333"/>
                <w:lang w:val="fr-FR"/>
              </w:rPr>
              <w:t xml:space="preserve">ici au mois de </w:t>
            </w:r>
            <w:r w:rsidR="00EA2C86" w:rsidRPr="00927778">
              <w:rPr>
                <w:color w:val="333333"/>
                <w:lang w:val="fr-FR"/>
              </w:rPr>
              <w:t>décembre 20</w:t>
            </w:r>
            <w:r w:rsidRPr="00927778">
              <w:rPr>
                <w:color w:val="333333"/>
                <w:lang w:val="fr-FR"/>
              </w:rPr>
              <w:t xml:space="preserve">18. </w:t>
            </w:r>
            <w:r w:rsidR="0057466D" w:rsidRPr="00927778">
              <w:rPr>
                <w:color w:val="333333"/>
                <w:lang w:val="fr-FR"/>
              </w:rPr>
              <w:t xml:space="preserve"> </w:t>
            </w:r>
            <w:r w:rsidRPr="00927778">
              <w:rPr>
                <w:color w:val="333333"/>
                <w:lang w:val="fr-FR"/>
              </w:rPr>
              <w:t>La traduction dans les six</w:t>
            </w:r>
            <w:r w:rsidR="0057466D" w:rsidRPr="00927778">
              <w:rPr>
                <w:color w:val="333333"/>
                <w:lang w:val="fr-FR"/>
              </w:rPr>
              <w:t> </w:t>
            </w:r>
            <w:r w:rsidRPr="00927778">
              <w:rPr>
                <w:color w:val="333333"/>
                <w:lang w:val="fr-FR"/>
              </w:rPr>
              <w:t>langues officielles constituera l</w:t>
            </w:r>
            <w:r w:rsidR="00EA2C86" w:rsidRPr="00927778">
              <w:rPr>
                <w:color w:val="333333"/>
                <w:lang w:val="fr-FR"/>
              </w:rPr>
              <w:t>’</w:t>
            </w:r>
            <w:r w:rsidRPr="00927778">
              <w:rPr>
                <w:color w:val="333333"/>
                <w:lang w:val="fr-FR"/>
              </w:rPr>
              <w:t>ultime étape du processus</w:t>
            </w:r>
            <w:r w:rsidR="001320FC" w:rsidRPr="00927778">
              <w:rPr>
                <w:iCs/>
                <w:color w:val="333333"/>
                <w:lang w:val="fr-FR"/>
              </w:rPr>
              <w:t>.</w:t>
            </w:r>
          </w:p>
          <w:p w:rsidR="005E6718" w:rsidRPr="00927778" w:rsidRDefault="005E6718" w:rsidP="00592898">
            <w:pPr>
              <w:widowControl w:val="0"/>
              <w:rPr>
                <w:iCs/>
                <w:color w:val="333333"/>
                <w:lang w:val="fr-FR"/>
              </w:rPr>
            </w:pPr>
          </w:p>
          <w:p w:rsidR="005E6718" w:rsidRPr="00927778" w:rsidRDefault="006510BE" w:rsidP="00592898">
            <w:pPr>
              <w:widowControl w:val="0"/>
              <w:rPr>
                <w:iCs/>
                <w:color w:val="333333"/>
                <w:lang w:val="fr-FR"/>
              </w:rPr>
            </w:pPr>
            <w:r w:rsidRPr="00927778">
              <w:rPr>
                <w:iCs/>
                <w:color w:val="333333"/>
                <w:lang w:val="fr-FR"/>
              </w:rPr>
              <w:t>Même si</w:t>
            </w:r>
            <w:r w:rsidR="00524399" w:rsidRPr="00927778">
              <w:rPr>
                <w:iCs/>
                <w:color w:val="333333"/>
                <w:lang w:val="fr-FR"/>
              </w:rPr>
              <w:t xml:space="preserve"> les traductions finalisées des guides ne seront pas disponibles avant début</w:t>
            </w:r>
            <w:r w:rsidR="00002037" w:rsidRPr="00927778">
              <w:rPr>
                <w:iCs/>
                <w:color w:val="333333"/>
                <w:lang w:val="fr-FR"/>
              </w:rPr>
              <w:t> </w:t>
            </w:r>
            <w:r w:rsidR="00524399" w:rsidRPr="00927778">
              <w:rPr>
                <w:iCs/>
                <w:color w:val="333333"/>
                <w:lang w:val="fr-FR"/>
              </w:rPr>
              <w:t xml:space="preserve">2019, les activités de formation sur les questions traitées par les guides </w:t>
            </w:r>
            <w:r w:rsidRPr="00927778">
              <w:rPr>
                <w:iCs/>
                <w:color w:val="333333"/>
                <w:lang w:val="fr-FR"/>
              </w:rPr>
              <w:t>s</w:t>
            </w:r>
            <w:r w:rsidR="00EA2C86" w:rsidRPr="00927778">
              <w:rPr>
                <w:iCs/>
                <w:color w:val="333333"/>
                <w:lang w:val="fr-FR"/>
              </w:rPr>
              <w:t>’</w:t>
            </w:r>
            <w:r w:rsidRPr="00927778">
              <w:rPr>
                <w:iCs/>
                <w:color w:val="333333"/>
                <w:lang w:val="fr-FR"/>
              </w:rPr>
              <w:t>adressant</w:t>
            </w:r>
            <w:r w:rsidR="00524399" w:rsidRPr="00927778">
              <w:rPr>
                <w:iCs/>
                <w:color w:val="333333"/>
                <w:lang w:val="fr-FR"/>
              </w:rPr>
              <w:t xml:space="preserve"> aux réseaux sélectionnés de CATI seront entreprises au dernier trimestre </w:t>
            </w:r>
            <w:r w:rsidR="00EA2C86" w:rsidRPr="00927778">
              <w:rPr>
                <w:iCs/>
                <w:color w:val="333333"/>
                <w:lang w:val="fr-FR"/>
              </w:rPr>
              <w:t>de 2018</w:t>
            </w:r>
            <w:r w:rsidR="00524399" w:rsidRPr="00927778">
              <w:rPr>
                <w:iCs/>
                <w:color w:val="333333"/>
                <w:lang w:val="fr-FR"/>
              </w:rPr>
              <w:t xml:space="preserve"> avec l</w:t>
            </w:r>
            <w:r w:rsidR="00EA2C86" w:rsidRPr="00927778">
              <w:rPr>
                <w:iCs/>
                <w:color w:val="333333"/>
                <w:lang w:val="fr-FR"/>
              </w:rPr>
              <w:t>’</w:t>
            </w:r>
            <w:r w:rsidR="00524399" w:rsidRPr="00927778">
              <w:rPr>
                <w:iCs/>
                <w:color w:val="333333"/>
                <w:lang w:val="fr-FR"/>
              </w:rPr>
              <w:t>appui des experts ayant pris part au projet et sur la base du matériel de formation con</w:t>
            </w:r>
            <w:r w:rsidRPr="00927778">
              <w:rPr>
                <w:iCs/>
                <w:color w:val="333333"/>
                <w:lang w:val="fr-FR"/>
              </w:rPr>
              <w:t>çu par les experts principa</w:t>
            </w:r>
            <w:r w:rsidR="00306E74" w:rsidRPr="00927778">
              <w:rPr>
                <w:iCs/>
                <w:color w:val="333333"/>
                <w:lang w:val="fr-FR"/>
              </w:rPr>
              <w:t>ux.  Ce</w:t>
            </w:r>
            <w:r w:rsidR="00524399" w:rsidRPr="00927778">
              <w:rPr>
                <w:iCs/>
                <w:color w:val="333333"/>
                <w:lang w:val="fr-FR"/>
              </w:rPr>
              <w:t>s premières activités de formation donneront également l</w:t>
            </w:r>
            <w:r w:rsidR="00EA2C86" w:rsidRPr="00927778">
              <w:rPr>
                <w:iCs/>
                <w:color w:val="333333"/>
                <w:lang w:val="fr-FR"/>
              </w:rPr>
              <w:t>’</w:t>
            </w:r>
            <w:r w:rsidR="00524399" w:rsidRPr="00927778">
              <w:rPr>
                <w:iCs/>
                <w:color w:val="333333"/>
                <w:lang w:val="fr-FR"/>
              </w:rPr>
              <w:t>occasion de tester et d</w:t>
            </w:r>
            <w:r w:rsidR="00EA2C86" w:rsidRPr="00927778">
              <w:rPr>
                <w:iCs/>
                <w:color w:val="333333"/>
                <w:lang w:val="fr-FR"/>
              </w:rPr>
              <w:t>’</w:t>
            </w:r>
            <w:r w:rsidR="00524399" w:rsidRPr="00927778">
              <w:rPr>
                <w:iCs/>
                <w:color w:val="333333"/>
                <w:lang w:val="fr-FR"/>
              </w:rPr>
              <w:t>affiner le matériel de formation.</w:t>
            </w:r>
          </w:p>
          <w:p w:rsidR="005E6718" w:rsidRPr="00927778" w:rsidRDefault="005E6718" w:rsidP="00592898">
            <w:pPr>
              <w:widowControl w:val="0"/>
              <w:rPr>
                <w:iCs/>
                <w:color w:val="333333"/>
                <w:lang w:val="fr-FR"/>
              </w:rPr>
            </w:pPr>
          </w:p>
          <w:p w:rsidR="005E6718" w:rsidRPr="00927778" w:rsidRDefault="00E53E51" w:rsidP="00592898">
            <w:pPr>
              <w:widowControl w:val="0"/>
              <w:rPr>
                <w:iCs/>
                <w:color w:val="333333"/>
                <w:lang w:val="fr-FR"/>
              </w:rPr>
            </w:pPr>
            <w:r w:rsidRPr="00927778">
              <w:rPr>
                <w:iCs/>
                <w:color w:val="333333"/>
                <w:lang w:val="fr-FR"/>
              </w:rPr>
              <w:t>En parallèle, l</w:t>
            </w:r>
            <w:r w:rsidR="00EA2C86" w:rsidRPr="00927778">
              <w:rPr>
                <w:iCs/>
                <w:color w:val="333333"/>
                <w:lang w:val="fr-FR"/>
              </w:rPr>
              <w:t>’</w:t>
            </w:r>
            <w:r w:rsidRPr="00927778">
              <w:rPr>
                <w:iCs/>
                <w:color w:val="333333"/>
                <w:lang w:val="fr-FR"/>
              </w:rPr>
              <w:t>amélioration du portail d</w:t>
            </w:r>
            <w:r w:rsidR="00EA2C86" w:rsidRPr="00927778">
              <w:rPr>
                <w:iCs/>
                <w:color w:val="333333"/>
                <w:lang w:val="fr-FR"/>
              </w:rPr>
              <w:t>’</w:t>
            </w:r>
            <w:r w:rsidRPr="00927778">
              <w:rPr>
                <w:iCs/>
                <w:color w:val="333333"/>
                <w:lang w:val="fr-FR"/>
              </w:rPr>
              <w:t xml:space="preserve">accès au registre des brevets sera finalisée en collaboration avec la Division des communications et les autres acteurs concernés, et les </w:t>
            </w:r>
            <w:r w:rsidR="00C111BE" w:rsidRPr="00927778">
              <w:rPr>
                <w:iCs/>
                <w:color w:val="333333"/>
                <w:lang w:val="fr-FR"/>
              </w:rPr>
              <w:t>renseignements</w:t>
            </w:r>
            <w:r w:rsidRPr="00927778">
              <w:rPr>
                <w:iCs/>
                <w:color w:val="333333"/>
                <w:lang w:val="fr-FR"/>
              </w:rPr>
              <w:t xml:space="preserve"> recueillis par le Secrétariat avec l</w:t>
            </w:r>
            <w:r w:rsidR="00EA2C86" w:rsidRPr="00927778">
              <w:rPr>
                <w:iCs/>
                <w:color w:val="333333"/>
                <w:lang w:val="fr-FR"/>
              </w:rPr>
              <w:t>’</w:t>
            </w:r>
            <w:r w:rsidRPr="00927778">
              <w:rPr>
                <w:iCs/>
                <w:color w:val="333333"/>
                <w:lang w:val="fr-FR"/>
              </w:rPr>
              <w:t>aide de l</w:t>
            </w:r>
            <w:r w:rsidR="00EA2C86" w:rsidRPr="00927778">
              <w:rPr>
                <w:iCs/>
                <w:color w:val="333333"/>
                <w:lang w:val="fr-FR"/>
              </w:rPr>
              <w:t>’</w:t>
            </w:r>
            <w:r w:rsidRPr="00927778">
              <w:rPr>
                <w:iCs/>
                <w:color w:val="333333"/>
                <w:lang w:val="fr-FR"/>
              </w:rPr>
              <w:t>expert de l</w:t>
            </w:r>
            <w:r w:rsidR="00EA2C86" w:rsidRPr="00927778">
              <w:rPr>
                <w:iCs/>
                <w:color w:val="333333"/>
                <w:lang w:val="fr-FR"/>
              </w:rPr>
              <w:t>’</w:t>
            </w:r>
            <w:r w:rsidRPr="00927778">
              <w:rPr>
                <w:iCs/>
                <w:color w:val="333333"/>
                <w:lang w:val="fr-FR"/>
              </w:rPr>
              <w:t>information en m</w:t>
            </w:r>
            <w:r w:rsidR="00C11FFF" w:rsidRPr="00927778">
              <w:rPr>
                <w:iCs/>
                <w:color w:val="333333"/>
                <w:lang w:val="fr-FR"/>
              </w:rPr>
              <w:t>atière de brevets seront envoyé</w:t>
            </w:r>
            <w:r w:rsidRPr="00927778">
              <w:rPr>
                <w:iCs/>
                <w:color w:val="333333"/>
                <w:lang w:val="fr-FR"/>
              </w:rPr>
              <w:t xml:space="preserve">s aux </w:t>
            </w:r>
            <w:r w:rsidR="00C11FFF" w:rsidRPr="00927778">
              <w:rPr>
                <w:iCs/>
                <w:color w:val="333333"/>
                <w:lang w:val="fr-FR"/>
              </w:rPr>
              <w:t>autorités</w:t>
            </w:r>
            <w:r w:rsidRPr="00927778">
              <w:rPr>
                <w:iCs/>
                <w:color w:val="333333"/>
                <w:lang w:val="fr-FR"/>
              </w:rPr>
              <w:t xml:space="preserve"> de propriété </w:t>
            </w:r>
            <w:r w:rsidR="00C111BE" w:rsidRPr="00927778">
              <w:rPr>
                <w:iCs/>
                <w:color w:val="333333"/>
                <w:lang w:val="fr-FR"/>
              </w:rPr>
              <w:t>intellectuelle concernées</w:t>
            </w:r>
            <w:r w:rsidR="00C11FFF" w:rsidRPr="00927778">
              <w:rPr>
                <w:iCs/>
                <w:color w:val="333333"/>
                <w:lang w:val="fr-FR"/>
              </w:rPr>
              <w:t xml:space="preserve"> pour qu</w:t>
            </w:r>
            <w:r w:rsidR="00EA2C86" w:rsidRPr="00927778">
              <w:rPr>
                <w:iCs/>
                <w:color w:val="333333"/>
                <w:lang w:val="fr-FR"/>
              </w:rPr>
              <w:t>’</w:t>
            </w:r>
            <w:r w:rsidR="00C11FFF" w:rsidRPr="00927778">
              <w:rPr>
                <w:iCs/>
                <w:color w:val="333333"/>
                <w:lang w:val="fr-FR"/>
              </w:rPr>
              <w:t>elles les confirme</w:t>
            </w:r>
            <w:r w:rsidR="00306E74" w:rsidRPr="00927778">
              <w:rPr>
                <w:iCs/>
                <w:color w:val="333333"/>
                <w:lang w:val="fr-FR"/>
              </w:rPr>
              <w:t>nt.  Le</w:t>
            </w:r>
            <w:r w:rsidRPr="00927778">
              <w:rPr>
                <w:iCs/>
                <w:color w:val="333333"/>
                <w:lang w:val="fr-FR"/>
              </w:rPr>
              <w:t xml:space="preserve"> portail devrait être lancé d</w:t>
            </w:r>
            <w:r w:rsidR="00EA2C86" w:rsidRPr="00927778">
              <w:rPr>
                <w:iCs/>
                <w:color w:val="333333"/>
                <w:lang w:val="fr-FR"/>
              </w:rPr>
              <w:t>’</w:t>
            </w:r>
            <w:r w:rsidRPr="00927778">
              <w:rPr>
                <w:iCs/>
                <w:color w:val="333333"/>
                <w:lang w:val="fr-FR"/>
              </w:rPr>
              <w:t xml:space="preserve">ici à la fin </w:t>
            </w:r>
            <w:r w:rsidR="00EA2C86" w:rsidRPr="00927778">
              <w:rPr>
                <w:iCs/>
                <w:color w:val="333333"/>
                <w:lang w:val="fr-FR"/>
              </w:rPr>
              <w:t>de 2018</w:t>
            </w:r>
            <w:r w:rsidR="001320FC" w:rsidRPr="00927778">
              <w:rPr>
                <w:iCs/>
                <w:color w:val="333333"/>
                <w:lang w:val="fr-FR"/>
              </w:rPr>
              <w:t>.</w:t>
            </w:r>
          </w:p>
          <w:p w:rsidR="005E6718" w:rsidRPr="00927778" w:rsidRDefault="005E6718" w:rsidP="00592898">
            <w:pPr>
              <w:widowControl w:val="0"/>
              <w:rPr>
                <w:iCs/>
                <w:color w:val="333333"/>
                <w:lang w:val="fr-FR"/>
              </w:rPr>
            </w:pPr>
          </w:p>
          <w:p w:rsidR="00EA2C86" w:rsidRPr="00927778" w:rsidRDefault="007F3EE2" w:rsidP="00592898">
            <w:pPr>
              <w:widowControl w:val="0"/>
              <w:rPr>
                <w:iCs/>
                <w:color w:val="333333"/>
                <w:lang w:val="fr-FR"/>
              </w:rPr>
            </w:pPr>
            <w:r w:rsidRPr="00927778">
              <w:rPr>
                <w:iCs/>
                <w:color w:val="333333"/>
                <w:lang w:val="fr-FR"/>
              </w:rPr>
              <w:t xml:space="preserve">Un calendrier </w:t>
            </w:r>
            <w:r w:rsidR="00112390" w:rsidRPr="00927778">
              <w:rPr>
                <w:iCs/>
                <w:color w:val="333333"/>
                <w:lang w:val="fr-FR"/>
              </w:rPr>
              <w:t xml:space="preserve">de mise en œuvre </w:t>
            </w:r>
            <w:r w:rsidRPr="00927778">
              <w:rPr>
                <w:iCs/>
                <w:color w:val="333333"/>
                <w:lang w:val="fr-FR"/>
              </w:rPr>
              <w:t>révisé</w:t>
            </w:r>
            <w:r w:rsidR="00F4237C" w:rsidRPr="00927778">
              <w:rPr>
                <w:iCs/>
                <w:color w:val="333333"/>
                <w:lang w:val="fr-FR"/>
              </w:rPr>
              <w:t xml:space="preserve"> et la révision connexe de l</w:t>
            </w:r>
            <w:r w:rsidR="00EA2C86" w:rsidRPr="00927778">
              <w:rPr>
                <w:iCs/>
                <w:color w:val="333333"/>
                <w:lang w:val="fr-FR"/>
              </w:rPr>
              <w:t>’</w:t>
            </w:r>
            <w:r w:rsidR="00F4237C" w:rsidRPr="00927778">
              <w:rPr>
                <w:iCs/>
                <w:color w:val="333333"/>
                <w:lang w:val="fr-FR"/>
              </w:rPr>
              <w:t>allocation des ressources</w:t>
            </w:r>
            <w:r w:rsidRPr="00927778">
              <w:rPr>
                <w:iCs/>
                <w:color w:val="333333"/>
                <w:lang w:val="fr-FR"/>
              </w:rPr>
              <w:t xml:space="preserve"> tenant compte du retard initial de six</w:t>
            </w:r>
            <w:r w:rsidR="0057466D" w:rsidRPr="00927778">
              <w:rPr>
                <w:iCs/>
                <w:color w:val="333333"/>
                <w:lang w:val="fr-FR"/>
              </w:rPr>
              <w:t> </w:t>
            </w:r>
            <w:r w:rsidRPr="00927778">
              <w:rPr>
                <w:iCs/>
                <w:color w:val="333333"/>
                <w:lang w:val="fr-FR"/>
              </w:rPr>
              <w:t xml:space="preserve">mois </w:t>
            </w:r>
            <w:r w:rsidR="00F4237C" w:rsidRPr="00927778">
              <w:rPr>
                <w:iCs/>
                <w:color w:val="333333"/>
                <w:lang w:val="fr-FR"/>
              </w:rPr>
              <w:t>pris avant</w:t>
            </w:r>
            <w:r w:rsidRPr="00927778">
              <w:rPr>
                <w:iCs/>
                <w:color w:val="333333"/>
                <w:lang w:val="fr-FR"/>
              </w:rPr>
              <w:t xml:space="preserve"> le début de la mise en </w:t>
            </w:r>
            <w:r w:rsidR="00C111BE" w:rsidRPr="00927778">
              <w:rPr>
                <w:iCs/>
                <w:color w:val="333333"/>
                <w:lang w:val="fr-FR"/>
              </w:rPr>
              <w:t>œuvre</w:t>
            </w:r>
            <w:r w:rsidRPr="00927778">
              <w:rPr>
                <w:iCs/>
                <w:color w:val="333333"/>
                <w:lang w:val="fr-FR"/>
              </w:rPr>
              <w:t xml:space="preserve"> du projet sont soumis à l</w:t>
            </w:r>
            <w:r w:rsidR="00EA2C86" w:rsidRPr="00927778">
              <w:rPr>
                <w:iCs/>
                <w:color w:val="333333"/>
                <w:lang w:val="fr-FR"/>
              </w:rPr>
              <w:t>’</w:t>
            </w:r>
            <w:r w:rsidRPr="00927778">
              <w:rPr>
                <w:iCs/>
                <w:color w:val="333333"/>
                <w:lang w:val="fr-FR"/>
              </w:rPr>
              <w:t>approbation</w:t>
            </w:r>
            <w:r w:rsidR="00EA2C86" w:rsidRPr="00927778">
              <w:rPr>
                <w:iCs/>
                <w:color w:val="333333"/>
                <w:lang w:val="fr-FR"/>
              </w:rPr>
              <w:t xml:space="preserve"> du CDI</w:t>
            </w:r>
            <w:r w:rsidRPr="00927778">
              <w:rPr>
                <w:iCs/>
                <w:color w:val="333333"/>
                <w:lang w:val="fr-FR"/>
              </w:rPr>
              <w:t>P.</w:t>
            </w:r>
          </w:p>
          <w:p w:rsidR="0087711C" w:rsidRPr="00927778" w:rsidRDefault="0087711C" w:rsidP="00592898">
            <w:pPr>
              <w:widowControl w:val="0"/>
              <w:rPr>
                <w:iCs/>
                <w:color w:val="333333"/>
                <w:lang w:val="fr-FR"/>
              </w:rPr>
            </w:pPr>
          </w:p>
        </w:tc>
      </w:tr>
      <w:tr w:rsidR="00047C22" w:rsidRPr="00927778" w:rsidTr="00C3651B">
        <w:trPr>
          <w:trHeight w:val="848"/>
        </w:trPr>
        <w:tc>
          <w:tcPr>
            <w:tcW w:w="2376" w:type="dxa"/>
            <w:shd w:val="clear" w:color="auto" w:fill="auto"/>
          </w:tcPr>
          <w:p w:rsidR="001320FC" w:rsidRPr="00927778" w:rsidRDefault="001D4D2F" w:rsidP="001D4D2F">
            <w:pPr>
              <w:pStyle w:val="Heading3"/>
              <w:keepNext w:val="0"/>
              <w:widowControl w:val="0"/>
              <w:rPr>
                <w:color w:val="333333"/>
                <w:lang w:val="fr-FR"/>
              </w:rPr>
            </w:pPr>
            <w:r w:rsidRPr="00927778">
              <w:rPr>
                <w:color w:val="333333"/>
                <w:lang w:val="fr-FR"/>
              </w:rPr>
              <w:t>Taux d</w:t>
            </w:r>
            <w:r w:rsidR="00EA2C86" w:rsidRPr="00927778">
              <w:rPr>
                <w:color w:val="333333"/>
                <w:lang w:val="fr-FR"/>
              </w:rPr>
              <w:t>’</w:t>
            </w:r>
            <w:r w:rsidRPr="00927778">
              <w:rPr>
                <w:color w:val="333333"/>
                <w:lang w:val="fr-FR"/>
              </w:rPr>
              <w:t>exécution du projet</w:t>
            </w:r>
            <w:r w:rsidR="001320FC" w:rsidRPr="00927778">
              <w:rPr>
                <w:color w:val="333333"/>
                <w:lang w:val="fr-FR"/>
              </w:rPr>
              <w:t xml:space="preserve"> </w:t>
            </w:r>
          </w:p>
        </w:tc>
        <w:tc>
          <w:tcPr>
            <w:tcW w:w="6912" w:type="dxa"/>
          </w:tcPr>
          <w:p w:rsidR="005E6718" w:rsidRPr="00927778" w:rsidRDefault="005E6718" w:rsidP="00592898">
            <w:pPr>
              <w:widowControl w:val="0"/>
              <w:rPr>
                <w:iCs/>
                <w:color w:val="333333"/>
                <w:lang w:val="fr-FR"/>
              </w:rPr>
            </w:pPr>
          </w:p>
          <w:p w:rsidR="00EA2C86" w:rsidRPr="00927778" w:rsidRDefault="000D43C9" w:rsidP="00EE410A">
            <w:pPr>
              <w:widowControl w:val="0"/>
              <w:rPr>
                <w:iCs/>
                <w:color w:val="333333"/>
                <w:lang w:val="fr-FR"/>
              </w:rPr>
            </w:pPr>
            <w:r w:rsidRPr="00927778">
              <w:rPr>
                <w:iCs/>
                <w:color w:val="333333"/>
                <w:lang w:val="fr-FR"/>
              </w:rPr>
              <w:t>Taux d</w:t>
            </w:r>
            <w:r w:rsidR="00EA2C86" w:rsidRPr="00927778">
              <w:rPr>
                <w:iCs/>
                <w:color w:val="333333"/>
                <w:lang w:val="fr-FR"/>
              </w:rPr>
              <w:t>’</w:t>
            </w:r>
            <w:r w:rsidRPr="00927778">
              <w:rPr>
                <w:iCs/>
                <w:color w:val="333333"/>
                <w:lang w:val="fr-FR"/>
              </w:rPr>
              <w:t>utilisation du budget à la fin du mois d</w:t>
            </w:r>
            <w:r w:rsidR="00EA2C86" w:rsidRPr="00927778">
              <w:rPr>
                <w:iCs/>
                <w:color w:val="333333"/>
                <w:lang w:val="fr-FR"/>
              </w:rPr>
              <w:t>’août 20</w:t>
            </w:r>
            <w:r w:rsidRPr="00927778">
              <w:rPr>
                <w:iCs/>
                <w:color w:val="333333"/>
                <w:lang w:val="fr-FR"/>
              </w:rPr>
              <w:t>18</w:t>
            </w:r>
            <w:r w:rsidR="00EA2C86" w:rsidRPr="00927778">
              <w:rPr>
                <w:iCs/>
                <w:color w:val="333333"/>
                <w:lang w:val="fr-FR"/>
              </w:rPr>
              <w:t> :</w:t>
            </w:r>
            <w:r w:rsidRPr="00927778">
              <w:rPr>
                <w:iCs/>
                <w:color w:val="333333"/>
                <w:lang w:val="fr-FR"/>
              </w:rPr>
              <w:t xml:space="preserve"> </w:t>
            </w:r>
            <w:r w:rsidR="00EE410A" w:rsidRPr="00927778">
              <w:rPr>
                <w:iCs/>
                <w:color w:val="333333"/>
                <w:lang w:val="fr-FR"/>
              </w:rPr>
              <w:t>62%</w:t>
            </w:r>
          </w:p>
          <w:p w:rsidR="001320FC" w:rsidRPr="00927778" w:rsidRDefault="001320FC" w:rsidP="0012630F">
            <w:pPr>
              <w:widowControl w:val="0"/>
              <w:rPr>
                <w:iCs/>
                <w:color w:val="333333"/>
                <w:lang w:val="fr-FR"/>
              </w:rPr>
            </w:pPr>
          </w:p>
        </w:tc>
      </w:tr>
      <w:tr w:rsidR="001320FC" w:rsidRPr="00927778" w:rsidTr="00C3651B">
        <w:trPr>
          <w:trHeight w:val="848"/>
        </w:trPr>
        <w:tc>
          <w:tcPr>
            <w:tcW w:w="2376" w:type="dxa"/>
            <w:shd w:val="clear" w:color="auto" w:fill="auto"/>
          </w:tcPr>
          <w:p w:rsidR="001320FC" w:rsidRPr="00927778" w:rsidRDefault="001D4D2F" w:rsidP="001D4D2F">
            <w:pPr>
              <w:pStyle w:val="Heading3"/>
              <w:keepNext w:val="0"/>
              <w:widowControl w:val="0"/>
              <w:rPr>
                <w:color w:val="333333"/>
                <w:lang w:val="fr-FR"/>
              </w:rPr>
            </w:pPr>
            <w:r w:rsidRPr="00927778">
              <w:rPr>
                <w:color w:val="333333"/>
                <w:lang w:val="fr-FR"/>
              </w:rPr>
              <w:t>Rapports précédents</w:t>
            </w:r>
          </w:p>
        </w:tc>
        <w:tc>
          <w:tcPr>
            <w:tcW w:w="6912" w:type="dxa"/>
          </w:tcPr>
          <w:p w:rsidR="005E6718" w:rsidRPr="00927778" w:rsidRDefault="005E6718" w:rsidP="00592898">
            <w:pPr>
              <w:widowControl w:val="0"/>
              <w:rPr>
                <w:iCs/>
                <w:color w:val="333333"/>
                <w:lang w:val="fr-FR"/>
              </w:rPr>
            </w:pPr>
          </w:p>
          <w:p w:rsidR="00EA2C86" w:rsidRPr="00927778" w:rsidRDefault="001D4D2F" w:rsidP="001D4D2F">
            <w:pPr>
              <w:widowControl w:val="0"/>
              <w:rPr>
                <w:iCs/>
                <w:color w:val="333333"/>
                <w:lang w:val="fr-FR"/>
              </w:rPr>
            </w:pPr>
            <w:r w:rsidRPr="00927778">
              <w:rPr>
                <w:iCs/>
                <w:color w:val="333333"/>
                <w:lang w:val="fr-FR"/>
              </w:rPr>
              <w:t>Ceci est le troisième rapport présenté</w:t>
            </w:r>
            <w:r w:rsidR="00EA2C86" w:rsidRPr="00927778">
              <w:rPr>
                <w:iCs/>
                <w:color w:val="333333"/>
                <w:lang w:val="fr-FR"/>
              </w:rPr>
              <w:t xml:space="preserve"> au CDI</w:t>
            </w:r>
            <w:r w:rsidRPr="00927778">
              <w:rPr>
                <w:iCs/>
                <w:color w:val="333333"/>
                <w:lang w:val="fr-FR"/>
              </w:rPr>
              <w:t>P.</w:t>
            </w:r>
          </w:p>
          <w:p w:rsidR="005E6718" w:rsidRPr="00927778" w:rsidRDefault="005E6718" w:rsidP="00592898">
            <w:pPr>
              <w:widowControl w:val="0"/>
              <w:rPr>
                <w:iCs/>
                <w:color w:val="333333"/>
                <w:lang w:val="fr-FR"/>
              </w:rPr>
            </w:pPr>
          </w:p>
          <w:p w:rsidR="00EA2C86" w:rsidRPr="00927778" w:rsidRDefault="00551003" w:rsidP="001D4D2F">
            <w:pPr>
              <w:widowControl w:val="0"/>
              <w:rPr>
                <w:iCs/>
                <w:color w:val="333333"/>
                <w:lang w:val="fr-FR"/>
              </w:rPr>
            </w:pPr>
            <w:r w:rsidRPr="00927778">
              <w:rPr>
                <w:iCs/>
                <w:color w:val="333333"/>
                <w:lang w:val="fr-FR"/>
              </w:rPr>
              <w:t>Le premier rapport</w:t>
            </w:r>
            <w:r w:rsidR="00DF0655" w:rsidRPr="00927778">
              <w:rPr>
                <w:iCs/>
                <w:color w:val="333333"/>
                <w:lang w:val="fr-FR"/>
              </w:rPr>
              <w:t>, figurant</w:t>
            </w:r>
            <w:r w:rsidRPr="00927778">
              <w:rPr>
                <w:iCs/>
                <w:color w:val="333333"/>
                <w:lang w:val="fr-FR"/>
              </w:rPr>
              <w:t xml:space="preserve"> à l</w:t>
            </w:r>
            <w:r w:rsidR="00EA2C86" w:rsidRPr="00927778">
              <w:rPr>
                <w:iCs/>
                <w:color w:val="333333"/>
                <w:lang w:val="fr-FR"/>
              </w:rPr>
              <w:t>’annexe V</w:t>
            </w:r>
            <w:r w:rsidRPr="00927778">
              <w:rPr>
                <w:iCs/>
                <w:color w:val="333333"/>
                <w:lang w:val="fr-FR"/>
              </w:rPr>
              <w:t xml:space="preserve"> du document</w:t>
            </w:r>
            <w:r w:rsidR="00CB5AE0" w:rsidRPr="00927778">
              <w:rPr>
                <w:iCs/>
                <w:color w:val="333333"/>
                <w:lang w:val="fr-FR"/>
              </w:rPr>
              <w:t> </w:t>
            </w:r>
            <w:r w:rsidR="001320FC" w:rsidRPr="00927778">
              <w:rPr>
                <w:iCs/>
                <w:color w:val="333333"/>
                <w:lang w:val="fr-FR"/>
              </w:rPr>
              <w:t>CDIP/18/2</w:t>
            </w:r>
            <w:r w:rsidR="00DF0655" w:rsidRPr="00927778">
              <w:rPr>
                <w:iCs/>
                <w:color w:val="333333"/>
                <w:lang w:val="fr-FR"/>
              </w:rPr>
              <w:t>, a</w:t>
            </w:r>
            <w:r w:rsidRPr="00927778">
              <w:rPr>
                <w:iCs/>
                <w:color w:val="333333"/>
                <w:lang w:val="fr-FR"/>
              </w:rPr>
              <w:t xml:space="preserve"> été soumis</w:t>
            </w:r>
            <w:r w:rsidR="00EA2C86" w:rsidRPr="00927778">
              <w:rPr>
                <w:iCs/>
                <w:color w:val="333333"/>
                <w:lang w:val="fr-FR"/>
              </w:rPr>
              <w:t xml:space="preserve"> au CDI</w:t>
            </w:r>
            <w:r w:rsidRPr="00927778">
              <w:rPr>
                <w:iCs/>
                <w:color w:val="333333"/>
                <w:lang w:val="fr-FR"/>
              </w:rPr>
              <w:t xml:space="preserve">P </w:t>
            </w:r>
            <w:r w:rsidR="00DF0655" w:rsidRPr="00927778">
              <w:rPr>
                <w:iCs/>
                <w:color w:val="333333"/>
                <w:lang w:val="fr-FR"/>
              </w:rPr>
              <w:t>lors de</w:t>
            </w:r>
            <w:r w:rsidRPr="00927778">
              <w:rPr>
                <w:iCs/>
                <w:color w:val="333333"/>
                <w:lang w:val="fr-FR"/>
              </w:rPr>
              <w:t xml:space="preserve"> sa dix</w:t>
            </w:r>
            <w:r w:rsidR="00CB5AE0" w:rsidRPr="00927778">
              <w:rPr>
                <w:iCs/>
                <w:color w:val="333333"/>
                <w:lang w:val="fr-FR"/>
              </w:rPr>
              <w:noBreakHyphen/>
            </w:r>
            <w:r w:rsidRPr="00927778">
              <w:rPr>
                <w:iCs/>
                <w:color w:val="333333"/>
                <w:lang w:val="fr-FR"/>
              </w:rPr>
              <w:t>huit</w:t>
            </w:r>
            <w:r w:rsidR="00EA2C86" w:rsidRPr="00927778">
              <w:rPr>
                <w:iCs/>
                <w:color w:val="333333"/>
                <w:lang w:val="fr-FR"/>
              </w:rPr>
              <w:t>ième sessi</w:t>
            </w:r>
            <w:r w:rsidR="00306E74" w:rsidRPr="00927778">
              <w:rPr>
                <w:iCs/>
                <w:color w:val="333333"/>
                <w:lang w:val="fr-FR"/>
              </w:rPr>
              <w:t>on.  Le</w:t>
            </w:r>
            <w:r w:rsidR="001D4D2F" w:rsidRPr="00927778">
              <w:rPr>
                <w:iCs/>
                <w:color w:val="333333"/>
                <w:lang w:val="fr-FR"/>
              </w:rPr>
              <w:t xml:space="preserve"> deuxième rapport est présent à l</w:t>
            </w:r>
            <w:r w:rsidR="00EA2C86" w:rsidRPr="00927778">
              <w:rPr>
                <w:iCs/>
                <w:color w:val="333333"/>
                <w:lang w:val="fr-FR"/>
              </w:rPr>
              <w:t>’annexe V</w:t>
            </w:r>
            <w:r w:rsidR="001D4D2F" w:rsidRPr="00927778">
              <w:rPr>
                <w:iCs/>
                <w:color w:val="333333"/>
                <w:lang w:val="fr-FR"/>
              </w:rPr>
              <w:t xml:space="preserve"> du document</w:t>
            </w:r>
            <w:r w:rsidR="00CB5AE0" w:rsidRPr="00927778">
              <w:rPr>
                <w:iCs/>
                <w:color w:val="333333"/>
                <w:lang w:val="fr-FR"/>
              </w:rPr>
              <w:t> </w:t>
            </w:r>
            <w:r w:rsidR="001D4D2F" w:rsidRPr="00927778">
              <w:rPr>
                <w:iCs/>
                <w:color w:val="333333"/>
                <w:lang w:val="fr-FR"/>
              </w:rPr>
              <w:t>CDIP/20/2 et a été soumis</w:t>
            </w:r>
            <w:r w:rsidR="00EA2C86" w:rsidRPr="00927778">
              <w:rPr>
                <w:iCs/>
                <w:color w:val="333333"/>
                <w:lang w:val="fr-FR"/>
              </w:rPr>
              <w:t xml:space="preserve"> au CDI</w:t>
            </w:r>
            <w:r w:rsidR="001D4D2F" w:rsidRPr="00927778">
              <w:rPr>
                <w:iCs/>
                <w:color w:val="333333"/>
                <w:lang w:val="fr-FR"/>
              </w:rPr>
              <w:t>P à sa vingt</w:t>
            </w:r>
            <w:r w:rsidR="00EA2C86" w:rsidRPr="00927778">
              <w:rPr>
                <w:iCs/>
                <w:color w:val="333333"/>
                <w:lang w:val="fr-FR"/>
              </w:rPr>
              <w:t>ième session</w:t>
            </w:r>
            <w:r w:rsidR="001D4D2F" w:rsidRPr="00927778">
              <w:rPr>
                <w:iCs/>
                <w:color w:val="333333"/>
                <w:lang w:val="fr-FR"/>
              </w:rPr>
              <w:t>.</w:t>
            </w:r>
          </w:p>
          <w:p w:rsidR="001320FC" w:rsidRPr="00927778" w:rsidRDefault="001320FC" w:rsidP="00592898">
            <w:pPr>
              <w:widowControl w:val="0"/>
              <w:rPr>
                <w:iCs/>
                <w:color w:val="333333"/>
                <w:lang w:val="fr-FR"/>
              </w:rPr>
            </w:pPr>
          </w:p>
        </w:tc>
      </w:tr>
    </w:tbl>
    <w:p w:rsidR="005E6718" w:rsidRPr="00927778" w:rsidRDefault="005E6718" w:rsidP="001320FC">
      <w:pPr>
        <w:rPr>
          <w:color w:val="333333"/>
          <w:lang w:val="fr-FR"/>
        </w:rPr>
      </w:pPr>
    </w:p>
    <w:p w:rsidR="001320FC" w:rsidRPr="00927778" w:rsidRDefault="001320FC" w:rsidP="001320FC">
      <w:pPr>
        <w:rPr>
          <w:color w:val="333333"/>
          <w:lang w:val="fr-FR"/>
        </w:rPr>
      </w:pPr>
      <w:r w:rsidRPr="00927778">
        <w:rPr>
          <w:color w:val="333333"/>
          <w:lang w:val="fr-FR"/>
        </w:rPr>
        <w:br w:type="page"/>
      </w:r>
    </w:p>
    <w:tbl>
      <w:tblPr>
        <w:tblW w:w="0" w:type="auto"/>
        <w:tblLook w:val="01E0" w:firstRow="1" w:lastRow="1" w:firstColumn="1" w:lastColumn="1" w:noHBand="0" w:noVBand="0"/>
      </w:tblPr>
      <w:tblGrid>
        <w:gridCol w:w="9287"/>
      </w:tblGrid>
      <w:tr w:rsidR="001320FC" w:rsidRPr="00927778" w:rsidTr="00C3651B">
        <w:trPr>
          <w:trHeight w:val="494"/>
        </w:trPr>
        <w:tc>
          <w:tcPr>
            <w:tcW w:w="9287" w:type="dxa"/>
            <w:vAlign w:val="center"/>
          </w:tcPr>
          <w:p w:rsidR="001320FC" w:rsidRPr="00927778" w:rsidRDefault="001320FC" w:rsidP="001D4D2F">
            <w:pPr>
              <w:rPr>
                <w:color w:val="333333"/>
                <w:lang w:val="fr-FR"/>
              </w:rPr>
            </w:pPr>
            <w:r w:rsidRPr="00927778">
              <w:rPr>
                <w:color w:val="333333"/>
                <w:lang w:val="fr-FR"/>
              </w:rPr>
              <w:br w:type="page"/>
            </w:r>
            <w:r w:rsidR="001D4D2F" w:rsidRPr="00927778">
              <w:rPr>
                <w:color w:val="333333"/>
                <w:lang w:val="fr-FR"/>
              </w:rPr>
              <w:t>AUTO</w:t>
            </w:r>
            <w:r w:rsidR="00CB5AE0" w:rsidRPr="00927778">
              <w:rPr>
                <w:color w:val="333333"/>
                <w:lang w:val="fr-FR"/>
              </w:rPr>
              <w:noBreakHyphen/>
            </w:r>
            <w:r w:rsidR="001D4D2F" w:rsidRPr="00927778">
              <w:rPr>
                <w:color w:val="333333"/>
                <w:lang w:val="fr-FR"/>
              </w:rPr>
              <w:t>ÉVALUATION DU PROJET</w:t>
            </w:r>
          </w:p>
        </w:tc>
      </w:tr>
    </w:tbl>
    <w:p w:rsidR="005E6718" w:rsidRPr="00927778" w:rsidRDefault="005E6718" w:rsidP="001320FC">
      <w:pPr>
        <w:rPr>
          <w:color w:val="333333"/>
          <w:lang w:val="fr-FR"/>
        </w:rPr>
      </w:pPr>
    </w:p>
    <w:p w:rsidR="005E6718" w:rsidRPr="00927778" w:rsidRDefault="001D4D2F" w:rsidP="001D4D2F">
      <w:pPr>
        <w:rPr>
          <w:color w:val="333333"/>
          <w:lang w:val="fr-FR"/>
        </w:rPr>
      </w:pPr>
      <w:r w:rsidRPr="00927778">
        <w:rPr>
          <w:color w:val="333333"/>
          <w:lang w:val="fr-FR"/>
        </w:rPr>
        <w:t>Code d</w:t>
      </w:r>
      <w:r w:rsidR="00EA2C86" w:rsidRPr="00927778">
        <w:rPr>
          <w:color w:val="333333"/>
          <w:lang w:val="fr-FR"/>
        </w:rPr>
        <w:t>’</w:t>
      </w:r>
      <w:r w:rsidRPr="00927778">
        <w:rPr>
          <w:color w:val="333333"/>
          <w:lang w:val="fr-FR"/>
        </w:rPr>
        <w:t>évaluation</w:t>
      </w:r>
    </w:p>
    <w:p w:rsidR="001320FC" w:rsidRPr="00927778" w:rsidRDefault="001320FC" w:rsidP="001320FC">
      <w:pPr>
        <w:rPr>
          <w:color w:val="333333"/>
          <w:lang w:val="fr-FR"/>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927778" w:rsidRPr="00927778" w:rsidTr="00C3651B">
        <w:trPr>
          <w:trHeight w:val="469"/>
        </w:trPr>
        <w:tc>
          <w:tcPr>
            <w:tcW w:w="1416" w:type="dxa"/>
            <w:shd w:val="clear" w:color="auto" w:fill="auto"/>
            <w:vAlign w:val="center"/>
          </w:tcPr>
          <w:p w:rsidR="001320FC" w:rsidRPr="00927778" w:rsidRDefault="001320FC" w:rsidP="00C3651B">
            <w:pPr>
              <w:rPr>
                <w:color w:val="333333"/>
                <w:lang w:val="fr-FR"/>
              </w:rPr>
            </w:pPr>
            <w:r w:rsidRPr="00927778">
              <w:rPr>
                <w:color w:val="333333"/>
                <w:lang w:val="fr-FR"/>
              </w:rPr>
              <w:t>****</w:t>
            </w:r>
          </w:p>
        </w:tc>
        <w:tc>
          <w:tcPr>
            <w:tcW w:w="1677" w:type="dxa"/>
            <w:shd w:val="clear" w:color="auto" w:fill="auto"/>
            <w:vAlign w:val="center"/>
          </w:tcPr>
          <w:p w:rsidR="001320FC" w:rsidRPr="00927778" w:rsidRDefault="001320FC" w:rsidP="00C3651B">
            <w:pPr>
              <w:rPr>
                <w:color w:val="333333"/>
                <w:lang w:val="fr-FR"/>
              </w:rPr>
            </w:pPr>
            <w:r w:rsidRPr="00927778">
              <w:rPr>
                <w:color w:val="333333"/>
                <w:lang w:val="fr-FR"/>
              </w:rPr>
              <w:t>***</w:t>
            </w:r>
          </w:p>
        </w:tc>
        <w:tc>
          <w:tcPr>
            <w:tcW w:w="1797" w:type="dxa"/>
            <w:shd w:val="clear" w:color="auto" w:fill="auto"/>
            <w:vAlign w:val="center"/>
          </w:tcPr>
          <w:p w:rsidR="001320FC" w:rsidRPr="00927778" w:rsidRDefault="001320FC" w:rsidP="00C3651B">
            <w:pPr>
              <w:rPr>
                <w:color w:val="333333"/>
                <w:lang w:val="fr-FR"/>
              </w:rPr>
            </w:pPr>
            <w:r w:rsidRPr="00927778">
              <w:rPr>
                <w:color w:val="333333"/>
                <w:lang w:val="fr-FR"/>
              </w:rPr>
              <w:t>**</w:t>
            </w:r>
          </w:p>
        </w:tc>
        <w:tc>
          <w:tcPr>
            <w:tcW w:w="1895" w:type="dxa"/>
            <w:shd w:val="clear" w:color="auto" w:fill="auto"/>
            <w:vAlign w:val="center"/>
          </w:tcPr>
          <w:p w:rsidR="001320FC" w:rsidRPr="00927778" w:rsidRDefault="001D4D2F" w:rsidP="001D4D2F">
            <w:pPr>
              <w:rPr>
                <w:color w:val="333333"/>
                <w:lang w:val="fr-FR"/>
              </w:rPr>
            </w:pPr>
            <w:r w:rsidRPr="00927778">
              <w:rPr>
                <w:color w:val="333333"/>
                <w:lang w:val="fr-FR"/>
              </w:rPr>
              <w:t>AP</w:t>
            </w:r>
          </w:p>
        </w:tc>
        <w:tc>
          <w:tcPr>
            <w:tcW w:w="2563" w:type="dxa"/>
            <w:shd w:val="clear" w:color="auto" w:fill="auto"/>
            <w:vAlign w:val="center"/>
          </w:tcPr>
          <w:p w:rsidR="001320FC" w:rsidRPr="00927778" w:rsidRDefault="001D4D2F" w:rsidP="001D4D2F">
            <w:pPr>
              <w:rPr>
                <w:color w:val="333333"/>
                <w:lang w:val="fr-FR"/>
              </w:rPr>
            </w:pPr>
            <w:r w:rsidRPr="00927778">
              <w:rPr>
                <w:color w:val="333333"/>
                <w:lang w:val="fr-FR"/>
              </w:rPr>
              <w:t>s.o.</w:t>
            </w:r>
          </w:p>
        </w:tc>
      </w:tr>
      <w:tr w:rsidR="001320FC" w:rsidRPr="00927778" w:rsidTr="00C3651B">
        <w:tc>
          <w:tcPr>
            <w:tcW w:w="1416" w:type="dxa"/>
            <w:shd w:val="clear" w:color="auto" w:fill="auto"/>
          </w:tcPr>
          <w:p w:rsidR="001320FC" w:rsidRPr="00927778" w:rsidRDefault="001D4D2F" w:rsidP="001D4D2F">
            <w:pPr>
              <w:rPr>
                <w:color w:val="333333"/>
                <w:lang w:val="fr-FR"/>
              </w:rPr>
            </w:pPr>
            <w:r w:rsidRPr="00927778">
              <w:rPr>
                <w:color w:val="333333"/>
                <w:lang w:val="fr-FR"/>
              </w:rPr>
              <w:t>Objectifs pleinement atteints</w:t>
            </w:r>
          </w:p>
        </w:tc>
        <w:tc>
          <w:tcPr>
            <w:tcW w:w="1677" w:type="dxa"/>
            <w:shd w:val="clear" w:color="auto" w:fill="auto"/>
          </w:tcPr>
          <w:p w:rsidR="001320FC" w:rsidRPr="00927778" w:rsidRDefault="001D4D2F" w:rsidP="001D4D2F">
            <w:pPr>
              <w:rPr>
                <w:color w:val="333333"/>
                <w:lang w:val="fr-FR"/>
              </w:rPr>
            </w:pPr>
            <w:r w:rsidRPr="00927778">
              <w:rPr>
                <w:color w:val="333333"/>
                <w:lang w:val="fr-FR"/>
              </w:rPr>
              <w:t>Progrès considérables</w:t>
            </w:r>
          </w:p>
        </w:tc>
        <w:tc>
          <w:tcPr>
            <w:tcW w:w="1797" w:type="dxa"/>
            <w:shd w:val="clear" w:color="auto" w:fill="auto"/>
          </w:tcPr>
          <w:p w:rsidR="001320FC" w:rsidRPr="00927778" w:rsidRDefault="001D4D2F" w:rsidP="001D4D2F">
            <w:pPr>
              <w:rPr>
                <w:color w:val="333333"/>
                <w:lang w:val="fr-FR"/>
              </w:rPr>
            </w:pPr>
            <w:r w:rsidRPr="00927778">
              <w:rPr>
                <w:color w:val="333333"/>
                <w:lang w:val="fr-FR"/>
              </w:rPr>
              <w:t>Quelques progrès</w:t>
            </w:r>
          </w:p>
        </w:tc>
        <w:tc>
          <w:tcPr>
            <w:tcW w:w="1895" w:type="dxa"/>
            <w:shd w:val="clear" w:color="auto" w:fill="auto"/>
          </w:tcPr>
          <w:p w:rsidR="001320FC" w:rsidRPr="00927778" w:rsidRDefault="001D4D2F" w:rsidP="001D4D2F">
            <w:pPr>
              <w:rPr>
                <w:color w:val="333333"/>
                <w:lang w:val="fr-FR"/>
              </w:rPr>
            </w:pPr>
            <w:r w:rsidRPr="00927778">
              <w:rPr>
                <w:color w:val="333333"/>
                <w:lang w:val="fr-FR"/>
              </w:rPr>
              <w:t>Aucun progrès</w:t>
            </w:r>
          </w:p>
        </w:tc>
        <w:tc>
          <w:tcPr>
            <w:tcW w:w="2563" w:type="dxa"/>
            <w:shd w:val="clear" w:color="auto" w:fill="auto"/>
          </w:tcPr>
          <w:p w:rsidR="001320FC" w:rsidRPr="00927778" w:rsidRDefault="001D4D2F" w:rsidP="001D4D2F">
            <w:pPr>
              <w:rPr>
                <w:color w:val="333333"/>
                <w:lang w:val="fr-FR"/>
              </w:rPr>
            </w:pPr>
            <w:r w:rsidRPr="00927778">
              <w:rPr>
                <w:color w:val="333333"/>
                <w:lang w:val="fr-FR"/>
              </w:rPr>
              <w:t>Non évalué/abandonné</w:t>
            </w:r>
          </w:p>
        </w:tc>
      </w:tr>
    </w:tbl>
    <w:p w:rsidR="001320FC" w:rsidRPr="00927778" w:rsidRDefault="001320FC" w:rsidP="001320FC">
      <w:pPr>
        <w:rPr>
          <w:color w:val="333333"/>
          <w:lang w:val="fr-FR"/>
        </w:rPr>
      </w:pPr>
    </w:p>
    <w:tbl>
      <w:tblPr>
        <w:tblW w:w="9356" w:type="dxa"/>
        <w:tblInd w:w="-34" w:type="dxa"/>
        <w:tblLayout w:type="fixed"/>
        <w:tblLook w:val="01E0" w:firstRow="1" w:lastRow="1" w:firstColumn="1" w:lastColumn="1" w:noHBand="0" w:noVBand="0"/>
      </w:tblPr>
      <w:tblGrid>
        <w:gridCol w:w="2410"/>
        <w:gridCol w:w="2694"/>
        <w:gridCol w:w="3118"/>
        <w:gridCol w:w="1134"/>
      </w:tblGrid>
      <w:tr w:rsidR="00047C22" w:rsidRPr="00927778" w:rsidTr="002B4A41">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E6718" w:rsidRPr="00927778" w:rsidRDefault="005E6718" w:rsidP="00C3651B">
            <w:pPr>
              <w:rPr>
                <w:rStyle w:val="Heading3Char"/>
                <w:color w:val="333333"/>
                <w:lang w:val="fr-FR"/>
              </w:rPr>
            </w:pPr>
          </w:p>
          <w:p w:rsidR="001320FC" w:rsidRPr="00927778" w:rsidRDefault="001D4D2F" w:rsidP="001D4D2F">
            <w:pPr>
              <w:rPr>
                <w:color w:val="333333"/>
                <w:lang w:val="fr-FR"/>
              </w:rPr>
            </w:pPr>
            <w:r w:rsidRPr="00927778">
              <w:rPr>
                <w:color w:val="333333"/>
                <w:u w:val="single"/>
                <w:lang w:val="fr-FR"/>
              </w:rPr>
              <w:t>Résultats du projet</w:t>
            </w:r>
            <w:r w:rsidRPr="00927778">
              <w:rPr>
                <w:rStyle w:val="FootnoteReference"/>
                <w:color w:val="333333"/>
                <w:lang w:val="fr-FR"/>
              </w:rPr>
              <w:footnoteReference w:id="3"/>
            </w:r>
            <w:r w:rsidRPr="00927778">
              <w:rPr>
                <w:color w:val="333333"/>
                <w:lang w:val="fr-FR"/>
              </w:rPr>
              <w:t xml:space="preserve"> (résultat escompté)</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E6718" w:rsidRPr="00927778" w:rsidRDefault="005E6718" w:rsidP="00C3651B">
            <w:pPr>
              <w:rPr>
                <w:rStyle w:val="Heading3Char"/>
                <w:color w:val="333333"/>
                <w:lang w:val="fr-FR"/>
              </w:rPr>
            </w:pPr>
          </w:p>
          <w:p w:rsidR="005E6718" w:rsidRPr="00927778" w:rsidRDefault="001D4D2F" w:rsidP="001D4D2F">
            <w:pPr>
              <w:rPr>
                <w:color w:val="333333"/>
                <w:lang w:val="fr-FR"/>
              </w:rPr>
            </w:pPr>
            <w:r w:rsidRPr="00927778">
              <w:rPr>
                <w:color w:val="333333"/>
                <w:u w:val="single"/>
                <w:lang w:val="fr-FR"/>
              </w:rPr>
              <w:t>Indicateurs d</w:t>
            </w:r>
            <w:r w:rsidR="00EA2C86" w:rsidRPr="00927778">
              <w:rPr>
                <w:color w:val="333333"/>
                <w:u w:val="single"/>
                <w:lang w:val="fr-FR"/>
              </w:rPr>
              <w:t>’</w:t>
            </w:r>
            <w:r w:rsidRPr="00927778">
              <w:rPr>
                <w:color w:val="333333"/>
                <w:u w:val="single"/>
                <w:lang w:val="fr-FR"/>
              </w:rPr>
              <w:t>exécution</w:t>
            </w:r>
            <w:r w:rsidRPr="00927778">
              <w:rPr>
                <w:color w:val="333333"/>
                <w:lang w:val="fr-FR"/>
              </w:rPr>
              <w:t xml:space="preserve"> (indicateurs de résultats)</w:t>
            </w:r>
          </w:p>
          <w:p w:rsidR="001320FC" w:rsidRPr="00927778" w:rsidRDefault="001320FC" w:rsidP="00C3651B">
            <w:pPr>
              <w:rPr>
                <w:color w:val="333333"/>
                <w:lang w:val="fr-FR"/>
              </w:rPr>
            </w:pP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rsidR="001320FC" w:rsidRPr="00927778" w:rsidRDefault="001D4D2F" w:rsidP="001D4D2F">
            <w:pPr>
              <w:pStyle w:val="Heading3"/>
              <w:rPr>
                <w:color w:val="333333"/>
                <w:lang w:val="fr-FR"/>
              </w:rPr>
            </w:pPr>
            <w:r w:rsidRPr="00927778">
              <w:rPr>
                <w:color w:val="333333"/>
                <w:lang w:val="fr-FR"/>
              </w:rPr>
              <w:t>Données relatives à l</w:t>
            </w:r>
            <w:r w:rsidR="00EA2C86" w:rsidRPr="00927778">
              <w:rPr>
                <w:color w:val="333333"/>
                <w:lang w:val="fr-FR"/>
              </w:rPr>
              <w:t>’</w:t>
            </w:r>
            <w:r w:rsidRPr="00927778">
              <w:rPr>
                <w:color w:val="333333"/>
                <w:lang w:val="fr-FR"/>
              </w:rPr>
              <w:t>exécution</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1320FC" w:rsidRPr="002B4A41" w:rsidRDefault="001D4D2F" w:rsidP="001D4D2F">
            <w:pPr>
              <w:pStyle w:val="Heading3"/>
              <w:rPr>
                <w:color w:val="333333"/>
                <w:sz w:val="20"/>
                <w:lang w:val="fr-FR"/>
              </w:rPr>
            </w:pPr>
            <w:r w:rsidRPr="002B4A41">
              <w:rPr>
                <w:color w:val="333333"/>
                <w:sz w:val="20"/>
                <w:lang w:val="fr-FR"/>
              </w:rPr>
              <w:t>Code d</w:t>
            </w:r>
            <w:r w:rsidR="00EA2C86" w:rsidRPr="002B4A41">
              <w:rPr>
                <w:color w:val="333333"/>
                <w:sz w:val="20"/>
                <w:lang w:val="fr-FR"/>
              </w:rPr>
              <w:t>’</w:t>
            </w:r>
            <w:r w:rsidRPr="002B4A41">
              <w:rPr>
                <w:color w:val="333333"/>
                <w:sz w:val="20"/>
                <w:lang w:val="fr-FR"/>
              </w:rPr>
              <w:t>évaluation</w:t>
            </w:r>
          </w:p>
        </w:tc>
      </w:tr>
      <w:tr w:rsidR="00047C22" w:rsidRPr="00927778" w:rsidTr="002B4A41">
        <w:trPr>
          <w:trHeight w:val="1023"/>
        </w:trPr>
        <w:tc>
          <w:tcPr>
            <w:tcW w:w="2410" w:type="dxa"/>
            <w:tcBorders>
              <w:top w:val="single" w:sz="2" w:space="0" w:color="000000"/>
              <w:left w:val="single" w:sz="2" w:space="0" w:color="000000"/>
              <w:right w:val="single" w:sz="6" w:space="0" w:color="000000"/>
            </w:tcBorders>
            <w:shd w:val="clear" w:color="auto" w:fill="auto"/>
          </w:tcPr>
          <w:p w:rsidR="005E6718" w:rsidRPr="00927778" w:rsidRDefault="001D4D2F" w:rsidP="001D4D2F">
            <w:pPr>
              <w:rPr>
                <w:color w:val="333333"/>
                <w:szCs w:val="22"/>
                <w:lang w:val="fr-FR"/>
              </w:rPr>
            </w:pPr>
            <w:r w:rsidRPr="00927778">
              <w:rPr>
                <w:color w:val="333333"/>
                <w:szCs w:val="22"/>
                <w:lang w:val="fr-FR"/>
              </w:rPr>
              <w:t xml:space="preserve">1. Guides sur </w:t>
            </w:r>
            <w:r w:rsidR="00DE14D6" w:rsidRPr="00927778">
              <w:rPr>
                <w:color w:val="333333"/>
                <w:szCs w:val="22"/>
                <w:lang w:val="fr-FR"/>
              </w:rPr>
              <w:t>le recensement</w:t>
            </w:r>
            <w:r w:rsidRPr="00927778">
              <w:rPr>
                <w:color w:val="333333"/>
                <w:szCs w:val="22"/>
                <w:lang w:val="fr-FR"/>
              </w:rPr>
              <w:t xml:space="preserve"> et l</w:t>
            </w:r>
            <w:r w:rsidR="00EA2C86" w:rsidRPr="00927778">
              <w:rPr>
                <w:color w:val="333333"/>
                <w:szCs w:val="22"/>
                <w:lang w:val="fr-FR"/>
              </w:rPr>
              <w:t>’</w:t>
            </w:r>
            <w:r w:rsidRPr="00927778">
              <w:rPr>
                <w:color w:val="333333"/>
                <w:szCs w:val="22"/>
                <w:lang w:val="fr-FR"/>
              </w:rPr>
              <w:t>utilisation des inventions figurant dans le domaine public</w:t>
            </w:r>
          </w:p>
          <w:p w:rsidR="001320FC" w:rsidRPr="00927778" w:rsidRDefault="001320FC" w:rsidP="00C3651B">
            <w:pPr>
              <w:rPr>
                <w:color w:val="333333"/>
                <w:szCs w:val="22"/>
                <w:lang w:val="fr-FR"/>
              </w:rPr>
            </w:pPr>
          </w:p>
        </w:tc>
        <w:tc>
          <w:tcPr>
            <w:tcW w:w="2694" w:type="dxa"/>
            <w:tcBorders>
              <w:top w:val="single" w:sz="2" w:space="0" w:color="000000"/>
              <w:left w:val="single" w:sz="6" w:space="0" w:color="000000"/>
              <w:right w:val="single" w:sz="2" w:space="0" w:color="000000"/>
            </w:tcBorders>
            <w:shd w:val="clear" w:color="auto" w:fill="auto"/>
          </w:tcPr>
          <w:p w:rsidR="005E6718" w:rsidRPr="00927778" w:rsidRDefault="001D4D2F" w:rsidP="001D4D2F">
            <w:pPr>
              <w:rPr>
                <w:color w:val="333333"/>
                <w:szCs w:val="22"/>
                <w:lang w:val="fr-FR"/>
              </w:rPr>
            </w:pPr>
            <w:r w:rsidRPr="00927778">
              <w:rPr>
                <w:color w:val="333333"/>
                <w:szCs w:val="22"/>
                <w:lang w:val="fr-FR"/>
              </w:rPr>
              <w:t>Remise du premier projet finalisé de guides d</w:t>
            </w:r>
            <w:r w:rsidR="00EA2C86" w:rsidRPr="00927778">
              <w:rPr>
                <w:color w:val="333333"/>
                <w:szCs w:val="22"/>
                <w:lang w:val="fr-FR"/>
              </w:rPr>
              <w:t>’</w:t>
            </w:r>
            <w:r w:rsidRPr="00927778">
              <w:rPr>
                <w:color w:val="333333"/>
                <w:szCs w:val="22"/>
                <w:lang w:val="fr-FR"/>
              </w:rPr>
              <w:t xml:space="preserve">ici à la fin </w:t>
            </w:r>
            <w:r w:rsidR="00EA2C86" w:rsidRPr="00927778">
              <w:rPr>
                <w:color w:val="333333"/>
                <w:szCs w:val="22"/>
                <w:lang w:val="fr-FR"/>
              </w:rPr>
              <w:t>de 2016</w:t>
            </w:r>
          </w:p>
          <w:p w:rsidR="001320FC" w:rsidRPr="00927778" w:rsidRDefault="001320FC" w:rsidP="00C3651B">
            <w:pPr>
              <w:rPr>
                <w:color w:val="333333"/>
                <w:szCs w:val="22"/>
                <w:lang w:val="fr-FR"/>
              </w:rPr>
            </w:pPr>
          </w:p>
        </w:tc>
        <w:tc>
          <w:tcPr>
            <w:tcW w:w="3118" w:type="dxa"/>
            <w:tcBorders>
              <w:top w:val="single" w:sz="2" w:space="0" w:color="000000"/>
              <w:left w:val="single" w:sz="2" w:space="0" w:color="000000"/>
              <w:right w:val="single" w:sz="2" w:space="0" w:color="000000"/>
            </w:tcBorders>
            <w:shd w:val="clear" w:color="auto" w:fill="auto"/>
          </w:tcPr>
          <w:p w:rsidR="00EA2C86" w:rsidRPr="00927778" w:rsidRDefault="00560B8C" w:rsidP="00C3651B">
            <w:pPr>
              <w:rPr>
                <w:color w:val="333333"/>
                <w:lang w:val="fr-FR"/>
              </w:rPr>
            </w:pPr>
            <w:r w:rsidRPr="00927778">
              <w:rPr>
                <w:color w:val="333333"/>
                <w:lang w:val="fr-FR"/>
              </w:rPr>
              <w:t>Remise de</w:t>
            </w:r>
            <w:r w:rsidR="00C85016" w:rsidRPr="00927778">
              <w:rPr>
                <w:color w:val="333333"/>
                <w:lang w:val="fr-FR"/>
              </w:rPr>
              <w:t>s</w:t>
            </w:r>
            <w:r w:rsidRPr="00927778">
              <w:rPr>
                <w:color w:val="333333"/>
                <w:lang w:val="fr-FR"/>
              </w:rPr>
              <w:t xml:space="preserve"> guides</w:t>
            </w:r>
            <w:r w:rsidR="007D3973" w:rsidRPr="00927778">
              <w:rPr>
                <w:color w:val="333333"/>
                <w:lang w:val="fr-FR"/>
              </w:rPr>
              <w:t xml:space="preserve"> consolidés pour les travaux de pilotage</w:t>
            </w:r>
            <w:r w:rsidRPr="00927778">
              <w:rPr>
                <w:color w:val="333333"/>
                <w:lang w:val="fr-FR"/>
              </w:rPr>
              <w:t xml:space="preserve"> en </w:t>
            </w:r>
            <w:r w:rsidR="00EA2C86" w:rsidRPr="00927778">
              <w:rPr>
                <w:color w:val="333333"/>
                <w:lang w:val="fr-FR"/>
              </w:rPr>
              <w:t>juin 20</w:t>
            </w:r>
            <w:r w:rsidRPr="00927778">
              <w:rPr>
                <w:color w:val="333333"/>
                <w:lang w:val="fr-FR"/>
              </w:rPr>
              <w:t>17.</w:t>
            </w:r>
            <w:r w:rsidR="0057466D" w:rsidRPr="00927778">
              <w:rPr>
                <w:color w:val="333333"/>
                <w:lang w:val="fr-FR"/>
              </w:rPr>
              <w:t xml:space="preserve"> </w:t>
            </w:r>
            <w:r w:rsidRPr="00927778">
              <w:rPr>
                <w:color w:val="333333"/>
                <w:lang w:val="fr-FR"/>
              </w:rPr>
              <w:t xml:space="preserve"> Remise des projets finalisés de guides en </w:t>
            </w:r>
            <w:r w:rsidR="00EA2C86" w:rsidRPr="00927778">
              <w:rPr>
                <w:color w:val="333333"/>
                <w:lang w:val="fr-FR"/>
              </w:rPr>
              <w:t>juillet 20</w:t>
            </w:r>
            <w:r w:rsidRPr="00927778">
              <w:rPr>
                <w:color w:val="333333"/>
                <w:lang w:val="fr-FR"/>
              </w:rPr>
              <w:t xml:space="preserve">18 (prêts pour </w:t>
            </w:r>
            <w:r w:rsidR="00D61716" w:rsidRPr="00927778">
              <w:rPr>
                <w:color w:val="333333"/>
                <w:lang w:val="fr-FR"/>
              </w:rPr>
              <w:t>ré</w:t>
            </w:r>
            <w:r w:rsidRPr="00927778">
              <w:rPr>
                <w:color w:val="333333"/>
                <w:lang w:val="fr-FR"/>
              </w:rPr>
              <w:t>vision</w:t>
            </w:r>
            <w:r w:rsidR="007D3973" w:rsidRPr="00927778">
              <w:rPr>
                <w:color w:val="333333"/>
                <w:lang w:val="fr-FR"/>
              </w:rPr>
              <w:t>, correction et mise en page</w:t>
            </w:r>
            <w:r w:rsidRPr="00927778">
              <w:rPr>
                <w:color w:val="333333"/>
                <w:lang w:val="fr-FR"/>
              </w:rPr>
              <w:t xml:space="preserve"> professionnell</w:t>
            </w:r>
            <w:r w:rsidR="00306E74" w:rsidRPr="00927778">
              <w:rPr>
                <w:color w:val="333333"/>
                <w:lang w:val="fr-FR"/>
              </w:rPr>
              <w:t>es).  Pr</w:t>
            </w:r>
            <w:r w:rsidR="00D61716" w:rsidRPr="00927778">
              <w:rPr>
                <w:color w:val="333333"/>
                <w:lang w:val="fr-FR"/>
              </w:rPr>
              <w:t>éparation des versions finales (</w:t>
            </w:r>
            <w:r w:rsidR="00AA0738" w:rsidRPr="00927778">
              <w:rPr>
                <w:color w:val="333333"/>
                <w:lang w:val="fr-FR"/>
              </w:rPr>
              <w:t>ré</w:t>
            </w:r>
            <w:r w:rsidR="00D61716" w:rsidRPr="00927778">
              <w:rPr>
                <w:color w:val="333333"/>
                <w:lang w:val="fr-FR"/>
              </w:rPr>
              <w:t>visées</w:t>
            </w:r>
            <w:r w:rsidR="00A43F4C" w:rsidRPr="00927778">
              <w:rPr>
                <w:color w:val="333333"/>
                <w:lang w:val="fr-FR"/>
              </w:rPr>
              <w:t xml:space="preserve"> et corrigées</w:t>
            </w:r>
            <w:r w:rsidR="00D61716" w:rsidRPr="00927778">
              <w:rPr>
                <w:color w:val="333333"/>
                <w:lang w:val="fr-FR"/>
              </w:rPr>
              <w:t>) pour fin</w:t>
            </w:r>
            <w:r w:rsidR="00002037" w:rsidRPr="00927778">
              <w:rPr>
                <w:color w:val="333333"/>
                <w:lang w:val="fr-FR"/>
              </w:rPr>
              <w:t> </w:t>
            </w:r>
            <w:r w:rsidR="00D61716" w:rsidRPr="00927778">
              <w:rPr>
                <w:color w:val="333333"/>
                <w:lang w:val="fr-FR"/>
              </w:rPr>
              <w:t>2018.</w:t>
            </w:r>
          </w:p>
          <w:p w:rsidR="001320FC" w:rsidRPr="00927778" w:rsidRDefault="001320FC" w:rsidP="00C3651B">
            <w:pPr>
              <w:rPr>
                <w:color w:val="333333"/>
                <w:lang w:val="fr-FR"/>
              </w:rPr>
            </w:pPr>
          </w:p>
        </w:tc>
        <w:tc>
          <w:tcPr>
            <w:tcW w:w="1134" w:type="dxa"/>
            <w:tcBorders>
              <w:top w:val="single" w:sz="2" w:space="0" w:color="000000"/>
              <w:left w:val="single" w:sz="2" w:space="0" w:color="000000"/>
              <w:right w:val="single" w:sz="2" w:space="0" w:color="000000"/>
            </w:tcBorders>
            <w:shd w:val="clear" w:color="auto" w:fill="auto"/>
            <w:tcMar>
              <w:left w:w="0" w:type="dxa"/>
              <w:right w:w="0" w:type="dxa"/>
            </w:tcMar>
          </w:tcPr>
          <w:p w:rsidR="001320FC" w:rsidRPr="002B4A41" w:rsidRDefault="001320FC" w:rsidP="00C3651B">
            <w:pPr>
              <w:rPr>
                <w:color w:val="333333"/>
                <w:sz w:val="20"/>
                <w:lang w:val="fr-FR"/>
              </w:rPr>
            </w:pPr>
            <w:r w:rsidRPr="002B4A41">
              <w:rPr>
                <w:color w:val="333333"/>
                <w:sz w:val="20"/>
                <w:lang w:val="fr-FR"/>
              </w:rPr>
              <w:t>***</w:t>
            </w:r>
          </w:p>
        </w:tc>
      </w:tr>
      <w:tr w:rsidR="00047C22" w:rsidRPr="00927778" w:rsidTr="002B4A41">
        <w:trPr>
          <w:trHeight w:val="1023"/>
        </w:trPr>
        <w:tc>
          <w:tcPr>
            <w:tcW w:w="2410" w:type="dxa"/>
            <w:tcBorders>
              <w:top w:val="single" w:sz="2" w:space="0" w:color="000000"/>
              <w:left w:val="single" w:sz="2" w:space="0" w:color="000000"/>
              <w:right w:val="single" w:sz="6" w:space="0" w:color="000000"/>
            </w:tcBorders>
            <w:shd w:val="clear" w:color="auto" w:fill="auto"/>
          </w:tcPr>
          <w:p w:rsidR="005E6718" w:rsidRPr="00927778" w:rsidRDefault="001D4D2F" w:rsidP="001D4D2F">
            <w:pPr>
              <w:rPr>
                <w:color w:val="333333"/>
                <w:szCs w:val="22"/>
                <w:lang w:val="fr-FR"/>
              </w:rPr>
            </w:pPr>
            <w:r w:rsidRPr="00927778">
              <w:rPr>
                <w:color w:val="333333"/>
                <w:szCs w:val="22"/>
                <w:lang w:val="fr-FR"/>
              </w:rPr>
              <w:t>2. Consignation des données d</w:t>
            </w:r>
            <w:r w:rsidR="00EA2C86" w:rsidRPr="00927778">
              <w:rPr>
                <w:color w:val="333333"/>
                <w:szCs w:val="22"/>
                <w:lang w:val="fr-FR"/>
              </w:rPr>
              <w:t>’</w:t>
            </w:r>
            <w:r w:rsidRPr="00927778">
              <w:rPr>
                <w:color w:val="333333"/>
                <w:szCs w:val="22"/>
                <w:lang w:val="fr-FR"/>
              </w:rPr>
              <w:t xml:space="preserve">expérience et des pratiques recommandées en matière </w:t>
            </w:r>
            <w:r w:rsidR="00DE14D6" w:rsidRPr="00927778">
              <w:rPr>
                <w:color w:val="333333"/>
                <w:szCs w:val="22"/>
                <w:lang w:val="fr-FR"/>
              </w:rPr>
              <w:t>de recensement</w:t>
            </w:r>
            <w:r w:rsidRPr="00927778">
              <w:rPr>
                <w:color w:val="333333"/>
                <w:szCs w:val="22"/>
                <w:lang w:val="fr-FR"/>
              </w:rPr>
              <w:t xml:space="preserve"> et d</w:t>
            </w:r>
            <w:r w:rsidR="00EA2C86" w:rsidRPr="00927778">
              <w:rPr>
                <w:color w:val="333333"/>
                <w:szCs w:val="22"/>
                <w:lang w:val="fr-FR"/>
              </w:rPr>
              <w:t>’</w:t>
            </w:r>
            <w:r w:rsidRPr="00927778">
              <w:rPr>
                <w:color w:val="333333"/>
                <w:szCs w:val="22"/>
                <w:lang w:val="fr-FR"/>
              </w:rPr>
              <w:t>utilisation des inventions figurant dans le domaine public</w:t>
            </w:r>
          </w:p>
          <w:p w:rsidR="001320FC" w:rsidRPr="00927778" w:rsidRDefault="001320FC" w:rsidP="00C3651B">
            <w:pPr>
              <w:rPr>
                <w:color w:val="333333"/>
                <w:szCs w:val="22"/>
                <w:lang w:val="fr-FR"/>
              </w:rPr>
            </w:pPr>
          </w:p>
        </w:tc>
        <w:tc>
          <w:tcPr>
            <w:tcW w:w="2694" w:type="dxa"/>
            <w:tcBorders>
              <w:top w:val="single" w:sz="2" w:space="0" w:color="000000"/>
              <w:left w:val="single" w:sz="6" w:space="0" w:color="000000"/>
              <w:right w:val="single" w:sz="2" w:space="0" w:color="000000"/>
            </w:tcBorders>
            <w:shd w:val="clear" w:color="auto" w:fill="auto"/>
          </w:tcPr>
          <w:p w:rsidR="001320FC" w:rsidRPr="00927778" w:rsidRDefault="001D4D2F" w:rsidP="001D4D2F">
            <w:pPr>
              <w:rPr>
                <w:color w:val="333333"/>
                <w:szCs w:val="22"/>
                <w:lang w:val="fr-FR"/>
              </w:rPr>
            </w:pPr>
            <w:r w:rsidRPr="00927778">
              <w:rPr>
                <w:color w:val="333333"/>
                <w:szCs w:val="22"/>
                <w:lang w:val="fr-FR"/>
              </w:rPr>
              <w:t>Remise des documents tirés des projets pilotes d</w:t>
            </w:r>
            <w:r w:rsidR="00EA2C86" w:rsidRPr="00927778">
              <w:rPr>
                <w:color w:val="333333"/>
                <w:szCs w:val="22"/>
                <w:lang w:val="fr-FR"/>
              </w:rPr>
              <w:t>’</w:t>
            </w:r>
            <w:r w:rsidRPr="00927778">
              <w:rPr>
                <w:color w:val="333333"/>
                <w:szCs w:val="22"/>
                <w:lang w:val="fr-FR"/>
              </w:rPr>
              <w:t xml:space="preserve">ici à la fin </w:t>
            </w:r>
            <w:r w:rsidR="00EA2C86" w:rsidRPr="00927778">
              <w:rPr>
                <w:color w:val="333333"/>
                <w:szCs w:val="22"/>
                <w:lang w:val="fr-FR"/>
              </w:rPr>
              <w:t>de 2017</w:t>
            </w:r>
          </w:p>
        </w:tc>
        <w:tc>
          <w:tcPr>
            <w:tcW w:w="3118" w:type="dxa"/>
            <w:tcBorders>
              <w:top w:val="single" w:sz="2" w:space="0" w:color="000000"/>
              <w:left w:val="single" w:sz="2" w:space="0" w:color="000000"/>
              <w:right w:val="single" w:sz="2" w:space="0" w:color="000000"/>
            </w:tcBorders>
            <w:shd w:val="clear" w:color="auto" w:fill="auto"/>
          </w:tcPr>
          <w:p w:rsidR="001320FC" w:rsidRPr="00927778" w:rsidRDefault="00AA0738" w:rsidP="00C85016">
            <w:pPr>
              <w:rPr>
                <w:color w:val="333333"/>
                <w:lang w:val="fr-FR"/>
              </w:rPr>
            </w:pPr>
            <w:r w:rsidRPr="00927778">
              <w:rPr>
                <w:color w:val="333333"/>
                <w:lang w:val="fr-FR"/>
              </w:rPr>
              <w:t>Fin</w:t>
            </w:r>
            <w:r w:rsidR="00D61716" w:rsidRPr="00927778">
              <w:rPr>
                <w:color w:val="333333"/>
                <w:lang w:val="fr-FR"/>
              </w:rPr>
              <w:t xml:space="preserve"> des</w:t>
            </w:r>
            <w:r w:rsidR="00F51C8A" w:rsidRPr="00927778">
              <w:rPr>
                <w:color w:val="333333"/>
                <w:lang w:val="fr-FR"/>
              </w:rPr>
              <w:t xml:space="preserve"> travaux </w:t>
            </w:r>
            <w:r w:rsidR="00C85016" w:rsidRPr="00927778">
              <w:rPr>
                <w:color w:val="333333"/>
                <w:lang w:val="fr-FR"/>
              </w:rPr>
              <w:t>de pilotage des</w:t>
            </w:r>
            <w:r w:rsidR="00D61716" w:rsidRPr="00927778">
              <w:rPr>
                <w:color w:val="333333"/>
                <w:lang w:val="fr-FR"/>
              </w:rPr>
              <w:t xml:space="preserve"> guides et remise de tous les documents consignant les expériences des pays pilotes en </w:t>
            </w:r>
            <w:r w:rsidR="00EA2C86" w:rsidRPr="00927778">
              <w:rPr>
                <w:color w:val="333333"/>
                <w:lang w:val="fr-FR"/>
              </w:rPr>
              <w:t>décembre 20</w:t>
            </w:r>
            <w:r w:rsidR="00D61716" w:rsidRPr="00927778">
              <w:rPr>
                <w:color w:val="333333"/>
                <w:lang w:val="fr-FR"/>
              </w:rPr>
              <w:t xml:space="preserve">17. </w:t>
            </w:r>
            <w:r w:rsidR="0057466D" w:rsidRPr="00927778">
              <w:rPr>
                <w:color w:val="333333"/>
                <w:lang w:val="fr-FR"/>
              </w:rPr>
              <w:t xml:space="preserve"> </w:t>
            </w:r>
          </w:p>
        </w:tc>
        <w:tc>
          <w:tcPr>
            <w:tcW w:w="1134" w:type="dxa"/>
            <w:tcBorders>
              <w:top w:val="single" w:sz="2" w:space="0" w:color="000000"/>
              <w:left w:val="single" w:sz="2" w:space="0" w:color="000000"/>
              <w:right w:val="single" w:sz="2" w:space="0" w:color="000000"/>
            </w:tcBorders>
            <w:shd w:val="clear" w:color="auto" w:fill="auto"/>
            <w:tcMar>
              <w:left w:w="0" w:type="dxa"/>
              <w:right w:w="0" w:type="dxa"/>
            </w:tcMar>
          </w:tcPr>
          <w:p w:rsidR="001320FC" w:rsidRPr="002B4A41" w:rsidRDefault="001320FC" w:rsidP="00C3651B">
            <w:pPr>
              <w:rPr>
                <w:color w:val="333333"/>
                <w:sz w:val="20"/>
                <w:lang w:val="fr-FR"/>
              </w:rPr>
            </w:pPr>
            <w:r w:rsidRPr="002B4A41">
              <w:rPr>
                <w:color w:val="333333"/>
                <w:sz w:val="20"/>
                <w:lang w:val="fr-FR"/>
              </w:rPr>
              <w:t>****</w:t>
            </w:r>
          </w:p>
        </w:tc>
      </w:tr>
      <w:tr w:rsidR="00047C22" w:rsidRPr="00927778" w:rsidTr="002B4A41">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5E6718" w:rsidRPr="00927778" w:rsidRDefault="001D4D2F" w:rsidP="001D4D2F">
            <w:pPr>
              <w:rPr>
                <w:color w:val="333333"/>
                <w:szCs w:val="22"/>
                <w:lang w:val="fr-FR"/>
              </w:rPr>
            </w:pPr>
            <w:r w:rsidRPr="00927778">
              <w:rPr>
                <w:color w:val="333333"/>
                <w:szCs w:val="22"/>
                <w:lang w:val="fr-FR"/>
              </w:rPr>
              <w:t>3. Liste d</w:t>
            </w:r>
            <w:r w:rsidR="00EA2C86" w:rsidRPr="00927778">
              <w:rPr>
                <w:color w:val="333333"/>
                <w:szCs w:val="22"/>
                <w:lang w:val="fr-FR"/>
              </w:rPr>
              <w:t>’</w:t>
            </w:r>
            <w:r w:rsidRPr="00927778">
              <w:rPr>
                <w:color w:val="333333"/>
                <w:szCs w:val="22"/>
                <w:lang w:val="fr-FR"/>
              </w:rPr>
              <w:t>experts essentiels</w:t>
            </w:r>
          </w:p>
          <w:p w:rsidR="001320FC" w:rsidRPr="00927778" w:rsidRDefault="001320FC" w:rsidP="00C3651B">
            <w:pPr>
              <w:rPr>
                <w:color w:val="333333"/>
                <w:szCs w:val="22"/>
                <w:lang w:val="fr-FR"/>
              </w:rPr>
            </w:pP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5E6718" w:rsidRPr="00927778" w:rsidRDefault="001D4D2F" w:rsidP="001D4D2F">
            <w:pPr>
              <w:rPr>
                <w:color w:val="333333"/>
                <w:szCs w:val="22"/>
                <w:lang w:val="fr-FR"/>
              </w:rPr>
            </w:pPr>
            <w:r w:rsidRPr="00927778">
              <w:rPr>
                <w:color w:val="333333"/>
                <w:szCs w:val="22"/>
                <w:lang w:val="fr-FR"/>
              </w:rPr>
              <w:t>Établissement d</w:t>
            </w:r>
            <w:r w:rsidR="00EA2C86" w:rsidRPr="00927778">
              <w:rPr>
                <w:color w:val="333333"/>
                <w:szCs w:val="22"/>
                <w:lang w:val="fr-FR"/>
              </w:rPr>
              <w:t>’</w:t>
            </w:r>
            <w:r w:rsidRPr="00927778">
              <w:rPr>
                <w:color w:val="333333"/>
                <w:szCs w:val="22"/>
                <w:lang w:val="fr-FR"/>
              </w:rPr>
              <w:t>une liste contenant au moins deux</w:t>
            </w:r>
            <w:r w:rsidR="0057466D" w:rsidRPr="00927778">
              <w:rPr>
                <w:color w:val="333333"/>
                <w:szCs w:val="22"/>
                <w:lang w:val="fr-FR"/>
              </w:rPr>
              <w:t> </w:t>
            </w:r>
            <w:r w:rsidRPr="00927778">
              <w:rPr>
                <w:color w:val="333333"/>
                <w:szCs w:val="22"/>
                <w:lang w:val="fr-FR"/>
              </w:rPr>
              <w:t>experts essentiels par région d</w:t>
            </w:r>
            <w:r w:rsidR="00EA2C86" w:rsidRPr="00927778">
              <w:rPr>
                <w:color w:val="333333"/>
                <w:szCs w:val="22"/>
                <w:lang w:val="fr-FR"/>
              </w:rPr>
              <w:t>’</w:t>
            </w:r>
            <w:r w:rsidRPr="00927778">
              <w:rPr>
                <w:color w:val="333333"/>
                <w:szCs w:val="22"/>
                <w:lang w:val="fr-FR"/>
              </w:rPr>
              <w:t xml:space="preserve">ici à la fin </w:t>
            </w:r>
            <w:r w:rsidR="00EA2C86" w:rsidRPr="00927778">
              <w:rPr>
                <w:color w:val="333333"/>
                <w:szCs w:val="22"/>
                <w:lang w:val="fr-FR"/>
              </w:rPr>
              <w:t>de 2016</w:t>
            </w:r>
          </w:p>
          <w:p w:rsidR="001320FC" w:rsidRPr="00927778" w:rsidRDefault="001320FC" w:rsidP="00C3651B">
            <w:pPr>
              <w:rPr>
                <w:color w:val="333333"/>
                <w:szCs w:val="22"/>
                <w:lang w:val="fr-FR"/>
              </w:rPr>
            </w:pP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rsidR="0093610E" w:rsidRPr="00927778" w:rsidRDefault="0093610E" w:rsidP="0093610E">
            <w:pPr>
              <w:rPr>
                <w:color w:val="333333"/>
                <w:lang w:val="fr-FR"/>
              </w:rPr>
            </w:pPr>
            <w:r w:rsidRPr="00927778">
              <w:rPr>
                <w:color w:val="333333"/>
                <w:lang w:val="fr-FR"/>
              </w:rPr>
              <w:t>Mise à disposition des experts participant à l’élaboration des deux guides et à la phase d’essai, afin d’aider les CATI à utiliser les guides et à créer des services destinés à recenser et utiliser les inventions relevant du domaine public.</w:t>
            </w:r>
          </w:p>
          <w:p w:rsidR="001320FC" w:rsidRPr="00927778" w:rsidRDefault="001320FC" w:rsidP="00C3651B">
            <w:pPr>
              <w:rPr>
                <w:color w:val="333333"/>
                <w:lang w:val="fr-FR"/>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1320FC" w:rsidRPr="002B4A41" w:rsidRDefault="001320FC" w:rsidP="00C3651B">
            <w:pPr>
              <w:rPr>
                <w:color w:val="333333"/>
                <w:sz w:val="20"/>
                <w:lang w:val="fr-FR"/>
              </w:rPr>
            </w:pPr>
            <w:r w:rsidRPr="002B4A41">
              <w:rPr>
                <w:color w:val="333333"/>
                <w:sz w:val="20"/>
                <w:lang w:val="fr-FR"/>
              </w:rPr>
              <w:t>****</w:t>
            </w:r>
          </w:p>
        </w:tc>
      </w:tr>
      <w:tr w:rsidR="00047C22" w:rsidRPr="00927778" w:rsidTr="002B4A41">
        <w:trPr>
          <w:trHeight w:val="1023"/>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5E6718" w:rsidRPr="00927778" w:rsidRDefault="001D4D2F" w:rsidP="001D4D2F">
            <w:pPr>
              <w:rPr>
                <w:color w:val="333333"/>
                <w:szCs w:val="22"/>
                <w:lang w:val="fr-FR"/>
              </w:rPr>
            </w:pPr>
            <w:r w:rsidRPr="00927778">
              <w:rPr>
                <w:color w:val="333333"/>
                <w:szCs w:val="22"/>
                <w:lang w:val="fr-FR"/>
              </w:rPr>
              <w:t>4. Matériel de formation</w:t>
            </w:r>
          </w:p>
          <w:p w:rsidR="001320FC" w:rsidRPr="00927778" w:rsidRDefault="001320FC" w:rsidP="00C3651B">
            <w:pPr>
              <w:rPr>
                <w:color w:val="333333"/>
                <w:szCs w:val="22"/>
                <w:lang w:val="fr-FR"/>
              </w:rPr>
            </w:pP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5E6718" w:rsidRPr="00927778" w:rsidRDefault="001D4D2F" w:rsidP="001D4D2F">
            <w:pPr>
              <w:rPr>
                <w:color w:val="333333"/>
                <w:szCs w:val="22"/>
                <w:lang w:val="fr-FR"/>
              </w:rPr>
            </w:pPr>
            <w:r w:rsidRPr="00927778">
              <w:rPr>
                <w:color w:val="333333"/>
                <w:szCs w:val="22"/>
                <w:lang w:val="fr-FR"/>
              </w:rPr>
              <w:t>Élaboration d</w:t>
            </w:r>
            <w:r w:rsidR="00EA2C86" w:rsidRPr="00927778">
              <w:rPr>
                <w:color w:val="333333"/>
                <w:szCs w:val="22"/>
                <w:lang w:val="fr-FR"/>
              </w:rPr>
              <w:t>’</w:t>
            </w:r>
            <w:r w:rsidRPr="00927778">
              <w:rPr>
                <w:color w:val="333333"/>
                <w:szCs w:val="22"/>
                <w:lang w:val="fr-FR"/>
              </w:rPr>
              <w:t>au moins deux</w:t>
            </w:r>
            <w:r w:rsidR="0057466D" w:rsidRPr="00927778">
              <w:rPr>
                <w:color w:val="333333"/>
                <w:szCs w:val="22"/>
                <w:lang w:val="fr-FR"/>
              </w:rPr>
              <w:t> </w:t>
            </w:r>
            <w:r w:rsidRPr="00927778">
              <w:rPr>
                <w:color w:val="333333"/>
                <w:szCs w:val="22"/>
                <w:lang w:val="fr-FR"/>
              </w:rPr>
              <w:t>exposés à partir des guides sur le recensement et l</w:t>
            </w:r>
            <w:r w:rsidR="00EA2C86" w:rsidRPr="00927778">
              <w:rPr>
                <w:color w:val="333333"/>
                <w:szCs w:val="22"/>
                <w:lang w:val="fr-FR"/>
              </w:rPr>
              <w:t>’</w:t>
            </w:r>
            <w:r w:rsidRPr="00927778">
              <w:rPr>
                <w:color w:val="333333"/>
                <w:szCs w:val="22"/>
                <w:lang w:val="fr-FR"/>
              </w:rPr>
              <w:t>utilisation des inventions relevant du domaine public d</w:t>
            </w:r>
            <w:r w:rsidR="00EA2C86" w:rsidRPr="00927778">
              <w:rPr>
                <w:color w:val="333333"/>
                <w:szCs w:val="22"/>
                <w:lang w:val="fr-FR"/>
              </w:rPr>
              <w:t>’</w:t>
            </w:r>
            <w:r w:rsidRPr="00927778">
              <w:rPr>
                <w:color w:val="333333"/>
                <w:szCs w:val="22"/>
                <w:lang w:val="fr-FR"/>
              </w:rPr>
              <w:t>ici à la mi</w:t>
            </w:r>
            <w:r w:rsidR="00CB5AE0" w:rsidRPr="00927778">
              <w:rPr>
                <w:color w:val="333333"/>
                <w:szCs w:val="22"/>
                <w:lang w:val="fr-FR"/>
              </w:rPr>
              <w:noBreakHyphen/>
            </w:r>
            <w:r w:rsidRPr="00927778">
              <w:rPr>
                <w:color w:val="333333"/>
                <w:szCs w:val="22"/>
                <w:lang w:val="fr-FR"/>
              </w:rPr>
              <w:t>2017</w:t>
            </w:r>
          </w:p>
          <w:p w:rsidR="001320FC" w:rsidRPr="00927778" w:rsidRDefault="001320FC" w:rsidP="00C3651B">
            <w:pPr>
              <w:rPr>
                <w:color w:val="333333"/>
                <w:szCs w:val="22"/>
                <w:lang w:val="fr-FR"/>
              </w:rPr>
            </w:pPr>
          </w:p>
        </w:tc>
        <w:tc>
          <w:tcPr>
            <w:tcW w:w="3118" w:type="dxa"/>
            <w:tcBorders>
              <w:top w:val="single" w:sz="2" w:space="0" w:color="000000"/>
              <w:left w:val="single" w:sz="2" w:space="0" w:color="000000"/>
              <w:bottom w:val="single" w:sz="4" w:space="0" w:color="auto"/>
              <w:right w:val="single" w:sz="2" w:space="0" w:color="000000"/>
            </w:tcBorders>
            <w:shd w:val="clear" w:color="auto" w:fill="auto"/>
          </w:tcPr>
          <w:p w:rsidR="00EA2C86" w:rsidRPr="00927778" w:rsidRDefault="00743C03" w:rsidP="00C3651B">
            <w:pPr>
              <w:rPr>
                <w:color w:val="333333"/>
                <w:lang w:val="fr-FR"/>
              </w:rPr>
            </w:pPr>
            <w:r w:rsidRPr="00927778">
              <w:rPr>
                <w:color w:val="333333"/>
                <w:lang w:val="fr-FR"/>
              </w:rPr>
              <w:t xml:space="preserve">Remise des ébauches de matériel de formation et possibles améliorations à la suite de </w:t>
            </w:r>
            <w:r w:rsidR="008535E5" w:rsidRPr="00927778">
              <w:rPr>
                <w:color w:val="333333"/>
                <w:lang w:val="fr-FR"/>
              </w:rPr>
              <w:t>leur</w:t>
            </w:r>
            <w:r w:rsidRPr="00927778">
              <w:rPr>
                <w:color w:val="333333"/>
                <w:lang w:val="fr-FR"/>
              </w:rPr>
              <w:t xml:space="preserve"> utilisation </w:t>
            </w:r>
            <w:r w:rsidR="00553B1C" w:rsidRPr="00927778">
              <w:rPr>
                <w:color w:val="333333"/>
                <w:lang w:val="fr-FR"/>
              </w:rPr>
              <w:t>dans les</w:t>
            </w:r>
            <w:r w:rsidRPr="00927778">
              <w:rPr>
                <w:color w:val="333333"/>
                <w:lang w:val="fr-FR"/>
              </w:rPr>
              <w:t xml:space="preserve"> activités d</w:t>
            </w:r>
            <w:r w:rsidR="00EA2C86" w:rsidRPr="00927778">
              <w:rPr>
                <w:color w:val="333333"/>
                <w:lang w:val="fr-FR"/>
              </w:rPr>
              <w:t>’</w:t>
            </w:r>
            <w:r w:rsidRPr="00927778">
              <w:rPr>
                <w:color w:val="333333"/>
                <w:lang w:val="fr-FR"/>
              </w:rPr>
              <w:t xml:space="preserve">assistance technique au cours du deuxième semestre </w:t>
            </w:r>
            <w:r w:rsidR="00EA2C86" w:rsidRPr="00927778">
              <w:rPr>
                <w:color w:val="333333"/>
                <w:lang w:val="fr-FR"/>
              </w:rPr>
              <w:t>de 2018</w:t>
            </w:r>
            <w:r w:rsidRPr="00927778">
              <w:rPr>
                <w:color w:val="333333"/>
                <w:lang w:val="fr-FR"/>
              </w:rPr>
              <w:t>.</w:t>
            </w:r>
          </w:p>
          <w:p w:rsidR="005E6718" w:rsidRPr="00927778" w:rsidRDefault="005E6718" w:rsidP="00C3651B">
            <w:pPr>
              <w:rPr>
                <w:color w:val="333333"/>
                <w:lang w:val="fr-FR"/>
              </w:rPr>
            </w:pPr>
          </w:p>
          <w:p w:rsidR="001320FC" w:rsidRPr="00927778" w:rsidRDefault="001320FC" w:rsidP="00C3651B">
            <w:pPr>
              <w:rPr>
                <w:color w:val="333333"/>
                <w:lang w:val="fr-FR"/>
              </w:rPr>
            </w:pPr>
          </w:p>
        </w:tc>
        <w:tc>
          <w:tcPr>
            <w:tcW w:w="1134" w:type="dxa"/>
            <w:tcBorders>
              <w:top w:val="single" w:sz="2" w:space="0" w:color="000000"/>
              <w:left w:val="single" w:sz="2" w:space="0" w:color="000000"/>
              <w:bottom w:val="single" w:sz="4" w:space="0" w:color="auto"/>
              <w:right w:val="single" w:sz="2" w:space="0" w:color="000000"/>
            </w:tcBorders>
            <w:shd w:val="clear" w:color="auto" w:fill="auto"/>
            <w:tcMar>
              <w:left w:w="0" w:type="dxa"/>
              <w:right w:w="0" w:type="dxa"/>
            </w:tcMar>
          </w:tcPr>
          <w:p w:rsidR="001320FC" w:rsidRPr="002B4A41" w:rsidRDefault="001320FC" w:rsidP="00C3651B">
            <w:pPr>
              <w:rPr>
                <w:color w:val="333333"/>
                <w:sz w:val="20"/>
                <w:lang w:val="fr-FR"/>
              </w:rPr>
            </w:pPr>
            <w:r w:rsidRPr="002B4A41">
              <w:rPr>
                <w:color w:val="333333"/>
                <w:sz w:val="20"/>
                <w:lang w:val="fr-FR"/>
              </w:rPr>
              <w:t>***</w:t>
            </w:r>
          </w:p>
        </w:tc>
      </w:tr>
      <w:tr w:rsidR="00047C22" w:rsidRPr="00927778" w:rsidTr="002B4A41">
        <w:trPr>
          <w:trHeight w:val="1023"/>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5E6718" w:rsidRPr="00927778" w:rsidRDefault="001D4D2F" w:rsidP="001D4D2F">
            <w:pPr>
              <w:rPr>
                <w:color w:val="333333"/>
                <w:szCs w:val="22"/>
                <w:lang w:val="fr-FR"/>
              </w:rPr>
            </w:pPr>
            <w:r w:rsidRPr="00927778">
              <w:rPr>
                <w:color w:val="333333"/>
                <w:szCs w:val="22"/>
                <w:lang w:val="fr-FR"/>
              </w:rPr>
              <w:t>5. Amélioration du portail sur la situation juridique</w:t>
            </w:r>
          </w:p>
          <w:p w:rsidR="001320FC" w:rsidRPr="00927778" w:rsidRDefault="001320FC" w:rsidP="00C3651B">
            <w:pPr>
              <w:rPr>
                <w:color w:val="333333"/>
                <w:szCs w:val="22"/>
                <w:lang w:val="fr-FR"/>
              </w:rPr>
            </w:pPr>
          </w:p>
        </w:tc>
        <w:tc>
          <w:tcPr>
            <w:tcW w:w="2694" w:type="dxa"/>
            <w:tcBorders>
              <w:top w:val="single" w:sz="4" w:space="0" w:color="auto"/>
              <w:left w:val="single" w:sz="6" w:space="0" w:color="000000"/>
              <w:bottom w:val="single" w:sz="2" w:space="0" w:color="000000"/>
              <w:right w:val="single" w:sz="2" w:space="0" w:color="000000"/>
            </w:tcBorders>
            <w:shd w:val="clear" w:color="auto" w:fill="auto"/>
          </w:tcPr>
          <w:p w:rsidR="001320FC" w:rsidRPr="00927778" w:rsidRDefault="001D4D2F" w:rsidP="001D4D2F">
            <w:pPr>
              <w:rPr>
                <w:color w:val="333333"/>
                <w:szCs w:val="22"/>
                <w:lang w:val="fr-FR"/>
              </w:rPr>
            </w:pPr>
            <w:r w:rsidRPr="00927778">
              <w:rPr>
                <w:color w:val="333333"/>
                <w:szCs w:val="22"/>
                <w:lang w:val="fr-FR"/>
              </w:rPr>
              <w:t>Mise au point d</w:t>
            </w:r>
            <w:r w:rsidR="00EA2C86" w:rsidRPr="00927778">
              <w:rPr>
                <w:color w:val="333333"/>
                <w:szCs w:val="22"/>
                <w:lang w:val="fr-FR"/>
              </w:rPr>
              <w:t>’</w:t>
            </w:r>
            <w:r w:rsidRPr="00927778">
              <w:rPr>
                <w:color w:val="333333"/>
                <w:szCs w:val="22"/>
                <w:lang w:val="fr-FR"/>
              </w:rPr>
              <w:t>une nouvelle interface d</w:t>
            </w:r>
            <w:r w:rsidR="00EA2C86" w:rsidRPr="00927778">
              <w:rPr>
                <w:color w:val="333333"/>
                <w:szCs w:val="22"/>
                <w:lang w:val="fr-FR"/>
              </w:rPr>
              <w:t>’</w:t>
            </w:r>
            <w:r w:rsidRPr="00927778">
              <w:rPr>
                <w:color w:val="333333"/>
                <w:szCs w:val="22"/>
                <w:lang w:val="fr-FR"/>
              </w:rPr>
              <w:t>ici à la mi</w:t>
            </w:r>
            <w:r w:rsidR="00CB5AE0" w:rsidRPr="00927778">
              <w:rPr>
                <w:color w:val="333333"/>
                <w:szCs w:val="22"/>
                <w:lang w:val="fr-FR"/>
              </w:rPr>
              <w:noBreakHyphen/>
            </w:r>
            <w:r w:rsidRPr="00927778">
              <w:rPr>
                <w:color w:val="333333"/>
                <w:szCs w:val="22"/>
                <w:lang w:val="fr-FR"/>
              </w:rPr>
              <w:t>2016.</w:t>
            </w:r>
            <w:r w:rsidR="00063DA0" w:rsidRPr="00927778">
              <w:rPr>
                <w:color w:val="333333"/>
                <w:szCs w:val="22"/>
                <w:lang w:val="fr-FR"/>
              </w:rPr>
              <w:t xml:space="preserve"> </w:t>
            </w:r>
            <w:r w:rsidR="0057466D" w:rsidRPr="00927778">
              <w:rPr>
                <w:color w:val="333333"/>
                <w:szCs w:val="22"/>
                <w:lang w:val="fr-FR"/>
              </w:rPr>
              <w:t xml:space="preserve"> </w:t>
            </w:r>
            <w:r w:rsidRPr="00927778">
              <w:rPr>
                <w:color w:val="333333"/>
                <w:szCs w:val="22"/>
                <w:lang w:val="fr-FR"/>
              </w:rPr>
              <w:t>Ajout de nouvelles pages d</w:t>
            </w:r>
            <w:r w:rsidR="00EA2C86" w:rsidRPr="00927778">
              <w:rPr>
                <w:color w:val="333333"/>
                <w:szCs w:val="22"/>
                <w:lang w:val="fr-FR"/>
              </w:rPr>
              <w:t>’</w:t>
            </w:r>
            <w:r w:rsidRPr="00927778">
              <w:rPr>
                <w:color w:val="333333"/>
                <w:szCs w:val="22"/>
                <w:lang w:val="fr-FR"/>
              </w:rPr>
              <w:t>aide d</w:t>
            </w:r>
            <w:r w:rsidR="00EA2C86" w:rsidRPr="00927778">
              <w:rPr>
                <w:color w:val="333333"/>
                <w:szCs w:val="22"/>
                <w:lang w:val="fr-FR"/>
              </w:rPr>
              <w:t>’</w:t>
            </w:r>
            <w:r w:rsidRPr="00927778">
              <w:rPr>
                <w:color w:val="333333"/>
                <w:szCs w:val="22"/>
                <w:lang w:val="fr-FR"/>
              </w:rPr>
              <w:t>ici à la mi</w:t>
            </w:r>
            <w:r w:rsidR="00CB5AE0" w:rsidRPr="00927778">
              <w:rPr>
                <w:color w:val="333333"/>
                <w:szCs w:val="22"/>
                <w:lang w:val="fr-FR"/>
              </w:rPr>
              <w:noBreakHyphen/>
            </w:r>
            <w:r w:rsidRPr="00927778">
              <w:rPr>
                <w:color w:val="333333"/>
                <w:szCs w:val="22"/>
                <w:lang w:val="fr-FR"/>
              </w:rPr>
              <w:t>2017.</w:t>
            </w:r>
            <w:r w:rsidR="00063DA0" w:rsidRPr="00927778">
              <w:rPr>
                <w:color w:val="333333"/>
                <w:szCs w:val="22"/>
                <w:lang w:val="fr-FR"/>
              </w:rPr>
              <w:t xml:space="preserve"> </w:t>
            </w:r>
            <w:r w:rsidR="0057466D" w:rsidRPr="00927778">
              <w:rPr>
                <w:color w:val="333333"/>
                <w:szCs w:val="22"/>
                <w:lang w:val="fr-FR"/>
              </w:rPr>
              <w:t xml:space="preserve"> </w:t>
            </w:r>
            <w:r w:rsidRPr="00927778">
              <w:rPr>
                <w:color w:val="333333"/>
                <w:szCs w:val="22"/>
                <w:lang w:val="fr-FR"/>
              </w:rPr>
              <w:t>Ajout d</w:t>
            </w:r>
            <w:r w:rsidR="00EA2C86" w:rsidRPr="00927778">
              <w:rPr>
                <w:color w:val="333333"/>
                <w:szCs w:val="22"/>
                <w:lang w:val="fr-FR"/>
              </w:rPr>
              <w:t>’</w:t>
            </w:r>
            <w:r w:rsidRPr="00927778">
              <w:rPr>
                <w:color w:val="333333"/>
                <w:szCs w:val="22"/>
                <w:lang w:val="fr-FR"/>
              </w:rPr>
              <w:t>un nouveau formulaire d</w:t>
            </w:r>
            <w:r w:rsidR="00EA2C86" w:rsidRPr="00927778">
              <w:rPr>
                <w:color w:val="333333"/>
                <w:szCs w:val="22"/>
                <w:lang w:val="fr-FR"/>
              </w:rPr>
              <w:t>’</w:t>
            </w:r>
            <w:r w:rsidRPr="00927778">
              <w:rPr>
                <w:color w:val="333333"/>
                <w:szCs w:val="22"/>
                <w:lang w:val="fr-FR"/>
              </w:rPr>
              <w:t xml:space="preserve">ici à la fin </w:t>
            </w:r>
            <w:r w:rsidR="00EA2C86" w:rsidRPr="00927778">
              <w:rPr>
                <w:color w:val="333333"/>
                <w:szCs w:val="22"/>
                <w:lang w:val="fr-FR"/>
              </w:rPr>
              <w:t>de 2017</w:t>
            </w:r>
            <w:r w:rsidRPr="00927778">
              <w:rPr>
                <w:color w:val="333333"/>
                <w:szCs w:val="22"/>
                <w:lang w:val="fr-FR"/>
              </w:rPr>
              <w:t>.</w:t>
            </w:r>
          </w:p>
        </w:tc>
        <w:tc>
          <w:tcPr>
            <w:tcW w:w="3118" w:type="dxa"/>
            <w:tcBorders>
              <w:top w:val="single" w:sz="4" w:space="0" w:color="auto"/>
              <w:left w:val="single" w:sz="2" w:space="0" w:color="000000"/>
              <w:bottom w:val="single" w:sz="2" w:space="0" w:color="000000"/>
              <w:right w:val="single" w:sz="2" w:space="0" w:color="000000"/>
            </w:tcBorders>
            <w:shd w:val="clear" w:color="auto" w:fill="auto"/>
          </w:tcPr>
          <w:p w:rsidR="00EA2C86" w:rsidRPr="00927778" w:rsidRDefault="007864B9" w:rsidP="00C3651B">
            <w:pPr>
              <w:rPr>
                <w:bCs/>
                <w:color w:val="333333"/>
                <w:lang w:val="fr-FR"/>
              </w:rPr>
            </w:pPr>
            <w:r w:rsidRPr="00927778">
              <w:rPr>
                <w:bCs/>
                <w:color w:val="333333"/>
                <w:lang w:val="fr-FR"/>
              </w:rPr>
              <w:t>Mise au point de la nouvelle interface avec des nouveautés en termes de contenu et de fonctionnalités (</w:t>
            </w:r>
            <w:r w:rsidR="00EA2C86" w:rsidRPr="00927778">
              <w:rPr>
                <w:bCs/>
                <w:color w:val="333333"/>
                <w:lang w:val="fr-FR"/>
              </w:rPr>
              <w:t>y compris</w:t>
            </w:r>
            <w:r w:rsidRPr="00927778">
              <w:rPr>
                <w:bCs/>
                <w:color w:val="333333"/>
                <w:lang w:val="fr-FR"/>
              </w:rPr>
              <w:t xml:space="preserve"> de nouvelles pages d</w:t>
            </w:r>
            <w:r w:rsidR="00EA2C86" w:rsidRPr="00927778">
              <w:rPr>
                <w:bCs/>
                <w:color w:val="333333"/>
                <w:lang w:val="fr-FR"/>
              </w:rPr>
              <w:t>’</w:t>
            </w:r>
            <w:r w:rsidRPr="00927778">
              <w:rPr>
                <w:bCs/>
                <w:color w:val="333333"/>
                <w:lang w:val="fr-FR"/>
              </w:rPr>
              <w:t>aide pour plus de 200</w:t>
            </w:r>
            <w:r w:rsidR="00002037" w:rsidRPr="00927778">
              <w:rPr>
                <w:bCs/>
                <w:color w:val="333333"/>
                <w:lang w:val="fr-FR"/>
              </w:rPr>
              <w:t> </w:t>
            </w:r>
            <w:r w:rsidR="0084758C" w:rsidRPr="00927778">
              <w:rPr>
                <w:bCs/>
                <w:color w:val="333333"/>
                <w:lang w:val="fr-FR"/>
              </w:rPr>
              <w:t>pays</w:t>
            </w:r>
            <w:r w:rsidRPr="00927778">
              <w:rPr>
                <w:bCs/>
                <w:color w:val="333333"/>
                <w:lang w:val="fr-FR"/>
              </w:rPr>
              <w:t>) et finalisation du questionnaire destiné à recueillir les avis d</w:t>
            </w:r>
            <w:r w:rsidR="00EA2C86" w:rsidRPr="00927778">
              <w:rPr>
                <w:bCs/>
                <w:color w:val="333333"/>
                <w:lang w:val="fr-FR"/>
              </w:rPr>
              <w:t>’</w:t>
            </w:r>
            <w:r w:rsidRPr="00927778">
              <w:rPr>
                <w:bCs/>
                <w:color w:val="333333"/>
                <w:lang w:val="fr-FR"/>
              </w:rPr>
              <w:t xml:space="preserve">ici à la fin </w:t>
            </w:r>
            <w:r w:rsidR="00EA2C86" w:rsidRPr="00927778">
              <w:rPr>
                <w:bCs/>
                <w:color w:val="333333"/>
                <w:lang w:val="fr-FR"/>
              </w:rPr>
              <w:t>de 2018</w:t>
            </w:r>
            <w:r w:rsidRPr="00927778">
              <w:rPr>
                <w:bCs/>
                <w:color w:val="333333"/>
                <w:lang w:val="fr-FR"/>
              </w:rPr>
              <w:t>.</w:t>
            </w:r>
          </w:p>
          <w:p w:rsidR="001320FC" w:rsidRPr="00927778" w:rsidRDefault="001320FC" w:rsidP="00C3651B">
            <w:pPr>
              <w:rPr>
                <w:color w:val="333333"/>
                <w:lang w:val="fr-FR"/>
              </w:rPr>
            </w:pPr>
          </w:p>
        </w:tc>
        <w:tc>
          <w:tcPr>
            <w:tcW w:w="1134" w:type="dxa"/>
            <w:tcBorders>
              <w:top w:val="single" w:sz="4" w:space="0" w:color="auto"/>
              <w:left w:val="single" w:sz="2" w:space="0" w:color="000000"/>
              <w:bottom w:val="single" w:sz="2" w:space="0" w:color="000000"/>
              <w:right w:val="single" w:sz="2" w:space="0" w:color="000000"/>
            </w:tcBorders>
            <w:shd w:val="clear" w:color="auto" w:fill="auto"/>
            <w:tcMar>
              <w:left w:w="0" w:type="dxa"/>
              <w:right w:w="0" w:type="dxa"/>
            </w:tcMar>
          </w:tcPr>
          <w:p w:rsidR="001320FC" w:rsidRPr="002B4A41" w:rsidRDefault="001320FC" w:rsidP="00C3651B">
            <w:pPr>
              <w:rPr>
                <w:color w:val="333333"/>
                <w:sz w:val="20"/>
                <w:lang w:val="fr-FR"/>
              </w:rPr>
            </w:pPr>
            <w:r w:rsidRPr="002B4A41">
              <w:rPr>
                <w:color w:val="333333"/>
                <w:sz w:val="20"/>
                <w:lang w:val="fr-FR"/>
              </w:rPr>
              <w:t>***</w:t>
            </w:r>
          </w:p>
        </w:tc>
      </w:tr>
      <w:tr w:rsidR="00047C22" w:rsidRPr="00927778" w:rsidTr="002B4A41">
        <w:trPr>
          <w:trHeight w:val="1023"/>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5E6718" w:rsidRPr="00927778" w:rsidRDefault="001320FC" w:rsidP="00C3651B">
            <w:pPr>
              <w:rPr>
                <w:color w:val="333333"/>
                <w:szCs w:val="22"/>
                <w:lang w:val="fr-FR"/>
              </w:rPr>
            </w:pPr>
            <w:r w:rsidRPr="00927778">
              <w:rPr>
                <w:color w:val="333333"/>
                <w:szCs w:val="22"/>
                <w:lang w:val="fr-FR"/>
              </w:rPr>
              <w:t xml:space="preserve">6. </w:t>
            </w:r>
            <w:r w:rsidR="005B775F" w:rsidRPr="00927778">
              <w:rPr>
                <w:color w:val="333333"/>
                <w:szCs w:val="22"/>
                <w:lang w:val="fr-FR"/>
              </w:rPr>
              <w:t>Publication</w:t>
            </w:r>
            <w:r w:rsidR="00732923" w:rsidRPr="00927778">
              <w:rPr>
                <w:color w:val="333333"/>
                <w:szCs w:val="22"/>
                <w:lang w:val="fr-FR"/>
              </w:rPr>
              <w:t xml:space="preserve"> dans les six</w:t>
            </w:r>
            <w:r w:rsidR="0057466D" w:rsidRPr="00927778">
              <w:rPr>
                <w:color w:val="333333"/>
                <w:szCs w:val="22"/>
                <w:lang w:val="fr-FR"/>
              </w:rPr>
              <w:t> </w:t>
            </w:r>
            <w:r w:rsidR="00732923" w:rsidRPr="00927778">
              <w:rPr>
                <w:color w:val="333333"/>
                <w:szCs w:val="22"/>
                <w:lang w:val="fr-FR"/>
              </w:rPr>
              <w:t>langues officielles</w:t>
            </w:r>
            <w:r w:rsidR="005B775F" w:rsidRPr="00927778">
              <w:rPr>
                <w:color w:val="333333"/>
                <w:szCs w:val="22"/>
                <w:lang w:val="fr-FR"/>
              </w:rPr>
              <w:t xml:space="preserve"> des guides sur </w:t>
            </w:r>
            <w:r w:rsidR="0084758C" w:rsidRPr="00927778">
              <w:rPr>
                <w:color w:val="333333"/>
                <w:szCs w:val="22"/>
                <w:lang w:val="fr-FR"/>
              </w:rPr>
              <w:t>le recensement</w:t>
            </w:r>
            <w:r w:rsidR="005B775F" w:rsidRPr="00927778">
              <w:rPr>
                <w:color w:val="333333"/>
                <w:szCs w:val="22"/>
                <w:lang w:val="fr-FR"/>
              </w:rPr>
              <w:t xml:space="preserve"> et l</w:t>
            </w:r>
            <w:r w:rsidR="00EA2C86" w:rsidRPr="00927778">
              <w:rPr>
                <w:color w:val="333333"/>
                <w:szCs w:val="22"/>
                <w:lang w:val="fr-FR"/>
              </w:rPr>
              <w:t>’</w:t>
            </w:r>
            <w:r w:rsidR="005B775F" w:rsidRPr="00927778">
              <w:rPr>
                <w:color w:val="333333"/>
                <w:szCs w:val="22"/>
                <w:lang w:val="fr-FR"/>
              </w:rPr>
              <w:t xml:space="preserve">utilisation des inventions </w:t>
            </w:r>
            <w:r w:rsidR="0084758C" w:rsidRPr="00927778">
              <w:rPr>
                <w:color w:val="333333"/>
                <w:szCs w:val="22"/>
                <w:lang w:val="fr-FR"/>
              </w:rPr>
              <w:t>relevant du</w:t>
            </w:r>
            <w:r w:rsidR="005B775F" w:rsidRPr="00927778">
              <w:rPr>
                <w:color w:val="333333"/>
                <w:szCs w:val="22"/>
                <w:lang w:val="fr-FR"/>
              </w:rPr>
              <w:t xml:space="preserve"> domaine public </w:t>
            </w:r>
            <w:r w:rsidRPr="00927778">
              <w:rPr>
                <w:color w:val="333333"/>
                <w:szCs w:val="22"/>
                <w:lang w:val="fr-FR"/>
              </w:rPr>
              <w:t>(</w:t>
            </w:r>
            <w:r w:rsidR="005B775F" w:rsidRPr="00927778">
              <w:rPr>
                <w:color w:val="333333"/>
                <w:szCs w:val="22"/>
                <w:lang w:val="fr-FR"/>
              </w:rPr>
              <w:t>voir</w:t>
            </w:r>
            <w:r w:rsidRPr="00927778">
              <w:rPr>
                <w:color w:val="333333"/>
                <w:szCs w:val="22"/>
                <w:lang w:val="fr-FR"/>
              </w:rPr>
              <w:t xml:space="preserve"> CDIP/18/11)</w:t>
            </w:r>
          </w:p>
          <w:p w:rsidR="001320FC" w:rsidRPr="00927778" w:rsidRDefault="001320FC" w:rsidP="00C3651B">
            <w:pPr>
              <w:rPr>
                <w:color w:val="333333"/>
                <w:szCs w:val="22"/>
                <w:lang w:val="fr-FR"/>
              </w:rPr>
            </w:pP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5E6718" w:rsidRPr="00927778" w:rsidRDefault="001D4D2F" w:rsidP="001D4D2F">
            <w:pPr>
              <w:rPr>
                <w:color w:val="333333"/>
                <w:szCs w:val="22"/>
                <w:lang w:val="fr-FR"/>
              </w:rPr>
            </w:pPr>
            <w:r w:rsidRPr="00927778">
              <w:rPr>
                <w:color w:val="333333"/>
                <w:szCs w:val="22"/>
                <w:lang w:val="fr-FR"/>
              </w:rPr>
              <w:t>Remise des traductions des guides d</w:t>
            </w:r>
            <w:r w:rsidR="00EA2C86" w:rsidRPr="00927778">
              <w:rPr>
                <w:color w:val="333333"/>
                <w:szCs w:val="22"/>
                <w:lang w:val="fr-FR"/>
              </w:rPr>
              <w:t>’</w:t>
            </w:r>
            <w:r w:rsidRPr="00927778">
              <w:rPr>
                <w:color w:val="333333"/>
                <w:szCs w:val="22"/>
                <w:lang w:val="fr-FR"/>
              </w:rPr>
              <w:t>ici à la mi</w:t>
            </w:r>
            <w:r w:rsidR="00CB5AE0" w:rsidRPr="00927778">
              <w:rPr>
                <w:color w:val="333333"/>
                <w:szCs w:val="22"/>
                <w:lang w:val="fr-FR"/>
              </w:rPr>
              <w:noBreakHyphen/>
            </w:r>
            <w:r w:rsidRPr="00927778">
              <w:rPr>
                <w:color w:val="333333"/>
                <w:szCs w:val="22"/>
                <w:lang w:val="fr-FR"/>
              </w:rPr>
              <w:t>2018</w:t>
            </w:r>
          </w:p>
          <w:p w:rsidR="001320FC" w:rsidRPr="00927778" w:rsidRDefault="001320FC" w:rsidP="00C3651B">
            <w:pPr>
              <w:rPr>
                <w:color w:val="333333"/>
                <w:szCs w:val="22"/>
                <w:lang w:val="fr-FR"/>
              </w:rPr>
            </w:pPr>
          </w:p>
        </w:tc>
        <w:tc>
          <w:tcPr>
            <w:tcW w:w="3118" w:type="dxa"/>
            <w:tcBorders>
              <w:top w:val="single" w:sz="2" w:space="0" w:color="000000"/>
              <w:left w:val="single" w:sz="2" w:space="0" w:color="000000"/>
              <w:bottom w:val="single" w:sz="4" w:space="0" w:color="auto"/>
              <w:right w:val="single" w:sz="2" w:space="0" w:color="000000"/>
            </w:tcBorders>
            <w:shd w:val="clear" w:color="auto" w:fill="auto"/>
          </w:tcPr>
          <w:p w:rsidR="001320FC" w:rsidRPr="00927778" w:rsidRDefault="005B775F" w:rsidP="00E904D8">
            <w:pPr>
              <w:rPr>
                <w:color w:val="333333"/>
                <w:lang w:val="fr-FR"/>
              </w:rPr>
            </w:pPr>
            <w:r w:rsidRPr="00927778">
              <w:rPr>
                <w:color w:val="333333"/>
                <w:lang w:val="fr-FR"/>
              </w:rPr>
              <w:t xml:space="preserve">Début des </w:t>
            </w:r>
            <w:r w:rsidR="00C111BE" w:rsidRPr="00927778">
              <w:rPr>
                <w:color w:val="333333"/>
                <w:lang w:val="fr-FR"/>
              </w:rPr>
              <w:t>traductions</w:t>
            </w:r>
            <w:r w:rsidR="0084758C" w:rsidRPr="00927778">
              <w:rPr>
                <w:color w:val="333333"/>
                <w:lang w:val="fr-FR"/>
              </w:rPr>
              <w:t xml:space="preserve"> </w:t>
            </w:r>
            <w:r w:rsidR="00E904D8" w:rsidRPr="00927778">
              <w:rPr>
                <w:color w:val="333333"/>
                <w:lang w:val="fr-FR"/>
              </w:rPr>
              <w:t>en</w:t>
            </w:r>
            <w:r w:rsidR="0084758C" w:rsidRPr="00927778">
              <w:rPr>
                <w:color w:val="333333"/>
                <w:lang w:val="fr-FR"/>
              </w:rPr>
              <w:t xml:space="preserve"> six</w:t>
            </w:r>
            <w:r w:rsidR="0057466D" w:rsidRPr="00927778">
              <w:rPr>
                <w:color w:val="333333"/>
                <w:lang w:val="fr-FR"/>
              </w:rPr>
              <w:t> </w:t>
            </w:r>
            <w:r w:rsidR="0084758C" w:rsidRPr="00927778">
              <w:rPr>
                <w:color w:val="333333"/>
                <w:lang w:val="fr-FR"/>
              </w:rPr>
              <w:t>langues sitôt l</w:t>
            </w:r>
            <w:r w:rsidR="00127BC3" w:rsidRPr="00927778">
              <w:rPr>
                <w:color w:val="333333"/>
                <w:lang w:val="fr-FR"/>
              </w:rPr>
              <w:t>a</w:t>
            </w:r>
            <w:r w:rsidRPr="00927778">
              <w:rPr>
                <w:color w:val="333333"/>
                <w:lang w:val="fr-FR"/>
              </w:rPr>
              <w:t xml:space="preserve"> révision </w:t>
            </w:r>
            <w:r w:rsidR="00127BC3" w:rsidRPr="00927778">
              <w:rPr>
                <w:color w:val="333333"/>
                <w:lang w:val="fr-FR"/>
              </w:rPr>
              <w:t xml:space="preserve">finale, la correction et la </w:t>
            </w:r>
            <w:r w:rsidR="00271BB6" w:rsidRPr="00927778">
              <w:rPr>
                <w:color w:val="333333"/>
                <w:lang w:val="fr-FR"/>
              </w:rPr>
              <w:t>mise en page</w:t>
            </w:r>
            <w:r w:rsidR="00127BC3" w:rsidRPr="00927778">
              <w:rPr>
                <w:color w:val="333333"/>
                <w:lang w:val="fr-FR"/>
              </w:rPr>
              <w:t xml:space="preserve"> </w:t>
            </w:r>
            <w:r w:rsidRPr="00927778">
              <w:rPr>
                <w:color w:val="333333"/>
                <w:lang w:val="fr-FR"/>
              </w:rPr>
              <w:t xml:space="preserve">professionnelle </w:t>
            </w:r>
            <w:r w:rsidR="00127BC3" w:rsidRPr="00927778">
              <w:rPr>
                <w:color w:val="333333"/>
                <w:lang w:val="fr-FR"/>
              </w:rPr>
              <w:t>e</w:t>
            </w:r>
            <w:r w:rsidRPr="00927778">
              <w:rPr>
                <w:color w:val="333333"/>
                <w:lang w:val="fr-FR"/>
              </w:rPr>
              <w:t>ffectuées (d</w:t>
            </w:r>
            <w:r w:rsidR="00EA2C86" w:rsidRPr="00927778">
              <w:rPr>
                <w:color w:val="333333"/>
                <w:lang w:val="fr-FR"/>
              </w:rPr>
              <w:t>’</w:t>
            </w:r>
            <w:r w:rsidRPr="00927778">
              <w:rPr>
                <w:color w:val="333333"/>
                <w:lang w:val="fr-FR"/>
              </w:rPr>
              <w:t xml:space="preserve">ici à la fin </w:t>
            </w:r>
            <w:r w:rsidR="00EA2C86" w:rsidRPr="00927778">
              <w:rPr>
                <w:color w:val="333333"/>
                <w:lang w:val="fr-FR"/>
              </w:rPr>
              <w:t>de 2018</w:t>
            </w:r>
            <w:r w:rsidRPr="00927778">
              <w:rPr>
                <w:color w:val="333333"/>
                <w:lang w:val="fr-FR"/>
              </w:rPr>
              <w:t xml:space="preserve">). </w:t>
            </w:r>
            <w:r w:rsidR="0057466D" w:rsidRPr="00927778">
              <w:rPr>
                <w:color w:val="333333"/>
                <w:lang w:val="fr-FR"/>
              </w:rPr>
              <w:t xml:space="preserve"> </w:t>
            </w:r>
          </w:p>
        </w:tc>
        <w:tc>
          <w:tcPr>
            <w:tcW w:w="1134" w:type="dxa"/>
            <w:tcBorders>
              <w:top w:val="single" w:sz="2" w:space="0" w:color="000000"/>
              <w:left w:val="single" w:sz="2" w:space="0" w:color="000000"/>
              <w:bottom w:val="single" w:sz="4" w:space="0" w:color="auto"/>
              <w:right w:val="single" w:sz="2" w:space="0" w:color="000000"/>
            </w:tcBorders>
            <w:shd w:val="clear" w:color="auto" w:fill="auto"/>
            <w:tcMar>
              <w:left w:w="0" w:type="dxa"/>
              <w:right w:w="0" w:type="dxa"/>
            </w:tcMar>
          </w:tcPr>
          <w:p w:rsidR="001320FC" w:rsidRPr="002B4A41" w:rsidRDefault="001320FC" w:rsidP="00C3651B">
            <w:pPr>
              <w:rPr>
                <w:color w:val="333333"/>
                <w:sz w:val="20"/>
                <w:lang w:val="fr-FR"/>
              </w:rPr>
            </w:pPr>
            <w:r w:rsidRPr="002B4A41">
              <w:rPr>
                <w:color w:val="333333"/>
                <w:sz w:val="20"/>
                <w:lang w:val="fr-FR"/>
              </w:rPr>
              <w:t>**</w:t>
            </w:r>
          </w:p>
        </w:tc>
      </w:tr>
      <w:tr w:rsidR="00047C22" w:rsidRPr="00927778" w:rsidTr="002B4A41">
        <w:trPr>
          <w:trHeight w:val="1023"/>
        </w:trPr>
        <w:tc>
          <w:tcPr>
            <w:tcW w:w="2410" w:type="dxa"/>
            <w:tcBorders>
              <w:top w:val="single" w:sz="4" w:space="0" w:color="auto"/>
              <w:left w:val="single" w:sz="2" w:space="0" w:color="000000"/>
              <w:bottom w:val="single" w:sz="4" w:space="0" w:color="auto"/>
              <w:right w:val="single" w:sz="6" w:space="0" w:color="000000"/>
            </w:tcBorders>
            <w:shd w:val="clear" w:color="auto" w:fill="auto"/>
          </w:tcPr>
          <w:p w:rsidR="005E6718" w:rsidRPr="00927778" w:rsidRDefault="001D4D2F" w:rsidP="001D4D2F">
            <w:pPr>
              <w:rPr>
                <w:color w:val="333333"/>
                <w:szCs w:val="22"/>
                <w:lang w:val="fr-FR"/>
              </w:rPr>
            </w:pPr>
            <w:r w:rsidRPr="00927778">
              <w:rPr>
                <w:color w:val="333333"/>
                <w:szCs w:val="22"/>
                <w:lang w:val="fr-FR"/>
              </w:rPr>
              <w:t>7. Compétences pour administrer et fournir des services relatifs aux inventions se trouvant dans le domaine public*</w:t>
            </w:r>
          </w:p>
          <w:p w:rsidR="001320FC" w:rsidRPr="00927778" w:rsidRDefault="001320FC" w:rsidP="00C3651B">
            <w:pPr>
              <w:rPr>
                <w:color w:val="333333"/>
                <w:szCs w:val="22"/>
                <w:lang w:val="fr-FR"/>
              </w:rPr>
            </w:pPr>
          </w:p>
        </w:tc>
        <w:tc>
          <w:tcPr>
            <w:tcW w:w="2694" w:type="dxa"/>
            <w:tcBorders>
              <w:top w:val="single" w:sz="4" w:space="0" w:color="auto"/>
              <w:left w:val="single" w:sz="6" w:space="0" w:color="000000"/>
              <w:bottom w:val="single" w:sz="4" w:space="0" w:color="auto"/>
              <w:right w:val="single" w:sz="2" w:space="0" w:color="000000"/>
            </w:tcBorders>
            <w:shd w:val="clear" w:color="auto" w:fill="auto"/>
          </w:tcPr>
          <w:p w:rsidR="005E6718" w:rsidRPr="00927778" w:rsidRDefault="001D4D2F" w:rsidP="001D4D2F">
            <w:pPr>
              <w:rPr>
                <w:color w:val="333333"/>
                <w:szCs w:val="22"/>
                <w:lang w:val="fr-FR"/>
              </w:rPr>
            </w:pPr>
            <w:r w:rsidRPr="00927778">
              <w:rPr>
                <w:color w:val="333333"/>
                <w:szCs w:val="22"/>
                <w:lang w:val="fr-FR"/>
              </w:rPr>
              <w:t>Réalisation d</w:t>
            </w:r>
            <w:r w:rsidR="00EA2C86" w:rsidRPr="00927778">
              <w:rPr>
                <w:color w:val="333333"/>
                <w:szCs w:val="22"/>
                <w:lang w:val="fr-FR"/>
              </w:rPr>
              <w:t>’</w:t>
            </w:r>
            <w:r w:rsidRPr="00927778">
              <w:rPr>
                <w:color w:val="333333"/>
                <w:szCs w:val="22"/>
                <w:lang w:val="fr-FR"/>
              </w:rPr>
              <w:t>enquêtes dans le cadre d</w:t>
            </w:r>
            <w:r w:rsidR="00EA2C86" w:rsidRPr="00927778">
              <w:rPr>
                <w:color w:val="333333"/>
                <w:szCs w:val="22"/>
                <w:lang w:val="fr-FR"/>
              </w:rPr>
              <w:t>’</w:t>
            </w:r>
            <w:r w:rsidRPr="00927778">
              <w:rPr>
                <w:color w:val="333333"/>
                <w:szCs w:val="22"/>
                <w:lang w:val="fr-FR"/>
              </w:rPr>
              <w:t>ateliers d</w:t>
            </w:r>
            <w:r w:rsidR="00EA2C86" w:rsidRPr="00927778">
              <w:rPr>
                <w:color w:val="333333"/>
                <w:szCs w:val="22"/>
                <w:lang w:val="fr-FR"/>
              </w:rPr>
              <w:t>’</w:t>
            </w:r>
            <w:r w:rsidRPr="00927778">
              <w:rPr>
                <w:color w:val="333333"/>
                <w:szCs w:val="22"/>
                <w:lang w:val="fr-FR"/>
              </w:rPr>
              <w:t xml:space="preserve">ici à la fin </w:t>
            </w:r>
            <w:r w:rsidR="00EA2C86" w:rsidRPr="00927778">
              <w:rPr>
                <w:color w:val="333333"/>
                <w:szCs w:val="22"/>
                <w:lang w:val="fr-FR"/>
              </w:rPr>
              <w:t>de 2018</w:t>
            </w:r>
            <w:r w:rsidRPr="00927778">
              <w:rPr>
                <w:color w:val="333333"/>
                <w:szCs w:val="22"/>
                <w:lang w:val="fr-FR"/>
              </w:rPr>
              <w:t>, indiquant que le projet a permis de mettre en valeur des compétences en matière d</w:t>
            </w:r>
            <w:r w:rsidR="00EA2C86" w:rsidRPr="00927778">
              <w:rPr>
                <w:color w:val="333333"/>
                <w:szCs w:val="22"/>
                <w:lang w:val="fr-FR"/>
              </w:rPr>
              <w:t>’</w:t>
            </w:r>
            <w:r w:rsidRPr="00927778">
              <w:rPr>
                <w:color w:val="333333"/>
                <w:szCs w:val="22"/>
                <w:lang w:val="fr-FR"/>
              </w:rPr>
              <w:t>administration ou de fourniture de services en rapport avec les inventions relevant du domaine public</w:t>
            </w:r>
          </w:p>
          <w:p w:rsidR="001320FC" w:rsidRPr="00927778" w:rsidRDefault="001320FC" w:rsidP="00C3651B">
            <w:pPr>
              <w:rPr>
                <w:color w:val="333333"/>
                <w:szCs w:val="22"/>
                <w:lang w:val="fr-FR"/>
              </w:rPr>
            </w:pPr>
          </w:p>
        </w:tc>
        <w:tc>
          <w:tcPr>
            <w:tcW w:w="3118" w:type="dxa"/>
            <w:tcBorders>
              <w:top w:val="single" w:sz="4" w:space="0" w:color="auto"/>
              <w:left w:val="single" w:sz="2" w:space="0" w:color="000000"/>
              <w:bottom w:val="single" w:sz="4" w:space="0" w:color="auto"/>
              <w:right w:val="single" w:sz="2" w:space="0" w:color="000000"/>
            </w:tcBorders>
            <w:shd w:val="clear" w:color="auto" w:fill="auto"/>
          </w:tcPr>
          <w:p w:rsidR="001320FC" w:rsidRPr="00927778" w:rsidRDefault="006E1DDD" w:rsidP="00614861">
            <w:pPr>
              <w:rPr>
                <w:color w:val="333333"/>
                <w:lang w:val="fr-FR"/>
              </w:rPr>
            </w:pPr>
            <w:r w:rsidRPr="00927778">
              <w:rPr>
                <w:color w:val="333333"/>
                <w:lang w:val="fr-FR"/>
              </w:rPr>
              <w:t>Début de l</w:t>
            </w:r>
            <w:r w:rsidR="00EA2C86" w:rsidRPr="00927778">
              <w:rPr>
                <w:color w:val="333333"/>
                <w:lang w:val="fr-FR"/>
              </w:rPr>
              <w:t>’</w:t>
            </w:r>
            <w:r w:rsidRPr="00927778">
              <w:rPr>
                <w:color w:val="333333"/>
                <w:lang w:val="fr-FR"/>
              </w:rPr>
              <w:t xml:space="preserve">assistance technique auprès des réseaux sélectionnés de CATI dans le but de les aider à </w:t>
            </w:r>
            <w:r w:rsidR="00C111BE" w:rsidRPr="00927778">
              <w:rPr>
                <w:color w:val="333333"/>
                <w:lang w:val="fr-FR"/>
              </w:rPr>
              <w:t>accroître</w:t>
            </w:r>
            <w:r w:rsidRPr="00927778">
              <w:rPr>
                <w:color w:val="333333"/>
                <w:lang w:val="fr-FR"/>
              </w:rPr>
              <w:t xml:space="preserve"> leurs compétences prévu au deuxième </w:t>
            </w:r>
            <w:r w:rsidR="00614861" w:rsidRPr="00927778">
              <w:rPr>
                <w:color w:val="333333"/>
                <w:lang w:val="fr-FR"/>
              </w:rPr>
              <w:t>semestre</w:t>
            </w:r>
            <w:r w:rsidRPr="00927778">
              <w:rPr>
                <w:color w:val="333333"/>
                <w:lang w:val="fr-FR"/>
              </w:rPr>
              <w:t xml:space="preserve"> </w:t>
            </w:r>
            <w:r w:rsidR="00EA2C86" w:rsidRPr="00927778">
              <w:rPr>
                <w:color w:val="333333"/>
                <w:lang w:val="fr-FR"/>
              </w:rPr>
              <w:t>de 2018</w:t>
            </w:r>
            <w:r w:rsidRPr="00927778">
              <w:rPr>
                <w:color w:val="333333"/>
                <w:lang w:val="fr-FR"/>
              </w:rPr>
              <w:t xml:space="preserve">. </w:t>
            </w:r>
            <w:r w:rsidR="00CB5AE0" w:rsidRPr="00927778">
              <w:rPr>
                <w:color w:val="333333"/>
                <w:lang w:val="fr-FR"/>
              </w:rPr>
              <w:t xml:space="preserve"> L</w:t>
            </w:r>
            <w:r w:rsidRPr="00927778">
              <w:rPr>
                <w:color w:val="333333"/>
                <w:lang w:val="fr-FR"/>
              </w:rPr>
              <w:t xml:space="preserve">e </w:t>
            </w:r>
            <w:r w:rsidR="00614861" w:rsidRPr="00927778">
              <w:rPr>
                <w:color w:val="333333"/>
                <w:lang w:val="fr-FR"/>
              </w:rPr>
              <w:t>calendrier</w:t>
            </w:r>
            <w:r w:rsidRPr="00927778">
              <w:rPr>
                <w:color w:val="333333"/>
                <w:lang w:val="fr-FR"/>
              </w:rPr>
              <w:t xml:space="preserve"> de cette activité a commencé à être </w:t>
            </w:r>
            <w:r w:rsidR="00614861" w:rsidRPr="00927778">
              <w:rPr>
                <w:color w:val="333333"/>
                <w:lang w:val="fr-FR"/>
              </w:rPr>
              <w:t>établi</w:t>
            </w:r>
            <w:r w:rsidRPr="00927778">
              <w:rPr>
                <w:color w:val="333333"/>
                <w:lang w:val="fr-FR"/>
              </w:rPr>
              <w:t xml:space="preserve">. </w:t>
            </w:r>
          </w:p>
        </w:tc>
        <w:tc>
          <w:tcPr>
            <w:tcW w:w="1134" w:type="dxa"/>
            <w:tcBorders>
              <w:top w:val="single" w:sz="4" w:space="0" w:color="auto"/>
              <w:left w:val="single" w:sz="2" w:space="0" w:color="000000"/>
              <w:bottom w:val="single" w:sz="4" w:space="0" w:color="auto"/>
              <w:right w:val="single" w:sz="2" w:space="0" w:color="000000"/>
            </w:tcBorders>
            <w:shd w:val="clear" w:color="auto" w:fill="auto"/>
            <w:tcMar>
              <w:left w:w="0" w:type="dxa"/>
              <w:right w:w="0" w:type="dxa"/>
            </w:tcMar>
          </w:tcPr>
          <w:p w:rsidR="001320FC" w:rsidRPr="002B4A41" w:rsidRDefault="001320FC" w:rsidP="00C3651B">
            <w:pPr>
              <w:rPr>
                <w:color w:val="333333"/>
                <w:sz w:val="20"/>
                <w:lang w:val="fr-FR"/>
              </w:rPr>
            </w:pPr>
            <w:r w:rsidRPr="002B4A41">
              <w:rPr>
                <w:color w:val="333333"/>
                <w:sz w:val="20"/>
                <w:lang w:val="fr-FR"/>
              </w:rPr>
              <w:t>**</w:t>
            </w:r>
          </w:p>
        </w:tc>
      </w:tr>
    </w:tbl>
    <w:p w:rsidR="005E6718" w:rsidRPr="00927778" w:rsidRDefault="005E6718" w:rsidP="001320FC">
      <w:pPr>
        <w:rPr>
          <w:color w:val="333333"/>
          <w:lang w:val="fr-FR"/>
        </w:rPr>
      </w:pPr>
    </w:p>
    <w:p w:rsidR="005E6718" w:rsidRPr="00927778" w:rsidRDefault="005E6718" w:rsidP="001320FC">
      <w:pPr>
        <w:rPr>
          <w:color w:val="333333"/>
          <w:lang w:val="fr-FR"/>
        </w:rPr>
      </w:pPr>
    </w:p>
    <w:p w:rsidR="005E6718" w:rsidRPr="00927778" w:rsidRDefault="005E6718" w:rsidP="001320FC">
      <w:pPr>
        <w:rPr>
          <w:color w:val="333333"/>
          <w:lang w:val="fr-FR"/>
        </w:rPr>
      </w:pPr>
    </w:p>
    <w:p w:rsidR="0020073A" w:rsidRDefault="0020073A">
      <w:pPr>
        <w:rPr>
          <w:color w:val="333333"/>
          <w:lang w:val="fr-FR"/>
        </w:rPr>
      </w:pPr>
      <w:r>
        <w:rPr>
          <w:color w:val="333333"/>
          <w:lang w:val="fr-FR"/>
        </w:rPr>
        <w:br w:type="page"/>
      </w:r>
    </w:p>
    <w:p w:rsidR="008B6934" w:rsidRPr="00927778" w:rsidRDefault="008B6934" w:rsidP="001320FC">
      <w:pPr>
        <w:rPr>
          <w:color w:val="333333"/>
          <w:lang w:val="fr-FR"/>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084"/>
        <w:gridCol w:w="1168"/>
      </w:tblGrid>
      <w:tr w:rsidR="00047C22" w:rsidRPr="00927778" w:rsidTr="002B4A41">
        <w:trPr>
          <w:trHeight w:val="616"/>
        </w:trPr>
        <w:tc>
          <w:tcPr>
            <w:tcW w:w="2410" w:type="dxa"/>
            <w:shd w:val="clear" w:color="auto" w:fill="auto"/>
          </w:tcPr>
          <w:p w:rsidR="001320FC" w:rsidRPr="00927778" w:rsidRDefault="001D4D2F" w:rsidP="001D4D2F">
            <w:pPr>
              <w:pStyle w:val="Heading3"/>
              <w:rPr>
                <w:color w:val="333333"/>
                <w:lang w:val="fr-FR"/>
              </w:rPr>
            </w:pPr>
            <w:r w:rsidRPr="00927778">
              <w:rPr>
                <w:color w:val="333333"/>
                <w:lang w:val="fr-FR"/>
              </w:rPr>
              <w:t>Objectifs du projet</w:t>
            </w:r>
          </w:p>
        </w:tc>
        <w:tc>
          <w:tcPr>
            <w:tcW w:w="2694" w:type="dxa"/>
            <w:shd w:val="clear" w:color="auto" w:fill="auto"/>
          </w:tcPr>
          <w:p w:rsidR="005E6718" w:rsidRPr="00927778" w:rsidRDefault="001D4D2F" w:rsidP="001D4D2F">
            <w:pPr>
              <w:autoSpaceDE w:val="0"/>
              <w:autoSpaceDN w:val="0"/>
              <w:adjustRightInd w:val="0"/>
              <w:rPr>
                <w:bCs/>
                <w:color w:val="333333"/>
                <w:szCs w:val="22"/>
                <w:u w:val="single"/>
                <w:lang w:val="fr-FR"/>
              </w:rPr>
            </w:pPr>
            <w:r w:rsidRPr="00927778">
              <w:rPr>
                <w:bCs/>
                <w:color w:val="333333"/>
                <w:szCs w:val="22"/>
                <w:u w:val="single"/>
                <w:lang w:val="fr-FR"/>
              </w:rPr>
              <w:t>Indicateur(s) de réussite dans la réalisation de l</w:t>
            </w:r>
            <w:r w:rsidR="00EA2C86" w:rsidRPr="00927778">
              <w:rPr>
                <w:bCs/>
                <w:color w:val="333333"/>
                <w:szCs w:val="22"/>
                <w:u w:val="single"/>
                <w:lang w:val="fr-FR"/>
              </w:rPr>
              <w:t>’</w:t>
            </w:r>
            <w:r w:rsidRPr="00927778">
              <w:rPr>
                <w:bCs/>
                <w:color w:val="333333"/>
                <w:szCs w:val="22"/>
                <w:u w:val="single"/>
                <w:lang w:val="fr-FR"/>
              </w:rPr>
              <w:t>objectif du projet</w:t>
            </w:r>
          </w:p>
          <w:p w:rsidR="005E6718" w:rsidRPr="00927778" w:rsidRDefault="001D4D2F" w:rsidP="001D4D2F">
            <w:pPr>
              <w:autoSpaceDE w:val="0"/>
              <w:autoSpaceDN w:val="0"/>
              <w:adjustRightInd w:val="0"/>
              <w:rPr>
                <w:bCs/>
                <w:color w:val="333333"/>
                <w:szCs w:val="22"/>
                <w:u w:val="single"/>
                <w:lang w:val="fr-FR"/>
              </w:rPr>
            </w:pPr>
            <w:r w:rsidRPr="00927778">
              <w:rPr>
                <w:bCs/>
                <w:color w:val="333333"/>
                <w:szCs w:val="22"/>
                <w:u w:val="single"/>
                <w:lang w:val="fr-FR"/>
              </w:rPr>
              <w:t>(indicateurs de réussite)</w:t>
            </w:r>
          </w:p>
          <w:p w:rsidR="001320FC" w:rsidRPr="00927778" w:rsidRDefault="001320FC" w:rsidP="00C3651B">
            <w:pPr>
              <w:rPr>
                <w:color w:val="333333"/>
                <w:lang w:val="fr-FR"/>
              </w:rPr>
            </w:pPr>
          </w:p>
        </w:tc>
        <w:tc>
          <w:tcPr>
            <w:tcW w:w="3084" w:type="dxa"/>
            <w:shd w:val="clear" w:color="auto" w:fill="auto"/>
          </w:tcPr>
          <w:p w:rsidR="001320FC" w:rsidRPr="00927778" w:rsidRDefault="001D4D2F" w:rsidP="001D4D2F">
            <w:pPr>
              <w:pStyle w:val="Heading3"/>
              <w:rPr>
                <w:color w:val="333333"/>
                <w:lang w:val="fr-FR"/>
              </w:rPr>
            </w:pPr>
            <w:r w:rsidRPr="00927778">
              <w:rPr>
                <w:color w:val="333333"/>
                <w:lang w:val="fr-FR"/>
              </w:rPr>
              <w:t>Données relatives à l</w:t>
            </w:r>
            <w:r w:rsidR="00EA2C86" w:rsidRPr="00927778">
              <w:rPr>
                <w:color w:val="333333"/>
                <w:lang w:val="fr-FR"/>
              </w:rPr>
              <w:t>’</w:t>
            </w:r>
            <w:r w:rsidRPr="00927778">
              <w:rPr>
                <w:color w:val="333333"/>
                <w:lang w:val="fr-FR"/>
              </w:rPr>
              <w:t>exécution</w:t>
            </w:r>
          </w:p>
        </w:tc>
        <w:tc>
          <w:tcPr>
            <w:tcW w:w="1168" w:type="dxa"/>
            <w:shd w:val="clear" w:color="auto" w:fill="auto"/>
            <w:tcMar>
              <w:left w:w="0" w:type="dxa"/>
              <w:right w:w="0" w:type="dxa"/>
            </w:tcMar>
          </w:tcPr>
          <w:p w:rsidR="001320FC" w:rsidRPr="00927778" w:rsidRDefault="001D4D2F" w:rsidP="001D4D2F">
            <w:pPr>
              <w:pStyle w:val="Heading3"/>
              <w:rPr>
                <w:color w:val="333333"/>
                <w:lang w:val="fr-FR"/>
              </w:rPr>
            </w:pPr>
            <w:r w:rsidRPr="002B4A41">
              <w:rPr>
                <w:color w:val="333333"/>
                <w:sz w:val="20"/>
                <w:lang w:val="fr-FR"/>
              </w:rPr>
              <w:t>Code d</w:t>
            </w:r>
            <w:r w:rsidR="00EA2C86" w:rsidRPr="002B4A41">
              <w:rPr>
                <w:color w:val="333333"/>
                <w:sz w:val="20"/>
                <w:lang w:val="fr-FR"/>
              </w:rPr>
              <w:t>’</w:t>
            </w:r>
            <w:r w:rsidRPr="002B4A41">
              <w:rPr>
                <w:color w:val="333333"/>
                <w:sz w:val="20"/>
                <w:lang w:val="fr-FR"/>
              </w:rPr>
              <w:t>évaluation</w:t>
            </w:r>
          </w:p>
        </w:tc>
      </w:tr>
      <w:tr w:rsidR="001320FC" w:rsidRPr="00927778" w:rsidTr="002B4A41">
        <w:trPr>
          <w:trHeight w:val="509"/>
        </w:trPr>
        <w:tc>
          <w:tcPr>
            <w:tcW w:w="2410" w:type="dxa"/>
            <w:shd w:val="clear" w:color="auto" w:fill="auto"/>
          </w:tcPr>
          <w:p w:rsidR="005E6718" w:rsidRPr="00927778" w:rsidRDefault="001D4D2F" w:rsidP="001D4D2F">
            <w:pPr>
              <w:rPr>
                <w:bCs/>
                <w:color w:val="333333"/>
                <w:szCs w:val="22"/>
                <w:lang w:val="fr-FR"/>
              </w:rPr>
            </w:pPr>
            <w:r w:rsidRPr="00927778">
              <w:rPr>
                <w:bCs/>
                <w:color w:val="333333"/>
                <w:szCs w:val="22"/>
                <w:lang w:val="fr-FR"/>
              </w:rPr>
              <w:t>1. Faciliter l</w:t>
            </w:r>
            <w:r w:rsidR="00EA2C86" w:rsidRPr="00927778">
              <w:rPr>
                <w:bCs/>
                <w:color w:val="333333"/>
                <w:szCs w:val="22"/>
                <w:lang w:val="fr-FR"/>
              </w:rPr>
              <w:t>’</w:t>
            </w:r>
            <w:r w:rsidRPr="00927778">
              <w:rPr>
                <w:bCs/>
                <w:color w:val="333333"/>
                <w:szCs w:val="22"/>
                <w:lang w:val="fr-FR"/>
              </w:rPr>
              <w:t>accès des pays en développement et</w:t>
            </w:r>
            <w:r w:rsidR="00EA2C86" w:rsidRPr="00927778">
              <w:rPr>
                <w:bCs/>
                <w:color w:val="333333"/>
                <w:szCs w:val="22"/>
                <w:lang w:val="fr-FR"/>
              </w:rPr>
              <w:t xml:space="preserve"> des PMA</w:t>
            </w:r>
            <w:r w:rsidRPr="00927778">
              <w:rPr>
                <w:bCs/>
                <w:color w:val="333333"/>
                <w:szCs w:val="22"/>
                <w:lang w:val="fr-FR"/>
              </w:rPr>
              <w:t xml:space="preserve"> aux savoirs et à la technologie et aider les États membres intéressés à recenser et à utiliser les informations qui figurent dans le domaine public ou qui sont tombées dedans sur leur territoire</w:t>
            </w:r>
          </w:p>
          <w:p w:rsidR="001320FC" w:rsidRPr="00927778" w:rsidRDefault="001320FC" w:rsidP="00C3651B">
            <w:pPr>
              <w:rPr>
                <w:bCs/>
                <w:color w:val="333333"/>
                <w:szCs w:val="22"/>
                <w:lang w:val="fr-FR"/>
              </w:rPr>
            </w:pPr>
          </w:p>
        </w:tc>
        <w:tc>
          <w:tcPr>
            <w:tcW w:w="2694" w:type="dxa"/>
            <w:shd w:val="clear" w:color="auto" w:fill="auto"/>
          </w:tcPr>
          <w:p w:rsidR="005E6718" w:rsidRPr="00927778" w:rsidRDefault="001D4D2F" w:rsidP="001D4D2F">
            <w:pPr>
              <w:rPr>
                <w:color w:val="333333"/>
                <w:szCs w:val="22"/>
                <w:lang w:val="fr-FR"/>
              </w:rPr>
            </w:pPr>
            <w:r w:rsidRPr="00927778">
              <w:rPr>
                <w:color w:val="333333"/>
                <w:szCs w:val="22"/>
                <w:lang w:val="fr-FR"/>
              </w:rPr>
              <w:t>Création de services de recensement des inventions relevant du domaine public par au moins six</w:t>
            </w:r>
            <w:r w:rsidR="0057466D" w:rsidRPr="00927778">
              <w:rPr>
                <w:color w:val="333333"/>
                <w:szCs w:val="22"/>
                <w:lang w:val="fr-FR"/>
              </w:rPr>
              <w:t> </w:t>
            </w:r>
            <w:r w:rsidRPr="00927778">
              <w:rPr>
                <w:color w:val="333333"/>
                <w:szCs w:val="22"/>
                <w:lang w:val="fr-FR"/>
              </w:rPr>
              <w:t>CATI de différents réseaux nationaux de CATI</w:t>
            </w:r>
          </w:p>
          <w:p w:rsidR="005E6718" w:rsidRPr="00927778" w:rsidRDefault="005E6718" w:rsidP="00C3651B">
            <w:pPr>
              <w:rPr>
                <w:color w:val="333333"/>
                <w:szCs w:val="22"/>
                <w:lang w:val="fr-FR"/>
              </w:rPr>
            </w:pPr>
          </w:p>
          <w:p w:rsidR="005E6718" w:rsidRPr="00927778" w:rsidRDefault="001D4D2F" w:rsidP="001D4D2F">
            <w:pPr>
              <w:rPr>
                <w:color w:val="333333"/>
                <w:szCs w:val="22"/>
                <w:lang w:val="fr-FR"/>
              </w:rPr>
            </w:pPr>
            <w:r w:rsidRPr="00927778">
              <w:rPr>
                <w:color w:val="333333"/>
                <w:szCs w:val="22"/>
                <w:lang w:val="fr-FR"/>
              </w:rPr>
              <w:t>Création de services d</w:t>
            </w:r>
            <w:r w:rsidR="00EA2C86" w:rsidRPr="00927778">
              <w:rPr>
                <w:color w:val="333333"/>
                <w:szCs w:val="22"/>
                <w:lang w:val="fr-FR"/>
              </w:rPr>
              <w:t>’</w:t>
            </w:r>
            <w:r w:rsidRPr="00927778">
              <w:rPr>
                <w:color w:val="333333"/>
                <w:szCs w:val="22"/>
                <w:lang w:val="fr-FR"/>
              </w:rPr>
              <w:t>aide à l</w:t>
            </w:r>
            <w:r w:rsidR="00EA2C86" w:rsidRPr="00927778">
              <w:rPr>
                <w:color w:val="333333"/>
                <w:szCs w:val="22"/>
                <w:lang w:val="fr-FR"/>
              </w:rPr>
              <w:t>’</w:t>
            </w:r>
            <w:r w:rsidRPr="00927778">
              <w:rPr>
                <w:color w:val="333333"/>
                <w:szCs w:val="22"/>
                <w:lang w:val="fr-FR"/>
              </w:rPr>
              <w:t>utilisation des inventions se trouvant dans le domaine public dans au moins quatre</w:t>
            </w:r>
            <w:r w:rsidR="0057466D" w:rsidRPr="00927778">
              <w:rPr>
                <w:color w:val="333333"/>
                <w:szCs w:val="22"/>
                <w:lang w:val="fr-FR"/>
              </w:rPr>
              <w:t> </w:t>
            </w:r>
            <w:r w:rsidRPr="00927778">
              <w:rPr>
                <w:color w:val="333333"/>
                <w:szCs w:val="22"/>
                <w:lang w:val="fr-FR"/>
              </w:rPr>
              <w:t>CATI de différents réseaux nationaux de CATI</w:t>
            </w:r>
          </w:p>
          <w:p w:rsidR="001320FC" w:rsidRPr="00927778" w:rsidRDefault="001D4D2F" w:rsidP="001D4D2F">
            <w:pPr>
              <w:rPr>
                <w:bCs/>
                <w:color w:val="333333"/>
                <w:szCs w:val="22"/>
                <w:lang w:val="fr-FR"/>
              </w:rPr>
            </w:pPr>
            <w:r w:rsidRPr="00927778">
              <w:rPr>
                <w:bCs/>
                <w:color w:val="333333"/>
                <w:szCs w:val="22"/>
                <w:lang w:val="fr-FR"/>
              </w:rPr>
              <w:t>Augmentation du nombre d</w:t>
            </w:r>
            <w:r w:rsidR="00EA2C86" w:rsidRPr="00927778">
              <w:rPr>
                <w:bCs/>
                <w:color w:val="333333"/>
                <w:szCs w:val="22"/>
                <w:lang w:val="fr-FR"/>
              </w:rPr>
              <w:t>’</w:t>
            </w:r>
            <w:r w:rsidRPr="00927778">
              <w:rPr>
                <w:bCs/>
                <w:color w:val="333333"/>
                <w:szCs w:val="22"/>
                <w:lang w:val="fr-FR"/>
              </w:rPr>
              <w:t>utilisateurs sur les réseaux</w:t>
            </w:r>
            <w:r w:rsidR="00EA2C86" w:rsidRPr="00927778">
              <w:rPr>
                <w:bCs/>
                <w:color w:val="333333"/>
                <w:szCs w:val="22"/>
                <w:lang w:val="fr-FR"/>
              </w:rPr>
              <w:t xml:space="preserve"> des CAT</w:t>
            </w:r>
            <w:r w:rsidRPr="00927778">
              <w:rPr>
                <w:bCs/>
                <w:color w:val="333333"/>
                <w:szCs w:val="22"/>
                <w:lang w:val="fr-FR"/>
              </w:rPr>
              <w:t>I recensant et utilisant les informations relevant du domaine public</w:t>
            </w:r>
          </w:p>
        </w:tc>
        <w:tc>
          <w:tcPr>
            <w:tcW w:w="3084" w:type="dxa"/>
            <w:shd w:val="clear" w:color="auto" w:fill="auto"/>
          </w:tcPr>
          <w:p w:rsidR="001320FC" w:rsidRPr="00927778" w:rsidRDefault="001320FC" w:rsidP="00C3651B">
            <w:pPr>
              <w:rPr>
                <w:color w:val="333333"/>
                <w:lang w:val="fr-FR"/>
              </w:rPr>
            </w:pPr>
          </w:p>
        </w:tc>
        <w:tc>
          <w:tcPr>
            <w:tcW w:w="1168" w:type="dxa"/>
            <w:shd w:val="clear" w:color="auto" w:fill="auto"/>
            <w:tcMar>
              <w:left w:w="0" w:type="dxa"/>
              <w:right w:w="0" w:type="dxa"/>
            </w:tcMar>
          </w:tcPr>
          <w:p w:rsidR="001320FC" w:rsidRPr="00927778" w:rsidRDefault="001D4D2F" w:rsidP="001D4D2F">
            <w:pPr>
              <w:rPr>
                <w:color w:val="333333"/>
                <w:lang w:val="fr-FR"/>
              </w:rPr>
            </w:pPr>
            <w:r w:rsidRPr="00927778">
              <w:rPr>
                <w:color w:val="333333"/>
                <w:lang w:val="fr-FR"/>
              </w:rPr>
              <w:t>s.o.</w:t>
            </w:r>
          </w:p>
        </w:tc>
      </w:tr>
    </w:tbl>
    <w:p w:rsidR="002B4A41" w:rsidRDefault="002B4A41" w:rsidP="00D9704A">
      <w:pPr>
        <w:ind w:left="720"/>
        <w:rPr>
          <w:bCs/>
          <w:iCs/>
          <w:color w:val="333333"/>
          <w:szCs w:val="22"/>
          <w:lang w:val="fr-FR"/>
        </w:rPr>
      </w:pPr>
    </w:p>
    <w:p w:rsidR="002B4A41" w:rsidRDefault="002B4A41">
      <w:pPr>
        <w:rPr>
          <w:bCs/>
          <w:iCs/>
          <w:color w:val="333333"/>
          <w:szCs w:val="22"/>
          <w:lang w:val="fr-FR"/>
        </w:rPr>
      </w:pPr>
      <w:r>
        <w:rPr>
          <w:bCs/>
          <w:iCs/>
          <w:color w:val="333333"/>
          <w:szCs w:val="22"/>
          <w:lang w:val="fr-FR"/>
        </w:rPr>
        <w:br w:type="page"/>
      </w:r>
    </w:p>
    <w:p w:rsidR="005E6718" w:rsidRPr="00927778" w:rsidRDefault="005E6718" w:rsidP="00D9704A">
      <w:pPr>
        <w:ind w:left="720"/>
        <w:rPr>
          <w:bCs/>
          <w:iCs/>
          <w:color w:val="333333"/>
          <w:szCs w:val="22"/>
          <w:lang w:val="fr-FR"/>
        </w:rPr>
      </w:pPr>
    </w:p>
    <w:p w:rsidR="005E6718" w:rsidRPr="00927778" w:rsidRDefault="00F54FC0" w:rsidP="00EA1A2E">
      <w:pPr>
        <w:numPr>
          <w:ilvl w:val="0"/>
          <w:numId w:val="20"/>
        </w:numPr>
        <w:rPr>
          <w:bCs/>
          <w:iCs/>
          <w:color w:val="333333"/>
          <w:szCs w:val="22"/>
          <w:lang w:val="fr-FR"/>
        </w:rPr>
      </w:pPr>
      <w:r w:rsidRPr="00927778">
        <w:rPr>
          <w:bCs/>
          <w:iCs/>
          <w:color w:val="333333"/>
          <w:szCs w:val="22"/>
          <w:lang w:val="fr-FR"/>
        </w:rPr>
        <w:t xml:space="preserve">CALENDRIER </w:t>
      </w:r>
      <w:r w:rsidR="00112390" w:rsidRPr="00927778">
        <w:rPr>
          <w:bCs/>
          <w:iCs/>
          <w:color w:val="333333"/>
          <w:szCs w:val="22"/>
          <w:lang w:val="fr-FR"/>
        </w:rPr>
        <w:t xml:space="preserve">DE MISE EN ŒUVRE </w:t>
      </w:r>
      <w:r w:rsidRPr="00927778">
        <w:rPr>
          <w:bCs/>
          <w:iCs/>
          <w:color w:val="333333"/>
          <w:szCs w:val="22"/>
          <w:lang w:val="fr-FR"/>
        </w:rPr>
        <w:t>RÉVISÉ</w:t>
      </w:r>
      <w:r w:rsidR="001320FC" w:rsidRPr="00927778">
        <w:rPr>
          <w:rStyle w:val="FootnoteReference"/>
          <w:bCs/>
          <w:iCs/>
          <w:color w:val="333333"/>
          <w:szCs w:val="22"/>
          <w:lang w:val="fr-FR"/>
        </w:rPr>
        <w:footnoteReference w:id="4"/>
      </w:r>
      <w:r w:rsidR="00063DA0" w:rsidRPr="00927778">
        <w:rPr>
          <w:bCs/>
          <w:iCs/>
          <w:color w:val="333333"/>
          <w:szCs w:val="22"/>
          <w:lang w:val="fr-FR"/>
        </w:rPr>
        <w:t xml:space="preserve"> </w:t>
      </w:r>
      <w:r w:rsidR="001320FC" w:rsidRPr="00927778">
        <w:rPr>
          <w:bCs/>
          <w:iCs/>
          <w:color w:val="333333"/>
          <w:szCs w:val="22"/>
          <w:lang w:val="fr-FR"/>
        </w:rPr>
        <w:br/>
      </w:r>
    </w:p>
    <w:p w:rsidR="005E6718" w:rsidRPr="00927778" w:rsidRDefault="004B2DA5" w:rsidP="001320FC">
      <w:pPr>
        <w:rPr>
          <w:bCs/>
          <w:iCs/>
          <w:color w:val="333333"/>
          <w:szCs w:val="22"/>
          <w:lang w:val="fr-FR"/>
        </w:rPr>
      </w:pPr>
      <w:r w:rsidRPr="00927778">
        <w:rPr>
          <w:bCs/>
          <w:iCs/>
          <w:color w:val="333333"/>
          <w:szCs w:val="22"/>
          <w:lang w:val="fr-FR"/>
        </w:rPr>
        <w:t>b</w:t>
      </w:r>
      <w:r w:rsidR="001320FC" w:rsidRPr="00927778">
        <w:rPr>
          <w:bCs/>
          <w:iCs/>
          <w:color w:val="333333"/>
          <w:szCs w:val="22"/>
          <w:lang w:val="fr-FR"/>
        </w:rPr>
        <w:t xml:space="preserve">) </w:t>
      </w:r>
      <w:r w:rsidRPr="00927778">
        <w:rPr>
          <w:bCs/>
          <w:iCs/>
          <w:color w:val="333333"/>
          <w:szCs w:val="22"/>
          <w:lang w:val="fr-FR"/>
        </w:rPr>
        <w:t xml:space="preserve">Exercice </w:t>
      </w:r>
      <w:r w:rsidR="00EA2C86" w:rsidRPr="00927778">
        <w:rPr>
          <w:bCs/>
          <w:iCs/>
          <w:color w:val="333333"/>
          <w:szCs w:val="22"/>
          <w:lang w:val="fr-FR"/>
        </w:rPr>
        <w:t>biennal 2016</w:t>
      </w:r>
      <w:r w:rsidR="00CB5AE0" w:rsidRPr="00927778">
        <w:rPr>
          <w:bCs/>
          <w:iCs/>
          <w:color w:val="333333"/>
          <w:szCs w:val="22"/>
          <w:lang w:val="fr-FR"/>
        </w:rPr>
        <w:noBreakHyphen/>
      </w:r>
      <w:r w:rsidR="001320FC" w:rsidRPr="00927778">
        <w:rPr>
          <w:bCs/>
          <w:iCs/>
          <w:color w:val="333333"/>
          <w:szCs w:val="22"/>
          <w:lang w:val="fr-FR"/>
        </w:rPr>
        <w:t>2017</w:t>
      </w:r>
    </w:p>
    <w:p w:rsidR="001320FC" w:rsidRPr="00927778" w:rsidRDefault="001320FC" w:rsidP="001320FC">
      <w:pPr>
        <w:rPr>
          <w:bCs/>
          <w:iCs/>
          <w:color w:val="333333"/>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959"/>
        <w:gridCol w:w="932"/>
        <w:gridCol w:w="926"/>
        <w:gridCol w:w="923"/>
        <w:gridCol w:w="960"/>
        <w:gridCol w:w="932"/>
        <w:gridCol w:w="926"/>
        <w:gridCol w:w="923"/>
      </w:tblGrid>
      <w:tr w:rsidR="00927778" w:rsidRPr="00927778" w:rsidTr="00C3651B">
        <w:tc>
          <w:tcPr>
            <w:tcW w:w="2876" w:type="dxa"/>
            <w:vMerge w:val="restart"/>
            <w:shd w:val="clear" w:color="auto" w:fill="auto"/>
          </w:tcPr>
          <w:p w:rsidR="001320FC" w:rsidRPr="00927778" w:rsidRDefault="001D4D2F" w:rsidP="001D4D2F">
            <w:pPr>
              <w:rPr>
                <w:b/>
                <w:bCs/>
                <w:iCs/>
                <w:color w:val="333333"/>
                <w:szCs w:val="22"/>
                <w:lang w:val="fr-FR"/>
              </w:rPr>
            </w:pPr>
            <w:r w:rsidRPr="00927778">
              <w:rPr>
                <w:b/>
                <w:bCs/>
                <w:iCs/>
                <w:color w:val="333333"/>
                <w:szCs w:val="22"/>
                <w:lang w:val="fr-FR"/>
              </w:rPr>
              <w:t>Activité</w:t>
            </w:r>
          </w:p>
        </w:tc>
        <w:tc>
          <w:tcPr>
            <w:tcW w:w="5649" w:type="dxa"/>
            <w:gridSpan w:val="4"/>
            <w:shd w:val="clear" w:color="auto" w:fill="auto"/>
          </w:tcPr>
          <w:p w:rsidR="001320FC" w:rsidRPr="00927778" w:rsidRDefault="001D4D2F" w:rsidP="001D4D2F">
            <w:pPr>
              <w:jc w:val="center"/>
              <w:rPr>
                <w:b/>
                <w:bCs/>
                <w:iCs/>
                <w:color w:val="333333"/>
                <w:szCs w:val="22"/>
                <w:lang w:val="fr-FR"/>
              </w:rPr>
            </w:pPr>
            <w:r w:rsidRPr="00927778">
              <w:rPr>
                <w:b/>
                <w:bCs/>
                <w:iCs/>
                <w:color w:val="333333"/>
                <w:szCs w:val="22"/>
                <w:lang w:val="fr-FR"/>
              </w:rPr>
              <w:t>Trimestres</w:t>
            </w:r>
            <w:r w:rsidR="00002037" w:rsidRPr="00927778">
              <w:rPr>
                <w:b/>
                <w:bCs/>
                <w:iCs/>
                <w:color w:val="333333"/>
                <w:szCs w:val="22"/>
                <w:lang w:val="fr-FR"/>
              </w:rPr>
              <w:t> </w:t>
            </w:r>
            <w:r w:rsidRPr="00927778">
              <w:rPr>
                <w:b/>
                <w:bCs/>
                <w:iCs/>
                <w:color w:val="333333"/>
                <w:szCs w:val="22"/>
                <w:lang w:val="fr-FR"/>
              </w:rPr>
              <w:t>2016</w:t>
            </w:r>
          </w:p>
        </w:tc>
        <w:tc>
          <w:tcPr>
            <w:tcW w:w="5650" w:type="dxa"/>
            <w:gridSpan w:val="4"/>
            <w:shd w:val="clear" w:color="auto" w:fill="auto"/>
          </w:tcPr>
          <w:p w:rsidR="001320FC" w:rsidRPr="00927778" w:rsidRDefault="001D4D2F" w:rsidP="001D4D2F">
            <w:pPr>
              <w:jc w:val="center"/>
              <w:rPr>
                <w:b/>
                <w:bCs/>
                <w:iCs/>
                <w:color w:val="333333"/>
                <w:szCs w:val="22"/>
                <w:lang w:val="fr-FR"/>
              </w:rPr>
            </w:pPr>
            <w:r w:rsidRPr="00927778">
              <w:rPr>
                <w:b/>
                <w:bCs/>
                <w:iCs/>
                <w:color w:val="333333"/>
                <w:szCs w:val="22"/>
                <w:lang w:val="fr-FR"/>
              </w:rPr>
              <w:t>Trimestres</w:t>
            </w:r>
            <w:r w:rsidR="00002037" w:rsidRPr="00927778">
              <w:rPr>
                <w:b/>
                <w:bCs/>
                <w:iCs/>
                <w:color w:val="333333"/>
                <w:szCs w:val="22"/>
                <w:lang w:val="fr-FR"/>
              </w:rPr>
              <w:t> </w:t>
            </w:r>
            <w:r w:rsidRPr="00927778">
              <w:rPr>
                <w:b/>
                <w:bCs/>
                <w:iCs/>
                <w:color w:val="333333"/>
                <w:szCs w:val="22"/>
                <w:lang w:val="fr-FR"/>
              </w:rPr>
              <w:t>2017</w:t>
            </w:r>
          </w:p>
        </w:tc>
      </w:tr>
      <w:tr w:rsidR="00927778" w:rsidRPr="00927778" w:rsidTr="00C3651B">
        <w:tc>
          <w:tcPr>
            <w:tcW w:w="2876" w:type="dxa"/>
            <w:vMerge/>
            <w:shd w:val="clear" w:color="auto" w:fill="auto"/>
          </w:tcPr>
          <w:p w:rsidR="001320FC" w:rsidRPr="00927778" w:rsidRDefault="001320FC" w:rsidP="00C3651B">
            <w:pPr>
              <w:rPr>
                <w:bCs/>
                <w:iCs/>
                <w:color w:val="333333"/>
                <w:szCs w:val="22"/>
                <w:lang w:val="fr-FR"/>
              </w:rPr>
            </w:pPr>
          </w:p>
        </w:tc>
        <w:tc>
          <w:tcPr>
            <w:tcW w:w="1410" w:type="dxa"/>
            <w:shd w:val="clear" w:color="auto" w:fill="auto"/>
          </w:tcPr>
          <w:p w:rsidR="001320FC" w:rsidRPr="00927778" w:rsidRDefault="001D4D2F" w:rsidP="001D4D2F">
            <w:pPr>
              <w:jc w:val="center"/>
              <w:rPr>
                <w:b/>
                <w:color w:val="333333"/>
                <w:szCs w:val="22"/>
                <w:lang w:val="fr-FR"/>
              </w:rPr>
            </w:pPr>
            <w:r w:rsidRPr="00927778">
              <w:rPr>
                <w:color w:val="333333"/>
                <w:szCs w:val="22"/>
                <w:lang w:val="fr-FR"/>
              </w:rPr>
              <w:t>1</w:t>
            </w:r>
            <w:r w:rsidRPr="00927778">
              <w:rPr>
                <w:color w:val="333333"/>
                <w:szCs w:val="22"/>
                <w:vertAlign w:val="superscript"/>
                <w:lang w:val="fr-FR"/>
              </w:rPr>
              <w:t>er</w:t>
            </w:r>
          </w:p>
        </w:tc>
        <w:tc>
          <w:tcPr>
            <w:tcW w:w="1415" w:type="dxa"/>
            <w:shd w:val="clear" w:color="auto" w:fill="auto"/>
          </w:tcPr>
          <w:p w:rsidR="001320FC" w:rsidRPr="00927778" w:rsidRDefault="001D4D2F" w:rsidP="001D4D2F">
            <w:pPr>
              <w:jc w:val="center"/>
              <w:rPr>
                <w:b/>
                <w:color w:val="333333"/>
                <w:szCs w:val="22"/>
                <w:lang w:val="fr-FR"/>
              </w:rPr>
            </w:pPr>
            <w:r w:rsidRPr="00927778">
              <w:rPr>
                <w:color w:val="333333"/>
                <w:szCs w:val="22"/>
                <w:lang w:val="fr-FR"/>
              </w:rPr>
              <w:t>2</w:t>
            </w:r>
            <w:r w:rsidRPr="00927778">
              <w:rPr>
                <w:color w:val="333333"/>
                <w:szCs w:val="22"/>
                <w:vertAlign w:val="superscript"/>
                <w:lang w:val="fr-FR"/>
              </w:rPr>
              <w:t>e</w:t>
            </w:r>
          </w:p>
        </w:tc>
        <w:tc>
          <w:tcPr>
            <w:tcW w:w="1412" w:type="dxa"/>
            <w:shd w:val="clear" w:color="auto" w:fill="auto"/>
          </w:tcPr>
          <w:p w:rsidR="001320FC" w:rsidRPr="00927778" w:rsidRDefault="001D4D2F" w:rsidP="001D4D2F">
            <w:pPr>
              <w:jc w:val="center"/>
              <w:rPr>
                <w:b/>
                <w:color w:val="333333"/>
                <w:szCs w:val="22"/>
                <w:lang w:val="fr-FR"/>
              </w:rPr>
            </w:pPr>
            <w:r w:rsidRPr="00927778">
              <w:rPr>
                <w:color w:val="333333"/>
                <w:szCs w:val="22"/>
                <w:lang w:val="fr-FR"/>
              </w:rPr>
              <w:t>3</w:t>
            </w:r>
            <w:r w:rsidRPr="00927778">
              <w:rPr>
                <w:color w:val="333333"/>
                <w:szCs w:val="22"/>
                <w:vertAlign w:val="superscript"/>
                <w:lang w:val="fr-FR"/>
              </w:rPr>
              <w:t>e</w:t>
            </w:r>
          </w:p>
        </w:tc>
        <w:tc>
          <w:tcPr>
            <w:tcW w:w="1412" w:type="dxa"/>
            <w:shd w:val="clear" w:color="auto" w:fill="auto"/>
          </w:tcPr>
          <w:p w:rsidR="001320FC" w:rsidRPr="00927778" w:rsidRDefault="001D4D2F" w:rsidP="001D4D2F">
            <w:pPr>
              <w:jc w:val="center"/>
              <w:rPr>
                <w:b/>
                <w:color w:val="333333"/>
                <w:szCs w:val="22"/>
                <w:lang w:val="fr-FR"/>
              </w:rPr>
            </w:pPr>
            <w:r w:rsidRPr="00927778">
              <w:rPr>
                <w:color w:val="333333"/>
                <w:szCs w:val="22"/>
                <w:lang w:val="fr-FR"/>
              </w:rPr>
              <w:t>4</w:t>
            </w:r>
            <w:r w:rsidRPr="00927778">
              <w:rPr>
                <w:color w:val="333333"/>
                <w:szCs w:val="22"/>
                <w:vertAlign w:val="superscript"/>
                <w:lang w:val="fr-FR"/>
              </w:rPr>
              <w:t>e</w:t>
            </w:r>
          </w:p>
        </w:tc>
        <w:tc>
          <w:tcPr>
            <w:tcW w:w="1411" w:type="dxa"/>
            <w:shd w:val="clear" w:color="auto" w:fill="auto"/>
          </w:tcPr>
          <w:p w:rsidR="001320FC" w:rsidRPr="00927778" w:rsidRDefault="001D4D2F" w:rsidP="001D4D2F">
            <w:pPr>
              <w:jc w:val="center"/>
              <w:rPr>
                <w:b/>
                <w:color w:val="333333"/>
                <w:szCs w:val="22"/>
                <w:lang w:val="fr-FR"/>
              </w:rPr>
            </w:pPr>
            <w:r w:rsidRPr="00927778">
              <w:rPr>
                <w:color w:val="333333"/>
                <w:szCs w:val="22"/>
                <w:lang w:val="fr-FR"/>
              </w:rPr>
              <w:t>1</w:t>
            </w:r>
            <w:r w:rsidRPr="00927778">
              <w:rPr>
                <w:color w:val="333333"/>
                <w:szCs w:val="22"/>
                <w:vertAlign w:val="superscript"/>
                <w:lang w:val="fr-FR"/>
              </w:rPr>
              <w:t>er</w:t>
            </w:r>
          </w:p>
        </w:tc>
        <w:tc>
          <w:tcPr>
            <w:tcW w:w="1415" w:type="dxa"/>
            <w:shd w:val="clear" w:color="auto" w:fill="auto"/>
          </w:tcPr>
          <w:p w:rsidR="001320FC" w:rsidRPr="00927778" w:rsidRDefault="001D4D2F" w:rsidP="001D4D2F">
            <w:pPr>
              <w:jc w:val="center"/>
              <w:rPr>
                <w:b/>
                <w:color w:val="333333"/>
                <w:szCs w:val="22"/>
                <w:lang w:val="fr-FR"/>
              </w:rPr>
            </w:pPr>
            <w:r w:rsidRPr="00927778">
              <w:rPr>
                <w:color w:val="333333"/>
                <w:szCs w:val="22"/>
                <w:lang w:val="fr-FR"/>
              </w:rPr>
              <w:t>2</w:t>
            </w:r>
            <w:r w:rsidRPr="00927778">
              <w:rPr>
                <w:color w:val="333333"/>
                <w:szCs w:val="22"/>
                <w:vertAlign w:val="superscript"/>
                <w:lang w:val="fr-FR"/>
              </w:rPr>
              <w:t>e</w:t>
            </w:r>
          </w:p>
        </w:tc>
        <w:tc>
          <w:tcPr>
            <w:tcW w:w="1412" w:type="dxa"/>
            <w:shd w:val="clear" w:color="auto" w:fill="auto"/>
          </w:tcPr>
          <w:p w:rsidR="001320FC" w:rsidRPr="00927778" w:rsidRDefault="001D4D2F" w:rsidP="001D4D2F">
            <w:pPr>
              <w:jc w:val="center"/>
              <w:rPr>
                <w:b/>
                <w:color w:val="333333"/>
                <w:szCs w:val="22"/>
                <w:lang w:val="fr-FR"/>
              </w:rPr>
            </w:pPr>
            <w:r w:rsidRPr="00927778">
              <w:rPr>
                <w:color w:val="333333"/>
                <w:szCs w:val="22"/>
                <w:lang w:val="fr-FR"/>
              </w:rPr>
              <w:t>3</w:t>
            </w:r>
            <w:r w:rsidRPr="00927778">
              <w:rPr>
                <w:color w:val="333333"/>
                <w:szCs w:val="22"/>
                <w:vertAlign w:val="superscript"/>
                <w:lang w:val="fr-FR"/>
              </w:rPr>
              <w:t>e</w:t>
            </w:r>
          </w:p>
        </w:tc>
        <w:tc>
          <w:tcPr>
            <w:tcW w:w="1412" w:type="dxa"/>
            <w:shd w:val="clear" w:color="auto" w:fill="auto"/>
          </w:tcPr>
          <w:p w:rsidR="001320FC" w:rsidRPr="00927778" w:rsidRDefault="001D4D2F" w:rsidP="001D4D2F">
            <w:pPr>
              <w:jc w:val="center"/>
              <w:rPr>
                <w:b/>
                <w:color w:val="333333"/>
                <w:szCs w:val="22"/>
                <w:lang w:val="fr-FR"/>
              </w:rPr>
            </w:pPr>
            <w:r w:rsidRPr="00927778">
              <w:rPr>
                <w:color w:val="333333"/>
                <w:szCs w:val="22"/>
                <w:lang w:val="fr-FR"/>
              </w:rPr>
              <w:t>4</w:t>
            </w:r>
            <w:r w:rsidRPr="00927778">
              <w:rPr>
                <w:color w:val="333333"/>
                <w:szCs w:val="22"/>
                <w:vertAlign w:val="superscript"/>
                <w:lang w:val="fr-FR"/>
              </w:rPr>
              <w:t>e</w:t>
            </w:r>
          </w:p>
        </w:tc>
      </w:tr>
      <w:tr w:rsidR="00927778" w:rsidRPr="00927778" w:rsidTr="00C3651B">
        <w:tc>
          <w:tcPr>
            <w:tcW w:w="2876" w:type="dxa"/>
            <w:shd w:val="clear" w:color="auto" w:fill="auto"/>
          </w:tcPr>
          <w:p w:rsidR="001320FC" w:rsidRPr="00927778" w:rsidRDefault="00EB260E" w:rsidP="00C3651B">
            <w:pPr>
              <w:rPr>
                <w:color w:val="333333"/>
                <w:szCs w:val="22"/>
                <w:lang w:val="fr-FR"/>
              </w:rPr>
            </w:pPr>
            <w:r w:rsidRPr="00927778">
              <w:rPr>
                <w:color w:val="333333"/>
                <w:szCs w:val="22"/>
                <w:lang w:val="fr-FR"/>
              </w:rPr>
              <w:t>Finalisation des</w:t>
            </w:r>
            <w:r w:rsidR="001320FC" w:rsidRPr="00927778">
              <w:rPr>
                <w:color w:val="333333"/>
                <w:szCs w:val="22"/>
                <w:lang w:val="fr-FR"/>
              </w:rPr>
              <w:t xml:space="preserve"> guides</w:t>
            </w:r>
          </w:p>
        </w:tc>
        <w:tc>
          <w:tcPr>
            <w:tcW w:w="1410" w:type="dxa"/>
            <w:shd w:val="clear" w:color="auto" w:fill="auto"/>
            <w:vAlign w:val="center"/>
          </w:tcPr>
          <w:p w:rsidR="001320FC" w:rsidRPr="00927778" w:rsidRDefault="001320FC" w:rsidP="00C3651B">
            <w:pPr>
              <w:jc w:val="center"/>
              <w:rPr>
                <w:bCs/>
                <w:iCs/>
                <w:color w:val="333333"/>
                <w:szCs w:val="22"/>
                <w:lang w:val="fr-FR"/>
              </w:rPr>
            </w:pPr>
          </w:p>
        </w:tc>
        <w:tc>
          <w:tcPr>
            <w:tcW w:w="1415" w:type="dxa"/>
            <w:shd w:val="clear" w:color="auto" w:fill="auto"/>
            <w:vAlign w:val="center"/>
          </w:tcPr>
          <w:p w:rsidR="001320FC" w:rsidRPr="00927778" w:rsidRDefault="001320FC" w:rsidP="00C3651B">
            <w:pPr>
              <w:jc w:val="center"/>
              <w:rPr>
                <w:bCs/>
                <w:iCs/>
                <w:color w:val="333333"/>
                <w:szCs w:val="22"/>
                <w:lang w:val="fr-FR"/>
              </w:rPr>
            </w:pPr>
          </w:p>
        </w:tc>
        <w:tc>
          <w:tcPr>
            <w:tcW w:w="1412" w:type="dxa"/>
            <w:shd w:val="clear" w:color="auto" w:fill="auto"/>
            <w:vAlign w:val="center"/>
          </w:tcPr>
          <w:p w:rsidR="001320FC" w:rsidRPr="00927778" w:rsidRDefault="001320FC" w:rsidP="00C3651B">
            <w:pPr>
              <w:jc w:val="center"/>
              <w:rPr>
                <w:bCs/>
                <w:iCs/>
                <w:color w:val="333333"/>
                <w:szCs w:val="22"/>
                <w:lang w:val="fr-FR"/>
              </w:rPr>
            </w:pPr>
          </w:p>
        </w:tc>
        <w:tc>
          <w:tcPr>
            <w:tcW w:w="1412"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1"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5"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shd w:val="clear" w:color="auto" w:fill="auto"/>
            <w:vAlign w:val="center"/>
          </w:tcPr>
          <w:p w:rsidR="001320FC" w:rsidRPr="00927778" w:rsidRDefault="001320FC" w:rsidP="00C3651B">
            <w:pPr>
              <w:jc w:val="center"/>
              <w:rPr>
                <w:bCs/>
                <w:iCs/>
                <w:color w:val="333333"/>
                <w:szCs w:val="22"/>
                <w:lang w:val="fr-FR"/>
              </w:rPr>
            </w:pPr>
          </w:p>
        </w:tc>
        <w:tc>
          <w:tcPr>
            <w:tcW w:w="1412" w:type="dxa"/>
            <w:shd w:val="clear" w:color="auto" w:fill="auto"/>
            <w:vAlign w:val="center"/>
          </w:tcPr>
          <w:p w:rsidR="001320FC" w:rsidRPr="00927778" w:rsidRDefault="001320FC" w:rsidP="00C3651B">
            <w:pPr>
              <w:jc w:val="center"/>
              <w:rPr>
                <w:bCs/>
                <w:iCs/>
                <w:color w:val="333333"/>
                <w:szCs w:val="22"/>
                <w:lang w:val="fr-FR"/>
              </w:rPr>
            </w:pPr>
          </w:p>
        </w:tc>
      </w:tr>
      <w:tr w:rsidR="00927778" w:rsidRPr="00927778" w:rsidTr="00C3651B">
        <w:tc>
          <w:tcPr>
            <w:tcW w:w="2876" w:type="dxa"/>
            <w:shd w:val="clear" w:color="auto" w:fill="auto"/>
          </w:tcPr>
          <w:p w:rsidR="001320FC" w:rsidRPr="00927778" w:rsidRDefault="00EB260E" w:rsidP="00EB260E">
            <w:pPr>
              <w:rPr>
                <w:color w:val="333333"/>
                <w:szCs w:val="22"/>
                <w:lang w:val="fr-FR"/>
              </w:rPr>
            </w:pPr>
            <w:r w:rsidRPr="00927778">
              <w:rPr>
                <w:color w:val="333333"/>
                <w:szCs w:val="22"/>
                <w:lang w:val="fr-FR"/>
              </w:rPr>
              <w:t>Pilotage des</w:t>
            </w:r>
            <w:r w:rsidR="00F51C8A" w:rsidRPr="00927778">
              <w:rPr>
                <w:color w:val="333333"/>
                <w:szCs w:val="22"/>
                <w:lang w:val="fr-FR"/>
              </w:rPr>
              <w:t xml:space="preserve"> travaux relatifs aux</w:t>
            </w:r>
            <w:r w:rsidR="001320FC" w:rsidRPr="00927778">
              <w:rPr>
                <w:color w:val="333333"/>
                <w:szCs w:val="22"/>
                <w:lang w:val="fr-FR"/>
              </w:rPr>
              <w:t xml:space="preserve"> guides</w:t>
            </w:r>
          </w:p>
        </w:tc>
        <w:tc>
          <w:tcPr>
            <w:tcW w:w="1410" w:type="dxa"/>
            <w:shd w:val="clear" w:color="auto" w:fill="auto"/>
            <w:vAlign w:val="center"/>
          </w:tcPr>
          <w:p w:rsidR="001320FC" w:rsidRPr="00927778" w:rsidRDefault="001320FC" w:rsidP="00C3651B">
            <w:pPr>
              <w:jc w:val="center"/>
              <w:rPr>
                <w:bCs/>
                <w:iCs/>
                <w:color w:val="333333"/>
                <w:szCs w:val="22"/>
                <w:lang w:val="fr-FR"/>
              </w:rPr>
            </w:pPr>
          </w:p>
        </w:tc>
        <w:tc>
          <w:tcPr>
            <w:tcW w:w="1415" w:type="dxa"/>
            <w:shd w:val="clear" w:color="auto" w:fill="auto"/>
            <w:vAlign w:val="center"/>
          </w:tcPr>
          <w:p w:rsidR="001320FC" w:rsidRPr="00927778" w:rsidRDefault="001320FC" w:rsidP="00C3651B">
            <w:pPr>
              <w:jc w:val="center"/>
              <w:rPr>
                <w:bCs/>
                <w:iCs/>
                <w:color w:val="333333"/>
                <w:szCs w:val="22"/>
                <w:lang w:val="fr-FR"/>
              </w:rPr>
            </w:pPr>
          </w:p>
        </w:tc>
        <w:tc>
          <w:tcPr>
            <w:tcW w:w="1412" w:type="dxa"/>
            <w:shd w:val="clear" w:color="auto" w:fill="auto"/>
            <w:vAlign w:val="center"/>
          </w:tcPr>
          <w:p w:rsidR="001320FC" w:rsidRPr="00927778" w:rsidRDefault="001320FC" w:rsidP="00C3651B">
            <w:pPr>
              <w:jc w:val="center"/>
              <w:rPr>
                <w:bCs/>
                <w:iCs/>
                <w:color w:val="333333"/>
                <w:szCs w:val="22"/>
                <w:lang w:val="fr-FR"/>
              </w:rPr>
            </w:pPr>
          </w:p>
        </w:tc>
        <w:tc>
          <w:tcPr>
            <w:tcW w:w="1412" w:type="dxa"/>
            <w:shd w:val="clear" w:color="auto" w:fill="auto"/>
            <w:vAlign w:val="center"/>
          </w:tcPr>
          <w:p w:rsidR="001320FC" w:rsidRPr="00927778" w:rsidRDefault="001320FC" w:rsidP="00C3651B">
            <w:pPr>
              <w:jc w:val="center"/>
              <w:rPr>
                <w:bCs/>
                <w:iCs/>
                <w:color w:val="333333"/>
                <w:szCs w:val="22"/>
                <w:lang w:val="fr-FR"/>
              </w:rPr>
            </w:pPr>
          </w:p>
        </w:tc>
        <w:tc>
          <w:tcPr>
            <w:tcW w:w="1411" w:type="dxa"/>
            <w:shd w:val="clear" w:color="auto" w:fill="auto"/>
            <w:vAlign w:val="center"/>
          </w:tcPr>
          <w:p w:rsidR="001320FC" w:rsidRPr="00927778" w:rsidRDefault="001320FC" w:rsidP="00C3651B">
            <w:pPr>
              <w:jc w:val="center"/>
              <w:rPr>
                <w:bCs/>
                <w:iCs/>
                <w:color w:val="333333"/>
                <w:szCs w:val="22"/>
                <w:lang w:val="fr-FR"/>
              </w:rPr>
            </w:pPr>
          </w:p>
        </w:tc>
        <w:tc>
          <w:tcPr>
            <w:tcW w:w="1415" w:type="dxa"/>
            <w:shd w:val="clear" w:color="auto" w:fill="auto"/>
            <w:vAlign w:val="center"/>
          </w:tcPr>
          <w:p w:rsidR="001320FC" w:rsidRPr="00927778" w:rsidRDefault="001320FC" w:rsidP="00C3651B">
            <w:pPr>
              <w:jc w:val="center"/>
              <w:rPr>
                <w:bCs/>
                <w:iCs/>
                <w:color w:val="333333"/>
                <w:szCs w:val="22"/>
                <w:lang w:val="fr-FR"/>
              </w:rPr>
            </w:pPr>
          </w:p>
        </w:tc>
        <w:tc>
          <w:tcPr>
            <w:tcW w:w="1412"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r>
      <w:tr w:rsidR="00047C22" w:rsidRPr="00927778" w:rsidTr="00C3651B">
        <w:tc>
          <w:tcPr>
            <w:tcW w:w="2876" w:type="dxa"/>
            <w:shd w:val="clear" w:color="auto" w:fill="auto"/>
          </w:tcPr>
          <w:p w:rsidR="001320FC" w:rsidRPr="00927778" w:rsidRDefault="006B164F" w:rsidP="006B164F">
            <w:pPr>
              <w:rPr>
                <w:color w:val="333333"/>
                <w:szCs w:val="22"/>
                <w:lang w:val="fr-FR"/>
              </w:rPr>
            </w:pPr>
            <w:r w:rsidRPr="00927778">
              <w:rPr>
                <w:color w:val="333333"/>
                <w:szCs w:val="22"/>
                <w:lang w:val="fr-FR"/>
              </w:rPr>
              <w:t>Élaboration du portail sur la situation juridique et mise à jour du contenu</w:t>
            </w:r>
            <w:r w:rsidR="001320FC" w:rsidRPr="00927778">
              <w:rPr>
                <w:color w:val="333333"/>
                <w:szCs w:val="22"/>
                <w:lang w:val="fr-FR"/>
              </w:rPr>
              <w:t xml:space="preserve"> </w:t>
            </w:r>
          </w:p>
        </w:tc>
        <w:tc>
          <w:tcPr>
            <w:tcW w:w="1410" w:type="dxa"/>
            <w:shd w:val="clear" w:color="auto" w:fill="auto"/>
            <w:vAlign w:val="center"/>
          </w:tcPr>
          <w:p w:rsidR="001320FC" w:rsidRPr="00927778" w:rsidRDefault="001320FC" w:rsidP="00C3651B">
            <w:pPr>
              <w:jc w:val="center"/>
              <w:rPr>
                <w:bCs/>
                <w:iCs/>
                <w:color w:val="333333"/>
                <w:szCs w:val="22"/>
                <w:lang w:val="fr-FR"/>
              </w:rPr>
            </w:pPr>
          </w:p>
        </w:tc>
        <w:tc>
          <w:tcPr>
            <w:tcW w:w="1415" w:type="dxa"/>
            <w:shd w:val="clear" w:color="auto" w:fill="auto"/>
            <w:vAlign w:val="center"/>
          </w:tcPr>
          <w:p w:rsidR="001320FC" w:rsidRPr="00927778" w:rsidRDefault="001320FC" w:rsidP="00C3651B">
            <w:pPr>
              <w:jc w:val="center"/>
              <w:rPr>
                <w:bCs/>
                <w:iCs/>
                <w:color w:val="333333"/>
                <w:szCs w:val="22"/>
                <w:lang w:val="fr-FR"/>
              </w:rPr>
            </w:pPr>
          </w:p>
        </w:tc>
        <w:tc>
          <w:tcPr>
            <w:tcW w:w="1412" w:type="dxa"/>
            <w:shd w:val="clear" w:color="auto" w:fill="auto"/>
            <w:vAlign w:val="center"/>
          </w:tcPr>
          <w:p w:rsidR="001320FC" w:rsidRPr="00927778" w:rsidRDefault="001320FC" w:rsidP="00C3651B">
            <w:pPr>
              <w:jc w:val="center"/>
              <w:rPr>
                <w:bCs/>
                <w:iCs/>
                <w:color w:val="333333"/>
                <w:szCs w:val="22"/>
                <w:lang w:val="fr-FR"/>
              </w:rPr>
            </w:pPr>
          </w:p>
        </w:tc>
        <w:tc>
          <w:tcPr>
            <w:tcW w:w="1412"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1"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5"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r>
    </w:tbl>
    <w:p w:rsidR="005E6718" w:rsidRPr="00927778" w:rsidRDefault="005E6718" w:rsidP="001320FC">
      <w:pPr>
        <w:rPr>
          <w:bCs/>
          <w:iCs/>
          <w:color w:val="333333"/>
          <w:szCs w:val="22"/>
          <w:lang w:val="fr-FR"/>
        </w:rPr>
      </w:pPr>
    </w:p>
    <w:p w:rsidR="005E6718" w:rsidRPr="00927778" w:rsidRDefault="001D4D2F" w:rsidP="001D4D2F">
      <w:pPr>
        <w:rPr>
          <w:bCs/>
          <w:iCs/>
          <w:color w:val="333333"/>
          <w:szCs w:val="22"/>
          <w:lang w:val="fr-FR"/>
        </w:rPr>
      </w:pPr>
      <w:r w:rsidRPr="00927778">
        <w:rPr>
          <w:bCs/>
          <w:iCs/>
          <w:color w:val="333333"/>
          <w:szCs w:val="22"/>
          <w:lang w:val="fr-FR"/>
        </w:rPr>
        <w:t>b)</w:t>
      </w:r>
      <w:r w:rsidRPr="00927778">
        <w:rPr>
          <w:bCs/>
          <w:iCs/>
          <w:color w:val="333333"/>
          <w:szCs w:val="22"/>
          <w:lang w:val="fr-FR"/>
        </w:rPr>
        <w:tab/>
        <w:t xml:space="preserve">Exercice </w:t>
      </w:r>
      <w:r w:rsidR="00EA2C86" w:rsidRPr="00927778">
        <w:rPr>
          <w:bCs/>
          <w:iCs/>
          <w:color w:val="333333"/>
          <w:szCs w:val="22"/>
          <w:lang w:val="fr-FR"/>
        </w:rPr>
        <w:t>biennal 2018</w:t>
      </w:r>
      <w:r w:rsidR="00CB5AE0" w:rsidRPr="00927778">
        <w:rPr>
          <w:bCs/>
          <w:iCs/>
          <w:color w:val="333333"/>
          <w:szCs w:val="22"/>
          <w:lang w:val="fr-FR"/>
        </w:rPr>
        <w:noBreakHyphen/>
      </w:r>
      <w:r w:rsidRPr="00927778">
        <w:rPr>
          <w:bCs/>
          <w:iCs/>
          <w:color w:val="333333"/>
          <w:szCs w:val="22"/>
          <w:lang w:val="fr-FR"/>
        </w:rPr>
        <w:t>2019</w:t>
      </w:r>
    </w:p>
    <w:p w:rsidR="001320FC" w:rsidRPr="00927778" w:rsidRDefault="001320FC" w:rsidP="001320FC">
      <w:pPr>
        <w:rPr>
          <w:bCs/>
          <w:iCs/>
          <w:color w:val="333333"/>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1154"/>
        <w:gridCol w:w="1141"/>
        <w:gridCol w:w="1136"/>
        <w:gridCol w:w="1134"/>
        <w:gridCol w:w="1323"/>
        <w:gridCol w:w="1232"/>
      </w:tblGrid>
      <w:tr w:rsidR="00927778" w:rsidRPr="00927778" w:rsidTr="00C3651B">
        <w:tc>
          <w:tcPr>
            <w:tcW w:w="2876" w:type="dxa"/>
            <w:vMerge w:val="restart"/>
            <w:shd w:val="clear" w:color="auto" w:fill="auto"/>
          </w:tcPr>
          <w:p w:rsidR="001320FC" w:rsidRPr="00927778" w:rsidRDefault="001D4D2F" w:rsidP="001D4D2F">
            <w:pPr>
              <w:rPr>
                <w:b/>
                <w:bCs/>
                <w:iCs/>
                <w:color w:val="333333"/>
                <w:szCs w:val="22"/>
                <w:lang w:val="fr-FR"/>
              </w:rPr>
            </w:pPr>
            <w:r w:rsidRPr="00927778">
              <w:rPr>
                <w:b/>
                <w:bCs/>
                <w:iCs/>
                <w:color w:val="333333"/>
                <w:szCs w:val="22"/>
                <w:lang w:val="fr-FR"/>
              </w:rPr>
              <w:t>Activité</w:t>
            </w:r>
          </w:p>
        </w:tc>
        <w:tc>
          <w:tcPr>
            <w:tcW w:w="5649" w:type="dxa"/>
            <w:gridSpan w:val="4"/>
            <w:shd w:val="clear" w:color="auto" w:fill="auto"/>
          </w:tcPr>
          <w:p w:rsidR="001320FC" w:rsidRPr="00927778" w:rsidRDefault="001D4D2F" w:rsidP="001D4D2F">
            <w:pPr>
              <w:jc w:val="center"/>
              <w:rPr>
                <w:b/>
                <w:bCs/>
                <w:iCs/>
                <w:color w:val="333333"/>
                <w:szCs w:val="22"/>
                <w:lang w:val="fr-FR"/>
              </w:rPr>
            </w:pPr>
            <w:r w:rsidRPr="00927778">
              <w:rPr>
                <w:b/>
                <w:bCs/>
                <w:iCs/>
                <w:color w:val="333333"/>
                <w:szCs w:val="22"/>
                <w:lang w:val="fr-FR"/>
              </w:rPr>
              <w:t>Trimestres</w:t>
            </w:r>
            <w:r w:rsidR="00002037" w:rsidRPr="00927778">
              <w:rPr>
                <w:b/>
                <w:bCs/>
                <w:iCs/>
                <w:color w:val="333333"/>
                <w:szCs w:val="22"/>
                <w:lang w:val="fr-FR"/>
              </w:rPr>
              <w:t> </w:t>
            </w:r>
            <w:r w:rsidRPr="00927778">
              <w:rPr>
                <w:b/>
                <w:bCs/>
                <w:iCs/>
                <w:color w:val="333333"/>
                <w:szCs w:val="22"/>
                <w:lang w:val="fr-FR"/>
              </w:rPr>
              <w:t>2018</w:t>
            </w:r>
          </w:p>
        </w:tc>
        <w:tc>
          <w:tcPr>
            <w:tcW w:w="2824" w:type="dxa"/>
            <w:gridSpan w:val="2"/>
          </w:tcPr>
          <w:p w:rsidR="001320FC" w:rsidRPr="00927778" w:rsidRDefault="001D4D2F" w:rsidP="001D4D2F">
            <w:pPr>
              <w:jc w:val="center"/>
              <w:rPr>
                <w:b/>
                <w:color w:val="333333"/>
                <w:szCs w:val="22"/>
                <w:lang w:val="fr-FR"/>
              </w:rPr>
            </w:pPr>
            <w:r w:rsidRPr="00927778">
              <w:rPr>
                <w:b/>
                <w:color w:val="333333"/>
                <w:szCs w:val="22"/>
                <w:lang w:val="fr-FR"/>
              </w:rPr>
              <w:t>Trimestres</w:t>
            </w:r>
            <w:r w:rsidR="00002037" w:rsidRPr="00927778">
              <w:rPr>
                <w:b/>
                <w:color w:val="333333"/>
                <w:szCs w:val="22"/>
                <w:lang w:val="fr-FR"/>
              </w:rPr>
              <w:t> </w:t>
            </w:r>
            <w:r w:rsidRPr="00927778">
              <w:rPr>
                <w:b/>
                <w:color w:val="333333"/>
                <w:szCs w:val="22"/>
                <w:lang w:val="fr-FR"/>
              </w:rPr>
              <w:t>2019</w:t>
            </w:r>
          </w:p>
        </w:tc>
      </w:tr>
      <w:tr w:rsidR="00927778" w:rsidRPr="00927778" w:rsidTr="00C3651B">
        <w:tc>
          <w:tcPr>
            <w:tcW w:w="2876" w:type="dxa"/>
            <w:vMerge/>
            <w:shd w:val="clear" w:color="auto" w:fill="auto"/>
          </w:tcPr>
          <w:p w:rsidR="001320FC" w:rsidRPr="00927778" w:rsidRDefault="001320FC" w:rsidP="00C3651B">
            <w:pPr>
              <w:rPr>
                <w:bCs/>
                <w:iCs/>
                <w:color w:val="333333"/>
                <w:szCs w:val="22"/>
                <w:lang w:val="fr-FR"/>
              </w:rPr>
            </w:pPr>
          </w:p>
        </w:tc>
        <w:tc>
          <w:tcPr>
            <w:tcW w:w="1410" w:type="dxa"/>
            <w:shd w:val="clear" w:color="auto" w:fill="auto"/>
          </w:tcPr>
          <w:p w:rsidR="001320FC" w:rsidRPr="00927778" w:rsidRDefault="001D4D2F" w:rsidP="001D4D2F">
            <w:pPr>
              <w:jc w:val="center"/>
              <w:rPr>
                <w:b/>
                <w:color w:val="333333"/>
                <w:szCs w:val="22"/>
                <w:lang w:val="fr-FR"/>
              </w:rPr>
            </w:pPr>
            <w:r w:rsidRPr="00927778">
              <w:rPr>
                <w:color w:val="333333"/>
                <w:szCs w:val="22"/>
                <w:lang w:val="fr-FR"/>
              </w:rPr>
              <w:t>1</w:t>
            </w:r>
            <w:r w:rsidRPr="00927778">
              <w:rPr>
                <w:color w:val="333333"/>
                <w:szCs w:val="22"/>
                <w:vertAlign w:val="superscript"/>
                <w:lang w:val="fr-FR"/>
              </w:rPr>
              <w:t>er</w:t>
            </w:r>
          </w:p>
        </w:tc>
        <w:tc>
          <w:tcPr>
            <w:tcW w:w="1415" w:type="dxa"/>
            <w:shd w:val="clear" w:color="auto" w:fill="auto"/>
          </w:tcPr>
          <w:p w:rsidR="001320FC" w:rsidRPr="00927778" w:rsidRDefault="001D4D2F" w:rsidP="001D4D2F">
            <w:pPr>
              <w:jc w:val="center"/>
              <w:rPr>
                <w:b/>
                <w:color w:val="333333"/>
                <w:szCs w:val="22"/>
                <w:lang w:val="fr-FR"/>
              </w:rPr>
            </w:pPr>
            <w:r w:rsidRPr="00927778">
              <w:rPr>
                <w:color w:val="333333"/>
                <w:szCs w:val="22"/>
                <w:lang w:val="fr-FR"/>
              </w:rPr>
              <w:t>2</w:t>
            </w:r>
            <w:r w:rsidRPr="00927778">
              <w:rPr>
                <w:color w:val="333333"/>
                <w:szCs w:val="22"/>
                <w:vertAlign w:val="superscript"/>
                <w:lang w:val="fr-FR"/>
              </w:rPr>
              <w:t>e</w:t>
            </w:r>
          </w:p>
        </w:tc>
        <w:tc>
          <w:tcPr>
            <w:tcW w:w="1412" w:type="dxa"/>
            <w:shd w:val="clear" w:color="auto" w:fill="auto"/>
          </w:tcPr>
          <w:p w:rsidR="001320FC" w:rsidRPr="00927778" w:rsidRDefault="001D4D2F" w:rsidP="001D4D2F">
            <w:pPr>
              <w:jc w:val="center"/>
              <w:rPr>
                <w:b/>
                <w:color w:val="333333"/>
                <w:szCs w:val="22"/>
                <w:lang w:val="fr-FR"/>
              </w:rPr>
            </w:pPr>
            <w:r w:rsidRPr="00927778">
              <w:rPr>
                <w:color w:val="333333"/>
                <w:szCs w:val="22"/>
                <w:lang w:val="fr-FR"/>
              </w:rPr>
              <w:t>3</w:t>
            </w:r>
            <w:r w:rsidRPr="00927778">
              <w:rPr>
                <w:color w:val="333333"/>
                <w:szCs w:val="22"/>
                <w:vertAlign w:val="superscript"/>
                <w:lang w:val="fr-FR"/>
              </w:rPr>
              <w:t>e</w:t>
            </w:r>
          </w:p>
        </w:tc>
        <w:tc>
          <w:tcPr>
            <w:tcW w:w="1412" w:type="dxa"/>
            <w:shd w:val="clear" w:color="auto" w:fill="auto"/>
          </w:tcPr>
          <w:p w:rsidR="001320FC" w:rsidRPr="00927778" w:rsidRDefault="001D4D2F" w:rsidP="001D4D2F">
            <w:pPr>
              <w:jc w:val="center"/>
              <w:rPr>
                <w:b/>
                <w:color w:val="333333"/>
                <w:szCs w:val="22"/>
                <w:lang w:val="fr-FR"/>
              </w:rPr>
            </w:pPr>
            <w:r w:rsidRPr="00927778">
              <w:rPr>
                <w:color w:val="333333"/>
                <w:szCs w:val="22"/>
                <w:lang w:val="fr-FR"/>
              </w:rPr>
              <w:t>4</w:t>
            </w:r>
            <w:r w:rsidRPr="00927778">
              <w:rPr>
                <w:color w:val="333333"/>
                <w:szCs w:val="22"/>
                <w:vertAlign w:val="superscript"/>
                <w:lang w:val="fr-FR"/>
              </w:rPr>
              <w:t>e</w:t>
            </w:r>
          </w:p>
        </w:tc>
        <w:tc>
          <w:tcPr>
            <w:tcW w:w="1412" w:type="dxa"/>
          </w:tcPr>
          <w:p w:rsidR="001320FC" w:rsidRPr="00927778" w:rsidRDefault="001D4D2F" w:rsidP="001D4D2F">
            <w:pPr>
              <w:jc w:val="center"/>
              <w:rPr>
                <w:b/>
                <w:color w:val="333333"/>
                <w:szCs w:val="22"/>
                <w:lang w:val="fr-FR"/>
              </w:rPr>
            </w:pPr>
            <w:r w:rsidRPr="00927778">
              <w:rPr>
                <w:color w:val="333333"/>
                <w:szCs w:val="22"/>
                <w:lang w:val="fr-FR"/>
              </w:rPr>
              <w:t>1</w:t>
            </w:r>
            <w:r w:rsidRPr="00927778">
              <w:rPr>
                <w:color w:val="333333"/>
                <w:szCs w:val="22"/>
                <w:vertAlign w:val="superscript"/>
                <w:lang w:val="fr-FR"/>
              </w:rPr>
              <w:t>er</w:t>
            </w:r>
            <w:r w:rsidR="001320FC" w:rsidRPr="00927778">
              <w:rPr>
                <w:b/>
                <w:color w:val="333333"/>
                <w:szCs w:val="22"/>
                <w:lang w:val="fr-FR"/>
              </w:rPr>
              <w:t xml:space="preserve"> </w:t>
            </w:r>
          </w:p>
        </w:tc>
        <w:tc>
          <w:tcPr>
            <w:tcW w:w="1412" w:type="dxa"/>
          </w:tcPr>
          <w:p w:rsidR="001320FC" w:rsidRPr="00927778" w:rsidRDefault="001D4D2F" w:rsidP="001D4D2F">
            <w:pPr>
              <w:jc w:val="center"/>
              <w:rPr>
                <w:b/>
                <w:color w:val="333333"/>
                <w:szCs w:val="22"/>
                <w:lang w:val="fr-FR"/>
              </w:rPr>
            </w:pPr>
            <w:r w:rsidRPr="00927778">
              <w:rPr>
                <w:color w:val="333333"/>
                <w:szCs w:val="22"/>
                <w:lang w:val="fr-FR"/>
              </w:rPr>
              <w:t>2</w:t>
            </w:r>
            <w:r w:rsidRPr="00927778">
              <w:rPr>
                <w:color w:val="333333"/>
                <w:szCs w:val="22"/>
                <w:vertAlign w:val="superscript"/>
                <w:lang w:val="fr-FR"/>
              </w:rPr>
              <w:t>e</w:t>
            </w:r>
            <w:r w:rsidR="001320FC" w:rsidRPr="00927778">
              <w:rPr>
                <w:b/>
                <w:color w:val="333333"/>
                <w:szCs w:val="22"/>
                <w:vertAlign w:val="superscript"/>
                <w:lang w:val="fr-FR"/>
              </w:rPr>
              <w:t xml:space="preserve"> </w:t>
            </w:r>
          </w:p>
        </w:tc>
      </w:tr>
      <w:tr w:rsidR="00927778" w:rsidRPr="00927778" w:rsidTr="00C3651B">
        <w:tc>
          <w:tcPr>
            <w:tcW w:w="2876" w:type="dxa"/>
            <w:shd w:val="clear" w:color="auto" w:fill="auto"/>
          </w:tcPr>
          <w:p w:rsidR="001320FC" w:rsidRPr="00927778" w:rsidRDefault="00A7530A" w:rsidP="00C3651B">
            <w:pPr>
              <w:rPr>
                <w:bCs/>
                <w:iCs/>
                <w:color w:val="333333"/>
                <w:szCs w:val="22"/>
                <w:lang w:val="fr-FR"/>
              </w:rPr>
            </w:pPr>
            <w:r w:rsidRPr="00927778">
              <w:rPr>
                <w:color w:val="333333"/>
                <w:szCs w:val="22"/>
                <w:lang w:val="fr-FR"/>
              </w:rPr>
              <w:t>Finalisation des guides</w:t>
            </w:r>
          </w:p>
        </w:tc>
        <w:tc>
          <w:tcPr>
            <w:tcW w:w="1410"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5"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shd w:val="clear" w:color="auto" w:fill="auto"/>
          </w:tcPr>
          <w:p w:rsidR="001320FC" w:rsidRPr="00927778" w:rsidRDefault="001320FC" w:rsidP="00C3651B">
            <w:pPr>
              <w:jc w:val="center"/>
              <w:rPr>
                <w:b/>
                <w:color w:val="333333"/>
                <w:szCs w:val="22"/>
                <w:lang w:val="fr-FR"/>
              </w:rPr>
            </w:pPr>
            <w:r w:rsidRPr="00927778">
              <w:rPr>
                <w:bCs/>
                <w:iCs/>
                <w:color w:val="333333"/>
                <w:szCs w:val="22"/>
                <w:lang w:val="fr-FR"/>
              </w:rPr>
              <w:t>x</w:t>
            </w:r>
          </w:p>
        </w:tc>
        <w:tc>
          <w:tcPr>
            <w:tcW w:w="1412" w:type="dxa"/>
            <w:shd w:val="clear" w:color="auto" w:fill="auto"/>
          </w:tcPr>
          <w:p w:rsidR="001320FC" w:rsidRPr="00927778" w:rsidRDefault="001320FC" w:rsidP="00C3651B">
            <w:pPr>
              <w:jc w:val="center"/>
              <w:rPr>
                <w:b/>
                <w:color w:val="333333"/>
                <w:szCs w:val="22"/>
                <w:lang w:val="fr-FR"/>
              </w:rPr>
            </w:pPr>
          </w:p>
        </w:tc>
        <w:tc>
          <w:tcPr>
            <w:tcW w:w="1412" w:type="dxa"/>
            <w:vAlign w:val="center"/>
          </w:tcPr>
          <w:p w:rsidR="001320FC" w:rsidRPr="00927778" w:rsidRDefault="001320FC" w:rsidP="00C3651B">
            <w:pPr>
              <w:jc w:val="center"/>
              <w:rPr>
                <w:b/>
                <w:color w:val="333333"/>
                <w:szCs w:val="22"/>
                <w:lang w:val="fr-FR"/>
              </w:rPr>
            </w:pPr>
          </w:p>
        </w:tc>
        <w:tc>
          <w:tcPr>
            <w:tcW w:w="1412" w:type="dxa"/>
            <w:vAlign w:val="center"/>
          </w:tcPr>
          <w:p w:rsidR="001320FC" w:rsidRPr="00927778" w:rsidRDefault="001320FC" w:rsidP="00C3651B">
            <w:pPr>
              <w:jc w:val="center"/>
              <w:rPr>
                <w:b/>
                <w:color w:val="333333"/>
                <w:szCs w:val="22"/>
                <w:lang w:val="fr-FR"/>
              </w:rPr>
            </w:pPr>
          </w:p>
        </w:tc>
      </w:tr>
      <w:tr w:rsidR="00927778" w:rsidRPr="00927778" w:rsidTr="00C3651B">
        <w:tc>
          <w:tcPr>
            <w:tcW w:w="2876" w:type="dxa"/>
            <w:shd w:val="clear" w:color="auto" w:fill="auto"/>
          </w:tcPr>
          <w:p w:rsidR="001320FC" w:rsidRPr="00927778" w:rsidRDefault="00A7530A" w:rsidP="00A7530A">
            <w:pPr>
              <w:rPr>
                <w:color w:val="333333"/>
                <w:szCs w:val="22"/>
                <w:lang w:val="fr-FR"/>
              </w:rPr>
            </w:pPr>
            <w:r w:rsidRPr="00927778">
              <w:rPr>
                <w:color w:val="333333"/>
                <w:szCs w:val="22"/>
                <w:lang w:val="fr-FR"/>
              </w:rPr>
              <w:t>Pré</w:t>
            </w:r>
            <w:r w:rsidR="001320FC" w:rsidRPr="00927778">
              <w:rPr>
                <w:color w:val="333333"/>
                <w:szCs w:val="22"/>
                <w:lang w:val="fr-FR"/>
              </w:rPr>
              <w:t xml:space="preserve">paration </w:t>
            </w:r>
            <w:r w:rsidRPr="00927778">
              <w:rPr>
                <w:color w:val="333333"/>
                <w:szCs w:val="22"/>
                <w:lang w:val="fr-FR"/>
              </w:rPr>
              <w:t>du matériel de formation</w:t>
            </w:r>
          </w:p>
        </w:tc>
        <w:tc>
          <w:tcPr>
            <w:tcW w:w="1410" w:type="dxa"/>
            <w:shd w:val="clear" w:color="auto" w:fill="auto"/>
            <w:vAlign w:val="center"/>
          </w:tcPr>
          <w:p w:rsidR="001320FC" w:rsidRPr="00927778" w:rsidRDefault="001320FC" w:rsidP="00C3651B">
            <w:pPr>
              <w:jc w:val="center"/>
              <w:rPr>
                <w:bCs/>
                <w:iCs/>
                <w:color w:val="333333"/>
                <w:szCs w:val="22"/>
                <w:lang w:val="fr-FR"/>
              </w:rPr>
            </w:pPr>
          </w:p>
        </w:tc>
        <w:tc>
          <w:tcPr>
            <w:tcW w:w="1415"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shd w:val="clear" w:color="auto" w:fill="auto"/>
            <w:vAlign w:val="center"/>
          </w:tcPr>
          <w:p w:rsidR="001320FC" w:rsidRPr="00927778" w:rsidRDefault="001320FC" w:rsidP="00C3651B">
            <w:pPr>
              <w:jc w:val="center"/>
              <w:rPr>
                <w:color w:val="333333"/>
                <w:szCs w:val="22"/>
                <w:lang w:val="fr-FR"/>
              </w:rPr>
            </w:pPr>
            <w:r w:rsidRPr="00927778">
              <w:rPr>
                <w:color w:val="333333"/>
                <w:szCs w:val="22"/>
                <w:lang w:val="fr-FR"/>
              </w:rPr>
              <w:t>X</w:t>
            </w:r>
          </w:p>
        </w:tc>
        <w:tc>
          <w:tcPr>
            <w:tcW w:w="1412" w:type="dxa"/>
            <w:shd w:val="clear" w:color="auto" w:fill="auto"/>
            <w:vAlign w:val="center"/>
          </w:tcPr>
          <w:p w:rsidR="001320FC" w:rsidRPr="00927778" w:rsidRDefault="001320FC" w:rsidP="00C3651B">
            <w:pPr>
              <w:jc w:val="center"/>
              <w:rPr>
                <w:b/>
                <w:color w:val="333333"/>
                <w:szCs w:val="22"/>
                <w:lang w:val="fr-FR"/>
              </w:rPr>
            </w:pPr>
          </w:p>
        </w:tc>
        <w:tc>
          <w:tcPr>
            <w:tcW w:w="1412" w:type="dxa"/>
            <w:vAlign w:val="center"/>
          </w:tcPr>
          <w:p w:rsidR="001320FC" w:rsidRPr="00927778" w:rsidRDefault="001320FC" w:rsidP="00C3651B">
            <w:pPr>
              <w:jc w:val="center"/>
              <w:rPr>
                <w:b/>
                <w:color w:val="333333"/>
                <w:szCs w:val="22"/>
                <w:lang w:val="fr-FR"/>
              </w:rPr>
            </w:pPr>
          </w:p>
        </w:tc>
        <w:tc>
          <w:tcPr>
            <w:tcW w:w="1412" w:type="dxa"/>
            <w:vAlign w:val="center"/>
          </w:tcPr>
          <w:p w:rsidR="001320FC" w:rsidRPr="00927778" w:rsidRDefault="001320FC" w:rsidP="00C3651B">
            <w:pPr>
              <w:jc w:val="center"/>
              <w:rPr>
                <w:b/>
                <w:color w:val="333333"/>
                <w:szCs w:val="22"/>
                <w:lang w:val="fr-FR"/>
              </w:rPr>
            </w:pPr>
          </w:p>
        </w:tc>
      </w:tr>
      <w:tr w:rsidR="00927778" w:rsidRPr="00927778" w:rsidTr="00C3651B">
        <w:tc>
          <w:tcPr>
            <w:tcW w:w="2876" w:type="dxa"/>
            <w:shd w:val="clear" w:color="auto" w:fill="auto"/>
          </w:tcPr>
          <w:p w:rsidR="001320FC" w:rsidRPr="00927778" w:rsidRDefault="001320FC" w:rsidP="00A7530A">
            <w:pPr>
              <w:rPr>
                <w:color w:val="333333"/>
                <w:szCs w:val="22"/>
                <w:lang w:val="fr-FR"/>
              </w:rPr>
            </w:pPr>
            <w:r w:rsidRPr="00927778">
              <w:rPr>
                <w:color w:val="333333"/>
                <w:szCs w:val="22"/>
                <w:lang w:val="fr-FR"/>
              </w:rPr>
              <w:t>Tra</w:t>
            </w:r>
            <w:r w:rsidR="00A7530A" w:rsidRPr="00927778">
              <w:rPr>
                <w:color w:val="333333"/>
                <w:szCs w:val="22"/>
                <w:lang w:val="fr-FR"/>
              </w:rPr>
              <w:t>duct</w:t>
            </w:r>
            <w:r w:rsidRPr="00927778">
              <w:rPr>
                <w:color w:val="333333"/>
                <w:szCs w:val="22"/>
                <w:lang w:val="fr-FR"/>
              </w:rPr>
              <w:t xml:space="preserve">ion </w:t>
            </w:r>
            <w:r w:rsidR="00A7530A" w:rsidRPr="00927778">
              <w:rPr>
                <w:color w:val="333333"/>
                <w:szCs w:val="22"/>
                <w:lang w:val="fr-FR"/>
              </w:rPr>
              <w:t>et</w:t>
            </w:r>
            <w:r w:rsidRPr="00927778">
              <w:rPr>
                <w:color w:val="333333"/>
                <w:szCs w:val="22"/>
                <w:lang w:val="fr-FR"/>
              </w:rPr>
              <w:t xml:space="preserve"> di</w:t>
            </w:r>
            <w:r w:rsidR="00A7530A" w:rsidRPr="00927778">
              <w:rPr>
                <w:color w:val="333333"/>
                <w:szCs w:val="22"/>
                <w:lang w:val="fr-FR"/>
              </w:rPr>
              <w:t>ffus</w:t>
            </w:r>
            <w:r w:rsidRPr="00927778">
              <w:rPr>
                <w:color w:val="333333"/>
                <w:szCs w:val="22"/>
                <w:lang w:val="fr-FR"/>
              </w:rPr>
              <w:t xml:space="preserve">ion </w:t>
            </w:r>
            <w:r w:rsidR="00A7530A" w:rsidRPr="00927778">
              <w:rPr>
                <w:color w:val="333333"/>
                <w:szCs w:val="22"/>
                <w:lang w:val="fr-FR"/>
              </w:rPr>
              <w:t xml:space="preserve">des </w:t>
            </w:r>
            <w:r w:rsidRPr="00927778">
              <w:rPr>
                <w:color w:val="333333"/>
                <w:szCs w:val="22"/>
                <w:lang w:val="fr-FR"/>
              </w:rPr>
              <w:t>guides</w:t>
            </w:r>
          </w:p>
        </w:tc>
        <w:tc>
          <w:tcPr>
            <w:tcW w:w="1410" w:type="dxa"/>
            <w:shd w:val="clear" w:color="auto" w:fill="auto"/>
            <w:vAlign w:val="center"/>
          </w:tcPr>
          <w:p w:rsidR="001320FC" w:rsidRPr="00927778" w:rsidRDefault="001320FC" w:rsidP="00C3651B">
            <w:pPr>
              <w:jc w:val="center"/>
              <w:rPr>
                <w:bCs/>
                <w:iCs/>
                <w:color w:val="333333"/>
                <w:szCs w:val="22"/>
                <w:lang w:val="fr-FR"/>
              </w:rPr>
            </w:pPr>
          </w:p>
        </w:tc>
        <w:tc>
          <w:tcPr>
            <w:tcW w:w="1415" w:type="dxa"/>
            <w:shd w:val="clear" w:color="auto" w:fill="auto"/>
            <w:vAlign w:val="center"/>
          </w:tcPr>
          <w:p w:rsidR="001320FC" w:rsidRPr="00927778" w:rsidRDefault="001320FC" w:rsidP="00C3651B">
            <w:pPr>
              <w:jc w:val="center"/>
              <w:rPr>
                <w:bCs/>
                <w:iCs/>
                <w:color w:val="333333"/>
                <w:szCs w:val="22"/>
                <w:lang w:val="fr-FR"/>
              </w:rPr>
            </w:pPr>
          </w:p>
        </w:tc>
        <w:tc>
          <w:tcPr>
            <w:tcW w:w="1412"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r>
      <w:tr w:rsidR="00927778" w:rsidRPr="00927778" w:rsidTr="00C3651B">
        <w:tc>
          <w:tcPr>
            <w:tcW w:w="2876" w:type="dxa"/>
            <w:shd w:val="clear" w:color="auto" w:fill="auto"/>
          </w:tcPr>
          <w:p w:rsidR="001320FC" w:rsidRPr="00927778" w:rsidRDefault="00AE0CE9" w:rsidP="00AE0CE9">
            <w:pPr>
              <w:rPr>
                <w:color w:val="333333"/>
                <w:szCs w:val="22"/>
                <w:lang w:val="fr-FR"/>
              </w:rPr>
            </w:pPr>
            <w:r w:rsidRPr="00927778">
              <w:rPr>
                <w:color w:val="333333"/>
                <w:szCs w:val="22"/>
                <w:lang w:val="fr-FR"/>
              </w:rPr>
              <w:t>Assistance technique aux réseaux</w:t>
            </w:r>
            <w:r w:rsidR="00EA2C86" w:rsidRPr="00927778">
              <w:rPr>
                <w:color w:val="333333"/>
                <w:szCs w:val="22"/>
                <w:lang w:val="fr-FR"/>
              </w:rPr>
              <w:t xml:space="preserve"> des CAT</w:t>
            </w:r>
            <w:r w:rsidRPr="00927778">
              <w:rPr>
                <w:color w:val="333333"/>
                <w:szCs w:val="22"/>
                <w:lang w:val="fr-FR"/>
              </w:rPr>
              <w:t>I, notamment au moyen d</w:t>
            </w:r>
            <w:r w:rsidR="00EA2C86" w:rsidRPr="00927778">
              <w:rPr>
                <w:color w:val="333333"/>
                <w:szCs w:val="22"/>
                <w:lang w:val="fr-FR"/>
              </w:rPr>
              <w:t>’</w:t>
            </w:r>
            <w:r w:rsidRPr="00927778">
              <w:rPr>
                <w:color w:val="333333"/>
                <w:szCs w:val="22"/>
                <w:lang w:val="fr-FR"/>
              </w:rPr>
              <w:t>ateliers sur les expériences et les meilleures pratiques</w:t>
            </w:r>
            <w:r w:rsidR="001320FC" w:rsidRPr="00927778">
              <w:rPr>
                <w:color w:val="333333"/>
                <w:szCs w:val="22"/>
                <w:lang w:val="fr-FR"/>
              </w:rPr>
              <w:t xml:space="preserve"> </w:t>
            </w:r>
          </w:p>
        </w:tc>
        <w:tc>
          <w:tcPr>
            <w:tcW w:w="1410" w:type="dxa"/>
            <w:shd w:val="clear" w:color="auto" w:fill="auto"/>
            <w:vAlign w:val="center"/>
          </w:tcPr>
          <w:p w:rsidR="001320FC" w:rsidRPr="00927778" w:rsidRDefault="001320FC" w:rsidP="00C3651B">
            <w:pPr>
              <w:jc w:val="center"/>
              <w:rPr>
                <w:bCs/>
                <w:iCs/>
                <w:color w:val="333333"/>
                <w:szCs w:val="22"/>
                <w:lang w:val="fr-FR"/>
              </w:rPr>
            </w:pPr>
          </w:p>
        </w:tc>
        <w:tc>
          <w:tcPr>
            <w:tcW w:w="1415" w:type="dxa"/>
            <w:shd w:val="clear" w:color="auto" w:fill="auto"/>
            <w:vAlign w:val="center"/>
          </w:tcPr>
          <w:p w:rsidR="001320FC" w:rsidRPr="00927778" w:rsidRDefault="001320FC" w:rsidP="00C3651B">
            <w:pPr>
              <w:jc w:val="center"/>
              <w:rPr>
                <w:bCs/>
                <w:iCs/>
                <w:color w:val="333333"/>
                <w:szCs w:val="22"/>
                <w:lang w:val="fr-FR"/>
              </w:rPr>
            </w:pPr>
          </w:p>
        </w:tc>
        <w:tc>
          <w:tcPr>
            <w:tcW w:w="1412"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r>
      <w:tr w:rsidR="00047C22" w:rsidRPr="00927778" w:rsidTr="00C3651B">
        <w:tc>
          <w:tcPr>
            <w:tcW w:w="2876" w:type="dxa"/>
            <w:shd w:val="clear" w:color="auto" w:fill="auto"/>
          </w:tcPr>
          <w:p w:rsidR="001320FC" w:rsidRPr="00927778" w:rsidRDefault="00AE0CE9" w:rsidP="00C3651B">
            <w:pPr>
              <w:rPr>
                <w:color w:val="333333"/>
                <w:szCs w:val="22"/>
                <w:lang w:val="fr-FR"/>
              </w:rPr>
            </w:pPr>
            <w:r w:rsidRPr="00927778">
              <w:rPr>
                <w:color w:val="333333"/>
                <w:szCs w:val="22"/>
                <w:lang w:val="fr-FR"/>
              </w:rPr>
              <w:t>Élaboration du portail sur la situation juridique et mise à jour du contenu</w:t>
            </w:r>
          </w:p>
        </w:tc>
        <w:tc>
          <w:tcPr>
            <w:tcW w:w="1410"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5"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shd w:val="clear" w:color="auto" w:fill="auto"/>
            <w:vAlign w:val="center"/>
          </w:tcPr>
          <w:p w:rsidR="001320FC" w:rsidRPr="00927778" w:rsidRDefault="001320FC" w:rsidP="00C3651B">
            <w:pPr>
              <w:jc w:val="center"/>
              <w:rPr>
                <w:bCs/>
                <w:iCs/>
                <w:color w:val="333333"/>
                <w:szCs w:val="22"/>
                <w:lang w:val="fr-FR"/>
              </w:rPr>
            </w:pPr>
            <w:r w:rsidRPr="00927778">
              <w:rPr>
                <w:bCs/>
                <w:iCs/>
                <w:color w:val="333333"/>
                <w:szCs w:val="22"/>
                <w:lang w:val="fr-FR"/>
              </w:rPr>
              <w:t>x</w:t>
            </w:r>
          </w:p>
        </w:tc>
        <w:tc>
          <w:tcPr>
            <w:tcW w:w="1412" w:type="dxa"/>
            <w:vAlign w:val="center"/>
          </w:tcPr>
          <w:p w:rsidR="001320FC" w:rsidRPr="00927778" w:rsidRDefault="001320FC" w:rsidP="00C3651B">
            <w:pPr>
              <w:jc w:val="center"/>
              <w:rPr>
                <w:bCs/>
                <w:iCs/>
                <w:color w:val="333333"/>
                <w:szCs w:val="22"/>
                <w:lang w:val="fr-FR"/>
              </w:rPr>
            </w:pPr>
          </w:p>
        </w:tc>
        <w:tc>
          <w:tcPr>
            <w:tcW w:w="1412" w:type="dxa"/>
            <w:vAlign w:val="center"/>
          </w:tcPr>
          <w:p w:rsidR="001320FC" w:rsidRPr="00927778" w:rsidRDefault="001320FC" w:rsidP="00C3651B">
            <w:pPr>
              <w:jc w:val="center"/>
              <w:rPr>
                <w:bCs/>
                <w:iCs/>
                <w:color w:val="333333"/>
                <w:szCs w:val="22"/>
                <w:lang w:val="fr-FR"/>
              </w:rPr>
            </w:pPr>
          </w:p>
        </w:tc>
      </w:tr>
    </w:tbl>
    <w:p w:rsidR="005E6718" w:rsidRPr="00927778" w:rsidRDefault="005E6718" w:rsidP="001320FC">
      <w:pPr>
        <w:rPr>
          <w:color w:val="333333"/>
          <w:szCs w:val="22"/>
          <w:lang w:val="fr-FR"/>
        </w:rPr>
      </w:pPr>
    </w:p>
    <w:p w:rsidR="00156E32" w:rsidRPr="00927778" w:rsidRDefault="00156E32" w:rsidP="00EA1A2E">
      <w:pPr>
        <w:numPr>
          <w:ilvl w:val="0"/>
          <w:numId w:val="20"/>
        </w:numPr>
        <w:rPr>
          <w:bCs/>
          <w:iCs/>
          <w:color w:val="333333"/>
          <w:szCs w:val="22"/>
          <w:lang w:val="fr-FR"/>
        </w:rPr>
        <w:sectPr w:rsidR="00156E32" w:rsidRPr="00927778" w:rsidSect="00047C22">
          <w:headerReference w:type="default" r:id="rId14"/>
          <w:headerReference w:type="first" r:id="rId15"/>
          <w:pgSz w:w="11906" w:h="16840" w:code="9"/>
          <w:pgMar w:top="567" w:right="1134" w:bottom="1417" w:left="1417" w:header="510" w:footer="1020" w:gutter="0"/>
          <w:pgNumType w:start="1"/>
          <w:cols w:space="720"/>
          <w:titlePg/>
          <w:docGrid w:linePitch="299"/>
        </w:sectPr>
      </w:pPr>
    </w:p>
    <w:p w:rsidR="005E6718" w:rsidRPr="00927778" w:rsidRDefault="00271BB6" w:rsidP="00EA1A2E">
      <w:pPr>
        <w:numPr>
          <w:ilvl w:val="0"/>
          <w:numId w:val="20"/>
        </w:numPr>
        <w:rPr>
          <w:bCs/>
          <w:iCs/>
          <w:color w:val="333333"/>
          <w:szCs w:val="22"/>
          <w:lang w:val="fr-FR"/>
        </w:rPr>
      </w:pPr>
      <w:r w:rsidRPr="00927778">
        <w:rPr>
          <w:bCs/>
          <w:iCs/>
          <w:color w:val="333333"/>
          <w:szCs w:val="22"/>
          <w:lang w:val="fr-FR"/>
        </w:rPr>
        <w:t>ALLOCATION RÉVISÉE DES RESSOURCES PAR PRODUIT</w:t>
      </w:r>
      <w:r w:rsidR="001320FC" w:rsidRPr="00927778">
        <w:rPr>
          <w:rStyle w:val="FootnoteReference"/>
          <w:bCs/>
          <w:iCs/>
          <w:color w:val="333333"/>
          <w:szCs w:val="22"/>
          <w:lang w:val="fr-FR"/>
        </w:rPr>
        <w:footnoteReference w:id="5"/>
      </w:r>
    </w:p>
    <w:p w:rsidR="005E6718" w:rsidRPr="00636673" w:rsidRDefault="005E6718" w:rsidP="001320FC">
      <w:pPr>
        <w:ind w:hanging="142"/>
        <w:rPr>
          <w:color w:val="333333"/>
          <w:sz w:val="14"/>
          <w:szCs w:val="22"/>
          <w:lang w:val="fr-FR"/>
        </w:rPr>
      </w:pPr>
    </w:p>
    <w:p w:rsidR="001320FC" w:rsidRPr="00636673" w:rsidRDefault="001D4D2F" w:rsidP="001D4D2F">
      <w:pPr>
        <w:ind w:hanging="142"/>
        <w:rPr>
          <w:color w:val="333333"/>
          <w:szCs w:val="22"/>
          <w:lang w:val="fr-FR"/>
        </w:rPr>
      </w:pPr>
      <w:r w:rsidRPr="00636673">
        <w:rPr>
          <w:color w:val="333333"/>
          <w:szCs w:val="22"/>
          <w:lang w:val="fr-FR"/>
        </w:rPr>
        <w:t xml:space="preserve">a) Exercice </w:t>
      </w:r>
      <w:r w:rsidR="00EA2C86" w:rsidRPr="00636673">
        <w:rPr>
          <w:color w:val="333333"/>
          <w:szCs w:val="22"/>
          <w:lang w:val="fr-FR"/>
        </w:rPr>
        <w:t>biennal 2016</w:t>
      </w:r>
      <w:r w:rsidR="00CB5AE0" w:rsidRPr="00636673">
        <w:rPr>
          <w:color w:val="333333"/>
          <w:szCs w:val="22"/>
          <w:lang w:val="fr-FR"/>
        </w:rPr>
        <w:noBreakHyphen/>
      </w:r>
      <w:r w:rsidRPr="00636673">
        <w:rPr>
          <w:color w:val="333333"/>
          <w:szCs w:val="22"/>
          <w:lang w:val="fr-FR"/>
        </w:rPr>
        <w:t>2017</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417"/>
        <w:gridCol w:w="1418"/>
        <w:gridCol w:w="1417"/>
        <w:gridCol w:w="1559"/>
        <w:gridCol w:w="1418"/>
        <w:gridCol w:w="1559"/>
        <w:gridCol w:w="1072"/>
      </w:tblGrid>
      <w:tr w:rsidR="00047C22" w:rsidRPr="00927778" w:rsidTr="00636673">
        <w:tc>
          <w:tcPr>
            <w:tcW w:w="5070" w:type="dxa"/>
            <w:shd w:val="clear" w:color="auto" w:fill="auto"/>
          </w:tcPr>
          <w:p w:rsidR="001320FC" w:rsidRPr="00927778" w:rsidRDefault="001320FC" w:rsidP="00C3651B">
            <w:pPr>
              <w:rPr>
                <w:color w:val="333333"/>
                <w:szCs w:val="22"/>
                <w:lang w:val="fr-FR"/>
              </w:rPr>
            </w:pPr>
          </w:p>
        </w:tc>
        <w:tc>
          <w:tcPr>
            <w:tcW w:w="9860" w:type="dxa"/>
            <w:gridSpan w:val="7"/>
            <w:shd w:val="clear" w:color="auto" w:fill="auto"/>
          </w:tcPr>
          <w:p w:rsidR="001320FC" w:rsidRPr="00927778" w:rsidRDefault="001D4D2F" w:rsidP="001D4D2F">
            <w:pPr>
              <w:jc w:val="center"/>
              <w:rPr>
                <w:i/>
                <w:color w:val="333333"/>
                <w:szCs w:val="22"/>
                <w:lang w:val="fr-FR"/>
              </w:rPr>
            </w:pPr>
            <w:r w:rsidRPr="00927778">
              <w:rPr>
                <w:i/>
                <w:color w:val="333333"/>
                <w:szCs w:val="22"/>
                <w:lang w:val="fr-FR"/>
              </w:rPr>
              <w:t>(en francs suisses</w:t>
            </w:r>
            <w:r w:rsidRPr="00927778">
              <w:rPr>
                <w:color w:val="333333"/>
                <w:szCs w:val="22"/>
                <w:lang w:val="fr-FR"/>
              </w:rPr>
              <w:t>)</w:t>
            </w:r>
          </w:p>
        </w:tc>
      </w:tr>
      <w:tr w:rsidR="00047C22" w:rsidRPr="00927778" w:rsidTr="00636673">
        <w:tc>
          <w:tcPr>
            <w:tcW w:w="5070" w:type="dxa"/>
            <w:shd w:val="clear" w:color="auto" w:fill="auto"/>
          </w:tcPr>
          <w:p w:rsidR="001320FC" w:rsidRPr="00927778" w:rsidRDefault="001D4D2F" w:rsidP="001D4D2F">
            <w:pPr>
              <w:rPr>
                <w:b/>
                <w:color w:val="333333"/>
                <w:szCs w:val="22"/>
                <w:lang w:val="fr-FR"/>
              </w:rPr>
            </w:pPr>
            <w:r w:rsidRPr="00927778">
              <w:rPr>
                <w:b/>
                <w:color w:val="333333"/>
                <w:szCs w:val="22"/>
                <w:lang w:val="fr-FR"/>
              </w:rPr>
              <w:t>Produits du projet</w:t>
            </w:r>
          </w:p>
        </w:tc>
        <w:tc>
          <w:tcPr>
            <w:tcW w:w="2835" w:type="dxa"/>
            <w:gridSpan w:val="2"/>
            <w:shd w:val="clear" w:color="auto" w:fill="auto"/>
          </w:tcPr>
          <w:p w:rsidR="001320FC" w:rsidRPr="00927778" w:rsidRDefault="001320FC" w:rsidP="00C3651B">
            <w:pPr>
              <w:jc w:val="center"/>
              <w:rPr>
                <w:b/>
                <w:color w:val="333333"/>
                <w:szCs w:val="22"/>
                <w:lang w:val="fr-FR"/>
              </w:rPr>
            </w:pPr>
            <w:r w:rsidRPr="00927778">
              <w:rPr>
                <w:b/>
                <w:color w:val="333333"/>
                <w:szCs w:val="22"/>
                <w:lang w:val="fr-FR"/>
              </w:rPr>
              <w:t>2016</w:t>
            </w:r>
          </w:p>
        </w:tc>
        <w:tc>
          <w:tcPr>
            <w:tcW w:w="2976" w:type="dxa"/>
            <w:gridSpan w:val="2"/>
            <w:shd w:val="clear" w:color="auto" w:fill="auto"/>
          </w:tcPr>
          <w:p w:rsidR="001320FC" w:rsidRPr="00927778" w:rsidRDefault="001320FC" w:rsidP="00C3651B">
            <w:pPr>
              <w:jc w:val="center"/>
              <w:rPr>
                <w:b/>
                <w:color w:val="333333"/>
                <w:szCs w:val="22"/>
                <w:lang w:val="fr-FR"/>
              </w:rPr>
            </w:pPr>
            <w:r w:rsidRPr="00927778">
              <w:rPr>
                <w:b/>
                <w:color w:val="333333"/>
                <w:szCs w:val="22"/>
                <w:lang w:val="fr-FR"/>
              </w:rPr>
              <w:t>2017</w:t>
            </w:r>
          </w:p>
        </w:tc>
        <w:tc>
          <w:tcPr>
            <w:tcW w:w="2977" w:type="dxa"/>
            <w:gridSpan w:val="2"/>
            <w:shd w:val="clear" w:color="auto" w:fill="auto"/>
          </w:tcPr>
          <w:p w:rsidR="001320FC" w:rsidRPr="00927778" w:rsidRDefault="001D4D2F" w:rsidP="001D4D2F">
            <w:pPr>
              <w:jc w:val="center"/>
              <w:rPr>
                <w:b/>
                <w:color w:val="333333"/>
                <w:szCs w:val="22"/>
                <w:lang w:val="fr-FR"/>
              </w:rPr>
            </w:pPr>
            <w:r w:rsidRPr="00927778">
              <w:rPr>
                <w:b/>
                <w:color w:val="333333"/>
                <w:szCs w:val="22"/>
                <w:lang w:val="fr-FR"/>
              </w:rPr>
              <w:t>Total</w:t>
            </w:r>
          </w:p>
        </w:tc>
        <w:tc>
          <w:tcPr>
            <w:tcW w:w="1072" w:type="dxa"/>
            <w:shd w:val="clear" w:color="auto" w:fill="auto"/>
          </w:tcPr>
          <w:p w:rsidR="001320FC" w:rsidRPr="00927778" w:rsidRDefault="001D4D2F" w:rsidP="001D4D2F">
            <w:pPr>
              <w:jc w:val="center"/>
              <w:rPr>
                <w:b/>
                <w:color w:val="333333"/>
                <w:szCs w:val="22"/>
                <w:lang w:val="fr-FR"/>
              </w:rPr>
            </w:pPr>
            <w:r w:rsidRPr="00927778">
              <w:rPr>
                <w:b/>
                <w:color w:val="333333"/>
                <w:szCs w:val="22"/>
                <w:lang w:val="fr-FR"/>
              </w:rPr>
              <w:t>Total</w:t>
            </w:r>
          </w:p>
        </w:tc>
      </w:tr>
      <w:tr w:rsidR="00047C22" w:rsidRPr="00636673" w:rsidTr="00636673">
        <w:tc>
          <w:tcPr>
            <w:tcW w:w="5070" w:type="dxa"/>
            <w:shd w:val="clear" w:color="auto" w:fill="auto"/>
          </w:tcPr>
          <w:p w:rsidR="001320FC" w:rsidRPr="00636673" w:rsidRDefault="001320FC" w:rsidP="00C3651B">
            <w:pPr>
              <w:rPr>
                <w:b/>
                <w:color w:val="333333"/>
                <w:sz w:val="20"/>
                <w:szCs w:val="22"/>
                <w:lang w:val="fr-FR"/>
              </w:rPr>
            </w:pPr>
          </w:p>
        </w:tc>
        <w:tc>
          <w:tcPr>
            <w:tcW w:w="1417" w:type="dxa"/>
            <w:shd w:val="clear" w:color="auto" w:fill="auto"/>
          </w:tcPr>
          <w:p w:rsidR="001320FC" w:rsidRPr="00636673" w:rsidRDefault="001D4D2F" w:rsidP="00E30244">
            <w:pPr>
              <w:jc w:val="center"/>
              <w:rPr>
                <w:b/>
                <w:color w:val="333333"/>
                <w:sz w:val="20"/>
                <w:szCs w:val="22"/>
                <w:lang w:val="fr-FR"/>
              </w:rPr>
            </w:pPr>
            <w:r w:rsidRPr="00636673">
              <w:rPr>
                <w:b/>
                <w:color w:val="333333"/>
                <w:sz w:val="20"/>
                <w:szCs w:val="22"/>
                <w:lang w:val="fr-FR"/>
              </w:rPr>
              <w:t>Personnel</w:t>
            </w:r>
          </w:p>
        </w:tc>
        <w:tc>
          <w:tcPr>
            <w:tcW w:w="1418" w:type="dxa"/>
            <w:shd w:val="clear" w:color="auto" w:fill="auto"/>
          </w:tcPr>
          <w:p w:rsidR="001320FC" w:rsidRPr="00636673" w:rsidRDefault="001D4D2F" w:rsidP="00E30244">
            <w:pPr>
              <w:jc w:val="center"/>
              <w:rPr>
                <w:b/>
                <w:color w:val="333333"/>
                <w:sz w:val="20"/>
                <w:szCs w:val="22"/>
                <w:lang w:val="fr-FR"/>
              </w:rPr>
            </w:pPr>
            <w:r w:rsidRPr="00636673">
              <w:rPr>
                <w:b/>
                <w:color w:val="333333"/>
                <w:sz w:val="20"/>
                <w:szCs w:val="22"/>
                <w:lang w:val="fr-FR"/>
              </w:rPr>
              <w:t>Autres dépenses</w:t>
            </w:r>
          </w:p>
        </w:tc>
        <w:tc>
          <w:tcPr>
            <w:tcW w:w="1417" w:type="dxa"/>
            <w:shd w:val="clear" w:color="auto" w:fill="auto"/>
          </w:tcPr>
          <w:p w:rsidR="001320FC" w:rsidRPr="00636673" w:rsidRDefault="001D4D2F" w:rsidP="00E30244">
            <w:pPr>
              <w:jc w:val="center"/>
              <w:rPr>
                <w:b/>
                <w:color w:val="333333"/>
                <w:sz w:val="20"/>
                <w:szCs w:val="22"/>
                <w:lang w:val="fr-FR"/>
              </w:rPr>
            </w:pPr>
            <w:r w:rsidRPr="00636673">
              <w:rPr>
                <w:b/>
                <w:color w:val="333333"/>
                <w:sz w:val="20"/>
                <w:szCs w:val="22"/>
                <w:lang w:val="fr-FR"/>
              </w:rPr>
              <w:t>Personnel</w:t>
            </w:r>
          </w:p>
        </w:tc>
        <w:tc>
          <w:tcPr>
            <w:tcW w:w="1559" w:type="dxa"/>
            <w:shd w:val="clear" w:color="auto" w:fill="auto"/>
          </w:tcPr>
          <w:p w:rsidR="001320FC" w:rsidRPr="00636673" w:rsidRDefault="001D4D2F" w:rsidP="00E30244">
            <w:pPr>
              <w:jc w:val="center"/>
              <w:rPr>
                <w:b/>
                <w:color w:val="333333"/>
                <w:sz w:val="20"/>
                <w:szCs w:val="22"/>
                <w:lang w:val="fr-FR"/>
              </w:rPr>
            </w:pPr>
            <w:r w:rsidRPr="00636673">
              <w:rPr>
                <w:b/>
                <w:color w:val="333333"/>
                <w:sz w:val="20"/>
                <w:szCs w:val="22"/>
                <w:lang w:val="fr-FR"/>
              </w:rPr>
              <w:t>Autres dépenses</w:t>
            </w:r>
          </w:p>
        </w:tc>
        <w:tc>
          <w:tcPr>
            <w:tcW w:w="1418" w:type="dxa"/>
            <w:shd w:val="clear" w:color="auto" w:fill="auto"/>
          </w:tcPr>
          <w:p w:rsidR="001320FC" w:rsidRPr="00636673" w:rsidRDefault="001D4D2F" w:rsidP="00E30244">
            <w:pPr>
              <w:jc w:val="center"/>
              <w:rPr>
                <w:b/>
                <w:color w:val="333333"/>
                <w:sz w:val="20"/>
                <w:szCs w:val="22"/>
                <w:lang w:val="fr-FR"/>
              </w:rPr>
            </w:pPr>
            <w:r w:rsidRPr="00636673">
              <w:rPr>
                <w:b/>
                <w:color w:val="333333"/>
                <w:sz w:val="20"/>
                <w:szCs w:val="22"/>
                <w:lang w:val="fr-FR"/>
              </w:rPr>
              <w:t>Personnel</w:t>
            </w:r>
          </w:p>
        </w:tc>
        <w:tc>
          <w:tcPr>
            <w:tcW w:w="1559" w:type="dxa"/>
            <w:shd w:val="clear" w:color="auto" w:fill="auto"/>
          </w:tcPr>
          <w:p w:rsidR="001320FC" w:rsidRPr="00636673" w:rsidRDefault="001D4D2F" w:rsidP="00E30244">
            <w:pPr>
              <w:jc w:val="center"/>
              <w:rPr>
                <w:b/>
                <w:color w:val="333333"/>
                <w:sz w:val="20"/>
                <w:szCs w:val="22"/>
                <w:lang w:val="fr-FR"/>
              </w:rPr>
            </w:pPr>
            <w:r w:rsidRPr="00636673">
              <w:rPr>
                <w:b/>
                <w:color w:val="333333"/>
                <w:sz w:val="20"/>
                <w:szCs w:val="22"/>
                <w:lang w:val="fr-FR"/>
              </w:rPr>
              <w:t>Autres dépenses</w:t>
            </w:r>
          </w:p>
        </w:tc>
        <w:tc>
          <w:tcPr>
            <w:tcW w:w="1072" w:type="dxa"/>
            <w:shd w:val="clear" w:color="auto" w:fill="auto"/>
          </w:tcPr>
          <w:p w:rsidR="001320FC" w:rsidRPr="00636673" w:rsidRDefault="001320FC" w:rsidP="00E30244">
            <w:pPr>
              <w:jc w:val="center"/>
              <w:rPr>
                <w:b/>
                <w:color w:val="333333"/>
                <w:sz w:val="20"/>
                <w:szCs w:val="22"/>
                <w:lang w:val="fr-FR"/>
              </w:rPr>
            </w:pPr>
          </w:p>
        </w:tc>
      </w:tr>
      <w:tr w:rsidR="00047C22" w:rsidRPr="00927778" w:rsidTr="00636673">
        <w:tc>
          <w:tcPr>
            <w:tcW w:w="5070" w:type="dxa"/>
            <w:shd w:val="clear" w:color="auto" w:fill="auto"/>
          </w:tcPr>
          <w:p w:rsidR="001320FC" w:rsidRPr="00636673" w:rsidRDefault="001D4D2F" w:rsidP="001D4D2F">
            <w:pPr>
              <w:rPr>
                <w:color w:val="333333"/>
                <w:sz w:val="20"/>
                <w:szCs w:val="22"/>
                <w:lang w:val="fr-FR"/>
              </w:rPr>
            </w:pPr>
            <w:r w:rsidRPr="00636673">
              <w:rPr>
                <w:color w:val="333333"/>
                <w:sz w:val="20"/>
                <w:szCs w:val="22"/>
                <w:lang w:val="fr-FR"/>
              </w:rPr>
              <w:t>Guides sur le recensement et l</w:t>
            </w:r>
            <w:r w:rsidR="00EA2C86" w:rsidRPr="00636673">
              <w:rPr>
                <w:color w:val="333333"/>
                <w:sz w:val="20"/>
                <w:szCs w:val="22"/>
                <w:lang w:val="fr-FR"/>
              </w:rPr>
              <w:t>’</w:t>
            </w:r>
            <w:r w:rsidRPr="00636673">
              <w:rPr>
                <w:color w:val="333333"/>
                <w:sz w:val="20"/>
                <w:szCs w:val="22"/>
                <w:lang w:val="fr-FR"/>
              </w:rPr>
              <w:t>utilisation des inventions relevant du domaine public</w:t>
            </w:r>
            <w:r w:rsidR="001320FC" w:rsidRPr="00636673">
              <w:rPr>
                <w:color w:val="333333"/>
                <w:sz w:val="20"/>
                <w:szCs w:val="22"/>
                <w:lang w:val="fr-FR"/>
              </w:rPr>
              <w:t xml:space="preserve"> </w:t>
            </w:r>
          </w:p>
        </w:tc>
        <w:tc>
          <w:tcPr>
            <w:tcW w:w="1417"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20 000</w:t>
            </w:r>
          </w:p>
        </w:tc>
        <w:tc>
          <w:tcPr>
            <w:tcW w:w="1418" w:type="dxa"/>
            <w:shd w:val="clear" w:color="auto" w:fill="auto"/>
          </w:tcPr>
          <w:p w:rsidR="001320FC" w:rsidRPr="00927778" w:rsidRDefault="00063DA0" w:rsidP="002B4A41">
            <w:pPr>
              <w:jc w:val="right"/>
              <w:rPr>
                <w:color w:val="333333"/>
                <w:szCs w:val="22"/>
                <w:lang w:val="fr-FR"/>
              </w:rPr>
            </w:pPr>
            <w:r w:rsidRPr="00927778">
              <w:rPr>
                <w:color w:val="333333"/>
                <w:szCs w:val="22"/>
                <w:lang w:val="fr-FR"/>
              </w:rPr>
              <w:t xml:space="preserve"> </w:t>
            </w:r>
            <w:r w:rsidR="00EA2C86" w:rsidRPr="00927778">
              <w:rPr>
                <w:color w:val="333333"/>
                <w:szCs w:val="22"/>
                <w:lang w:val="fr-FR"/>
              </w:rPr>
              <w:t>-</w:t>
            </w:r>
          </w:p>
        </w:tc>
        <w:tc>
          <w:tcPr>
            <w:tcW w:w="1417" w:type="dxa"/>
            <w:shd w:val="clear" w:color="auto" w:fill="auto"/>
          </w:tcPr>
          <w:p w:rsidR="001320FC" w:rsidRPr="00927778" w:rsidRDefault="00063DA0"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30 000</w:t>
            </w:r>
          </w:p>
        </w:tc>
        <w:tc>
          <w:tcPr>
            <w:tcW w:w="1559"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60 000</w:t>
            </w:r>
          </w:p>
        </w:tc>
        <w:tc>
          <w:tcPr>
            <w:tcW w:w="1418"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50 000</w:t>
            </w:r>
          </w:p>
        </w:tc>
        <w:tc>
          <w:tcPr>
            <w:tcW w:w="1559"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60 000</w:t>
            </w:r>
          </w:p>
        </w:tc>
        <w:tc>
          <w:tcPr>
            <w:tcW w:w="1072" w:type="dxa"/>
            <w:shd w:val="clear" w:color="auto" w:fill="auto"/>
          </w:tcPr>
          <w:p w:rsidR="001320FC" w:rsidRPr="00927778" w:rsidRDefault="001D4D2F" w:rsidP="002B4A41">
            <w:pPr>
              <w:jc w:val="right"/>
              <w:rPr>
                <w:color w:val="333333"/>
                <w:szCs w:val="22"/>
                <w:lang w:val="fr-FR"/>
              </w:rPr>
            </w:pPr>
            <w:r w:rsidRPr="00927778">
              <w:rPr>
                <w:color w:val="333333"/>
                <w:szCs w:val="22"/>
                <w:lang w:val="fr-FR"/>
              </w:rPr>
              <w:t>110 000</w:t>
            </w:r>
          </w:p>
        </w:tc>
      </w:tr>
      <w:tr w:rsidR="00047C22" w:rsidRPr="00927778" w:rsidTr="00636673">
        <w:tc>
          <w:tcPr>
            <w:tcW w:w="5070" w:type="dxa"/>
            <w:shd w:val="clear" w:color="auto" w:fill="auto"/>
          </w:tcPr>
          <w:p w:rsidR="001320FC" w:rsidRPr="00636673" w:rsidRDefault="001D4D2F" w:rsidP="001D4D2F">
            <w:pPr>
              <w:rPr>
                <w:color w:val="333333"/>
                <w:sz w:val="20"/>
                <w:szCs w:val="22"/>
                <w:lang w:val="fr-FR"/>
              </w:rPr>
            </w:pPr>
            <w:r w:rsidRPr="00636673">
              <w:rPr>
                <w:color w:val="333333"/>
                <w:sz w:val="20"/>
                <w:szCs w:val="22"/>
                <w:lang w:val="fr-FR"/>
              </w:rPr>
              <w:t>Consignation des données d</w:t>
            </w:r>
            <w:r w:rsidR="00EA2C86" w:rsidRPr="00636673">
              <w:rPr>
                <w:color w:val="333333"/>
                <w:sz w:val="20"/>
                <w:szCs w:val="22"/>
                <w:lang w:val="fr-FR"/>
              </w:rPr>
              <w:t>’</w:t>
            </w:r>
            <w:r w:rsidRPr="00636673">
              <w:rPr>
                <w:color w:val="333333"/>
                <w:sz w:val="20"/>
                <w:szCs w:val="22"/>
                <w:lang w:val="fr-FR"/>
              </w:rPr>
              <w:t>expérience et des pratiques recommandées en matière de recensement et d</w:t>
            </w:r>
            <w:r w:rsidR="00EA2C86" w:rsidRPr="00636673">
              <w:rPr>
                <w:color w:val="333333"/>
                <w:sz w:val="20"/>
                <w:szCs w:val="22"/>
                <w:lang w:val="fr-FR"/>
              </w:rPr>
              <w:t>’</w:t>
            </w:r>
            <w:r w:rsidRPr="00636673">
              <w:rPr>
                <w:color w:val="333333"/>
                <w:sz w:val="20"/>
                <w:szCs w:val="22"/>
                <w:lang w:val="fr-FR"/>
              </w:rPr>
              <w:t>utilisation des inventions relevant du domaine public</w:t>
            </w:r>
          </w:p>
        </w:tc>
        <w:tc>
          <w:tcPr>
            <w:tcW w:w="1417" w:type="dxa"/>
            <w:shd w:val="clear" w:color="auto" w:fill="auto"/>
          </w:tcPr>
          <w:p w:rsidR="001320FC" w:rsidRPr="00927778" w:rsidRDefault="00063DA0" w:rsidP="002B4A41">
            <w:pPr>
              <w:jc w:val="right"/>
              <w:rPr>
                <w:color w:val="333333"/>
                <w:szCs w:val="22"/>
                <w:lang w:val="fr-FR"/>
              </w:rPr>
            </w:pPr>
            <w:r w:rsidRPr="00927778">
              <w:rPr>
                <w:color w:val="333333"/>
                <w:szCs w:val="22"/>
                <w:lang w:val="fr-FR"/>
              </w:rPr>
              <w:t xml:space="preserve"> </w:t>
            </w:r>
            <w:r w:rsidR="00EA2C86" w:rsidRPr="00927778">
              <w:rPr>
                <w:color w:val="333333"/>
                <w:szCs w:val="22"/>
                <w:lang w:val="fr-FR"/>
              </w:rPr>
              <w:t>-</w:t>
            </w:r>
          </w:p>
        </w:tc>
        <w:tc>
          <w:tcPr>
            <w:tcW w:w="1418" w:type="dxa"/>
            <w:shd w:val="clear" w:color="auto" w:fill="auto"/>
          </w:tcPr>
          <w:p w:rsidR="001320FC" w:rsidRPr="00927778" w:rsidRDefault="00063DA0" w:rsidP="002B4A41">
            <w:pPr>
              <w:jc w:val="right"/>
              <w:rPr>
                <w:color w:val="333333"/>
                <w:szCs w:val="22"/>
                <w:lang w:val="fr-FR"/>
              </w:rPr>
            </w:pPr>
            <w:r w:rsidRPr="00927778">
              <w:rPr>
                <w:color w:val="333333"/>
                <w:szCs w:val="22"/>
                <w:lang w:val="fr-FR"/>
              </w:rPr>
              <w:t xml:space="preserve"> </w:t>
            </w:r>
            <w:r w:rsidR="00EA2C86" w:rsidRPr="00927778">
              <w:rPr>
                <w:color w:val="333333"/>
                <w:szCs w:val="22"/>
                <w:lang w:val="fr-FR"/>
              </w:rPr>
              <w:t>-</w:t>
            </w:r>
          </w:p>
        </w:tc>
        <w:tc>
          <w:tcPr>
            <w:tcW w:w="1417" w:type="dxa"/>
            <w:shd w:val="clear" w:color="auto" w:fill="auto"/>
          </w:tcPr>
          <w:p w:rsidR="001320FC" w:rsidRPr="00927778" w:rsidRDefault="00063DA0"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60 000</w:t>
            </w:r>
          </w:p>
        </w:tc>
        <w:tc>
          <w:tcPr>
            <w:tcW w:w="1559"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90 000</w:t>
            </w:r>
          </w:p>
        </w:tc>
        <w:tc>
          <w:tcPr>
            <w:tcW w:w="1418"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60 000</w:t>
            </w:r>
          </w:p>
        </w:tc>
        <w:tc>
          <w:tcPr>
            <w:tcW w:w="1559"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90 000</w:t>
            </w:r>
          </w:p>
        </w:tc>
        <w:tc>
          <w:tcPr>
            <w:tcW w:w="1072" w:type="dxa"/>
            <w:shd w:val="clear" w:color="auto" w:fill="auto"/>
          </w:tcPr>
          <w:p w:rsidR="001320FC" w:rsidRPr="00927778" w:rsidRDefault="001D4D2F" w:rsidP="002B4A41">
            <w:pPr>
              <w:jc w:val="right"/>
              <w:rPr>
                <w:color w:val="333333"/>
                <w:szCs w:val="22"/>
                <w:lang w:val="fr-FR"/>
              </w:rPr>
            </w:pPr>
            <w:r w:rsidRPr="00927778">
              <w:rPr>
                <w:color w:val="333333"/>
                <w:szCs w:val="22"/>
                <w:lang w:val="fr-FR"/>
              </w:rPr>
              <w:t>150 000</w:t>
            </w:r>
          </w:p>
        </w:tc>
      </w:tr>
      <w:tr w:rsidR="00047C22" w:rsidRPr="00927778" w:rsidTr="00636673">
        <w:tc>
          <w:tcPr>
            <w:tcW w:w="5070" w:type="dxa"/>
            <w:shd w:val="clear" w:color="auto" w:fill="auto"/>
          </w:tcPr>
          <w:p w:rsidR="001320FC" w:rsidRPr="00636673" w:rsidRDefault="001D4D2F" w:rsidP="001D4D2F">
            <w:pPr>
              <w:rPr>
                <w:color w:val="333333"/>
                <w:sz w:val="20"/>
                <w:szCs w:val="22"/>
                <w:lang w:val="fr-FR"/>
              </w:rPr>
            </w:pPr>
            <w:r w:rsidRPr="00636673">
              <w:rPr>
                <w:color w:val="333333"/>
                <w:sz w:val="20"/>
                <w:szCs w:val="22"/>
                <w:lang w:val="fr-FR"/>
              </w:rPr>
              <w:t>Amélioration du portail sur la situation juridique</w:t>
            </w:r>
          </w:p>
        </w:tc>
        <w:tc>
          <w:tcPr>
            <w:tcW w:w="1417"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10 000</w:t>
            </w:r>
          </w:p>
        </w:tc>
        <w:tc>
          <w:tcPr>
            <w:tcW w:w="1418"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15 000</w:t>
            </w:r>
            <w:r w:rsidRPr="00927778">
              <w:rPr>
                <w:color w:val="333333"/>
                <w:szCs w:val="22"/>
                <w:lang w:val="fr-FR"/>
              </w:rPr>
              <w:t xml:space="preserve"> </w:t>
            </w:r>
          </w:p>
        </w:tc>
        <w:tc>
          <w:tcPr>
            <w:tcW w:w="1417" w:type="dxa"/>
            <w:shd w:val="clear" w:color="auto" w:fill="auto"/>
          </w:tcPr>
          <w:p w:rsidR="001320FC" w:rsidRPr="00927778" w:rsidRDefault="00063DA0"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30 000</w:t>
            </w:r>
          </w:p>
        </w:tc>
        <w:tc>
          <w:tcPr>
            <w:tcW w:w="1559"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55 000</w:t>
            </w:r>
          </w:p>
        </w:tc>
        <w:tc>
          <w:tcPr>
            <w:tcW w:w="1418"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40 000</w:t>
            </w:r>
          </w:p>
        </w:tc>
        <w:tc>
          <w:tcPr>
            <w:tcW w:w="1559"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70 000</w:t>
            </w:r>
          </w:p>
        </w:tc>
        <w:tc>
          <w:tcPr>
            <w:tcW w:w="1072" w:type="dxa"/>
            <w:shd w:val="clear" w:color="auto" w:fill="auto"/>
          </w:tcPr>
          <w:p w:rsidR="001320FC" w:rsidRPr="00927778" w:rsidRDefault="001D4D2F" w:rsidP="002B4A41">
            <w:pPr>
              <w:jc w:val="right"/>
              <w:rPr>
                <w:color w:val="333333"/>
                <w:szCs w:val="22"/>
                <w:lang w:val="fr-FR"/>
              </w:rPr>
            </w:pPr>
            <w:r w:rsidRPr="00927778">
              <w:rPr>
                <w:color w:val="333333"/>
                <w:szCs w:val="22"/>
                <w:lang w:val="fr-FR"/>
              </w:rPr>
              <w:t>110 000</w:t>
            </w:r>
          </w:p>
        </w:tc>
      </w:tr>
      <w:tr w:rsidR="001320FC" w:rsidRPr="00927778" w:rsidTr="00636673">
        <w:tc>
          <w:tcPr>
            <w:tcW w:w="5070" w:type="dxa"/>
            <w:shd w:val="clear" w:color="auto" w:fill="auto"/>
          </w:tcPr>
          <w:p w:rsidR="001320FC" w:rsidRPr="00927778" w:rsidRDefault="001D4D2F" w:rsidP="001D4D2F">
            <w:pPr>
              <w:rPr>
                <w:b/>
                <w:color w:val="333333"/>
                <w:szCs w:val="22"/>
                <w:lang w:val="fr-FR"/>
              </w:rPr>
            </w:pPr>
            <w:r w:rsidRPr="00927778">
              <w:rPr>
                <w:b/>
                <w:color w:val="333333"/>
                <w:szCs w:val="22"/>
                <w:lang w:val="fr-FR"/>
              </w:rPr>
              <w:t>Total</w:t>
            </w:r>
          </w:p>
        </w:tc>
        <w:tc>
          <w:tcPr>
            <w:tcW w:w="1417" w:type="dxa"/>
            <w:shd w:val="clear" w:color="auto" w:fill="auto"/>
          </w:tcPr>
          <w:p w:rsidR="001320FC" w:rsidRPr="00927778" w:rsidRDefault="001320FC" w:rsidP="002B4A41">
            <w:pPr>
              <w:jc w:val="right"/>
              <w:rPr>
                <w:b/>
                <w:color w:val="333333"/>
                <w:szCs w:val="22"/>
                <w:lang w:val="fr-FR"/>
              </w:rPr>
            </w:pPr>
            <w:r w:rsidRPr="00927778">
              <w:rPr>
                <w:b/>
                <w:color w:val="333333"/>
                <w:szCs w:val="22"/>
                <w:lang w:val="fr-FR"/>
              </w:rPr>
              <w:t xml:space="preserve"> </w:t>
            </w:r>
            <w:r w:rsidR="001D4D2F" w:rsidRPr="00927778">
              <w:rPr>
                <w:b/>
                <w:color w:val="333333"/>
                <w:szCs w:val="22"/>
                <w:lang w:val="fr-FR"/>
              </w:rPr>
              <w:t>30 000</w:t>
            </w:r>
          </w:p>
        </w:tc>
        <w:tc>
          <w:tcPr>
            <w:tcW w:w="1418" w:type="dxa"/>
            <w:shd w:val="clear" w:color="auto" w:fill="auto"/>
          </w:tcPr>
          <w:p w:rsidR="001320FC" w:rsidRPr="00927778" w:rsidRDefault="001320FC" w:rsidP="002B4A41">
            <w:pPr>
              <w:jc w:val="right"/>
              <w:rPr>
                <w:b/>
                <w:color w:val="333333"/>
                <w:szCs w:val="22"/>
                <w:lang w:val="fr-FR"/>
              </w:rPr>
            </w:pPr>
            <w:r w:rsidRPr="00927778">
              <w:rPr>
                <w:b/>
                <w:color w:val="333333"/>
                <w:szCs w:val="22"/>
                <w:lang w:val="fr-FR"/>
              </w:rPr>
              <w:t xml:space="preserve"> </w:t>
            </w:r>
            <w:r w:rsidR="001D4D2F" w:rsidRPr="00927778">
              <w:rPr>
                <w:b/>
                <w:color w:val="333333"/>
                <w:szCs w:val="22"/>
                <w:lang w:val="fr-FR"/>
              </w:rPr>
              <w:t>15 000</w:t>
            </w:r>
          </w:p>
        </w:tc>
        <w:tc>
          <w:tcPr>
            <w:tcW w:w="1417" w:type="dxa"/>
            <w:shd w:val="clear" w:color="auto" w:fill="auto"/>
          </w:tcPr>
          <w:p w:rsidR="001320FC" w:rsidRPr="00927778" w:rsidRDefault="00063DA0" w:rsidP="002B4A41">
            <w:pPr>
              <w:jc w:val="right"/>
              <w:rPr>
                <w:b/>
                <w:color w:val="333333"/>
                <w:szCs w:val="22"/>
                <w:lang w:val="fr-FR"/>
              </w:rPr>
            </w:pPr>
            <w:r w:rsidRPr="00927778">
              <w:rPr>
                <w:b/>
                <w:color w:val="333333"/>
                <w:szCs w:val="22"/>
                <w:lang w:val="fr-FR"/>
              </w:rPr>
              <w:t xml:space="preserve"> </w:t>
            </w:r>
            <w:r w:rsidR="001D4D2F" w:rsidRPr="00927778">
              <w:rPr>
                <w:b/>
                <w:color w:val="333333"/>
                <w:szCs w:val="22"/>
                <w:lang w:val="fr-FR"/>
              </w:rPr>
              <w:t>120 000</w:t>
            </w:r>
          </w:p>
        </w:tc>
        <w:tc>
          <w:tcPr>
            <w:tcW w:w="1559" w:type="dxa"/>
            <w:shd w:val="clear" w:color="auto" w:fill="auto"/>
          </w:tcPr>
          <w:p w:rsidR="001320FC" w:rsidRPr="00927778" w:rsidRDefault="001D4D2F" w:rsidP="002B4A41">
            <w:pPr>
              <w:jc w:val="right"/>
              <w:rPr>
                <w:b/>
                <w:color w:val="333333"/>
                <w:szCs w:val="22"/>
                <w:lang w:val="fr-FR"/>
              </w:rPr>
            </w:pPr>
            <w:r w:rsidRPr="00927778">
              <w:rPr>
                <w:b/>
                <w:color w:val="333333"/>
                <w:szCs w:val="22"/>
                <w:lang w:val="fr-FR"/>
              </w:rPr>
              <w:t>205 000</w:t>
            </w:r>
          </w:p>
        </w:tc>
        <w:tc>
          <w:tcPr>
            <w:tcW w:w="1418" w:type="dxa"/>
            <w:shd w:val="clear" w:color="auto" w:fill="auto"/>
          </w:tcPr>
          <w:p w:rsidR="001320FC" w:rsidRPr="00927778" w:rsidRDefault="001D4D2F" w:rsidP="002B4A41">
            <w:pPr>
              <w:jc w:val="right"/>
              <w:rPr>
                <w:b/>
                <w:color w:val="333333"/>
                <w:szCs w:val="22"/>
                <w:lang w:val="fr-FR"/>
              </w:rPr>
            </w:pPr>
            <w:r w:rsidRPr="00927778">
              <w:rPr>
                <w:b/>
                <w:color w:val="333333"/>
                <w:szCs w:val="22"/>
                <w:lang w:val="fr-FR"/>
              </w:rPr>
              <w:t>150 000</w:t>
            </w:r>
          </w:p>
        </w:tc>
        <w:tc>
          <w:tcPr>
            <w:tcW w:w="1559" w:type="dxa"/>
            <w:shd w:val="clear" w:color="auto" w:fill="auto"/>
          </w:tcPr>
          <w:p w:rsidR="001320FC" w:rsidRPr="00927778" w:rsidRDefault="001D4D2F" w:rsidP="002B4A41">
            <w:pPr>
              <w:jc w:val="right"/>
              <w:rPr>
                <w:b/>
                <w:color w:val="333333"/>
                <w:szCs w:val="22"/>
                <w:lang w:val="fr-FR"/>
              </w:rPr>
            </w:pPr>
            <w:r w:rsidRPr="00927778">
              <w:rPr>
                <w:b/>
                <w:color w:val="333333"/>
                <w:szCs w:val="22"/>
                <w:lang w:val="fr-FR"/>
              </w:rPr>
              <w:t>220 000</w:t>
            </w:r>
          </w:p>
        </w:tc>
        <w:tc>
          <w:tcPr>
            <w:tcW w:w="1072" w:type="dxa"/>
            <w:shd w:val="clear" w:color="auto" w:fill="auto"/>
          </w:tcPr>
          <w:p w:rsidR="001320FC" w:rsidRPr="00927778" w:rsidRDefault="001D4D2F" w:rsidP="002B4A41">
            <w:pPr>
              <w:jc w:val="right"/>
              <w:rPr>
                <w:b/>
                <w:color w:val="333333"/>
                <w:szCs w:val="22"/>
                <w:lang w:val="fr-FR"/>
              </w:rPr>
            </w:pPr>
            <w:r w:rsidRPr="00927778">
              <w:rPr>
                <w:b/>
                <w:color w:val="333333"/>
                <w:szCs w:val="22"/>
                <w:lang w:val="fr-FR"/>
              </w:rPr>
              <w:t>370 000</w:t>
            </w:r>
          </w:p>
        </w:tc>
      </w:tr>
    </w:tbl>
    <w:p w:rsidR="00E30244" w:rsidRPr="00636673" w:rsidRDefault="00E30244" w:rsidP="001320FC">
      <w:pPr>
        <w:ind w:hanging="142"/>
        <w:rPr>
          <w:color w:val="333333"/>
          <w:szCs w:val="22"/>
          <w:u w:val="single"/>
          <w:lang w:val="fr-FR"/>
        </w:rPr>
      </w:pPr>
    </w:p>
    <w:p w:rsidR="001320FC" w:rsidRPr="00927778" w:rsidRDefault="001D4D2F" w:rsidP="001D4D2F">
      <w:pPr>
        <w:ind w:hanging="142"/>
        <w:rPr>
          <w:color w:val="333333"/>
          <w:szCs w:val="22"/>
          <w:lang w:val="fr-FR"/>
        </w:rPr>
      </w:pPr>
      <w:r w:rsidRPr="00927778">
        <w:rPr>
          <w:color w:val="333333"/>
          <w:szCs w:val="22"/>
          <w:lang w:val="fr-FR"/>
        </w:rPr>
        <w:t xml:space="preserve">b) Exercice </w:t>
      </w:r>
      <w:r w:rsidR="00EA2C86" w:rsidRPr="00927778">
        <w:rPr>
          <w:color w:val="333333"/>
          <w:szCs w:val="22"/>
          <w:lang w:val="fr-FR"/>
        </w:rPr>
        <w:t>biennal 2018</w:t>
      </w:r>
      <w:r w:rsidR="00CB5AE0" w:rsidRPr="00927778">
        <w:rPr>
          <w:color w:val="333333"/>
          <w:szCs w:val="22"/>
          <w:lang w:val="fr-FR"/>
        </w:rPr>
        <w:noBreakHyphen/>
      </w:r>
      <w:r w:rsidRPr="00927778">
        <w:rPr>
          <w:color w:val="333333"/>
          <w:szCs w:val="22"/>
          <w:lang w:val="fr-FR"/>
        </w:rPr>
        <w:t>19</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417"/>
        <w:gridCol w:w="1418"/>
        <w:gridCol w:w="1417"/>
        <w:gridCol w:w="1559"/>
        <w:gridCol w:w="1418"/>
        <w:gridCol w:w="1559"/>
        <w:gridCol w:w="1072"/>
      </w:tblGrid>
      <w:tr w:rsidR="00047C22" w:rsidRPr="00927778" w:rsidTr="00636673">
        <w:tc>
          <w:tcPr>
            <w:tcW w:w="5070" w:type="dxa"/>
            <w:shd w:val="clear" w:color="auto" w:fill="auto"/>
          </w:tcPr>
          <w:p w:rsidR="001320FC" w:rsidRPr="00927778" w:rsidRDefault="001D4D2F" w:rsidP="001D4D2F">
            <w:pPr>
              <w:rPr>
                <w:b/>
                <w:color w:val="333333"/>
                <w:szCs w:val="22"/>
                <w:lang w:val="fr-FR"/>
              </w:rPr>
            </w:pPr>
            <w:r w:rsidRPr="00927778">
              <w:rPr>
                <w:b/>
                <w:color w:val="333333"/>
                <w:szCs w:val="22"/>
                <w:lang w:val="fr-FR"/>
              </w:rPr>
              <w:t>Produits du projet</w:t>
            </w:r>
          </w:p>
        </w:tc>
        <w:tc>
          <w:tcPr>
            <w:tcW w:w="2835" w:type="dxa"/>
            <w:gridSpan w:val="2"/>
            <w:shd w:val="clear" w:color="auto" w:fill="auto"/>
          </w:tcPr>
          <w:p w:rsidR="001320FC" w:rsidRPr="00927778" w:rsidRDefault="001320FC" w:rsidP="00C3651B">
            <w:pPr>
              <w:jc w:val="center"/>
              <w:rPr>
                <w:b/>
                <w:color w:val="333333"/>
                <w:szCs w:val="22"/>
                <w:lang w:val="fr-FR"/>
              </w:rPr>
            </w:pPr>
            <w:r w:rsidRPr="00927778">
              <w:rPr>
                <w:b/>
                <w:color w:val="333333"/>
                <w:szCs w:val="22"/>
                <w:lang w:val="fr-FR"/>
              </w:rPr>
              <w:t>2018</w:t>
            </w:r>
          </w:p>
        </w:tc>
        <w:tc>
          <w:tcPr>
            <w:tcW w:w="2976" w:type="dxa"/>
            <w:gridSpan w:val="2"/>
            <w:shd w:val="clear" w:color="auto" w:fill="auto"/>
          </w:tcPr>
          <w:p w:rsidR="001320FC" w:rsidRPr="00927778" w:rsidRDefault="001320FC" w:rsidP="00C3651B">
            <w:pPr>
              <w:jc w:val="center"/>
              <w:rPr>
                <w:b/>
                <w:color w:val="333333"/>
                <w:szCs w:val="22"/>
                <w:lang w:val="fr-FR"/>
              </w:rPr>
            </w:pPr>
            <w:r w:rsidRPr="00927778">
              <w:rPr>
                <w:b/>
                <w:color w:val="333333"/>
                <w:szCs w:val="22"/>
                <w:lang w:val="fr-FR"/>
              </w:rPr>
              <w:t>2019</w:t>
            </w:r>
          </w:p>
        </w:tc>
        <w:tc>
          <w:tcPr>
            <w:tcW w:w="2977" w:type="dxa"/>
            <w:gridSpan w:val="2"/>
            <w:shd w:val="clear" w:color="auto" w:fill="auto"/>
          </w:tcPr>
          <w:p w:rsidR="001320FC" w:rsidRPr="00927778" w:rsidRDefault="001D4D2F" w:rsidP="001D4D2F">
            <w:pPr>
              <w:jc w:val="center"/>
              <w:rPr>
                <w:b/>
                <w:color w:val="333333"/>
                <w:szCs w:val="22"/>
                <w:lang w:val="fr-FR"/>
              </w:rPr>
            </w:pPr>
            <w:r w:rsidRPr="00927778">
              <w:rPr>
                <w:b/>
                <w:color w:val="333333"/>
                <w:szCs w:val="22"/>
                <w:lang w:val="fr-FR"/>
              </w:rPr>
              <w:t>Total</w:t>
            </w:r>
          </w:p>
        </w:tc>
        <w:tc>
          <w:tcPr>
            <w:tcW w:w="1072" w:type="dxa"/>
            <w:shd w:val="clear" w:color="auto" w:fill="auto"/>
          </w:tcPr>
          <w:p w:rsidR="001320FC" w:rsidRPr="00927778" w:rsidRDefault="001D4D2F" w:rsidP="001D4D2F">
            <w:pPr>
              <w:jc w:val="center"/>
              <w:rPr>
                <w:b/>
                <w:color w:val="333333"/>
                <w:szCs w:val="22"/>
                <w:lang w:val="fr-FR"/>
              </w:rPr>
            </w:pPr>
            <w:r w:rsidRPr="00927778">
              <w:rPr>
                <w:b/>
                <w:color w:val="333333"/>
                <w:szCs w:val="22"/>
                <w:lang w:val="fr-FR"/>
              </w:rPr>
              <w:t>Total</w:t>
            </w:r>
          </w:p>
        </w:tc>
      </w:tr>
      <w:tr w:rsidR="00047C22" w:rsidRPr="00636673" w:rsidTr="00636673">
        <w:tc>
          <w:tcPr>
            <w:tcW w:w="5070" w:type="dxa"/>
            <w:shd w:val="clear" w:color="auto" w:fill="auto"/>
          </w:tcPr>
          <w:p w:rsidR="001320FC" w:rsidRPr="00636673" w:rsidRDefault="001320FC" w:rsidP="00C3651B">
            <w:pPr>
              <w:rPr>
                <w:b/>
                <w:color w:val="333333"/>
                <w:sz w:val="20"/>
                <w:szCs w:val="22"/>
                <w:lang w:val="fr-FR"/>
              </w:rPr>
            </w:pPr>
          </w:p>
        </w:tc>
        <w:tc>
          <w:tcPr>
            <w:tcW w:w="1417" w:type="dxa"/>
            <w:shd w:val="clear" w:color="auto" w:fill="auto"/>
          </w:tcPr>
          <w:p w:rsidR="001320FC" w:rsidRPr="00636673" w:rsidRDefault="001D4D2F" w:rsidP="00E30244">
            <w:pPr>
              <w:jc w:val="center"/>
              <w:rPr>
                <w:b/>
                <w:color w:val="333333"/>
                <w:sz w:val="20"/>
                <w:szCs w:val="22"/>
                <w:lang w:val="fr-FR"/>
              </w:rPr>
            </w:pPr>
            <w:r w:rsidRPr="00636673">
              <w:rPr>
                <w:b/>
                <w:color w:val="333333"/>
                <w:sz w:val="20"/>
                <w:szCs w:val="22"/>
                <w:lang w:val="fr-FR"/>
              </w:rPr>
              <w:t>Personnel</w:t>
            </w:r>
          </w:p>
        </w:tc>
        <w:tc>
          <w:tcPr>
            <w:tcW w:w="1418" w:type="dxa"/>
            <w:shd w:val="clear" w:color="auto" w:fill="auto"/>
          </w:tcPr>
          <w:p w:rsidR="001320FC" w:rsidRPr="00636673" w:rsidRDefault="001D4D2F" w:rsidP="00E30244">
            <w:pPr>
              <w:jc w:val="center"/>
              <w:rPr>
                <w:b/>
                <w:color w:val="333333"/>
                <w:sz w:val="20"/>
                <w:szCs w:val="22"/>
                <w:lang w:val="fr-FR"/>
              </w:rPr>
            </w:pPr>
            <w:r w:rsidRPr="00636673">
              <w:rPr>
                <w:b/>
                <w:color w:val="333333"/>
                <w:sz w:val="20"/>
                <w:szCs w:val="22"/>
                <w:lang w:val="fr-FR"/>
              </w:rPr>
              <w:t>Autres dépenses</w:t>
            </w:r>
          </w:p>
        </w:tc>
        <w:tc>
          <w:tcPr>
            <w:tcW w:w="1417" w:type="dxa"/>
            <w:shd w:val="clear" w:color="auto" w:fill="auto"/>
          </w:tcPr>
          <w:p w:rsidR="001320FC" w:rsidRPr="00636673" w:rsidRDefault="001D4D2F" w:rsidP="00E30244">
            <w:pPr>
              <w:jc w:val="center"/>
              <w:rPr>
                <w:b/>
                <w:color w:val="333333"/>
                <w:sz w:val="20"/>
                <w:szCs w:val="22"/>
                <w:lang w:val="fr-FR"/>
              </w:rPr>
            </w:pPr>
            <w:r w:rsidRPr="00636673">
              <w:rPr>
                <w:b/>
                <w:color w:val="333333"/>
                <w:sz w:val="20"/>
                <w:szCs w:val="22"/>
                <w:lang w:val="fr-FR"/>
              </w:rPr>
              <w:t>Personnel</w:t>
            </w:r>
          </w:p>
        </w:tc>
        <w:tc>
          <w:tcPr>
            <w:tcW w:w="1559" w:type="dxa"/>
            <w:shd w:val="clear" w:color="auto" w:fill="auto"/>
          </w:tcPr>
          <w:p w:rsidR="001320FC" w:rsidRPr="00636673" w:rsidRDefault="001D4D2F" w:rsidP="00E30244">
            <w:pPr>
              <w:jc w:val="center"/>
              <w:rPr>
                <w:b/>
                <w:color w:val="333333"/>
                <w:sz w:val="20"/>
                <w:szCs w:val="22"/>
                <w:lang w:val="fr-FR"/>
              </w:rPr>
            </w:pPr>
            <w:r w:rsidRPr="00636673">
              <w:rPr>
                <w:b/>
                <w:color w:val="333333"/>
                <w:sz w:val="20"/>
                <w:szCs w:val="22"/>
                <w:lang w:val="fr-FR"/>
              </w:rPr>
              <w:t>Autres dépenses</w:t>
            </w:r>
          </w:p>
        </w:tc>
        <w:tc>
          <w:tcPr>
            <w:tcW w:w="1418" w:type="dxa"/>
            <w:shd w:val="clear" w:color="auto" w:fill="auto"/>
          </w:tcPr>
          <w:p w:rsidR="001320FC" w:rsidRPr="00636673" w:rsidRDefault="001D4D2F" w:rsidP="00E30244">
            <w:pPr>
              <w:jc w:val="center"/>
              <w:rPr>
                <w:b/>
                <w:color w:val="333333"/>
                <w:sz w:val="20"/>
                <w:szCs w:val="22"/>
                <w:lang w:val="fr-FR"/>
              </w:rPr>
            </w:pPr>
            <w:r w:rsidRPr="00636673">
              <w:rPr>
                <w:b/>
                <w:color w:val="333333"/>
                <w:sz w:val="20"/>
                <w:szCs w:val="22"/>
                <w:lang w:val="fr-FR"/>
              </w:rPr>
              <w:t>Personnel</w:t>
            </w:r>
          </w:p>
        </w:tc>
        <w:tc>
          <w:tcPr>
            <w:tcW w:w="1559" w:type="dxa"/>
            <w:shd w:val="clear" w:color="auto" w:fill="auto"/>
          </w:tcPr>
          <w:p w:rsidR="001320FC" w:rsidRPr="00636673" w:rsidRDefault="001D4D2F" w:rsidP="00E30244">
            <w:pPr>
              <w:jc w:val="center"/>
              <w:rPr>
                <w:b/>
                <w:color w:val="333333"/>
                <w:sz w:val="20"/>
                <w:szCs w:val="22"/>
                <w:lang w:val="fr-FR"/>
              </w:rPr>
            </w:pPr>
            <w:r w:rsidRPr="00636673">
              <w:rPr>
                <w:b/>
                <w:color w:val="333333"/>
                <w:sz w:val="20"/>
                <w:szCs w:val="22"/>
                <w:lang w:val="fr-FR"/>
              </w:rPr>
              <w:t>Autres dépenses</w:t>
            </w:r>
          </w:p>
        </w:tc>
        <w:tc>
          <w:tcPr>
            <w:tcW w:w="1072" w:type="dxa"/>
            <w:shd w:val="clear" w:color="auto" w:fill="auto"/>
          </w:tcPr>
          <w:p w:rsidR="001320FC" w:rsidRPr="00636673" w:rsidRDefault="001320FC" w:rsidP="00E30244">
            <w:pPr>
              <w:jc w:val="center"/>
              <w:rPr>
                <w:b/>
                <w:color w:val="333333"/>
                <w:sz w:val="20"/>
                <w:szCs w:val="22"/>
                <w:lang w:val="fr-FR"/>
              </w:rPr>
            </w:pPr>
          </w:p>
        </w:tc>
      </w:tr>
      <w:tr w:rsidR="00047C22" w:rsidRPr="00927778" w:rsidTr="00636673">
        <w:tc>
          <w:tcPr>
            <w:tcW w:w="5070" w:type="dxa"/>
            <w:shd w:val="clear" w:color="auto" w:fill="auto"/>
          </w:tcPr>
          <w:p w:rsidR="001320FC" w:rsidRPr="00636673" w:rsidRDefault="00A7530A" w:rsidP="00A7530A">
            <w:pPr>
              <w:rPr>
                <w:color w:val="333333"/>
                <w:sz w:val="20"/>
                <w:szCs w:val="22"/>
                <w:lang w:val="fr-FR"/>
              </w:rPr>
            </w:pPr>
            <w:r w:rsidRPr="00636673">
              <w:rPr>
                <w:color w:val="333333"/>
                <w:sz w:val="20"/>
                <w:szCs w:val="22"/>
                <w:lang w:val="fr-FR"/>
              </w:rPr>
              <w:t>Guides sur le recensement et l</w:t>
            </w:r>
            <w:r w:rsidR="00EA2C86" w:rsidRPr="00636673">
              <w:rPr>
                <w:color w:val="333333"/>
                <w:sz w:val="20"/>
                <w:szCs w:val="22"/>
                <w:lang w:val="fr-FR"/>
              </w:rPr>
              <w:t>’</w:t>
            </w:r>
            <w:r w:rsidRPr="00636673">
              <w:rPr>
                <w:color w:val="333333"/>
                <w:sz w:val="20"/>
                <w:szCs w:val="22"/>
                <w:lang w:val="fr-FR"/>
              </w:rPr>
              <w:t xml:space="preserve">utilisation des inventions relevant du domaine public </w:t>
            </w:r>
            <w:r w:rsidR="001320FC" w:rsidRPr="00636673">
              <w:rPr>
                <w:color w:val="333333"/>
                <w:sz w:val="20"/>
                <w:szCs w:val="22"/>
                <w:lang w:val="fr-FR"/>
              </w:rPr>
              <w:t>(</w:t>
            </w:r>
            <w:r w:rsidRPr="00636673">
              <w:rPr>
                <w:color w:val="333333"/>
                <w:sz w:val="20"/>
                <w:szCs w:val="22"/>
                <w:lang w:val="fr-FR"/>
              </w:rPr>
              <w:t xml:space="preserve">remise des versions </w:t>
            </w:r>
            <w:r w:rsidR="001320FC" w:rsidRPr="00636673">
              <w:rPr>
                <w:color w:val="333333"/>
                <w:sz w:val="20"/>
                <w:szCs w:val="22"/>
                <w:lang w:val="fr-FR"/>
              </w:rPr>
              <w:t>final</w:t>
            </w:r>
            <w:r w:rsidRPr="00636673">
              <w:rPr>
                <w:color w:val="333333"/>
                <w:sz w:val="20"/>
                <w:szCs w:val="22"/>
                <w:lang w:val="fr-FR"/>
              </w:rPr>
              <w:t>es</w:t>
            </w:r>
            <w:r w:rsidR="001320FC" w:rsidRPr="00636673">
              <w:rPr>
                <w:color w:val="333333"/>
                <w:sz w:val="20"/>
                <w:szCs w:val="22"/>
                <w:lang w:val="fr-FR"/>
              </w:rPr>
              <w:t>)</w:t>
            </w:r>
          </w:p>
        </w:tc>
        <w:tc>
          <w:tcPr>
            <w:tcW w:w="1417"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40 000</w:t>
            </w:r>
          </w:p>
        </w:tc>
        <w:tc>
          <w:tcPr>
            <w:tcW w:w="1418"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20 000</w:t>
            </w:r>
          </w:p>
        </w:tc>
        <w:tc>
          <w:tcPr>
            <w:tcW w:w="1417" w:type="dxa"/>
            <w:shd w:val="clear" w:color="auto" w:fill="auto"/>
          </w:tcPr>
          <w:p w:rsidR="001320FC" w:rsidRPr="00927778" w:rsidRDefault="00EA2C86" w:rsidP="002B4A41">
            <w:pPr>
              <w:jc w:val="right"/>
              <w:rPr>
                <w:color w:val="333333"/>
                <w:szCs w:val="22"/>
                <w:lang w:val="fr-FR"/>
              </w:rPr>
            </w:pPr>
            <w:r w:rsidRPr="00927778">
              <w:rPr>
                <w:color w:val="333333"/>
                <w:szCs w:val="22"/>
                <w:lang w:val="fr-FR"/>
              </w:rPr>
              <w:t>-</w:t>
            </w:r>
          </w:p>
        </w:tc>
        <w:tc>
          <w:tcPr>
            <w:tcW w:w="1559" w:type="dxa"/>
            <w:shd w:val="clear" w:color="auto" w:fill="auto"/>
          </w:tcPr>
          <w:p w:rsidR="001320FC" w:rsidRPr="00927778" w:rsidRDefault="00EA2C86" w:rsidP="002B4A41">
            <w:pPr>
              <w:jc w:val="right"/>
              <w:rPr>
                <w:color w:val="333333"/>
                <w:szCs w:val="22"/>
                <w:lang w:val="fr-FR"/>
              </w:rPr>
            </w:pPr>
            <w:r w:rsidRPr="00927778">
              <w:rPr>
                <w:color w:val="333333"/>
                <w:szCs w:val="22"/>
                <w:lang w:val="fr-FR"/>
              </w:rPr>
              <w:t>-</w:t>
            </w:r>
          </w:p>
        </w:tc>
        <w:tc>
          <w:tcPr>
            <w:tcW w:w="1418"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40 000</w:t>
            </w:r>
            <w:r w:rsidRPr="00927778">
              <w:rPr>
                <w:color w:val="333333"/>
                <w:szCs w:val="22"/>
                <w:lang w:val="fr-FR"/>
              </w:rPr>
              <w:t xml:space="preserve"> </w:t>
            </w:r>
          </w:p>
        </w:tc>
        <w:tc>
          <w:tcPr>
            <w:tcW w:w="1559"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20 000</w:t>
            </w:r>
          </w:p>
        </w:tc>
        <w:tc>
          <w:tcPr>
            <w:tcW w:w="1072"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60 000</w:t>
            </w:r>
          </w:p>
        </w:tc>
      </w:tr>
      <w:tr w:rsidR="00047C22" w:rsidRPr="00927778" w:rsidTr="00636673">
        <w:tc>
          <w:tcPr>
            <w:tcW w:w="5070" w:type="dxa"/>
            <w:shd w:val="clear" w:color="auto" w:fill="auto"/>
          </w:tcPr>
          <w:p w:rsidR="001320FC" w:rsidRPr="00636673" w:rsidRDefault="001320FC" w:rsidP="00A7530A">
            <w:pPr>
              <w:rPr>
                <w:color w:val="333333"/>
                <w:sz w:val="20"/>
                <w:szCs w:val="22"/>
                <w:lang w:val="fr-FR"/>
              </w:rPr>
            </w:pPr>
            <w:r w:rsidRPr="00636673">
              <w:rPr>
                <w:color w:val="333333"/>
                <w:sz w:val="20"/>
                <w:szCs w:val="22"/>
                <w:lang w:val="fr-FR"/>
              </w:rPr>
              <w:t>Tra</w:t>
            </w:r>
            <w:r w:rsidR="00A7530A" w:rsidRPr="00636673">
              <w:rPr>
                <w:color w:val="333333"/>
                <w:sz w:val="20"/>
                <w:szCs w:val="22"/>
                <w:lang w:val="fr-FR"/>
              </w:rPr>
              <w:t>duct</w:t>
            </w:r>
            <w:r w:rsidRPr="00636673">
              <w:rPr>
                <w:color w:val="333333"/>
                <w:sz w:val="20"/>
                <w:szCs w:val="22"/>
                <w:lang w:val="fr-FR"/>
              </w:rPr>
              <w:t xml:space="preserve">ion </w:t>
            </w:r>
            <w:r w:rsidR="00A7530A" w:rsidRPr="00636673">
              <w:rPr>
                <w:color w:val="333333"/>
                <w:sz w:val="20"/>
                <w:szCs w:val="22"/>
                <w:lang w:val="fr-FR"/>
              </w:rPr>
              <w:t>des</w:t>
            </w:r>
            <w:r w:rsidRPr="00636673">
              <w:rPr>
                <w:color w:val="333333"/>
                <w:sz w:val="20"/>
                <w:szCs w:val="22"/>
                <w:lang w:val="fr-FR"/>
              </w:rPr>
              <w:t xml:space="preserve"> </w:t>
            </w:r>
            <w:r w:rsidR="00A7530A" w:rsidRPr="00636673">
              <w:rPr>
                <w:color w:val="333333"/>
                <w:sz w:val="20"/>
                <w:szCs w:val="22"/>
                <w:lang w:val="fr-FR"/>
              </w:rPr>
              <w:t>guides sur le recensement et l</w:t>
            </w:r>
            <w:r w:rsidR="00EA2C86" w:rsidRPr="00636673">
              <w:rPr>
                <w:color w:val="333333"/>
                <w:sz w:val="20"/>
                <w:szCs w:val="22"/>
                <w:lang w:val="fr-FR"/>
              </w:rPr>
              <w:t>’</w:t>
            </w:r>
            <w:r w:rsidR="00A7530A" w:rsidRPr="00636673">
              <w:rPr>
                <w:color w:val="333333"/>
                <w:sz w:val="20"/>
                <w:szCs w:val="22"/>
                <w:lang w:val="fr-FR"/>
              </w:rPr>
              <w:t>utilisation des inventions relevant du domaine public</w:t>
            </w:r>
          </w:p>
        </w:tc>
        <w:tc>
          <w:tcPr>
            <w:tcW w:w="1417"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10 000</w:t>
            </w:r>
          </w:p>
        </w:tc>
        <w:tc>
          <w:tcPr>
            <w:tcW w:w="1418"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50 000</w:t>
            </w:r>
          </w:p>
        </w:tc>
        <w:tc>
          <w:tcPr>
            <w:tcW w:w="1417" w:type="dxa"/>
            <w:shd w:val="clear" w:color="auto" w:fill="auto"/>
          </w:tcPr>
          <w:p w:rsidR="001320FC" w:rsidRPr="00927778" w:rsidRDefault="00EA2C86" w:rsidP="002B4A41">
            <w:pPr>
              <w:jc w:val="right"/>
              <w:rPr>
                <w:color w:val="333333"/>
                <w:szCs w:val="22"/>
                <w:lang w:val="fr-FR"/>
              </w:rPr>
            </w:pPr>
            <w:r w:rsidRPr="00927778">
              <w:rPr>
                <w:color w:val="333333"/>
                <w:szCs w:val="22"/>
                <w:lang w:val="fr-FR"/>
              </w:rPr>
              <w:t>-</w:t>
            </w:r>
          </w:p>
        </w:tc>
        <w:tc>
          <w:tcPr>
            <w:tcW w:w="1559" w:type="dxa"/>
            <w:shd w:val="clear" w:color="auto" w:fill="auto"/>
          </w:tcPr>
          <w:p w:rsidR="001320FC" w:rsidRPr="00927778" w:rsidRDefault="00EA2C86" w:rsidP="002B4A41">
            <w:pPr>
              <w:jc w:val="right"/>
              <w:rPr>
                <w:color w:val="333333"/>
                <w:szCs w:val="22"/>
                <w:lang w:val="fr-FR"/>
              </w:rPr>
            </w:pPr>
            <w:r w:rsidRPr="00927778">
              <w:rPr>
                <w:color w:val="333333"/>
                <w:szCs w:val="22"/>
                <w:lang w:val="fr-FR"/>
              </w:rPr>
              <w:t>-</w:t>
            </w:r>
          </w:p>
        </w:tc>
        <w:tc>
          <w:tcPr>
            <w:tcW w:w="1418"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10 000</w:t>
            </w:r>
          </w:p>
        </w:tc>
        <w:tc>
          <w:tcPr>
            <w:tcW w:w="1559"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50 000</w:t>
            </w:r>
          </w:p>
        </w:tc>
        <w:tc>
          <w:tcPr>
            <w:tcW w:w="1072"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60 000</w:t>
            </w:r>
          </w:p>
        </w:tc>
      </w:tr>
      <w:tr w:rsidR="00047C22" w:rsidRPr="00927778" w:rsidTr="00636673">
        <w:tc>
          <w:tcPr>
            <w:tcW w:w="5070" w:type="dxa"/>
            <w:shd w:val="clear" w:color="auto" w:fill="auto"/>
          </w:tcPr>
          <w:p w:rsidR="001320FC" w:rsidRPr="00636673" w:rsidRDefault="006F50F7" w:rsidP="006F50F7">
            <w:pPr>
              <w:rPr>
                <w:color w:val="333333"/>
                <w:sz w:val="20"/>
                <w:szCs w:val="22"/>
                <w:lang w:val="fr-FR"/>
              </w:rPr>
            </w:pPr>
            <w:r w:rsidRPr="00636673">
              <w:rPr>
                <w:color w:val="333333"/>
                <w:sz w:val="20"/>
                <w:szCs w:val="22"/>
                <w:lang w:val="fr-FR"/>
              </w:rPr>
              <w:t>Groupe d</w:t>
            </w:r>
            <w:r w:rsidR="00EA2C86" w:rsidRPr="00636673">
              <w:rPr>
                <w:color w:val="333333"/>
                <w:sz w:val="20"/>
                <w:szCs w:val="22"/>
                <w:lang w:val="fr-FR"/>
              </w:rPr>
              <w:t>’</w:t>
            </w:r>
            <w:r w:rsidRPr="00636673">
              <w:rPr>
                <w:color w:val="333333"/>
                <w:sz w:val="20"/>
                <w:szCs w:val="22"/>
                <w:lang w:val="fr-FR"/>
              </w:rPr>
              <w:t>experts et matériel de formation nouveau et révisé</w:t>
            </w:r>
          </w:p>
        </w:tc>
        <w:tc>
          <w:tcPr>
            <w:tcW w:w="1417"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10 000</w:t>
            </w:r>
          </w:p>
        </w:tc>
        <w:tc>
          <w:tcPr>
            <w:tcW w:w="1418"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10 000</w:t>
            </w:r>
          </w:p>
        </w:tc>
        <w:tc>
          <w:tcPr>
            <w:tcW w:w="1417" w:type="dxa"/>
            <w:shd w:val="clear" w:color="auto" w:fill="auto"/>
          </w:tcPr>
          <w:p w:rsidR="001320FC" w:rsidRPr="00927778" w:rsidRDefault="00EA2C86" w:rsidP="002B4A41">
            <w:pPr>
              <w:jc w:val="right"/>
              <w:rPr>
                <w:color w:val="333333"/>
                <w:szCs w:val="22"/>
                <w:lang w:val="fr-FR"/>
              </w:rPr>
            </w:pPr>
            <w:r w:rsidRPr="00927778">
              <w:rPr>
                <w:color w:val="333333"/>
                <w:szCs w:val="22"/>
                <w:lang w:val="fr-FR"/>
              </w:rPr>
              <w:t>-</w:t>
            </w:r>
          </w:p>
        </w:tc>
        <w:tc>
          <w:tcPr>
            <w:tcW w:w="1559" w:type="dxa"/>
            <w:shd w:val="clear" w:color="auto" w:fill="auto"/>
          </w:tcPr>
          <w:p w:rsidR="001320FC" w:rsidRPr="00927778" w:rsidRDefault="00EA2C86" w:rsidP="002B4A41">
            <w:pPr>
              <w:jc w:val="right"/>
              <w:rPr>
                <w:color w:val="333333"/>
                <w:szCs w:val="22"/>
                <w:lang w:val="fr-FR"/>
              </w:rPr>
            </w:pPr>
            <w:r w:rsidRPr="00927778">
              <w:rPr>
                <w:color w:val="333333"/>
                <w:szCs w:val="22"/>
                <w:lang w:val="fr-FR"/>
              </w:rPr>
              <w:t>-</w:t>
            </w:r>
          </w:p>
        </w:tc>
        <w:tc>
          <w:tcPr>
            <w:tcW w:w="1418"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10 000</w:t>
            </w:r>
          </w:p>
        </w:tc>
        <w:tc>
          <w:tcPr>
            <w:tcW w:w="1559"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10 000</w:t>
            </w:r>
          </w:p>
        </w:tc>
        <w:tc>
          <w:tcPr>
            <w:tcW w:w="1072"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20 000</w:t>
            </w:r>
          </w:p>
        </w:tc>
      </w:tr>
      <w:tr w:rsidR="00047C22" w:rsidRPr="00927778" w:rsidTr="00636673">
        <w:tc>
          <w:tcPr>
            <w:tcW w:w="5070" w:type="dxa"/>
            <w:shd w:val="clear" w:color="auto" w:fill="auto"/>
          </w:tcPr>
          <w:p w:rsidR="001320FC" w:rsidRPr="00636673" w:rsidRDefault="001D4D2F" w:rsidP="00C62544">
            <w:pPr>
              <w:rPr>
                <w:color w:val="333333"/>
                <w:sz w:val="20"/>
                <w:szCs w:val="22"/>
                <w:lang w:val="fr-FR"/>
              </w:rPr>
            </w:pPr>
            <w:r w:rsidRPr="00636673">
              <w:rPr>
                <w:color w:val="333333"/>
                <w:sz w:val="20"/>
                <w:szCs w:val="22"/>
                <w:lang w:val="fr-FR"/>
              </w:rPr>
              <w:t xml:space="preserve">Compétences pour administrer et fournir des services relatifs aux inventions </w:t>
            </w:r>
            <w:r w:rsidR="00C62544" w:rsidRPr="00636673">
              <w:rPr>
                <w:color w:val="333333"/>
                <w:sz w:val="20"/>
                <w:szCs w:val="22"/>
                <w:lang w:val="fr-FR"/>
              </w:rPr>
              <w:t xml:space="preserve">relevant du </w:t>
            </w:r>
            <w:r w:rsidRPr="00636673">
              <w:rPr>
                <w:color w:val="333333"/>
                <w:sz w:val="20"/>
                <w:szCs w:val="22"/>
                <w:lang w:val="fr-FR"/>
              </w:rPr>
              <w:t>domaine public</w:t>
            </w:r>
          </w:p>
        </w:tc>
        <w:tc>
          <w:tcPr>
            <w:tcW w:w="1417"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50 000</w:t>
            </w:r>
          </w:p>
        </w:tc>
        <w:tc>
          <w:tcPr>
            <w:tcW w:w="1418" w:type="dxa"/>
            <w:shd w:val="clear" w:color="auto" w:fill="auto"/>
          </w:tcPr>
          <w:p w:rsidR="001320FC" w:rsidRPr="00927778" w:rsidRDefault="001D4D2F" w:rsidP="002B4A41">
            <w:pPr>
              <w:jc w:val="right"/>
              <w:rPr>
                <w:color w:val="333333"/>
                <w:szCs w:val="22"/>
                <w:lang w:val="fr-FR"/>
              </w:rPr>
            </w:pPr>
            <w:r w:rsidRPr="00927778">
              <w:rPr>
                <w:color w:val="333333"/>
                <w:szCs w:val="22"/>
                <w:lang w:val="fr-FR"/>
              </w:rPr>
              <w:t>100 000</w:t>
            </w:r>
          </w:p>
        </w:tc>
        <w:tc>
          <w:tcPr>
            <w:tcW w:w="1417"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30 000</w:t>
            </w:r>
          </w:p>
        </w:tc>
        <w:tc>
          <w:tcPr>
            <w:tcW w:w="1559"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80 000</w:t>
            </w:r>
          </w:p>
        </w:tc>
        <w:tc>
          <w:tcPr>
            <w:tcW w:w="1418"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80 000</w:t>
            </w:r>
          </w:p>
        </w:tc>
        <w:tc>
          <w:tcPr>
            <w:tcW w:w="1559" w:type="dxa"/>
            <w:shd w:val="clear" w:color="auto" w:fill="auto"/>
          </w:tcPr>
          <w:p w:rsidR="001320FC" w:rsidRPr="00927778" w:rsidRDefault="001D4D2F" w:rsidP="002B4A41">
            <w:pPr>
              <w:jc w:val="right"/>
              <w:rPr>
                <w:color w:val="333333"/>
                <w:szCs w:val="22"/>
                <w:lang w:val="fr-FR"/>
              </w:rPr>
            </w:pPr>
            <w:r w:rsidRPr="00927778">
              <w:rPr>
                <w:color w:val="333333"/>
                <w:szCs w:val="22"/>
                <w:lang w:val="fr-FR"/>
              </w:rPr>
              <w:t>180 000</w:t>
            </w:r>
          </w:p>
        </w:tc>
        <w:tc>
          <w:tcPr>
            <w:tcW w:w="1072" w:type="dxa"/>
            <w:shd w:val="clear" w:color="auto" w:fill="auto"/>
          </w:tcPr>
          <w:p w:rsidR="001320FC" w:rsidRPr="00927778" w:rsidRDefault="001D4D2F" w:rsidP="002B4A41">
            <w:pPr>
              <w:jc w:val="right"/>
              <w:rPr>
                <w:color w:val="333333"/>
                <w:szCs w:val="22"/>
                <w:lang w:val="fr-FR"/>
              </w:rPr>
            </w:pPr>
            <w:r w:rsidRPr="00927778">
              <w:rPr>
                <w:color w:val="333333"/>
                <w:szCs w:val="22"/>
                <w:lang w:val="fr-FR"/>
              </w:rPr>
              <w:t>260 000</w:t>
            </w:r>
          </w:p>
        </w:tc>
      </w:tr>
      <w:tr w:rsidR="00047C22" w:rsidRPr="00927778" w:rsidTr="00636673">
        <w:tc>
          <w:tcPr>
            <w:tcW w:w="5070" w:type="dxa"/>
            <w:shd w:val="clear" w:color="auto" w:fill="auto"/>
          </w:tcPr>
          <w:p w:rsidR="001320FC" w:rsidRPr="00636673" w:rsidRDefault="001D4D2F" w:rsidP="001D4D2F">
            <w:pPr>
              <w:rPr>
                <w:color w:val="333333"/>
                <w:sz w:val="20"/>
                <w:szCs w:val="22"/>
                <w:lang w:val="fr-FR"/>
              </w:rPr>
            </w:pPr>
            <w:r w:rsidRPr="00636673">
              <w:rPr>
                <w:color w:val="333333"/>
                <w:sz w:val="20"/>
                <w:szCs w:val="22"/>
                <w:lang w:val="fr-FR"/>
              </w:rPr>
              <w:t>Amélioration du portail sur la situation juridique</w:t>
            </w:r>
          </w:p>
        </w:tc>
        <w:tc>
          <w:tcPr>
            <w:tcW w:w="1417"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10 000</w:t>
            </w:r>
          </w:p>
        </w:tc>
        <w:tc>
          <w:tcPr>
            <w:tcW w:w="1418"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20 000</w:t>
            </w:r>
          </w:p>
        </w:tc>
        <w:tc>
          <w:tcPr>
            <w:tcW w:w="1417"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EA2C86" w:rsidRPr="00927778">
              <w:rPr>
                <w:color w:val="333333"/>
                <w:szCs w:val="22"/>
                <w:lang w:val="fr-FR"/>
              </w:rPr>
              <w:t>-</w:t>
            </w:r>
          </w:p>
        </w:tc>
        <w:tc>
          <w:tcPr>
            <w:tcW w:w="1559" w:type="dxa"/>
            <w:shd w:val="clear" w:color="auto" w:fill="auto"/>
          </w:tcPr>
          <w:p w:rsidR="001320FC" w:rsidRPr="00927778" w:rsidRDefault="00EA2C86" w:rsidP="002B4A41">
            <w:pPr>
              <w:jc w:val="right"/>
              <w:rPr>
                <w:color w:val="333333"/>
                <w:szCs w:val="22"/>
                <w:lang w:val="fr-FR"/>
              </w:rPr>
            </w:pPr>
            <w:r w:rsidRPr="00927778">
              <w:rPr>
                <w:color w:val="333333"/>
                <w:szCs w:val="22"/>
                <w:lang w:val="fr-FR"/>
              </w:rPr>
              <w:t>-</w:t>
            </w:r>
          </w:p>
        </w:tc>
        <w:tc>
          <w:tcPr>
            <w:tcW w:w="1418"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10 000</w:t>
            </w:r>
          </w:p>
        </w:tc>
        <w:tc>
          <w:tcPr>
            <w:tcW w:w="1559"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20 000</w:t>
            </w:r>
          </w:p>
        </w:tc>
        <w:tc>
          <w:tcPr>
            <w:tcW w:w="1072" w:type="dxa"/>
            <w:shd w:val="clear" w:color="auto" w:fill="auto"/>
          </w:tcPr>
          <w:p w:rsidR="001320FC" w:rsidRPr="00927778" w:rsidRDefault="001320FC" w:rsidP="002B4A41">
            <w:pPr>
              <w:jc w:val="right"/>
              <w:rPr>
                <w:color w:val="333333"/>
                <w:szCs w:val="22"/>
                <w:lang w:val="fr-FR"/>
              </w:rPr>
            </w:pPr>
            <w:r w:rsidRPr="00927778">
              <w:rPr>
                <w:color w:val="333333"/>
                <w:szCs w:val="22"/>
                <w:lang w:val="fr-FR"/>
              </w:rPr>
              <w:t xml:space="preserve"> </w:t>
            </w:r>
            <w:r w:rsidR="001D4D2F" w:rsidRPr="00927778">
              <w:rPr>
                <w:color w:val="333333"/>
                <w:szCs w:val="22"/>
                <w:lang w:val="fr-FR"/>
              </w:rPr>
              <w:t>30 000</w:t>
            </w:r>
          </w:p>
        </w:tc>
      </w:tr>
      <w:tr w:rsidR="00047C22" w:rsidRPr="00927778" w:rsidTr="00636673">
        <w:tc>
          <w:tcPr>
            <w:tcW w:w="5070" w:type="dxa"/>
            <w:shd w:val="clear" w:color="auto" w:fill="auto"/>
          </w:tcPr>
          <w:p w:rsidR="001320FC" w:rsidRPr="00927778" w:rsidRDefault="001D4D2F" w:rsidP="001D4D2F">
            <w:pPr>
              <w:rPr>
                <w:b/>
                <w:color w:val="333333"/>
                <w:szCs w:val="22"/>
                <w:lang w:val="fr-FR"/>
              </w:rPr>
            </w:pPr>
            <w:r w:rsidRPr="00927778">
              <w:rPr>
                <w:b/>
                <w:color w:val="333333"/>
                <w:szCs w:val="22"/>
                <w:lang w:val="fr-FR"/>
              </w:rPr>
              <w:t>Total</w:t>
            </w:r>
          </w:p>
        </w:tc>
        <w:tc>
          <w:tcPr>
            <w:tcW w:w="1417" w:type="dxa"/>
            <w:shd w:val="clear" w:color="auto" w:fill="auto"/>
          </w:tcPr>
          <w:p w:rsidR="001320FC" w:rsidRPr="00927778" w:rsidRDefault="001D4D2F" w:rsidP="002B4A41">
            <w:pPr>
              <w:jc w:val="right"/>
              <w:rPr>
                <w:b/>
                <w:color w:val="333333"/>
                <w:szCs w:val="22"/>
                <w:lang w:val="fr-FR"/>
              </w:rPr>
            </w:pPr>
            <w:r w:rsidRPr="00927778">
              <w:rPr>
                <w:b/>
                <w:color w:val="333333"/>
                <w:szCs w:val="22"/>
                <w:lang w:val="fr-FR"/>
              </w:rPr>
              <w:t>120 000</w:t>
            </w:r>
          </w:p>
        </w:tc>
        <w:tc>
          <w:tcPr>
            <w:tcW w:w="1418" w:type="dxa"/>
            <w:shd w:val="clear" w:color="auto" w:fill="auto"/>
          </w:tcPr>
          <w:p w:rsidR="001320FC" w:rsidRPr="00927778" w:rsidRDefault="001D4D2F" w:rsidP="002B4A41">
            <w:pPr>
              <w:jc w:val="right"/>
              <w:rPr>
                <w:b/>
                <w:color w:val="333333"/>
                <w:szCs w:val="22"/>
                <w:lang w:val="fr-FR"/>
              </w:rPr>
            </w:pPr>
            <w:r w:rsidRPr="00927778">
              <w:rPr>
                <w:b/>
                <w:color w:val="333333"/>
                <w:szCs w:val="22"/>
                <w:lang w:val="fr-FR"/>
              </w:rPr>
              <w:t>200 000</w:t>
            </w:r>
          </w:p>
        </w:tc>
        <w:tc>
          <w:tcPr>
            <w:tcW w:w="1417" w:type="dxa"/>
            <w:shd w:val="clear" w:color="auto" w:fill="auto"/>
          </w:tcPr>
          <w:p w:rsidR="001320FC" w:rsidRPr="00927778" w:rsidRDefault="001320FC" w:rsidP="002B4A41">
            <w:pPr>
              <w:jc w:val="right"/>
              <w:rPr>
                <w:b/>
                <w:color w:val="333333"/>
                <w:szCs w:val="22"/>
                <w:lang w:val="fr-FR"/>
              </w:rPr>
            </w:pPr>
            <w:r w:rsidRPr="00927778">
              <w:rPr>
                <w:b/>
                <w:color w:val="333333"/>
                <w:szCs w:val="22"/>
                <w:lang w:val="fr-FR"/>
              </w:rPr>
              <w:t xml:space="preserve"> </w:t>
            </w:r>
            <w:r w:rsidR="001D4D2F" w:rsidRPr="00927778">
              <w:rPr>
                <w:b/>
                <w:color w:val="333333"/>
                <w:szCs w:val="22"/>
                <w:lang w:val="fr-FR"/>
              </w:rPr>
              <w:t>30 000</w:t>
            </w:r>
          </w:p>
        </w:tc>
        <w:tc>
          <w:tcPr>
            <w:tcW w:w="1559" w:type="dxa"/>
            <w:shd w:val="clear" w:color="auto" w:fill="auto"/>
          </w:tcPr>
          <w:p w:rsidR="001320FC" w:rsidRPr="00927778" w:rsidRDefault="001320FC" w:rsidP="002B4A41">
            <w:pPr>
              <w:jc w:val="right"/>
              <w:rPr>
                <w:b/>
                <w:color w:val="333333"/>
                <w:szCs w:val="22"/>
                <w:lang w:val="fr-FR"/>
              </w:rPr>
            </w:pPr>
            <w:r w:rsidRPr="00927778">
              <w:rPr>
                <w:b/>
                <w:color w:val="333333"/>
                <w:szCs w:val="22"/>
                <w:lang w:val="fr-FR"/>
              </w:rPr>
              <w:t xml:space="preserve"> </w:t>
            </w:r>
            <w:r w:rsidR="001D4D2F" w:rsidRPr="00927778">
              <w:rPr>
                <w:b/>
                <w:color w:val="333333"/>
                <w:szCs w:val="22"/>
                <w:lang w:val="fr-FR"/>
              </w:rPr>
              <w:t>80 000</w:t>
            </w:r>
          </w:p>
        </w:tc>
        <w:tc>
          <w:tcPr>
            <w:tcW w:w="1418" w:type="dxa"/>
            <w:shd w:val="clear" w:color="auto" w:fill="auto"/>
          </w:tcPr>
          <w:p w:rsidR="001320FC" w:rsidRPr="00927778" w:rsidRDefault="001D4D2F" w:rsidP="002B4A41">
            <w:pPr>
              <w:jc w:val="right"/>
              <w:rPr>
                <w:b/>
                <w:color w:val="333333"/>
                <w:szCs w:val="22"/>
                <w:lang w:val="fr-FR"/>
              </w:rPr>
            </w:pPr>
            <w:r w:rsidRPr="00927778">
              <w:rPr>
                <w:b/>
                <w:color w:val="333333"/>
                <w:szCs w:val="22"/>
                <w:lang w:val="fr-FR"/>
              </w:rPr>
              <w:t>150 000</w:t>
            </w:r>
          </w:p>
        </w:tc>
        <w:tc>
          <w:tcPr>
            <w:tcW w:w="1559" w:type="dxa"/>
            <w:shd w:val="clear" w:color="auto" w:fill="auto"/>
          </w:tcPr>
          <w:p w:rsidR="001320FC" w:rsidRPr="00927778" w:rsidRDefault="001D4D2F" w:rsidP="002B4A41">
            <w:pPr>
              <w:jc w:val="right"/>
              <w:rPr>
                <w:b/>
                <w:color w:val="333333"/>
                <w:szCs w:val="22"/>
                <w:lang w:val="fr-FR"/>
              </w:rPr>
            </w:pPr>
            <w:r w:rsidRPr="00927778">
              <w:rPr>
                <w:b/>
                <w:color w:val="333333"/>
                <w:szCs w:val="22"/>
                <w:lang w:val="fr-FR"/>
              </w:rPr>
              <w:t>280 000</w:t>
            </w:r>
          </w:p>
        </w:tc>
        <w:tc>
          <w:tcPr>
            <w:tcW w:w="1072" w:type="dxa"/>
            <w:shd w:val="clear" w:color="auto" w:fill="auto"/>
          </w:tcPr>
          <w:p w:rsidR="001320FC" w:rsidRPr="00927778" w:rsidRDefault="001D4D2F" w:rsidP="002B4A41">
            <w:pPr>
              <w:jc w:val="right"/>
              <w:rPr>
                <w:b/>
                <w:color w:val="333333"/>
                <w:szCs w:val="22"/>
                <w:lang w:val="fr-FR"/>
              </w:rPr>
            </w:pPr>
            <w:r w:rsidRPr="00927778">
              <w:rPr>
                <w:b/>
                <w:color w:val="333333"/>
                <w:szCs w:val="22"/>
                <w:lang w:val="fr-FR"/>
              </w:rPr>
              <w:t>430 000</w:t>
            </w:r>
          </w:p>
        </w:tc>
      </w:tr>
    </w:tbl>
    <w:p w:rsidR="002B4A41" w:rsidRDefault="001D4D2F" w:rsidP="00636673">
      <w:pPr>
        <w:spacing w:before="120"/>
        <w:ind w:left="11771"/>
        <w:rPr>
          <w:color w:val="333333"/>
          <w:lang w:val="fr-FR"/>
        </w:rPr>
      </w:pPr>
      <w:r w:rsidRPr="00927778">
        <w:rPr>
          <w:color w:val="333333"/>
          <w:lang w:val="fr-FR"/>
        </w:rPr>
        <w:t>[L</w:t>
      </w:r>
      <w:r w:rsidR="00EA2C86" w:rsidRPr="00927778">
        <w:rPr>
          <w:color w:val="333333"/>
          <w:lang w:val="fr-FR"/>
        </w:rPr>
        <w:t>’annexe I</w:t>
      </w:r>
      <w:r w:rsidRPr="00927778">
        <w:rPr>
          <w:color w:val="333333"/>
          <w:lang w:val="fr-FR"/>
        </w:rPr>
        <w:t>II suit]</w:t>
      </w:r>
    </w:p>
    <w:p w:rsidR="002B4A41" w:rsidRPr="00927778" w:rsidRDefault="002B4A41" w:rsidP="002B4A41">
      <w:pPr>
        <w:spacing w:before="960"/>
        <w:rPr>
          <w:color w:val="333333"/>
          <w:lang w:val="fr-FR"/>
        </w:rPr>
        <w:sectPr w:rsidR="002B4A41" w:rsidRPr="00927778" w:rsidSect="002B4A41">
          <w:headerReference w:type="first" r:id="rId16"/>
          <w:pgSz w:w="16840" w:h="11906" w:orient="landscape" w:code="9"/>
          <w:pgMar w:top="1417" w:right="567" w:bottom="1134" w:left="1417" w:header="510" w:footer="1020" w:gutter="0"/>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047C22" w:rsidRPr="00927778" w:rsidTr="00847CC2">
        <w:trPr>
          <w:trHeight w:val="432"/>
        </w:trPr>
        <w:tc>
          <w:tcPr>
            <w:tcW w:w="9288" w:type="dxa"/>
            <w:gridSpan w:val="2"/>
            <w:shd w:val="clear" w:color="auto" w:fill="auto"/>
            <w:vAlign w:val="center"/>
          </w:tcPr>
          <w:p w:rsidR="009373F6" w:rsidRPr="00927778" w:rsidRDefault="001D4D2F" w:rsidP="001D4D2F">
            <w:pPr>
              <w:pStyle w:val="Heading2"/>
              <w:rPr>
                <w:color w:val="333333"/>
                <w:lang w:val="fr-FR"/>
              </w:rPr>
            </w:pPr>
            <w:r w:rsidRPr="00927778">
              <w:rPr>
                <w:rFonts w:eastAsia="Times New Roman"/>
                <w:bCs w:val="0"/>
                <w:iCs w:val="0"/>
                <w:caps w:val="0"/>
                <w:color w:val="333333"/>
                <w:szCs w:val="20"/>
                <w:lang w:val="fr-FR"/>
              </w:rPr>
              <w:t>RÉSUMÉ DU PROJET</w:t>
            </w:r>
          </w:p>
        </w:tc>
      </w:tr>
      <w:tr w:rsidR="00047C22" w:rsidRPr="00927778" w:rsidTr="00847CC2">
        <w:trPr>
          <w:trHeight w:val="496"/>
        </w:trPr>
        <w:tc>
          <w:tcPr>
            <w:tcW w:w="2376" w:type="dxa"/>
            <w:shd w:val="clear" w:color="auto" w:fill="auto"/>
          </w:tcPr>
          <w:p w:rsidR="009373F6" w:rsidRPr="00927778" w:rsidRDefault="001D4D2F" w:rsidP="001D4D2F">
            <w:pPr>
              <w:pStyle w:val="Heading3"/>
              <w:rPr>
                <w:color w:val="333333"/>
                <w:lang w:val="fr-FR"/>
              </w:rPr>
            </w:pPr>
            <w:r w:rsidRPr="00927778">
              <w:rPr>
                <w:color w:val="333333"/>
                <w:lang w:val="fr-FR"/>
              </w:rPr>
              <w:t>Cote du projet</w:t>
            </w:r>
          </w:p>
        </w:tc>
        <w:tc>
          <w:tcPr>
            <w:tcW w:w="6912" w:type="dxa"/>
            <w:shd w:val="clear" w:color="auto" w:fill="auto"/>
            <w:vAlign w:val="center"/>
          </w:tcPr>
          <w:p w:rsidR="009373F6" w:rsidRPr="00927778" w:rsidRDefault="001D4D2F" w:rsidP="001D4D2F">
            <w:pPr>
              <w:rPr>
                <w:color w:val="333333"/>
                <w:lang w:val="fr-FR"/>
              </w:rPr>
            </w:pPr>
            <w:r w:rsidRPr="00927778">
              <w:rPr>
                <w:color w:val="333333"/>
                <w:lang w:val="fr-FR"/>
              </w:rPr>
              <w:t>DA_3_10_45_01</w:t>
            </w:r>
          </w:p>
        </w:tc>
      </w:tr>
      <w:tr w:rsidR="00047C22" w:rsidRPr="00927778" w:rsidTr="00847CC2">
        <w:trPr>
          <w:trHeight w:val="404"/>
        </w:trPr>
        <w:tc>
          <w:tcPr>
            <w:tcW w:w="2376" w:type="dxa"/>
            <w:shd w:val="clear" w:color="auto" w:fill="auto"/>
          </w:tcPr>
          <w:p w:rsidR="005E6718" w:rsidRPr="00927778" w:rsidRDefault="001D4D2F" w:rsidP="001D4D2F">
            <w:pPr>
              <w:pStyle w:val="Heading3"/>
              <w:rPr>
                <w:color w:val="333333"/>
                <w:lang w:val="fr-FR"/>
              </w:rPr>
            </w:pPr>
            <w:r w:rsidRPr="00927778">
              <w:rPr>
                <w:color w:val="333333"/>
                <w:lang w:val="fr-FR"/>
              </w:rPr>
              <w:t>Titre</w:t>
            </w:r>
          </w:p>
          <w:p w:rsidR="009373F6" w:rsidRPr="00927778" w:rsidRDefault="009373F6" w:rsidP="00847CC2">
            <w:pPr>
              <w:rPr>
                <w:color w:val="333333"/>
                <w:lang w:val="fr-FR"/>
              </w:rPr>
            </w:pPr>
          </w:p>
        </w:tc>
        <w:tc>
          <w:tcPr>
            <w:tcW w:w="6912" w:type="dxa"/>
            <w:shd w:val="clear" w:color="auto" w:fill="auto"/>
            <w:vAlign w:val="center"/>
          </w:tcPr>
          <w:p w:rsidR="009373F6" w:rsidRPr="00636673" w:rsidRDefault="001D4D2F" w:rsidP="00636673">
            <w:pPr>
              <w:spacing w:before="120" w:after="120"/>
              <w:rPr>
                <w:i/>
                <w:color w:val="333333"/>
                <w:lang w:val="fr-FR"/>
              </w:rPr>
            </w:pPr>
            <w:r w:rsidRPr="00927778">
              <w:rPr>
                <w:i/>
                <w:color w:val="333333"/>
                <w:lang w:val="fr-FR"/>
              </w:rPr>
              <w:t>Coopération avec les instituts de formation judiciaire des pays en développement et des pays les moins avancés dans les domaines du développement et de l</w:t>
            </w:r>
            <w:r w:rsidR="00EA2C86" w:rsidRPr="00927778">
              <w:rPr>
                <w:i/>
                <w:color w:val="333333"/>
                <w:lang w:val="fr-FR"/>
              </w:rPr>
              <w:t>’</w:t>
            </w:r>
            <w:r w:rsidRPr="00927778">
              <w:rPr>
                <w:i/>
                <w:color w:val="333333"/>
                <w:lang w:val="fr-FR"/>
              </w:rPr>
              <w:t>enseignement et de la formation professionnelle en matière de droits de propriété intellectuelle</w:t>
            </w:r>
          </w:p>
        </w:tc>
      </w:tr>
      <w:tr w:rsidR="00047C22" w:rsidRPr="00927778" w:rsidTr="00847CC2">
        <w:tc>
          <w:tcPr>
            <w:tcW w:w="2376" w:type="dxa"/>
            <w:shd w:val="clear" w:color="auto" w:fill="auto"/>
          </w:tcPr>
          <w:p w:rsidR="005E6718" w:rsidRPr="00927778" w:rsidRDefault="001D4D2F" w:rsidP="001D4D2F">
            <w:pPr>
              <w:pStyle w:val="Heading3"/>
              <w:rPr>
                <w:color w:val="333333"/>
                <w:lang w:val="fr-FR"/>
              </w:rPr>
            </w:pPr>
            <w:r w:rsidRPr="00927778">
              <w:rPr>
                <w:color w:val="333333"/>
                <w:lang w:val="fr-FR"/>
              </w:rPr>
              <w:t>Recommandation du Plan d</w:t>
            </w:r>
            <w:r w:rsidR="00EA2C86" w:rsidRPr="00927778">
              <w:rPr>
                <w:color w:val="333333"/>
                <w:lang w:val="fr-FR"/>
              </w:rPr>
              <w:t>’</w:t>
            </w:r>
            <w:r w:rsidRPr="00927778">
              <w:rPr>
                <w:color w:val="333333"/>
                <w:lang w:val="fr-FR"/>
              </w:rPr>
              <w:t>action pour le développement</w:t>
            </w:r>
          </w:p>
          <w:p w:rsidR="009373F6" w:rsidRPr="00927778" w:rsidRDefault="009373F6" w:rsidP="00847CC2">
            <w:pPr>
              <w:rPr>
                <w:color w:val="333333"/>
                <w:lang w:val="fr-FR"/>
              </w:rPr>
            </w:pPr>
          </w:p>
        </w:tc>
        <w:tc>
          <w:tcPr>
            <w:tcW w:w="6912" w:type="dxa"/>
            <w:shd w:val="clear" w:color="auto" w:fill="auto"/>
          </w:tcPr>
          <w:p w:rsidR="005E6718" w:rsidRPr="00636673" w:rsidRDefault="001D4D2F" w:rsidP="00636673">
            <w:pPr>
              <w:spacing w:before="60" w:after="120"/>
              <w:rPr>
                <w:color w:val="333333"/>
                <w:lang w:val="fr-FR"/>
              </w:rPr>
            </w:pPr>
            <w:r w:rsidRPr="00927778">
              <w:rPr>
                <w:color w:val="333333"/>
                <w:lang w:val="fr-FR"/>
              </w:rPr>
              <w:t>Recommandation n°</w:t>
            </w:r>
            <w:r w:rsidR="0057466D" w:rsidRPr="00927778">
              <w:rPr>
                <w:color w:val="333333"/>
                <w:lang w:val="fr-FR"/>
              </w:rPr>
              <w:t> </w:t>
            </w:r>
            <w:r w:rsidRPr="00927778">
              <w:rPr>
                <w:color w:val="333333"/>
                <w:lang w:val="fr-FR"/>
              </w:rPr>
              <w:t>3</w:t>
            </w:r>
            <w:r w:rsidR="00EA2C86" w:rsidRPr="00927778">
              <w:rPr>
                <w:color w:val="333333"/>
                <w:lang w:val="fr-FR"/>
              </w:rPr>
              <w:t> :</w:t>
            </w:r>
            <w:r w:rsidRPr="00927778">
              <w:rPr>
                <w:color w:val="333333"/>
                <w:lang w:val="fr-FR"/>
              </w:rPr>
              <w:t xml:space="preserve"> Accroître les ressources humaines et financières en faveur des programmes d</w:t>
            </w:r>
            <w:r w:rsidR="00EA2C86" w:rsidRPr="00927778">
              <w:rPr>
                <w:color w:val="333333"/>
                <w:lang w:val="fr-FR"/>
              </w:rPr>
              <w:t>’</w:t>
            </w:r>
            <w:r w:rsidRPr="00927778">
              <w:rPr>
                <w:color w:val="333333"/>
                <w:lang w:val="fr-FR"/>
              </w:rPr>
              <w:t>assistance technique de l</w:t>
            </w:r>
            <w:r w:rsidR="00EA2C86" w:rsidRPr="00927778">
              <w:rPr>
                <w:color w:val="333333"/>
                <w:lang w:val="fr-FR"/>
              </w:rPr>
              <w:t>’</w:t>
            </w:r>
            <w:r w:rsidRPr="00927778">
              <w:rPr>
                <w:color w:val="333333"/>
                <w:lang w:val="fr-FR"/>
              </w:rPr>
              <w:t>OMPI pour promouvoir notamment une culture de la propriété intellectuelle axée sur le développement, en mettant l</w:t>
            </w:r>
            <w:r w:rsidR="00EA2C86" w:rsidRPr="00927778">
              <w:rPr>
                <w:color w:val="333333"/>
                <w:lang w:val="fr-FR"/>
              </w:rPr>
              <w:t>’</w:t>
            </w:r>
            <w:r w:rsidRPr="00927778">
              <w:rPr>
                <w:color w:val="333333"/>
                <w:lang w:val="fr-FR"/>
              </w:rPr>
              <w:t>accent sur l</w:t>
            </w:r>
            <w:r w:rsidR="00EA2C86" w:rsidRPr="00927778">
              <w:rPr>
                <w:color w:val="333333"/>
                <w:lang w:val="fr-FR"/>
              </w:rPr>
              <w:t>’</w:t>
            </w:r>
            <w:r w:rsidRPr="00927778">
              <w:rPr>
                <w:color w:val="333333"/>
                <w:lang w:val="fr-FR"/>
              </w:rPr>
              <w:t>initiation à la propriété intellectuelle dans les programmes d</w:t>
            </w:r>
            <w:r w:rsidR="00EA2C86" w:rsidRPr="00927778">
              <w:rPr>
                <w:color w:val="333333"/>
                <w:lang w:val="fr-FR"/>
              </w:rPr>
              <w:t>’</w:t>
            </w:r>
            <w:r w:rsidRPr="00927778">
              <w:rPr>
                <w:color w:val="333333"/>
                <w:lang w:val="fr-FR"/>
              </w:rPr>
              <w:t>enseignement de différents niveaux et la sensibilisation accrue de l</w:t>
            </w:r>
            <w:r w:rsidR="00EA2C86" w:rsidRPr="00927778">
              <w:rPr>
                <w:color w:val="333333"/>
                <w:lang w:val="fr-FR"/>
              </w:rPr>
              <w:t>’</w:t>
            </w:r>
            <w:r w:rsidRPr="00927778">
              <w:rPr>
                <w:color w:val="333333"/>
                <w:lang w:val="fr-FR"/>
              </w:rPr>
              <w:t>opinion publique à la propriété intellectuelle</w:t>
            </w:r>
            <w:r w:rsidRPr="00927778">
              <w:rPr>
                <w:i/>
                <w:color w:val="333333"/>
                <w:lang w:val="fr-FR"/>
              </w:rPr>
              <w:t>.</w:t>
            </w:r>
          </w:p>
          <w:p w:rsidR="005E6718" w:rsidRPr="00636673" w:rsidRDefault="001D4D2F" w:rsidP="00636673">
            <w:pPr>
              <w:spacing w:before="60" w:after="120"/>
              <w:rPr>
                <w:color w:val="333333"/>
                <w:lang w:val="fr-FR"/>
              </w:rPr>
            </w:pPr>
            <w:r w:rsidRPr="00927778">
              <w:rPr>
                <w:color w:val="333333"/>
                <w:lang w:val="fr-FR"/>
              </w:rPr>
              <w:t>Recommandation n°</w:t>
            </w:r>
            <w:r w:rsidR="0057466D" w:rsidRPr="00927778">
              <w:rPr>
                <w:color w:val="333333"/>
                <w:lang w:val="fr-FR"/>
              </w:rPr>
              <w:t> </w:t>
            </w:r>
            <w:r w:rsidRPr="00927778">
              <w:rPr>
                <w:color w:val="333333"/>
                <w:lang w:val="fr-FR"/>
              </w:rPr>
              <w:t>10</w:t>
            </w:r>
            <w:r w:rsidR="00EA2C86" w:rsidRPr="00927778">
              <w:rPr>
                <w:color w:val="333333"/>
                <w:lang w:val="fr-FR"/>
              </w:rPr>
              <w:t> :</w:t>
            </w:r>
            <w:r w:rsidRPr="00927778">
              <w:rPr>
                <w:color w:val="333333"/>
                <w:lang w:val="fr-FR"/>
              </w:rPr>
              <w:t xml:space="preserve"> Aider les États membres à développer et à améliorer les capacités institutionnelles nationales en propriété intellectuelle par le développement des infrastructures et autres moyens en vue de renforcer l</w:t>
            </w:r>
            <w:r w:rsidR="00EA2C86" w:rsidRPr="00927778">
              <w:rPr>
                <w:color w:val="333333"/>
                <w:lang w:val="fr-FR"/>
              </w:rPr>
              <w:t>’</w:t>
            </w:r>
            <w:r w:rsidRPr="00927778">
              <w:rPr>
                <w:color w:val="333333"/>
                <w:lang w:val="fr-FR"/>
              </w:rPr>
              <w:t>efficacité des institutions nationales de propriété intellectuelle et de concilier protection de la propriété intellectuelle et préservation de l</w:t>
            </w:r>
            <w:r w:rsidR="00EA2C86" w:rsidRPr="00927778">
              <w:rPr>
                <w:color w:val="333333"/>
                <w:lang w:val="fr-FR"/>
              </w:rPr>
              <w:t>’</w:t>
            </w:r>
            <w:r w:rsidRPr="00927778">
              <w:rPr>
                <w:color w:val="333333"/>
                <w:lang w:val="fr-FR"/>
              </w:rPr>
              <w:t>intérêt génér</w:t>
            </w:r>
            <w:r w:rsidR="00306E74" w:rsidRPr="00927778">
              <w:rPr>
                <w:color w:val="333333"/>
                <w:lang w:val="fr-FR"/>
              </w:rPr>
              <w:t>al.  Ce</w:t>
            </w:r>
            <w:r w:rsidRPr="00927778">
              <w:rPr>
                <w:color w:val="333333"/>
                <w:lang w:val="fr-FR"/>
              </w:rPr>
              <w:t>tte assistance technique devrait également être étendue aux organisations sous régionales et régionales œuvrant dans le domaine de la propriété intellectuelle.</w:t>
            </w:r>
          </w:p>
          <w:p w:rsidR="005E6718" w:rsidRPr="00927778" w:rsidRDefault="001D4D2F" w:rsidP="00636673">
            <w:pPr>
              <w:spacing w:before="60" w:after="120"/>
              <w:rPr>
                <w:color w:val="333333"/>
                <w:lang w:val="fr-FR"/>
              </w:rPr>
            </w:pPr>
            <w:r w:rsidRPr="00927778">
              <w:rPr>
                <w:color w:val="333333"/>
                <w:lang w:val="fr-FR"/>
              </w:rPr>
              <w:t>Recommandation n°</w:t>
            </w:r>
            <w:r w:rsidR="0057466D" w:rsidRPr="00927778">
              <w:rPr>
                <w:color w:val="333333"/>
                <w:lang w:val="fr-FR"/>
              </w:rPr>
              <w:t> </w:t>
            </w:r>
            <w:r w:rsidRPr="00927778">
              <w:rPr>
                <w:color w:val="333333"/>
                <w:lang w:val="fr-FR"/>
              </w:rPr>
              <w:t>45</w:t>
            </w:r>
            <w:r w:rsidR="00EA2C86" w:rsidRPr="00927778">
              <w:rPr>
                <w:color w:val="333333"/>
                <w:lang w:val="fr-FR"/>
              </w:rPr>
              <w:t> :</w:t>
            </w:r>
            <w:r w:rsidRPr="00927778">
              <w:rPr>
                <w:color w:val="333333"/>
                <w:lang w:val="fr-FR"/>
              </w:rPr>
              <w:t xml:space="preserve"> Replacer l</w:t>
            </w:r>
            <w:r w:rsidR="00EA2C86" w:rsidRPr="00927778">
              <w:rPr>
                <w:color w:val="333333"/>
                <w:lang w:val="fr-FR"/>
              </w:rPr>
              <w:t>’</w:t>
            </w:r>
            <w:r w:rsidRPr="00927778">
              <w:rPr>
                <w:color w:val="333333"/>
                <w:lang w:val="fr-FR"/>
              </w:rPr>
              <w:t>application des droits de propriété intellectuelle dans le contexte plus large de l</w:t>
            </w:r>
            <w:r w:rsidR="00EA2C86" w:rsidRPr="00927778">
              <w:rPr>
                <w:color w:val="333333"/>
                <w:lang w:val="fr-FR"/>
              </w:rPr>
              <w:t>’</w:t>
            </w:r>
            <w:r w:rsidRPr="00927778">
              <w:rPr>
                <w:color w:val="333333"/>
                <w:lang w:val="fr-FR"/>
              </w:rPr>
              <w:t>intérêt général et en particulier des préoccupations relatives au développement, étant donné que, conformément à l</w:t>
            </w:r>
            <w:r w:rsidR="00EA2C86" w:rsidRPr="00927778">
              <w:rPr>
                <w:color w:val="333333"/>
                <w:lang w:val="fr-FR"/>
              </w:rPr>
              <w:t>’article 7</w:t>
            </w:r>
            <w:r w:rsidRPr="00927778">
              <w:rPr>
                <w:color w:val="333333"/>
                <w:lang w:val="fr-FR"/>
              </w:rPr>
              <w:t xml:space="preserve"> de l</w:t>
            </w:r>
            <w:r w:rsidR="00EA2C86" w:rsidRPr="00927778">
              <w:rPr>
                <w:color w:val="333333"/>
                <w:lang w:val="fr-FR"/>
              </w:rPr>
              <w:t>’</w:t>
            </w:r>
            <w:r w:rsidRPr="00927778">
              <w:rPr>
                <w:color w:val="333333"/>
                <w:lang w:val="fr-FR"/>
              </w:rPr>
              <w:t>Accord sur</w:t>
            </w:r>
            <w:r w:rsidR="00EA2C86" w:rsidRPr="00927778">
              <w:rPr>
                <w:color w:val="333333"/>
                <w:lang w:val="fr-FR"/>
              </w:rPr>
              <w:t xml:space="preserve"> les ADP</w:t>
            </w:r>
            <w:r w:rsidRPr="00927778">
              <w:rPr>
                <w:color w:val="333333"/>
                <w:lang w:val="fr-FR"/>
              </w:rPr>
              <w:t>IC, “la protection et le respect des droits de propriété intellectuelle devraient contribuer à la promotion de l</w:t>
            </w:r>
            <w:r w:rsidR="00EA2C86" w:rsidRPr="00927778">
              <w:rPr>
                <w:color w:val="333333"/>
                <w:lang w:val="fr-FR"/>
              </w:rPr>
              <w:t>’</w:t>
            </w:r>
            <w:r w:rsidRPr="00927778">
              <w:rPr>
                <w:color w:val="333333"/>
                <w:lang w:val="fr-FR"/>
              </w:rPr>
              <w:t>innovation technologique et au transfert et à la diffusion de la technologie, à l</w:t>
            </w:r>
            <w:r w:rsidR="00EA2C86" w:rsidRPr="00927778">
              <w:rPr>
                <w:color w:val="333333"/>
                <w:lang w:val="fr-FR"/>
              </w:rPr>
              <w:t>’</w:t>
            </w:r>
            <w:r w:rsidRPr="00927778">
              <w:rPr>
                <w:color w:val="333333"/>
                <w:lang w:val="fr-FR"/>
              </w:rPr>
              <w:t>avantage mutuel de ceux qui génèrent et de ceux qui utilisent des connaissances techniques et d</w:t>
            </w:r>
            <w:r w:rsidR="00EA2C86" w:rsidRPr="00927778">
              <w:rPr>
                <w:color w:val="333333"/>
                <w:lang w:val="fr-FR"/>
              </w:rPr>
              <w:t>’</w:t>
            </w:r>
            <w:r w:rsidRPr="00927778">
              <w:rPr>
                <w:color w:val="333333"/>
                <w:lang w:val="fr-FR"/>
              </w:rPr>
              <w:t>une manière propice au bien</w:t>
            </w:r>
            <w:r w:rsidR="00CB5AE0" w:rsidRPr="00927778">
              <w:rPr>
                <w:color w:val="333333"/>
                <w:lang w:val="fr-FR"/>
              </w:rPr>
              <w:noBreakHyphen/>
            </w:r>
            <w:r w:rsidRPr="00927778">
              <w:rPr>
                <w:color w:val="333333"/>
                <w:lang w:val="fr-FR"/>
              </w:rPr>
              <w:t>être social et économique, et à assurer un équilibre de droits et d</w:t>
            </w:r>
            <w:r w:rsidR="00EA2C86" w:rsidRPr="00927778">
              <w:rPr>
                <w:color w:val="333333"/>
                <w:lang w:val="fr-FR"/>
              </w:rPr>
              <w:t>’</w:t>
            </w:r>
            <w:r w:rsidRPr="00927778">
              <w:rPr>
                <w:color w:val="333333"/>
                <w:lang w:val="fr-FR"/>
              </w:rPr>
              <w:t>obligations”.</w:t>
            </w:r>
          </w:p>
          <w:p w:rsidR="009373F6" w:rsidRPr="00636673" w:rsidRDefault="009373F6" w:rsidP="00847CC2">
            <w:pPr>
              <w:rPr>
                <w:color w:val="333333"/>
                <w:sz w:val="10"/>
                <w:lang w:val="fr-FR"/>
              </w:rPr>
            </w:pPr>
          </w:p>
        </w:tc>
      </w:tr>
      <w:tr w:rsidR="00047C22" w:rsidRPr="00927778" w:rsidTr="00847CC2">
        <w:tc>
          <w:tcPr>
            <w:tcW w:w="2376" w:type="dxa"/>
            <w:shd w:val="clear" w:color="auto" w:fill="auto"/>
          </w:tcPr>
          <w:p w:rsidR="005E6718" w:rsidRPr="00927778" w:rsidRDefault="001D4D2F" w:rsidP="001D4D2F">
            <w:pPr>
              <w:pStyle w:val="Heading3"/>
              <w:rPr>
                <w:color w:val="333333"/>
                <w:lang w:val="fr-FR"/>
              </w:rPr>
            </w:pPr>
            <w:r w:rsidRPr="00927778">
              <w:rPr>
                <w:color w:val="333333"/>
                <w:lang w:val="fr-FR"/>
              </w:rPr>
              <w:t>Budget du projet</w:t>
            </w:r>
          </w:p>
          <w:p w:rsidR="009373F6" w:rsidRPr="00927778" w:rsidRDefault="009373F6" w:rsidP="00847CC2">
            <w:pPr>
              <w:rPr>
                <w:color w:val="333333"/>
                <w:lang w:val="fr-FR"/>
              </w:rPr>
            </w:pPr>
          </w:p>
        </w:tc>
        <w:tc>
          <w:tcPr>
            <w:tcW w:w="6912" w:type="dxa"/>
            <w:shd w:val="clear" w:color="auto" w:fill="auto"/>
          </w:tcPr>
          <w:p w:rsidR="009373F6" w:rsidRPr="00927778" w:rsidRDefault="001D4D2F" w:rsidP="00636673">
            <w:pPr>
              <w:spacing w:before="240"/>
              <w:rPr>
                <w:color w:val="333333"/>
                <w:lang w:val="fr-FR"/>
              </w:rPr>
            </w:pPr>
            <w:r w:rsidRPr="00927778">
              <w:rPr>
                <w:color w:val="333333"/>
                <w:lang w:val="fr-FR"/>
              </w:rPr>
              <w:t>500 000 francs suiss</w:t>
            </w:r>
            <w:r w:rsidR="00306E74" w:rsidRPr="00927778">
              <w:rPr>
                <w:color w:val="333333"/>
                <w:lang w:val="fr-FR"/>
              </w:rPr>
              <w:t>es.  La</w:t>
            </w:r>
            <w:r w:rsidRPr="00927778">
              <w:rPr>
                <w:color w:val="333333"/>
                <w:lang w:val="fr-FR"/>
              </w:rPr>
              <w:t xml:space="preserve"> totalité de ce montant est liée à des dépenses autres que des frais de personnel.</w:t>
            </w:r>
          </w:p>
        </w:tc>
      </w:tr>
      <w:tr w:rsidR="00047C22" w:rsidRPr="00927778" w:rsidTr="00847CC2">
        <w:tc>
          <w:tcPr>
            <w:tcW w:w="2376" w:type="dxa"/>
            <w:shd w:val="clear" w:color="auto" w:fill="auto"/>
          </w:tcPr>
          <w:p w:rsidR="005E6718" w:rsidRPr="00927778" w:rsidRDefault="001D4D2F" w:rsidP="001D4D2F">
            <w:pPr>
              <w:pStyle w:val="Heading3"/>
              <w:rPr>
                <w:color w:val="333333"/>
                <w:lang w:val="fr-FR"/>
              </w:rPr>
            </w:pPr>
            <w:r w:rsidRPr="00927778">
              <w:rPr>
                <w:color w:val="333333"/>
                <w:lang w:val="fr-FR"/>
              </w:rPr>
              <w:t>Début du projet</w:t>
            </w:r>
          </w:p>
          <w:p w:rsidR="009373F6" w:rsidRPr="00636673" w:rsidRDefault="009373F6" w:rsidP="00847CC2">
            <w:pPr>
              <w:rPr>
                <w:color w:val="333333"/>
                <w:sz w:val="6"/>
                <w:lang w:val="fr-FR"/>
              </w:rPr>
            </w:pPr>
          </w:p>
        </w:tc>
        <w:tc>
          <w:tcPr>
            <w:tcW w:w="6912" w:type="dxa"/>
            <w:shd w:val="clear" w:color="auto" w:fill="auto"/>
          </w:tcPr>
          <w:p w:rsidR="009373F6" w:rsidRPr="00927778" w:rsidRDefault="001D4D2F" w:rsidP="00636673">
            <w:pPr>
              <w:spacing w:before="240"/>
              <w:rPr>
                <w:color w:val="333333"/>
                <w:lang w:val="fr-FR"/>
              </w:rPr>
            </w:pPr>
            <w:r w:rsidRPr="00927778">
              <w:rPr>
                <w:color w:val="333333"/>
                <w:lang w:val="fr-FR"/>
              </w:rPr>
              <w:t>15 juillet 2016</w:t>
            </w:r>
          </w:p>
        </w:tc>
      </w:tr>
      <w:tr w:rsidR="00047C22" w:rsidRPr="00927778" w:rsidTr="00847CC2">
        <w:tc>
          <w:tcPr>
            <w:tcW w:w="2376" w:type="dxa"/>
            <w:shd w:val="clear" w:color="auto" w:fill="auto"/>
          </w:tcPr>
          <w:p w:rsidR="005E6718" w:rsidRPr="00927778" w:rsidRDefault="001D4D2F" w:rsidP="001D4D2F">
            <w:pPr>
              <w:pStyle w:val="Heading3"/>
              <w:rPr>
                <w:color w:val="333333"/>
                <w:lang w:val="fr-FR"/>
              </w:rPr>
            </w:pPr>
            <w:r w:rsidRPr="00927778">
              <w:rPr>
                <w:color w:val="333333"/>
                <w:lang w:val="fr-FR"/>
              </w:rPr>
              <w:t>Durée du projet</w:t>
            </w:r>
          </w:p>
          <w:p w:rsidR="009373F6" w:rsidRPr="00636673" w:rsidRDefault="009373F6" w:rsidP="00847CC2">
            <w:pPr>
              <w:rPr>
                <w:color w:val="333333"/>
                <w:sz w:val="8"/>
                <w:lang w:val="fr-FR"/>
              </w:rPr>
            </w:pPr>
          </w:p>
        </w:tc>
        <w:tc>
          <w:tcPr>
            <w:tcW w:w="6912" w:type="dxa"/>
            <w:shd w:val="clear" w:color="auto" w:fill="auto"/>
          </w:tcPr>
          <w:p w:rsidR="009373F6" w:rsidRPr="00927778" w:rsidRDefault="001D4D2F" w:rsidP="00636673">
            <w:pPr>
              <w:spacing w:before="240"/>
              <w:rPr>
                <w:color w:val="333333"/>
                <w:lang w:val="fr-FR"/>
              </w:rPr>
            </w:pPr>
            <w:r w:rsidRPr="00927778">
              <w:rPr>
                <w:color w:val="333333"/>
                <w:lang w:val="fr-FR"/>
              </w:rPr>
              <w:t>24 mois</w:t>
            </w:r>
          </w:p>
        </w:tc>
      </w:tr>
      <w:tr w:rsidR="00047C22" w:rsidRPr="00927778" w:rsidTr="00847CC2">
        <w:tc>
          <w:tcPr>
            <w:tcW w:w="2376" w:type="dxa"/>
            <w:shd w:val="clear" w:color="auto" w:fill="auto"/>
          </w:tcPr>
          <w:p w:rsidR="009373F6" w:rsidRPr="00927778" w:rsidRDefault="001D4D2F" w:rsidP="00636673">
            <w:pPr>
              <w:pStyle w:val="Heading3"/>
              <w:keepNext w:val="0"/>
              <w:keepLines/>
              <w:rPr>
                <w:color w:val="333333"/>
                <w:lang w:val="fr-FR"/>
              </w:rPr>
            </w:pPr>
            <w:r w:rsidRPr="00927778">
              <w:rPr>
                <w:color w:val="333333"/>
                <w:lang w:val="fr-FR"/>
              </w:rPr>
              <w:t>Principaux secteurs de l</w:t>
            </w:r>
            <w:r w:rsidR="00EA2C86" w:rsidRPr="00927778">
              <w:rPr>
                <w:color w:val="333333"/>
                <w:lang w:val="fr-FR"/>
              </w:rPr>
              <w:t>’</w:t>
            </w:r>
            <w:r w:rsidRPr="00927778">
              <w:rPr>
                <w:color w:val="333333"/>
                <w:lang w:val="fr-FR"/>
              </w:rPr>
              <w:t>OMPI concernés et liens avec les programmes de l</w:t>
            </w:r>
            <w:r w:rsidR="00EA2C86" w:rsidRPr="00927778">
              <w:rPr>
                <w:color w:val="333333"/>
                <w:lang w:val="fr-FR"/>
              </w:rPr>
              <w:t>’</w:t>
            </w:r>
            <w:r w:rsidRPr="00927778">
              <w:rPr>
                <w:color w:val="333333"/>
                <w:lang w:val="fr-FR"/>
              </w:rPr>
              <w:t>OMPI</w:t>
            </w:r>
          </w:p>
        </w:tc>
        <w:tc>
          <w:tcPr>
            <w:tcW w:w="6912" w:type="dxa"/>
            <w:shd w:val="clear" w:color="auto" w:fill="auto"/>
          </w:tcPr>
          <w:p w:rsidR="009373F6" w:rsidRPr="00927778" w:rsidRDefault="001D4D2F" w:rsidP="00636673">
            <w:pPr>
              <w:spacing w:before="240"/>
              <w:rPr>
                <w:color w:val="333333"/>
                <w:lang w:val="fr-FR"/>
              </w:rPr>
            </w:pPr>
            <w:r w:rsidRPr="00927778">
              <w:rPr>
                <w:color w:val="333333"/>
                <w:lang w:val="fr-FR"/>
              </w:rPr>
              <w:t>Liens avec les programmes</w:t>
            </w:r>
            <w:r w:rsidR="00002037" w:rsidRPr="00927778">
              <w:rPr>
                <w:color w:val="333333"/>
                <w:lang w:val="fr-FR"/>
              </w:rPr>
              <w:t> </w:t>
            </w:r>
            <w:r w:rsidRPr="00927778">
              <w:rPr>
                <w:color w:val="333333"/>
                <w:lang w:val="fr-FR"/>
              </w:rPr>
              <w:t>9, 10, et 17.</w:t>
            </w:r>
          </w:p>
        </w:tc>
      </w:tr>
      <w:tr w:rsidR="009373F6" w:rsidRPr="00927778" w:rsidTr="00847CC2">
        <w:trPr>
          <w:trHeight w:val="2664"/>
        </w:trPr>
        <w:tc>
          <w:tcPr>
            <w:tcW w:w="2376" w:type="dxa"/>
            <w:shd w:val="clear" w:color="auto" w:fill="auto"/>
          </w:tcPr>
          <w:p w:rsidR="009373F6" w:rsidRPr="00927778" w:rsidRDefault="001D4D2F" w:rsidP="001D4D2F">
            <w:pPr>
              <w:pStyle w:val="Heading3"/>
              <w:rPr>
                <w:color w:val="333333"/>
                <w:lang w:val="fr-FR"/>
              </w:rPr>
            </w:pPr>
            <w:r w:rsidRPr="00927778">
              <w:rPr>
                <w:color w:val="333333"/>
                <w:lang w:val="fr-FR"/>
              </w:rPr>
              <w:t>Brève description du projet</w:t>
            </w:r>
          </w:p>
        </w:tc>
        <w:tc>
          <w:tcPr>
            <w:tcW w:w="6912" w:type="dxa"/>
            <w:shd w:val="clear" w:color="auto" w:fill="auto"/>
          </w:tcPr>
          <w:p w:rsidR="005E6718" w:rsidRPr="00927778" w:rsidRDefault="005E6718" w:rsidP="00847CC2">
            <w:pPr>
              <w:rPr>
                <w:rFonts w:eastAsia="SimSun"/>
                <w:color w:val="333333"/>
                <w:lang w:val="fr-FR" w:eastAsia="zh-CN"/>
              </w:rPr>
            </w:pPr>
          </w:p>
          <w:p w:rsidR="00EA2C86" w:rsidRPr="00927778" w:rsidRDefault="001D4D2F" w:rsidP="001D4D2F">
            <w:pPr>
              <w:rPr>
                <w:rFonts w:eastAsia="SimSun"/>
                <w:color w:val="333333"/>
                <w:lang w:val="fr-FR" w:eastAsia="zh-CN"/>
              </w:rPr>
            </w:pPr>
            <w:r w:rsidRPr="00927778">
              <w:rPr>
                <w:rFonts w:eastAsia="SimSun"/>
                <w:color w:val="333333"/>
                <w:lang w:val="fr-FR" w:eastAsia="zh-CN"/>
              </w:rPr>
              <w:t>Compte tenu de la politique et de la stratégie nationales en matière de droits de propriété intellectuelle et de l</w:t>
            </w:r>
            <w:r w:rsidR="00EA2C86" w:rsidRPr="00927778">
              <w:rPr>
                <w:rFonts w:eastAsia="SimSun"/>
                <w:color w:val="333333"/>
                <w:lang w:val="fr-FR" w:eastAsia="zh-CN"/>
              </w:rPr>
              <w:t>’</w:t>
            </w:r>
            <w:r w:rsidRPr="00927778">
              <w:rPr>
                <w:rFonts w:eastAsia="SimSun"/>
                <w:color w:val="333333"/>
                <w:lang w:val="fr-FR" w:eastAsia="zh-CN"/>
              </w:rPr>
              <w:t>intérêt général, le principal objectif du projet est de renforcer la capacité de mettre en œuvre à l</w:t>
            </w:r>
            <w:r w:rsidR="00EA2C86" w:rsidRPr="00927778">
              <w:rPr>
                <w:rFonts w:eastAsia="SimSun"/>
                <w:color w:val="333333"/>
                <w:lang w:val="fr-FR" w:eastAsia="zh-CN"/>
              </w:rPr>
              <w:t>’</w:t>
            </w:r>
            <w:r w:rsidRPr="00927778">
              <w:rPr>
                <w:rFonts w:eastAsia="SimSun"/>
                <w:color w:val="333333"/>
                <w:lang w:val="fr-FR" w:eastAsia="zh-CN"/>
              </w:rPr>
              <w:t>échelle nationale des programmes efficients et efficaces d</w:t>
            </w:r>
            <w:r w:rsidR="00EA2C86" w:rsidRPr="00927778">
              <w:rPr>
                <w:rFonts w:eastAsia="SimSun"/>
                <w:color w:val="333333"/>
                <w:lang w:val="fr-FR" w:eastAsia="zh-CN"/>
              </w:rPr>
              <w:t>’</w:t>
            </w:r>
            <w:r w:rsidRPr="00927778">
              <w:rPr>
                <w:rFonts w:eastAsia="SimSun"/>
                <w:color w:val="333333"/>
                <w:lang w:val="fr-FR" w:eastAsia="zh-CN"/>
              </w:rPr>
              <w:t>enseignement et de formation dans le domaine des droits de propriété intellectuelle à l</w:t>
            </w:r>
            <w:r w:rsidR="00EA2C86" w:rsidRPr="00927778">
              <w:rPr>
                <w:rFonts w:eastAsia="SimSun"/>
                <w:color w:val="333333"/>
                <w:lang w:val="fr-FR" w:eastAsia="zh-CN"/>
              </w:rPr>
              <w:t>’</w:t>
            </w:r>
            <w:r w:rsidRPr="00927778">
              <w:rPr>
                <w:rFonts w:eastAsia="SimSun"/>
                <w:color w:val="333333"/>
                <w:lang w:val="fr-FR" w:eastAsia="zh-CN"/>
              </w:rPr>
              <w:t xml:space="preserve">intention des juges, </w:t>
            </w:r>
            <w:r w:rsidR="00EA2C86" w:rsidRPr="00927778">
              <w:rPr>
                <w:rFonts w:eastAsia="SimSun"/>
                <w:color w:val="333333"/>
                <w:lang w:val="fr-FR" w:eastAsia="zh-CN"/>
              </w:rPr>
              <w:t>y compris</w:t>
            </w:r>
            <w:r w:rsidRPr="00927778">
              <w:rPr>
                <w:rFonts w:eastAsia="SimSun"/>
                <w:color w:val="333333"/>
                <w:lang w:val="fr-FR" w:eastAsia="zh-CN"/>
              </w:rPr>
              <w:t xml:space="preserve"> la création d</w:t>
            </w:r>
            <w:r w:rsidR="00EA2C86" w:rsidRPr="00927778">
              <w:rPr>
                <w:rFonts w:eastAsia="SimSun"/>
                <w:color w:val="333333"/>
                <w:lang w:val="fr-FR" w:eastAsia="zh-CN"/>
              </w:rPr>
              <w:t>’</w:t>
            </w:r>
            <w:r w:rsidRPr="00927778">
              <w:rPr>
                <w:rFonts w:eastAsia="SimSun"/>
                <w:color w:val="333333"/>
                <w:lang w:val="fr-FR" w:eastAsia="zh-CN"/>
              </w:rPr>
              <w:t>un instrument d</w:t>
            </w:r>
            <w:r w:rsidR="00EA2C86" w:rsidRPr="00927778">
              <w:rPr>
                <w:rFonts w:eastAsia="SimSun"/>
                <w:color w:val="333333"/>
                <w:lang w:val="fr-FR" w:eastAsia="zh-CN"/>
              </w:rPr>
              <w:t>’</w:t>
            </w:r>
            <w:r w:rsidRPr="00927778">
              <w:rPr>
                <w:rFonts w:eastAsia="SimSun"/>
                <w:color w:val="333333"/>
                <w:lang w:val="fr-FR" w:eastAsia="zh-CN"/>
              </w:rPr>
              <w:t>autoformation et de référence en matière de droits de la propriété intellectuelle à l</w:t>
            </w:r>
            <w:r w:rsidR="00EA2C86" w:rsidRPr="00927778">
              <w:rPr>
                <w:rFonts w:eastAsia="SimSun"/>
                <w:color w:val="333333"/>
                <w:lang w:val="fr-FR" w:eastAsia="zh-CN"/>
              </w:rPr>
              <w:t>’</w:t>
            </w:r>
            <w:r w:rsidRPr="00927778">
              <w:rPr>
                <w:rFonts w:eastAsia="SimSun"/>
                <w:color w:val="333333"/>
                <w:lang w:val="fr-FR" w:eastAsia="zh-CN"/>
              </w:rPr>
              <w:t>intention des jug</w:t>
            </w:r>
            <w:r w:rsidR="00306E74" w:rsidRPr="00927778">
              <w:rPr>
                <w:rFonts w:eastAsia="SimSun"/>
                <w:color w:val="333333"/>
                <w:lang w:val="fr-FR" w:eastAsia="zh-CN"/>
              </w:rPr>
              <w:t>es.  D’u</w:t>
            </w:r>
            <w:r w:rsidRPr="00927778">
              <w:rPr>
                <w:rFonts w:eastAsia="SimSun"/>
                <w:color w:val="333333"/>
                <w:lang w:val="fr-FR" w:eastAsia="zh-CN"/>
              </w:rPr>
              <w:t>ne manière plus spécifique, le projet vise à améliorer la compréhension du droit de la propriété intellectuelle et l</w:t>
            </w:r>
            <w:r w:rsidR="00EA2C86" w:rsidRPr="00927778">
              <w:rPr>
                <w:rFonts w:eastAsia="SimSun"/>
                <w:color w:val="333333"/>
                <w:lang w:val="fr-FR" w:eastAsia="zh-CN"/>
              </w:rPr>
              <w:t>’</w:t>
            </w:r>
            <w:r w:rsidRPr="00927778">
              <w:rPr>
                <w:rFonts w:eastAsia="SimSun"/>
                <w:color w:val="333333"/>
                <w:lang w:val="fr-FR" w:eastAsia="zh-CN"/>
              </w:rPr>
              <w:t>application par les juges des connaissances en la matière grâce à l</w:t>
            </w:r>
            <w:r w:rsidR="00EA2C86" w:rsidRPr="00927778">
              <w:rPr>
                <w:rFonts w:eastAsia="SimSun"/>
                <w:color w:val="333333"/>
                <w:lang w:val="fr-FR" w:eastAsia="zh-CN"/>
              </w:rPr>
              <w:t>’</w:t>
            </w:r>
            <w:r w:rsidRPr="00927778">
              <w:rPr>
                <w:rFonts w:eastAsia="SimSun"/>
                <w:color w:val="333333"/>
                <w:lang w:val="fr-FR" w:eastAsia="zh-CN"/>
              </w:rPr>
              <w:t>élaboration d</w:t>
            </w:r>
            <w:r w:rsidR="00EA2C86" w:rsidRPr="00927778">
              <w:rPr>
                <w:rFonts w:eastAsia="SimSun"/>
                <w:color w:val="333333"/>
                <w:lang w:val="fr-FR" w:eastAsia="zh-CN"/>
              </w:rPr>
              <w:t>’</w:t>
            </w:r>
            <w:r w:rsidRPr="00927778">
              <w:rPr>
                <w:rFonts w:eastAsia="SimSun"/>
                <w:color w:val="333333"/>
                <w:lang w:val="fr-FR" w:eastAsia="zh-CN"/>
              </w:rPr>
              <w:t>une réflexion cohérente et logique et au développement de compétences d</w:t>
            </w:r>
            <w:r w:rsidR="00EA2C86" w:rsidRPr="00927778">
              <w:rPr>
                <w:rFonts w:eastAsia="SimSun"/>
                <w:color w:val="333333"/>
                <w:lang w:val="fr-FR" w:eastAsia="zh-CN"/>
              </w:rPr>
              <w:t>’</w:t>
            </w:r>
            <w:r w:rsidRPr="00927778">
              <w:rPr>
                <w:rFonts w:eastAsia="SimSun"/>
                <w:color w:val="333333"/>
                <w:lang w:val="fr-FR" w:eastAsia="zh-CN"/>
              </w:rPr>
              <w:t>analyse critique afin de permettre la formulation d</w:t>
            </w:r>
            <w:r w:rsidR="00EA2C86" w:rsidRPr="00927778">
              <w:rPr>
                <w:rFonts w:eastAsia="SimSun"/>
                <w:color w:val="333333"/>
                <w:lang w:val="fr-FR" w:eastAsia="zh-CN"/>
              </w:rPr>
              <w:t>’</w:t>
            </w:r>
            <w:r w:rsidRPr="00927778">
              <w:rPr>
                <w:rFonts w:eastAsia="SimSun"/>
                <w:color w:val="333333"/>
                <w:lang w:val="fr-FR" w:eastAsia="zh-CN"/>
              </w:rPr>
              <w:t>arguments et de décisions équitables, efficients, éclairés et raisonnés concernant les litiges de propriété intellectuelle devant les tribunaux spécialisés en la matière.</w:t>
            </w:r>
          </w:p>
          <w:p w:rsidR="005E6718" w:rsidRPr="00927778" w:rsidRDefault="001D4D2F" w:rsidP="001D4D2F">
            <w:pPr>
              <w:rPr>
                <w:rFonts w:eastAsia="SimSun"/>
                <w:color w:val="333333"/>
                <w:lang w:val="fr-FR" w:eastAsia="zh-CN"/>
              </w:rPr>
            </w:pPr>
            <w:r w:rsidRPr="00927778">
              <w:rPr>
                <w:rFonts w:eastAsia="SimSun"/>
                <w:color w:val="333333"/>
                <w:lang w:val="fr-FR" w:eastAsia="zh-CN"/>
              </w:rPr>
              <w:t>Sélection des instituts pilotes de formation judiciaire</w:t>
            </w:r>
            <w:r w:rsidR="00EA2C86" w:rsidRPr="00927778">
              <w:rPr>
                <w:rFonts w:eastAsia="SimSun"/>
                <w:color w:val="333333"/>
                <w:lang w:val="fr-FR" w:eastAsia="zh-CN"/>
              </w:rPr>
              <w:t> :</w:t>
            </w:r>
          </w:p>
          <w:p w:rsidR="005E6718" w:rsidRPr="00927778" w:rsidRDefault="005E6718" w:rsidP="00847CC2">
            <w:pPr>
              <w:rPr>
                <w:rFonts w:eastAsia="SimSun"/>
                <w:color w:val="333333"/>
                <w:lang w:val="fr-FR" w:eastAsia="zh-CN"/>
              </w:rPr>
            </w:pPr>
          </w:p>
          <w:p w:rsidR="00EA2C86" w:rsidRPr="00927778" w:rsidRDefault="00EC684F" w:rsidP="00EC684F">
            <w:pPr>
              <w:rPr>
                <w:rFonts w:eastAsia="SimSun"/>
                <w:color w:val="333333"/>
                <w:lang w:val="fr-FR" w:eastAsia="zh-CN"/>
              </w:rPr>
            </w:pPr>
            <w:r w:rsidRPr="00927778">
              <w:rPr>
                <w:rFonts w:eastAsia="SimSun"/>
                <w:color w:val="333333"/>
                <w:lang w:val="fr-FR" w:eastAsia="zh-CN"/>
              </w:rPr>
              <w:t>Quatre instituts pilotes de formation judiciaire représentant des traditions et des horizons judiciaires différents ont été choisis, à raison d</w:t>
            </w:r>
            <w:r w:rsidR="00EA2C86" w:rsidRPr="00927778">
              <w:rPr>
                <w:rFonts w:eastAsia="SimSun"/>
                <w:color w:val="333333"/>
                <w:lang w:val="fr-FR" w:eastAsia="zh-CN"/>
              </w:rPr>
              <w:t>’</w:t>
            </w:r>
            <w:r w:rsidRPr="00927778">
              <w:rPr>
                <w:rFonts w:eastAsia="SimSun"/>
                <w:color w:val="333333"/>
                <w:lang w:val="fr-FR" w:eastAsia="zh-CN"/>
              </w:rPr>
              <w:t>un par région, dans chacune des régions suivantes</w:t>
            </w:r>
            <w:r w:rsidR="00EA2C86" w:rsidRPr="00927778">
              <w:rPr>
                <w:rFonts w:eastAsia="SimSun"/>
                <w:color w:val="333333"/>
                <w:lang w:val="fr-FR" w:eastAsia="zh-CN"/>
              </w:rPr>
              <w:t> :</w:t>
            </w:r>
            <w:r w:rsidRPr="00927778">
              <w:rPr>
                <w:rFonts w:eastAsia="SimSun"/>
                <w:color w:val="333333"/>
                <w:lang w:val="fr-FR" w:eastAsia="zh-CN"/>
              </w:rPr>
              <w:t xml:space="preserve"> Afrique, Asie et Pacifique, Amérique latine et Caraïbes et pays arab</w:t>
            </w:r>
            <w:r w:rsidR="00306E74" w:rsidRPr="00927778">
              <w:rPr>
                <w:rFonts w:eastAsia="SimSun"/>
                <w:color w:val="333333"/>
                <w:lang w:val="fr-FR" w:eastAsia="zh-CN"/>
              </w:rPr>
              <w:t>es.  Un</w:t>
            </w:r>
            <w:r w:rsidRPr="00927778">
              <w:rPr>
                <w:rFonts w:eastAsia="SimSun"/>
                <w:color w:val="333333"/>
                <w:lang w:val="fr-FR" w:eastAsia="zh-CN"/>
              </w:rPr>
              <w:t xml:space="preserve"> de ces instituts aura son siège dans un PMA.</w:t>
            </w:r>
          </w:p>
          <w:p w:rsidR="005E6718" w:rsidRPr="00927778" w:rsidRDefault="005E6718" w:rsidP="00847CC2">
            <w:pPr>
              <w:rPr>
                <w:rFonts w:eastAsia="SimSun"/>
                <w:color w:val="333333"/>
                <w:lang w:val="fr-FR" w:eastAsia="zh-CN"/>
              </w:rPr>
            </w:pPr>
          </w:p>
          <w:p w:rsidR="00EA2C86" w:rsidRPr="00927778" w:rsidRDefault="00EC684F" w:rsidP="00EC684F">
            <w:pPr>
              <w:rPr>
                <w:rFonts w:eastAsia="SimSun"/>
                <w:color w:val="333333"/>
                <w:lang w:val="fr-FR" w:eastAsia="zh-CN"/>
              </w:rPr>
            </w:pPr>
            <w:r w:rsidRPr="00927778">
              <w:rPr>
                <w:rFonts w:eastAsia="SimSun"/>
                <w:color w:val="333333"/>
                <w:lang w:val="fr-FR" w:eastAsia="zh-CN"/>
              </w:rPr>
              <w:t>Les programmes d</w:t>
            </w:r>
            <w:r w:rsidR="00EA2C86" w:rsidRPr="00927778">
              <w:rPr>
                <w:rFonts w:eastAsia="SimSun"/>
                <w:color w:val="333333"/>
                <w:lang w:val="fr-FR" w:eastAsia="zh-CN"/>
              </w:rPr>
              <w:t>’</w:t>
            </w:r>
            <w:r w:rsidRPr="00927778">
              <w:rPr>
                <w:rFonts w:eastAsia="SimSun"/>
                <w:color w:val="333333"/>
                <w:lang w:val="fr-FR" w:eastAsia="zh-CN"/>
              </w:rPr>
              <w:t xml:space="preserve">enseignement et de formation dans le domaine des droits de propriété intellectuelle, </w:t>
            </w:r>
            <w:r w:rsidR="00EA2C86" w:rsidRPr="00927778">
              <w:rPr>
                <w:rFonts w:eastAsia="SimSun"/>
                <w:color w:val="333333"/>
                <w:lang w:val="fr-FR" w:eastAsia="zh-CN"/>
              </w:rPr>
              <w:t>y compris</w:t>
            </w:r>
            <w:r w:rsidRPr="00927778">
              <w:rPr>
                <w:rFonts w:eastAsia="SimSun"/>
                <w:color w:val="333333"/>
                <w:lang w:val="fr-FR" w:eastAsia="zh-CN"/>
              </w:rPr>
              <w:t xml:space="preserve"> l</w:t>
            </w:r>
            <w:r w:rsidR="00EA2C86" w:rsidRPr="00927778">
              <w:rPr>
                <w:rFonts w:eastAsia="SimSun"/>
                <w:color w:val="333333"/>
                <w:lang w:val="fr-FR" w:eastAsia="zh-CN"/>
              </w:rPr>
              <w:t>’</w:t>
            </w:r>
            <w:r w:rsidRPr="00927778">
              <w:rPr>
                <w:rFonts w:eastAsia="SimSun"/>
                <w:color w:val="333333"/>
                <w:lang w:val="fr-FR" w:eastAsia="zh-CN"/>
              </w:rPr>
              <w:t>instrument d</w:t>
            </w:r>
            <w:r w:rsidR="00EA2C86" w:rsidRPr="00927778">
              <w:rPr>
                <w:rFonts w:eastAsia="SimSun"/>
                <w:color w:val="333333"/>
                <w:lang w:val="fr-FR" w:eastAsia="zh-CN"/>
              </w:rPr>
              <w:t>’</w:t>
            </w:r>
            <w:r w:rsidRPr="00927778">
              <w:rPr>
                <w:rFonts w:eastAsia="SimSun"/>
                <w:color w:val="333333"/>
                <w:lang w:val="fr-FR" w:eastAsia="zh-CN"/>
              </w:rPr>
              <w:t>autoformation et de référence en matière de droits de propriété intellectuelle à l</w:t>
            </w:r>
            <w:r w:rsidR="00EA2C86" w:rsidRPr="00927778">
              <w:rPr>
                <w:rFonts w:eastAsia="SimSun"/>
                <w:color w:val="333333"/>
                <w:lang w:val="fr-FR" w:eastAsia="zh-CN"/>
              </w:rPr>
              <w:t>’</w:t>
            </w:r>
            <w:r w:rsidRPr="00927778">
              <w:rPr>
                <w:rFonts w:eastAsia="SimSun"/>
                <w:color w:val="333333"/>
                <w:lang w:val="fr-FR" w:eastAsia="zh-CN"/>
              </w:rPr>
              <w:t>intention des juges, sont adaptés aux lacunes décelées, aux besoins exprimés, à l</w:t>
            </w:r>
            <w:r w:rsidR="00EA2C86" w:rsidRPr="00927778">
              <w:rPr>
                <w:rFonts w:eastAsia="SimSun"/>
                <w:color w:val="333333"/>
                <w:lang w:val="fr-FR" w:eastAsia="zh-CN"/>
              </w:rPr>
              <w:t>’</w:t>
            </w:r>
            <w:r w:rsidRPr="00927778">
              <w:rPr>
                <w:rFonts w:eastAsia="SimSun"/>
                <w:color w:val="333333"/>
                <w:lang w:val="fr-FR" w:eastAsia="zh-CN"/>
              </w:rPr>
              <w:t>infrastructure disponible pour l</w:t>
            </w:r>
            <w:r w:rsidR="00EA2C86" w:rsidRPr="00927778">
              <w:rPr>
                <w:rFonts w:eastAsia="SimSun"/>
                <w:color w:val="333333"/>
                <w:lang w:val="fr-FR" w:eastAsia="zh-CN"/>
              </w:rPr>
              <w:t>’</w:t>
            </w:r>
            <w:r w:rsidRPr="00927778">
              <w:rPr>
                <w:rFonts w:eastAsia="SimSun"/>
                <w:color w:val="333333"/>
                <w:lang w:val="fr-FR" w:eastAsia="zh-CN"/>
              </w:rPr>
              <w:t>apprentissage, aux capacités d</w:t>
            </w:r>
            <w:r w:rsidR="00EA2C86" w:rsidRPr="00927778">
              <w:rPr>
                <w:rFonts w:eastAsia="SimSun"/>
                <w:color w:val="333333"/>
                <w:lang w:val="fr-FR" w:eastAsia="zh-CN"/>
              </w:rPr>
              <w:t>’</w:t>
            </w:r>
            <w:r w:rsidRPr="00927778">
              <w:rPr>
                <w:rFonts w:eastAsia="SimSun"/>
                <w:color w:val="333333"/>
                <w:lang w:val="fr-FR" w:eastAsia="zh-CN"/>
              </w:rPr>
              <w:t>absorption et aux styles d</w:t>
            </w:r>
            <w:r w:rsidR="00EA2C86" w:rsidRPr="00927778">
              <w:rPr>
                <w:rFonts w:eastAsia="SimSun"/>
                <w:color w:val="333333"/>
                <w:lang w:val="fr-FR" w:eastAsia="zh-CN"/>
              </w:rPr>
              <w:t>’</w:t>
            </w:r>
            <w:r w:rsidRPr="00927778">
              <w:rPr>
                <w:rFonts w:eastAsia="SimSun"/>
                <w:color w:val="333333"/>
                <w:lang w:val="fr-FR" w:eastAsia="zh-CN"/>
              </w:rPr>
              <w:t>apprentissage préférés des membres des systèmes judiciaires des pays pilotes (pays en développement et PMA) sélectionnés.</w:t>
            </w:r>
          </w:p>
          <w:p w:rsidR="005E6718" w:rsidRPr="00927778" w:rsidRDefault="005E6718" w:rsidP="00847CC2">
            <w:pPr>
              <w:rPr>
                <w:rFonts w:eastAsia="SimSun"/>
                <w:color w:val="333333"/>
                <w:lang w:val="fr-FR" w:eastAsia="zh-CN"/>
              </w:rPr>
            </w:pPr>
          </w:p>
          <w:p w:rsidR="005E6718" w:rsidRPr="00927778" w:rsidRDefault="00EC684F" w:rsidP="00EC684F">
            <w:pPr>
              <w:rPr>
                <w:rFonts w:eastAsia="SimSun"/>
                <w:color w:val="333333"/>
                <w:lang w:val="fr-FR" w:eastAsia="zh-CN"/>
              </w:rPr>
            </w:pPr>
            <w:r w:rsidRPr="00927778">
              <w:rPr>
                <w:rFonts w:eastAsia="SimSun"/>
                <w:color w:val="333333"/>
                <w:lang w:val="fr-FR" w:eastAsia="zh-CN"/>
              </w:rPr>
              <w:t>Lors de la mise en œuvre des activités du projet dans les pays pilotes sélectionnés, il faut tenir compte des éléments suivants</w:t>
            </w:r>
            <w:r w:rsidR="00EA2C86" w:rsidRPr="00927778">
              <w:rPr>
                <w:rFonts w:eastAsia="SimSun"/>
                <w:color w:val="333333"/>
                <w:lang w:val="fr-FR" w:eastAsia="zh-CN"/>
              </w:rPr>
              <w:t> :</w:t>
            </w:r>
          </w:p>
          <w:p w:rsidR="005E6718" w:rsidRPr="00927778" w:rsidRDefault="005E6718" w:rsidP="00847CC2">
            <w:pPr>
              <w:rPr>
                <w:rFonts w:eastAsia="SimSun"/>
                <w:color w:val="333333"/>
                <w:lang w:val="fr-FR" w:eastAsia="zh-CN"/>
              </w:rPr>
            </w:pPr>
          </w:p>
          <w:p w:rsidR="005E6718" w:rsidRPr="00927778" w:rsidRDefault="00EC684F" w:rsidP="00EC684F">
            <w:pPr>
              <w:rPr>
                <w:rFonts w:eastAsia="SimSun"/>
                <w:color w:val="333333"/>
                <w:lang w:val="fr-FR" w:eastAsia="zh-CN"/>
              </w:rPr>
            </w:pPr>
            <w:r w:rsidRPr="00927778">
              <w:rPr>
                <w:rFonts w:eastAsia="SimSun"/>
                <w:color w:val="333333"/>
                <w:lang w:val="fr-FR" w:eastAsia="zh-CN"/>
              </w:rPr>
              <w:t>a)</w:t>
            </w:r>
            <w:r w:rsidRPr="00927778">
              <w:rPr>
                <w:rFonts w:eastAsia="SimSun"/>
                <w:color w:val="333333"/>
                <w:lang w:val="fr-FR" w:eastAsia="zh-CN"/>
              </w:rPr>
              <w:tab/>
              <w:t>les lois, cadres ou accords relatifs aux droits de propriété intellectuelle;</w:t>
            </w:r>
          </w:p>
          <w:p w:rsidR="00EA2C86" w:rsidRPr="00927778" w:rsidRDefault="00EC684F" w:rsidP="00EC684F">
            <w:pPr>
              <w:rPr>
                <w:rFonts w:eastAsia="SimSun"/>
                <w:color w:val="333333"/>
                <w:lang w:val="fr-FR" w:eastAsia="zh-CN"/>
              </w:rPr>
            </w:pPr>
            <w:r w:rsidRPr="00927778">
              <w:rPr>
                <w:rFonts w:eastAsia="SimSun"/>
                <w:color w:val="333333"/>
                <w:lang w:val="fr-FR" w:eastAsia="zh-CN"/>
              </w:rPr>
              <w:t>b)</w:t>
            </w:r>
            <w:r w:rsidRPr="00927778">
              <w:rPr>
                <w:rFonts w:eastAsia="SimSun"/>
                <w:color w:val="333333"/>
                <w:lang w:val="fr-FR" w:eastAsia="zh-CN"/>
              </w:rPr>
              <w:tab/>
              <w:t>les politiques et stratégies pertinentes en matière de droits de propriété intellectuelle;</w:t>
            </w:r>
          </w:p>
          <w:p w:rsidR="005E6718" w:rsidRPr="00927778" w:rsidRDefault="00EC684F" w:rsidP="00EC684F">
            <w:pPr>
              <w:rPr>
                <w:rFonts w:eastAsia="SimSun"/>
                <w:color w:val="333333"/>
                <w:lang w:val="fr-FR" w:eastAsia="zh-CN"/>
              </w:rPr>
            </w:pPr>
            <w:r w:rsidRPr="00927778">
              <w:rPr>
                <w:rFonts w:eastAsia="SimSun"/>
                <w:color w:val="333333"/>
                <w:lang w:val="fr-FR" w:eastAsia="zh-CN"/>
              </w:rPr>
              <w:t>c)</w:t>
            </w:r>
            <w:r w:rsidRPr="00927778">
              <w:rPr>
                <w:rFonts w:eastAsia="SimSun"/>
                <w:color w:val="333333"/>
                <w:lang w:val="fr-FR" w:eastAsia="zh-CN"/>
              </w:rPr>
              <w:tab/>
              <w:t>les lacunes, les besoins et les priorités en matière de formation judiciaire</w:t>
            </w:r>
            <w:r w:rsidR="0010120A" w:rsidRPr="00927778">
              <w:rPr>
                <w:rFonts w:eastAsia="SimSun"/>
                <w:color w:val="333333"/>
                <w:lang w:val="fr-FR" w:eastAsia="zh-CN"/>
              </w:rPr>
              <w:t>,</w:t>
            </w:r>
            <w:r w:rsidRPr="00927778">
              <w:rPr>
                <w:rFonts w:eastAsia="SimSun"/>
                <w:color w:val="333333"/>
                <w:lang w:val="fr-FR" w:eastAsia="zh-CN"/>
              </w:rPr>
              <w:t xml:space="preserve"> tels qu</w:t>
            </w:r>
            <w:r w:rsidR="00EA2C86" w:rsidRPr="00927778">
              <w:rPr>
                <w:rFonts w:eastAsia="SimSun"/>
                <w:color w:val="333333"/>
                <w:lang w:val="fr-FR" w:eastAsia="zh-CN"/>
              </w:rPr>
              <w:t>’</w:t>
            </w:r>
            <w:r w:rsidRPr="00927778">
              <w:rPr>
                <w:rFonts w:eastAsia="SimSun"/>
                <w:color w:val="333333"/>
                <w:lang w:val="fr-FR" w:eastAsia="zh-CN"/>
              </w:rPr>
              <w:t>exprimés dans leurs cadres nationaux de développement économique;</w:t>
            </w:r>
            <w:r w:rsidR="00063DA0" w:rsidRPr="00927778">
              <w:rPr>
                <w:rFonts w:eastAsia="SimSun"/>
                <w:color w:val="333333"/>
                <w:lang w:val="fr-FR" w:eastAsia="zh-CN"/>
              </w:rPr>
              <w:t xml:space="preserve"> </w:t>
            </w:r>
            <w:r w:rsidR="0057466D" w:rsidRPr="00927778">
              <w:rPr>
                <w:rFonts w:eastAsia="SimSun"/>
                <w:color w:val="333333"/>
                <w:lang w:val="fr-FR" w:eastAsia="zh-CN"/>
              </w:rPr>
              <w:t xml:space="preserve"> </w:t>
            </w:r>
            <w:r w:rsidRPr="00927778">
              <w:rPr>
                <w:rFonts w:eastAsia="SimSun"/>
                <w:color w:val="333333"/>
                <w:lang w:val="fr-FR" w:eastAsia="zh-CN"/>
              </w:rPr>
              <w:t>et</w:t>
            </w:r>
          </w:p>
          <w:p w:rsidR="005E6718" w:rsidRPr="00927778" w:rsidRDefault="00EC684F" w:rsidP="00EC684F">
            <w:pPr>
              <w:rPr>
                <w:rFonts w:eastAsia="SimSun"/>
                <w:color w:val="333333"/>
                <w:lang w:val="fr-FR" w:eastAsia="zh-CN"/>
              </w:rPr>
            </w:pPr>
            <w:r w:rsidRPr="00927778">
              <w:rPr>
                <w:rFonts w:eastAsia="SimSun"/>
                <w:color w:val="333333"/>
                <w:lang w:val="fr-FR" w:eastAsia="zh-CN"/>
              </w:rPr>
              <w:t>d)</w:t>
            </w:r>
            <w:r w:rsidRPr="00927778">
              <w:rPr>
                <w:rFonts w:eastAsia="SimSun"/>
                <w:color w:val="333333"/>
                <w:lang w:val="fr-FR" w:eastAsia="zh-CN"/>
              </w:rPr>
              <w:tab/>
              <w:t>les questions de développement et l</w:t>
            </w:r>
            <w:r w:rsidR="00EA2C86" w:rsidRPr="00927778">
              <w:rPr>
                <w:rFonts w:eastAsia="SimSun"/>
                <w:color w:val="333333"/>
                <w:lang w:val="fr-FR" w:eastAsia="zh-CN"/>
              </w:rPr>
              <w:t>’</w:t>
            </w:r>
            <w:r w:rsidRPr="00927778">
              <w:rPr>
                <w:rFonts w:eastAsia="SimSun"/>
                <w:color w:val="333333"/>
                <w:lang w:val="fr-FR" w:eastAsia="zh-CN"/>
              </w:rPr>
              <w:t>intérêt général.</w:t>
            </w:r>
          </w:p>
          <w:p w:rsidR="005E6718" w:rsidRPr="00927778" w:rsidRDefault="005E6718" w:rsidP="00847CC2">
            <w:pPr>
              <w:rPr>
                <w:rFonts w:eastAsia="SimSun"/>
                <w:color w:val="333333"/>
                <w:lang w:val="fr-FR" w:eastAsia="zh-CN"/>
              </w:rPr>
            </w:pPr>
          </w:p>
          <w:p w:rsidR="00EA2C86" w:rsidRPr="00927778" w:rsidRDefault="00EC684F" w:rsidP="00EC684F">
            <w:pPr>
              <w:rPr>
                <w:rFonts w:eastAsia="SimSun"/>
                <w:color w:val="333333"/>
                <w:lang w:val="fr-FR" w:eastAsia="zh-CN"/>
              </w:rPr>
            </w:pPr>
            <w:r w:rsidRPr="00927778">
              <w:rPr>
                <w:rFonts w:eastAsia="SimSun"/>
                <w:color w:val="333333"/>
                <w:lang w:val="fr-FR" w:eastAsia="zh-CN"/>
              </w:rPr>
              <w:t>Le projet est mis en œuvre au moyen des instituts de formation judiciaire en place au niveau national.</w:t>
            </w:r>
          </w:p>
          <w:p w:rsidR="005E6718" w:rsidRPr="00927778" w:rsidRDefault="005E6718" w:rsidP="00847CC2">
            <w:pPr>
              <w:rPr>
                <w:rFonts w:eastAsia="SimSun"/>
                <w:color w:val="333333"/>
                <w:lang w:val="fr-FR" w:eastAsia="zh-CN"/>
              </w:rPr>
            </w:pPr>
          </w:p>
          <w:p w:rsidR="005E6718" w:rsidRPr="00927778" w:rsidRDefault="00EC684F" w:rsidP="00EC684F">
            <w:pPr>
              <w:rPr>
                <w:rFonts w:eastAsia="SimSun"/>
                <w:color w:val="333333"/>
                <w:lang w:val="fr-FR" w:eastAsia="zh-CN"/>
              </w:rPr>
            </w:pPr>
            <w:r w:rsidRPr="00927778">
              <w:rPr>
                <w:rFonts w:eastAsia="SimSun"/>
                <w:color w:val="333333"/>
                <w:lang w:val="fr-FR" w:eastAsia="zh-CN"/>
              </w:rPr>
              <w:t>Lorsque cela sera possible, le projet utilise, tel quel ou après traduction ou adaptation au contexte local, le contenu pédagogique relatif aux droits de propriété intellectuelle mis à disposition par l</w:t>
            </w:r>
            <w:r w:rsidR="00EA2C86" w:rsidRPr="00927778">
              <w:rPr>
                <w:rFonts w:eastAsia="SimSun"/>
                <w:color w:val="333333"/>
                <w:lang w:val="fr-FR" w:eastAsia="zh-CN"/>
              </w:rPr>
              <w:t>’</w:t>
            </w:r>
            <w:r w:rsidRPr="00927778">
              <w:rPr>
                <w:rFonts w:eastAsia="SimSun"/>
                <w:color w:val="333333"/>
                <w:lang w:val="fr-FR" w:eastAsia="zh-CN"/>
              </w:rPr>
              <w:t>OMPI ou par les institutions participantes des États membres, que cela soit sur support papier ou sous forme électronique.</w:t>
            </w:r>
          </w:p>
          <w:p w:rsidR="005E6718" w:rsidRPr="00927778" w:rsidRDefault="005E6718" w:rsidP="00847CC2">
            <w:pPr>
              <w:rPr>
                <w:rFonts w:eastAsia="SimSun"/>
                <w:color w:val="333333"/>
                <w:lang w:val="fr-FR" w:eastAsia="zh-CN"/>
              </w:rPr>
            </w:pPr>
          </w:p>
          <w:p w:rsidR="005E6718" w:rsidRPr="00927778" w:rsidRDefault="00EC684F" w:rsidP="00EC684F">
            <w:pPr>
              <w:rPr>
                <w:rFonts w:eastAsia="SimSun"/>
                <w:color w:val="333333"/>
                <w:lang w:val="fr-FR" w:eastAsia="zh-CN"/>
              </w:rPr>
            </w:pPr>
            <w:r w:rsidRPr="00927778">
              <w:rPr>
                <w:rFonts w:eastAsia="SimSun"/>
                <w:color w:val="333333"/>
                <w:lang w:val="fr-FR" w:eastAsia="zh-CN"/>
              </w:rPr>
              <w:t>Les principales composantes de ce projet sont</w:t>
            </w:r>
            <w:r w:rsidR="00EA2C86" w:rsidRPr="00927778">
              <w:rPr>
                <w:rFonts w:eastAsia="SimSun"/>
                <w:color w:val="333333"/>
                <w:lang w:val="fr-FR" w:eastAsia="zh-CN"/>
              </w:rPr>
              <w:t> :</w:t>
            </w:r>
          </w:p>
          <w:p w:rsidR="005E6718" w:rsidRPr="00927778" w:rsidRDefault="005E6718" w:rsidP="00847CC2">
            <w:pPr>
              <w:rPr>
                <w:rFonts w:eastAsia="SimSun"/>
                <w:color w:val="333333"/>
                <w:lang w:val="fr-FR" w:eastAsia="zh-CN"/>
              </w:rPr>
            </w:pPr>
          </w:p>
          <w:p w:rsidR="005E6718" w:rsidRPr="00927778" w:rsidRDefault="00EC684F" w:rsidP="00EC684F">
            <w:pPr>
              <w:rPr>
                <w:rFonts w:eastAsia="SimSun"/>
                <w:color w:val="333333"/>
                <w:lang w:val="fr-FR" w:eastAsia="zh-CN"/>
              </w:rPr>
            </w:pPr>
            <w:r w:rsidRPr="00927778">
              <w:rPr>
                <w:rFonts w:eastAsia="SimSun"/>
                <w:color w:val="333333"/>
                <w:lang w:val="fr-FR" w:eastAsia="zh-CN"/>
              </w:rPr>
              <w:t>A.</w:t>
            </w:r>
            <w:r w:rsidRPr="00927778">
              <w:rPr>
                <w:rFonts w:eastAsia="SimSun"/>
                <w:color w:val="333333"/>
                <w:lang w:val="fr-FR" w:eastAsia="zh-CN"/>
              </w:rPr>
              <w:tab/>
              <w:t>La sélection de quatre</w:t>
            </w:r>
            <w:r w:rsidR="0057466D" w:rsidRPr="00927778">
              <w:rPr>
                <w:rFonts w:eastAsia="SimSun"/>
                <w:color w:val="333333"/>
                <w:lang w:val="fr-FR" w:eastAsia="zh-CN"/>
              </w:rPr>
              <w:t> </w:t>
            </w:r>
            <w:r w:rsidRPr="00927778">
              <w:rPr>
                <w:rFonts w:eastAsia="SimSun"/>
                <w:color w:val="333333"/>
                <w:lang w:val="fr-FR" w:eastAsia="zh-CN"/>
              </w:rPr>
              <w:t>instituts pilotes de formation judiciaire;</w:t>
            </w:r>
          </w:p>
          <w:p w:rsidR="005E6718" w:rsidRPr="00927778" w:rsidRDefault="005E6718" w:rsidP="00847CC2">
            <w:pPr>
              <w:rPr>
                <w:rFonts w:eastAsia="SimSun"/>
                <w:color w:val="333333"/>
                <w:lang w:val="fr-FR" w:eastAsia="zh-CN"/>
              </w:rPr>
            </w:pPr>
          </w:p>
          <w:p w:rsidR="00EA2C86" w:rsidRPr="00927778" w:rsidRDefault="00EC684F" w:rsidP="00EC684F">
            <w:pPr>
              <w:rPr>
                <w:rFonts w:eastAsia="SimSun"/>
                <w:color w:val="333333"/>
                <w:lang w:val="fr-FR" w:eastAsia="zh-CN"/>
              </w:rPr>
            </w:pPr>
            <w:r w:rsidRPr="00927778">
              <w:rPr>
                <w:rFonts w:eastAsia="SimSun"/>
                <w:color w:val="333333"/>
                <w:lang w:val="fr-FR" w:eastAsia="zh-CN"/>
              </w:rPr>
              <w:t>B.</w:t>
            </w:r>
            <w:r w:rsidRPr="00927778">
              <w:rPr>
                <w:rFonts w:eastAsia="SimSun"/>
                <w:color w:val="333333"/>
                <w:lang w:val="fr-FR" w:eastAsia="zh-CN"/>
              </w:rPr>
              <w:tab/>
              <w:t>La mise au point d</w:t>
            </w:r>
            <w:r w:rsidR="00EA2C86" w:rsidRPr="00927778">
              <w:rPr>
                <w:rFonts w:eastAsia="SimSun"/>
                <w:color w:val="333333"/>
                <w:lang w:val="fr-FR" w:eastAsia="zh-CN"/>
              </w:rPr>
              <w:t>’</w:t>
            </w:r>
            <w:r w:rsidRPr="00927778">
              <w:rPr>
                <w:rFonts w:eastAsia="SimSun"/>
                <w:color w:val="333333"/>
                <w:lang w:val="fr-FR" w:eastAsia="zh-CN"/>
              </w:rPr>
              <w:t>une évaluation des besoins du système judiciaire en enseignement et formation en matière de droits de propriété intellectuelle dans les pays pilotes choisis afin de déterminer la nature et la portée du contenu modulaire d</w:t>
            </w:r>
            <w:r w:rsidR="00EA2C86" w:rsidRPr="00927778">
              <w:rPr>
                <w:rFonts w:eastAsia="SimSun"/>
                <w:color w:val="333333"/>
                <w:lang w:val="fr-FR" w:eastAsia="zh-CN"/>
              </w:rPr>
              <w:t>’</w:t>
            </w:r>
            <w:r w:rsidRPr="00927778">
              <w:rPr>
                <w:rFonts w:eastAsia="SimSun"/>
                <w:color w:val="333333"/>
                <w:lang w:val="fr-FR" w:eastAsia="zh-CN"/>
              </w:rPr>
              <w:t>enseignement et de formation en matière de droits de propriété intellectuelle et des instruments d</w:t>
            </w:r>
            <w:r w:rsidR="00EA2C86" w:rsidRPr="00927778">
              <w:rPr>
                <w:rFonts w:eastAsia="SimSun"/>
                <w:color w:val="333333"/>
                <w:lang w:val="fr-FR" w:eastAsia="zh-CN"/>
              </w:rPr>
              <w:t>’</w:t>
            </w:r>
            <w:r w:rsidRPr="00927778">
              <w:rPr>
                <w:rFonts w:eastAsia="SimSun"/>
                <w:color w:val="333333"/>
                <w:lang w:val="fr-FR" w:eastAsia="zh-CN"/>
              </w:rPr>
              <w:t>autoformation et de référence en matière de droits de la propriété intellectuelle qui seront créés à l</w:t>
            </w:r>
            <w:r w:rsidR="00EA2C86" w:rsidRPr="00927778">
              <w:rPr>
                <w:rFonts w:eastAsia="SimSun"/>
                <w:color w:val="333333"/>
                <w:lang w:val="fr-FR" w:eastAsia="zh-CN"/>
              </w:rPr>
              <w:t>’</w:t>
            </w:r>
            <w:r w:rsidRPr="00927778">
              <w:rPr>
                <w:rFonts w:eastAsia="SimSun"/>
                <w:color w:val="333333"/>
                <w:lang w:val="fr-FR" w:eastAsia="zh-CN"/>
              </w:rPr>
              <w:t>intention des juges;</w:t>
            </w:r>
          </w:p>
          <w:p w:rsidR="005E6718" w:rsidRPr="00927778" w:rsidRDefault="005E6718" w:rsidP="00847CC2">
            <w:pPr>
              <w:rPr>
                <w:rFonts w:eastAsia="SimSun"/>
                <w:color w:val="333333"/>
                <w:lang w:val="fr-FR" w:eastAsia="zh-CN"/>
              </w:rPr>
            </w:pPr>
          </w:p>
          <w:p w:rsidR="005E6718" w:rsidRPr="00927778" w:rsidRDefault="00EC684F" w:rsidP="00EC684F">
            <w:pPr>
              <w:rPr>
                <w:rFonts w:eastAsia="SimSun"/>
                <w:color w:val="333333"/>
                <w:lang w:val="fr-FR" w:eastAsia="zh-CN"/>
              </w:rPr>
            </w:pPr>
            <w:r w:rsidRPr="00927778">
              <w:rPr>
                <w:rFonts w:eastAsia="SimSun"/>
                <w:color w:val="333333"/>
                <w:lang w:val="fr-FR" w:eastAsia="zh-CN"/>
              </w:rPr>
              <w:t>C.</w:t>
            </w:r>
            <w:r w:rsidRPr="00927778">
              <w:rPr>
                <w:rFonts w:eastAsia="SimSun"/>
                <w:color w:val="333333"/>
                <w:lang w:val="fr-FR" w:eastAsia="zh-CN"/>
              </w:rPr>
              <w:tab/>
              <w:t>Une enquête technique sur les initiatives en cours en matière de formation relative aux droits de propriété intellectuelle à l</w:t>
            </w:r>
            <w:r w:rsidR="00EA2C86" w:rsidRPr="00927778">
              <w:rPr>
                <w:rFonts w:eastAsia="SimSun"/>
                <w:color w:val="333333"/>
                <w:lang w:val="fr-FR" w:eastAsia="zh-CN"/>
              </w:rPr>
              <w:t>’</w:t>
            </w:r>
            <w:r w:rsidRPr="00927778">
              <w:rPr>
                <w:rFonts w:eastAsia="SimSun"/>
                <w:color w:val="333333"/>
                <w:lang w:val="fr-FR" w:eastAsia="zh-CN"/>
              </w:rPr>
              <w:t>intention du corps judiciaire dans les pays en développement, les pays les moins avancés et les pays développés notamment afin de tirer les enseignements des pratiques recommandées dans le domaine de la formation du corps judiciaire en matière de droits de propriété intellectuelle;</w:t>
            </w:r>
          </w:p>
          <w:p w:rsidR="005E6718" w:rsidRPr="00927778" w:rsidRDefault="005E6718" w:rsidP="00847CC2">
            <w:pPr>
              <w:rPr>
                <w:rFonts w:eastAsia="SimSun"/>
                <w:color w:val="333333"/>
                <w:lang w:val="fr-FR" w:eastAsia="zh-CN"/>
              </w:rPr>
            </w:pPr>
          </w:p>
          <w:p w:rsidR="005E6718" w:rsidRPr="00927778" w:rsidRDefault="00EC684F" w:rsidP="00EC684F">
            <w:pPr>
              <w:rPr>
                <w:rFonts w:eastAsia="SimSun"/>
                <w:color w:val="333333"/>
                <w:lang w:val="fr-FR" w:eastAsia="zh-CN"/>
              </w:rPr>
            </w:pPr>
            <w:r w:rsidRPr="00927778">
              <w:rPr>
                <w:rFonts w:eastAsia="SimSun"/>
                <w:color w:val="333333"/>
                <w:lang w:val="fr-FR" w:eastAsia="zh-CN"/>
              </w:rPr>
              <w:t>D.</w:t>
            </w:r>
            <w:r w:rsidRPr="00927778">
              <w:rPr>
                <w:rFonts w:eastAsia="SimSun"/>
                <w:color w:val="333333"/>
                <w:lang w:val="fr-FR" w:eastAsia="zh-CN"/>
              </w:rPr>
              <w:tab/>
              <w:t xml:space="preserve">Sur la base des </w:t>
            </w:r>
            <w:r w:rsidR="00EA2C86" w:rsidRPr="00927778">
              <w:rPr>
                <w:rFonts w:eastAsia="SimSun"/>
                <w:color w:val="333333"/>
                <w:lang w:val="fr-FR" w:eastAsia="zh-CN"/>
              </w:rPr>
              <w:t>points B</w:t>
            </w:r>
            <w:r w:rsidRPr="00927778">
              <w:rPr>
                <w:rFonts w:eastAsia="SimSun"/>
                <w:color w:val="333333"/>
                <w:lang w:val="fr-FR" w:eastAsia="zh-CN"/>
              </w:rPr>
              <w:t xml:space="preserve"> et C ci</w:t>
            </w:r>
            <w:r w:rsidR="00CB5AE0" w:rsidRPr="00927778">
              <w:rPr>
                <w:rFonts w:eastAsia="SimSun"/>
                <w:color w:val="333333"/>
                <w:lang w:val="fr-FR" w:eastAsia="zh-CN"/>
              </w:rPr>
              <w:noBreakHyphen/>
            </w:r>
            <w:r w:rsidRPr="00927778">
              <w:rPr>
                <w:rFonts w:eastAsia="SimSun"/>
                <w:color w:val="333333"/>
                <w:lang w:val="fr-FR" w:eastAsia="zh-CN"/>
              </w:rPr>
              <w:t>dessus, créer un contenu adapté et modulaire d</w:t>
            </w:r>
            <w:r w:rsidR="00EA2C86" w:rsidRPr="00927778">
              <w:rPr>
                <w:rFonts w:eastAsia="SimSun"/>
                <w:color w:val="333333"/>
                <w:lang w:val="fr-FR" w:eastAsia="zh-CN"/>
              </w:rPr>
              <w:t>’</w:t>
            </w:r>
            <w:r w:rsidRPr="00927778">
              <w:rPr>
                <w:rFonts w:eastAsia="SimSun"/>
                <w:color w:val="333333"/>
                <w:lang w:val="fr-FR" w:eastAsia="zh-CN"/>
              </w:rPr>
              <w:t>enseignement et de formation en matière de droits de propriété intellectuelle pour a) un cours d</w:t>
            </w:r>
            <w:r w:rsidR="00EA2C86" w:rsidRPr="00927778">
              <w:rPr>
                <w:rFonts w:eastAsia="SimSun"/>
                <w:color w:val="333333"/>
                <w:lang w:val="fr-FR" w:eastAsia="zh-CN"/>
              </w:rPr>
              <w:t>’</w:t>
            </w:r>
            <w:r w:rsidRPr="00927778">
              <w:rPr>
                <w:rFonts w:eastAsia="SimSun"/>
                <w:color w:val="333333"/>
                <w:lang w:val="fr-FR" w:eastAsia="zh-CN"/>
              </w:rPr>
              <w:t>initiation aux droits de propriété intellectuelle et b)</w:t>
            </w:r>
            <w:r w:rsidR="0057466D" w:rsidRPr="00927778">
              <w:rPr>
                <w:rFonts w:eastAsia="SimSun"/>
                <w:color w:val="333333"/>
                <w:lang w:val="fr-FR" w:eastAsia="zh-CN"/>
              </w:rPr>
              <w:t> </w:t>
            </w:r>
            <w:r w:rsidRPr="00927778">
              <w:rPr>
                <w:rFonts w:eastAsia="SimSun"/>
                <w:color w:val="333333"/>
                <w:lang w:val="fr-FR" w:eastAsia="zh-CN"/>
              </w:rPr>
              <w:t>une formation en cours d</w:t>
            </w:r>
            <w:r w:rsidR="00EA2C86" w:rsidRPr="00927778">
              <w:rPr>
                <w:rFonts w:eastAsia="SimSun"/>
                <w:color w:val="333333"/>
                <w:lang w:val="fr-FR" w:eastAsia="zh-CN"/>
              </w:rPr>
              <w:t>’</w:t>
            </w:r>
            <w:r w:rsidRPr="00927778">
              <w:rPr>
                <w:rFonts w:eastAsia="SimSun"/>
                <w:color w:val="333333"/>
                <w:lang w:val="fr-FR" w:eastAsia="zh-CN"/>
              </w:rPr>
              <w:t>emploi relative aux droits de propriété intellectuelle, compte tenu des modes préférés de mise en œuvre de la formation (directe, mixte ou en ligne) adaptés aux lacunes décelées, aux besoins exprimés et aux priorités du pays sélection</w:t>
            </w:r>
            <w:r w:rsidR="00306E74" w:rsidRPr="00927778">
              <w:rPr>
                <w:rFonts w:eastAsia="SimSun"/>
                <w:color w:val="333333"/>
                <w:lang w:val="fr-FR" w:eastAsia="zh-CN"/>
              </w:rPr>
              <w:t>né.  Le</w:t>
            </w:r>
            <w:r w:rsidRPr="00927778">
              <w:rPr>
                <w:rFonts w:eastAsia="SimSun"/>
                <w:color w:val="333333"/>
                <w:lang w:val="fr-FR" w:eastAsia="zh-CN"/>
              </w:rPr>
              <w:t xml:space="preserve"> contenu d</w:t>
            </w:r>
            <w:r w:rsidR="00EA2C86" w:rsidRPr="00927778">
              <w:rPr>
                <w:rFonts w:eastAsia="SimSun"/>
                <w:color w:val="333333"/>
                <w:lang w:val="fr-FR" w:eastAsia="zh-CN"/>
              </w:rPr>
              <w:t>’</w:t>
            </w:r>
            <w:r w:rsidRPr="00927778">
              <w:rPr>
                <w:rFonts w:eastAsia="SimSun"/>
                <w:color w:val="333333"/>
                <w:lang w:val="fr-FR" w:eastAsia="zh-CN"/>
              </w:rPr>
              <w:t>enseignement et de formation comprendra un instrument d</w:t>
            </w:r>
            <w:r w:rsidR="00EA2C86" w:rsidRPr="00927778">
              <w:rPr>
                <w:rFonts w:eastAsia="SimSun"/>
                <w:color w:val="333333"/>
                <w:lang w:val="fr-FR" w:eastAsia="zh-CN"/>
              </w:rPr>
              <w:t>’</w:t>
            </w:r>
            <w:r w:rsidRPr="00927778">
              <w:rPr>
                <w:rFonts w:eastAsia="SimSun"/>
                <w:color w:val="333333"/>
                <w:lang w:val="fr-FR" w:eastAsia="zh-CN"/>
              </w:rPr>
              <w:t>autoformation et de référence en matière de droits de propriété intellectuelle à l</w:t>
            </w:r>
            <w:r w:rsidR="00EA2C86" w:rsidRPr="00927778">
              <w:rPr>
                <w:rFonts w:eastAsia="SimSun"/>
                <w:color w:val="333333"/>
                <w:lang w:val="fr-FR" w:eastAsia="zh-CN"/>
              </w:rPr>
              <w:t>’</w:t>
            </w:r>
            <w:r w:rsidRPr="00927778">
              <w:rPr>
                <w:rFonts w:eastAsia="SimSun"/>
                <w:color w:val="333333"/>
                <w:lang w:val="fr-FR" w:eastAsia="zh-CN"/>
              </w:rPr>
              <w:t>intention des juges, un pour chaque institut pilote sélection</w:t>
            </w:r>
            <w:r w:rsidR="00306E74" w:rsidRPr="00927778">
              <w:rPr>
                <w:rFonts w:eastAsia="SimSun"/>
                <w:color w:val="333333"/>
                <w:lang w:val="fr-FR" w:eastAsia="zh-CN"/>
              </w:rPr>
              <w:t>né.  Ce</w:t>
            </w:r>
            <w:r w:rsidRPr="00927778">
              <w:rPr>
                <w:rFonts w:eastAsia="SimSun"/>
                <w:color w:val="333333"/>
                <w:lang w:val="fr-FR" w:eastAsia="zh-CN"/>
              </w:rPr>
              <w:t>s instruments pourraient comprendre un contenu relatif aux droits de propriété intellectuelle sur support papier et sous forme électronique, tel que des lois et des politiques en matière de propriété intellectuelle, des éléments de flexibilité du système de propriété intellectuelle, des décisions judiciaires historiques en matière de droits de propriété intellectuelle et d</w:t>
            </w:r>
            <w:r w:rsidR="00EA2C86" w:rsidRPr="00927778">
              <w:rPr>
                <w:rFonts w:eastAsia="SimSun"/>
                <w:color w:val="333333"/>
                <w:lang w:val="fr-FR" w:eastAsia="zh-CN"/>
              </w:rPr>
              <w:t>’</w:t>
            </w:r>
            <w:r w:rsidRPr="00927778">
              <w:rPr>
                <w:rFonts w:eastAsia="SimSun"/>
                <w:color w:val="333333"/>
                <w:lang w:val="fr-FR" w:eastAsia="zh-CN"/>
              </w:rPr>
              <w:t>autres contenus, sous réserve de ce qui est convenu durant la phase d</w:t>
            </w:r>
            <w:r w:rsidR="00EA2C86" w:rsidRPr="00927778">
              <w:rPr>
                <w:rFonts w:eastAsia="SimSun"/>
                <w:color w:val="333333"/>
                <w:lang w:val="fr-FR" w:eastAsia="zh-CN"/>
              </w:rPr>
              <w:t>’</w:t>
            </w:r>
            <w:r w:rsidRPr="00927778">
              <w:rPr>
                <w:rFonts w:eastAsia="SimSun"/>
                <w:color w:val="333333"/>
                <w:lang w:val="fr-FR" w:eastAsia="zh-CN"/>
              </w:rPr>
              <w:t>évaluation des besoins du projet et en fonction des pratiques recommandées applicables.</w:t>
            </w:r>
          </w:p>
          <w:p w:rsidR="005E6718" w:rsidRPr="00927778" w:rsidRDefault="005E6718" w:rsidP="00847CC2">
            <w:pPr>
              <w:rPr>
                <w:rFonts w:eastAsia="SimSun"/>
                <w:color w:val="333333"/>
                <w:lang w:val="fr-FR" w:eastAsia="zh-CN"/>
              </w:rPr>
            </w:pPr>
          </w:p>
          <w:p w:rsidR="00EA2C86" w:rsidRPr="00927778" w:rsidRDefault="00EC684F" w:rsidP="00EC684F">
            <w:pPr>
              <w:rPr>
                <w:rFonts w:eastAsia="SimSun"/>
                <w:color w:val="333333"/>
                <w:lang w:val="fr-FR" w:eastAsia="zh-CN"/>
              </w:rPr>
            </w:pPr>
            <w:r w:rsidRPr="00927778">
              <w:rPr>
                <w:rFonts w:eastAsia="SimSun"/>
                <w:color w:val="333333"/>
                <w:lang w:val="fr-FR" w:eastAsia="zh-CN"/>
              </w:rPr>
              <w:t>E.</w:t>
            </w:r>
            <w:r w:rsidRPr="00927778">
              <w:rPr>
                <w:rFonts w:eastAsia="SimSun"/>
                <w:color w:val="333333"/>
                <w:lang w:val="fr-FR" w:eastAsia="zh-CN"/>
              </w:rPr>
              <w:tab/>
              <w:t xml:space="preserve">Sur la base des </w:t>
            </w:r>
            <w:r w:rsidR="00EA2C86" w:rsidRPr="00927778">
              <w:rPr>
                <w:rFonts w:eastAsia="SimSun"/>
                <w:color w:val="333333"/>
                <w:lang w:val="fr-FR" w:eastAsia="zh-CN"/>
              </w:rPr>
              <w:t>points B</w:t>
            </w:r>
            <w:r w:rsidRPr="00927778">
              <w:rPr>
                <w:rFonts w:eastAsia="SimSun"/>
                <w:color w:val="333333"/>
                <w:lang w:val="fr-FR" w:eastAsia="zh-CN"/>
              </w:rPr>
              <w:t>, C et D, l</w:t>
            </w:r>
            <w:r w:rsidR="00EA2C86" w:rsidRPr="00927778">
              <w:rPr>
                <w:rFonts w:eastAsia="SimSun"/>
                <w:color w:val="333333"/>
                <w:lang w:val="fr-FR" w:eastAsia="zh-CN"/>
              </w:rPr>
              <w:t>’</w:t>
            </w:r>
            <w:r w:rsidRPr="00927778">
              <w:rPr>
                <w:rFonts w:eastAsia="SimSun"/>
                <w:color w:val="333333"/>
                <w:lang w:val="fr-FR" w:eastAsia="zh-CN"/>
              </w:rPr>
              <w:t>expérimentation du contenu d</w:t>
            </w:r>
            <w:r w:rsidR="00EA2C86" w:rsidRPr="00927778">
              <w:rPr>
                <w:rFonts w:eastAsia="SimSun"/>
                <w:color w:val="333333"/>
                <w:lang w:val="fr-FR" w:eastAsia="zh-CN"/>
              </w:rPr>
              <w:t>’</w:t>
            </w:r>
            <w:r w:rsidRPr="00927778">
              <w:rPr>
                <w:rFonts w:eastAsia="SimSun"/>
                <w:color w:val="333333"/>
                <w:lang w:val="fr-FR" w:eastAsia="zh-CN"/>
              </w:rPr>
              <w:t xml:space="preserve">enseignement et de formation en matière de droits de propriété intellectuelle, </w:t>
            </w:r>
            <w:r w:rsidR="00EA2C86" w:rsidRPr="00927778">
              <w:rPr>
                <w:rFonts w:eastAsia="SimSun"/>
                <w:color w:val="333333"/>
                <w:lang w:val="fr-FR" w:eastAsia="zh-CN"/>
              </w:rPr>
              <w:t>y compris</w:t>
            </w:r>
            <w:r w:rsidRPr="00927778">
              <w:rPr>
                <w:rFonts w:eastAsia="SimSun"/>
                <w:color w:val="333333"/>
                <w:lang w:val="fr-FR" w:eastAsia="zh-CN"/>
              </w:rPr>
              <w:t xml:space="preserve"> de l</w:t>
            </w:r>
            <w:r w:rsidR="00EA2C86" w:rsidRPr="00927778">
              <w:rPr>
                <w:rFonts w:eastAsia="SimSun"/>
                <w:color w:val="333333"/>
                <w:lang w:val="fr-FR" w:eastAsia="zh-CN"/>
              </w:rPr>
              <w:t>’</w:t>
            </w:r>
            <w:r w:rsidRPr="00927778">
              <w:rPr>
                <w:rFonts w:eastAsia="SimSun"/>
                <w:color w:val="333333"/>
                <w:lang w:val="fr-FR" w:eastAsia="zh-CN"/>
              </w:rPr>
              <w:t>instrument relatif aux droits de la propriété intellectuelle à l</w:t>
            </w:r>
            <w:r w:rsidR="00EA2C86" w:rsidRPr="00927778">
              <w:rPr>
                <w:rFonts w:eastAsia="SimSun"/>
                <w:color w:val="333333"/>
                <w:lang w:val="fr-FR" w:eastAsia="zh-CN"/>
              </w:rPr>
              <w:t>’</w:t>
            </w:r>
            <w:r w:rsidRPr="00927778">
              <w:rPr>
                <w:rFonts w:eastAsia="SimSun"/>
                <w:color w:val="333333"/>
                <w:lang w:val="fr-FR" w:eastAsia="zh-CN"/>
              </w:rPr>
              <w:t>intention des juges, consiste à mettre en œuvre les programmes d</w:t>
            </w:r>
            <w:r w:rsidR="00EA2C86" w:rsidRPr="00927778">
              <w:rPr>
                <w:rFonts w:eastAsia="SimSun"/>
                <w:color w:val="333333"/>
                <w:lang w:val="fr-FR" w:eastAsia="zh-CN"/>
              </w:rPr>
              <w:t>’</w:t>
            </w:r>
            <w:r w:rsidRPr="00927778">
              <w:rPr>
                <w:rFonts w:eastAsia="SimSun"/>
                <w:color w:val="333333"/>
                <w:lang w:val="fr-FR" w:eastAsia="zh-CN"/>
              </w:rPr>
              <w:t>enseignement et de formation et à recueillir les commentaires en vue d</w:t>
            </w:r>
            <w:r w:rsidR="00EA2C86" w:rsidRPr="00927778">
              <w:rPr>
                <w:rFonts w:eastAsia="SimSun"/>
                <w:color w:val="333333"/>
                <w:lang w:val="fr-FR" w:eastAsia="zh-CN"/>
              </w:rPr>
              <w:t>’</w:t>
            </w:r>
            <w:r w:rsidRPr="00927778">
              <w:rPr>
                <w:rFonts w:eastAsia="SimSun"/>
                <w:color w:val="333333"/>
                <w:lang w:val="fr-FR" w:eastAsia="zh-CN"/>
              </w:rPr>
              <w:t>améliorer, le cas échéant, les objectifs pédagogiques des cours de propriété intellectuelle, l</w:t>
            </w:r>
            <w:r w:rsidR="00EA2C86" w:rsidRPr="00927778">
              <w:rPr>
                <w:rFonts w:eastAsia="SimSun"/>
                <w:color w:val="333333"/>
                <w:lang w:val="fr-FR" w:eastAsia="zh-CN"/>
              </w:rPr>
              <w:t>’</w:t>
            </w:r>
            <w:r w:rsidRPr="00927778">
              <w:rPr>
                <w:rFonts w:eastAsia="SimSun"/>
                <w:color w:val="333333"/>
                <w:lang w:val="fr-FR" w:eastAsia="zh-CN"/>
              </w:rPr>
              <w:t>élaboration de programmes d</w:t>
            </w:r>
            <w:r w:rsidR="00EA2C86" w:rsidRPr="00927778">
              <w:rPr>
                <w:rFonts w:eastAsia="SimSun"/>
                <w:color w:val="333333"/>
                <w:lang w:val="fr-FR" w:eastAsia="zh-CN"/>
              </w:rPr>
              <w:t>’</w:t>
            </w:r>
            <w:r w:rsidRPr="00927778">
              <w:rPr>
                <w:rFonts w:eastAsia="SimSun"/>
                <w:color w:val="333333"/>
                <w:lang w:val="fr-FR" w:eastAsia="zh-CN"/>
              </w:rPr>
              <w:t>enseignement, la création de contenu, les modes de mise en œuvre et les méthodes d</w:t>
            </w:r>
            <w:r w:rsidR="00EA2C86" w:rsidRPr="00927778">
              <w:rPr>
                <w:rFonts w:eastAsia="SimSun"/>
                <w:color w:val="333333"/>
                <w:lang w:val="fr-FR" w:eastAsia="zh-CN"/>
              </w:rPr>
              <w:t>’</w:t>
            </w:r>
            <w:r w:rsidRPr="00927778">
              <w:rPr>
                <w:rFonts w:eastAsia="SimSun"/>
                <w:color w:val="333333"/>
                <w:lang w:val="fr-FR" w:eastAsia="zh-CN"/>
              </w:rPr>
              <w:t>évaluation des résultats pédagogiques des cours de propriété intellectuelle;</w:t>
            </w:r>
          </w:p>
          <w:p w:rsidR="005E6718" w:rsidRPr="00927778" w:rsidRDefault="005E6718" w:rsidP="00847CC2">
            <w:pPr>
              <w:rPr>
                <w:rFonts w:eastAsia="SimSun"/>
                <w:color w:val="333333"/>
                <w:lang w:val="fr-FR" w:eastAsia="zh-CN"/>
              </w:rPr>
            </w:pPr>
          </w:p>
          <w:p w:rsidR="005E6718" w:rsidRPr="00927778" w:rsidRDefault="00EC684F" w:rsidP="00EC684F">
            <w:pPr>
              <w:rPr>
                <w:rFonts w:eastAsia="SimSun"/>
                <w:color w:val="333333"/>
                <w:lang w:val="fr-FR" w:eastAsia="zh-CN"/>
              </w:rPr>
            </w:pPr>
            <w:r w:rsidRPr="00927778">
              <w:rPr>
                <w:rFonts w:eastAsia="SimSun"/>
                <w:color w:val="333333"/>
                <w:lang w:val="fr-FR" w:eastAsia="zh-CN"/>
              </w:rPr>
              <w:t>F.</w:t>
            </w:r>
            <w:r w:rsidRPr="00927778">
              <w:rPr>
                <w:rFonts w:eastAsia="SimSun"/>
                <w:color w:val="333333"/>
                <w:lang w:val="fr-FR" w:eastAsia="zh-CN"/>
              </w:rPr>
              <w:tab/>
              <w:t>Le renforcement de l</w:t>
            </w:r>
            <w:r w:rsidR="00EA2C86" w:rsidRPr="00927778">
              <w:rPr>
                <w:rFonts w:eastAsia="SimSun"/>
                <w:color w:val="333333"/>
                <w:lang w:val="fr-FR" w:eastAsia="zh-CN"/>
              </w:rPr>
              <w:t>’</w:t>
            </w:r>
            <w:r w:rsidRPr="00927778">
              <w:rPr>
                <w:rFonts w:eastAsia="SimSun"/>
                <w:color w:val="333333"/>
                <w:lang w:val="fr-FR" w:eastAsia="zh-CN"/>
              </w:rPr>
              <w:t>établissement de liens et des partenariats entre les instituts nationaux de formation judiciaire de sorte que ces derniers puissent partager régulièrement leurs données d</w:t>
            </w:r>
            <w:r w:rsidR="00EA2C86" w:rsidRPr="00927778">
              <w:rPr>
                <w:rFonts w:eastAsia="SimSun"/>
                <w:color w:val="333333"/>
                <w:lang w:val="fr-FR" w:eastAsia="zh-CN"/>
              </w:rPr>
              <w:t>’</w:t>
            </w:r>
            <w:r w:rsidRPr="00927778">
              <w:rPr>
                <w:rFonts w:eastAsia="SimSun"/>
                <w:color w:val="333333"/>
                <w:lang w:val="fr-FR" w:eastAsia="zh-CN"/>
              </w:rPr>
              <w:t>expérience et apprendre les uns des autres en ce qui concerne les initiatives et les résultats relatifs à la formation en matière de droits de propriété intellectuel</w:t>
            </w:r>
            <w:r w:rsidR="00306E74" w:rsidRPr="00927778">
              <w:rPr>
                <w:rFonts w:eastAsia="SimSun"/>
                <w:color w:val="333333"/>
                <w:lang w:val="fr-FR" w:eastAsia="zh-CN"/>
              </w:rPr>
              <w:t>le.  Ce</w:t>
            </w:r>
            <w:r w:rsidRPr="00927778">
              <w:rPr>
                <w:rFonts w:eastAsia="SimSun"/>
                <w:color w:val="333333"/>
                <w:lang w:val="fr-FR" w:eastAsia="zh-CN"/>
              </w:rPr>
              <w:t>la pourrait notamment consister en la création d</w:t>
            </w:r>
            <w:r w:rsidR="00EA2C86" w:rsidRPr="00927778">
              <w:rPr>
                <w:rFonts w:eastAsia="SimSun"/>
                <w:color w:val="333333"/>
                <w:lang w:val="fr-FR" w:eastAsia="zh-CN"/>
              </w:rPr>
              <w:t>’</w:t>
            </w:r>
            <w:r w:rsidRPr="00927778">
              <w:rPr>
                <w:rFonts w:eastAsia="SimSun"/>
                <w:color w:val="333333"/>
                <w:lang w:val="fr-FR" w:eastAsia="zh-CN"/>
              </w:rPr>
              <w:t>un ou de plusieurs cercles de professionnels en ligne traitant des questions relatives aux droits de propriété intellectuelle pour l</w:t>
            </w:r>
            <w:r w:rsidR="00EA2C86" w:rsidRPr="00927778">
              <w:rPr>
                <w:rFonts w:eastAsia="SimSun"/>
                <w:color w:val="333333"/>
                <w:lang w:val="fr-FR" w:eastAsia="zh-CN"/>
              </w:rPr>
              <w:t>’</w:t>
            </w:r>
            <w:r w:rsidRPr="00927778">
              <w:rPr>
                <w:rFonts w:eastAsia="SimSun"/>
                <w:color w:val="333333"/>
                <w:lang w:val="fr-FR" w:eastAsia="zh-CN"/>
              </w:rPr>
              <w:t>enseignement social ou en réseau de poste à poste à l</w:t>
            </w:r>
            <w:r w:rsidR="00EA2C86" w:rsidRPr="00927778">
              <w:rPr>
                <w:rFonts w:eastAsia="SimSun"/>
                <w:color w:val="333333"/>
                <w:lang w:val="fr-FR" w:eastAsia="zh-CN"/>
              </w:rPr>
              <w:t>’</w:t>
            </w:r>
            <w:r w:rsidRPr="00927778">
              <w:rPr>
                <w:rFonts w:eastAsia="SimSun"/>
                <w:color w:val="333333"/>
                <w:lang w:val="fr-FR" w:eastAsia="zh-CN"/>
              </w:rPr>
              <w:t>intention des magistrats, des juges et des procureurs;</w:t>
            </w:r>
            <w:r w:rsidR="00063DA0" w:rsidRPr="00927778">
              <w:rPr>
                <w:rFonts w:eastAsia="SimSun"/>
                <w:color w:val="333333"/>
                <w:lang w:val="fr-FR" w:eastAsia="zh-CN"/>
              </w:rPr>
              <w:t xml:space="preserve"> </w:t>
            </w:r>
            <w:r w:rsidR="0057466D" w:rsidRPr="00927778">
              <w:rPr>
                <w:rFonts w:eastAsia="SimSun"/>
                <w:color w:val="333333"/>
                <w:lang w:val="fr-FR" w:eastAsia="zh-CN"/>
              </w:rPr>
              <w:t xml:space="preserve"> </w:t>
            </w:r>
            <w:r w:rsidRPr="00927778">
              <w:rPr>
                <w:rFonts w:eastAsia="SimSun"/>
                <w:color w:val="333333"/>
                <w:lang w:val="fr-FR" w:eastAsia="zh-CN"/>
              </w:rPr>
              <w:t>et</w:t>
            </w:r>
          </w:p>
          <w:p w:rsidR="005E6718" w:rsidRPr="00927778" w:rsidRDefault="005E6718" w:rsidP="00847CC2">
            <w:pPr>
              <w:rPr>
                <w:rFonts w:eastAsia="SimSun"/>
                <w:color w:val="333333"/>
                <w:lang w:val="fr-FR" w:eastAsia="zh-CN"/>
              </w:rPr>
            </w:pPr>
          </w:p>
          <w:p w:rsidR="005E6718" w:rsidRPr="00927778" w:rsidRDefault="00EC684F" w:rsidP="00EC684F">
            <w:pPr>
              <w:rPr>
                <w:rFonts w:eastAsia="SimSun"/>
                <w:color w:val="333333"/>
                <w:lang w:val="fr-FR" w:eastAsia="zh-CN"/>
              </w:rPr>
            </w:pPr>
            <w:r w:rsidRPr="00927778">
              <w:rPr>
                <w:rFonts w:eastAsia="SimSun"/>
                <w:color w:val="333333"/>
                <w:lang w:val="fr-FR" w:eastAsia="zh-CN"/>
              </w:rPr>
              <w:t>G.</w:t>
            </w:r>
            <w:r w:rsidRPr="00927778">
              <w:rPr>
                <w:rFonts w:eastAsia="SimSun"/>
                <w:color w:val="333333"/>
                <w:lang w:val="fr-FR" w:eastAsia="zh-CN"/>
              </w:rPr>
              <w:tab/>
              <w:t>L</w:t>
            </w:r>
            <w:r w:rsidR="00EA2C86" w:rsidRPr="00927778">
              <w:rPr>
                <w:rFonts w:eastAsia="SimSun"/>
                <w:color w:val="333333"/>
                <w:lang w:val="fr-FR" w:eastAsia="zh-CN"/>
              </w:rPr>
              <w:t>’</w:t>
            </w:r>
            <w:r w:rsidRPr="00927778">
              <w:rPr>
                <w:rFonts w:eastAsia="SimSun"/>
                <w:color w:val="333333"/>
                <w:lang w:val="fr-FR" w:eastAsia="zh-CN"/>
              </w:rPr>
              <w:t>assistance pour l</w:t>
            </w:r>
            <w:r w:rsidR="00EA2C86" w:rsidRPr="00927778">
              <w:rPr>
                <w:rFonts w:eastAsia="SimSun"/>
                <w:color w:val="333333"/>
                <w:lang w:val="fr-FR" w:eastAsia="zh-CN"/>
              </w:rPr>
              <w:t>’</w:t>
            </w:r>
            <w:r w:rsidRPr="00927778">
              <w:rPr>
                <w:rFonts w:eastAsia="SimSun"/>
                <w:color w:val="333333"/>
                <w:lang w:val="fr-FR" w:eastAsia="zh-CN"/>
              </w:rPr>
              <w:t>acquisition de livres et de manuels de référence en vue d</w:t>
            </w:r>
            <w:r w:rsidR="00EA2C86" w:rsidRPr="00927778">
              <w:rPr>
                <w:rFonts w:eastAsia="SimSun"/>
                <w:color w:val="333333"/>
                <w:lang w:val="fr-FR" w:eastAsia="zh-CN"/>
              </w:rPr>
              <w:t>’</w:t>
            </w:r>
            <w:r w:rsidRPr="00927778">
              <w:rPr>
                <w:rFonts w:eastAsia="SimSun"/>
                <w:color w:val="333333"/>
                <w:lang w:val="fr-FR" w:eastAsia="zh-CN"/>
              </w:rPr>
              <w:t>alimenter la bibliothèque de l</w:t>
            </w:r>
            <w:r w:rsidR="00EA2C86" w:rsidRPr="00927778">
              <w:rPr>
                <w:rFonts w:eastAsia="SimSun"/>
                <w:color w:val="333333"/>
                <w:lang w:val="fr-FR" w:eastAsia="zh-CN"/>
              </w:rPr>
              <w:t>’</w:t>
            </w:r>
            <w:r w:rsidRPr="00927778">
              <w:rPr>
                <w:rFonts w:eastAsia="SimSun"/>
                <w:color w:val="333333"/>
                <w:lang w:val="fr-FR" w:eastAsia="zh-CN"/>
              </w:rPr>
              <w:t>institut de formation judiciaire bénéficiaire.</w:t>
            </w:r>
          </w:p>
          <w:p w:rsidR="009373F6" w:rsidRPr="00927778" w:rsidRDefault="009373F6" w:rsidP="00847CC2">
            <w:pPr>
              <w:rPr>
                <w:color w:val="333333"/>
                <w:lang w:val="fr-FR"/>
              </w:rPr>
            </w:pPr>
          </w:p>
        </w:tc>
      </w:tr>
    </w:tbl>
    <w:p w:rsidR="009373F6" w:rsidRPr="00927778" w:rsidRDefault="009373F6" w:rsidP="009373F6">
      <w:pPr>
        <w:rPr>
          <w:color w:val="333333"/>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047C22" w:rsidRPr="00927778" w:rsidTr="00847CC2">
        <w:trPr>
          <w:trHeight w:val="484"/>
        </w:trPr>
        <w:tc>
          <w:tcPr>
            <w:tcW w:w="2376" w:type="dxa"/>
            <w:shd w:val="clear" w:color="auto" w:fill="auto"/>
          </w:tcPr>
          <w:p w:rsidR="009373F6" w:rsidRPr="00927778" w:rsidRDefault="009373F6" w:rsidP="00EC684F">
            <w:pPr>
              <w:pStyle w:val="Heading3"/>
              <w:rPr>
                <w:color w:val="333333"/>
                <w:lang w:val="fr-FR"/>
              </w:rPr>
            </w:pPr>
            <w:r w:rsidRPr="00927778">
              <w:rPr>
                <w:color w:val="333333"/>
                <w:lang w:val="fr-FR"/>
              </w:rPr>
              <w:br w:type="page"/>
            </w:r>
            <w:r w:rsidR="00EC684F" w:rsidRPr="00927778">
              <w:rPr>
                <w:color w:val="333333"/>
                <w:lang w:val="fr-FR"/>
              </w:rPr>
              <w:t>Chef de projet</w:t>
            </w:r>
          </w:p>
        </w:tc>
        <w:tc>
          <w:tcPr>
            <w:tcW w:w="6912" w:type="dxa"/>
            <w:vAlign w:val="center"/>
          </w:tcPr>
          <w:p w:rsidR="009373F6" w:rsidRPr="00927778" w:rsidRDefault="00EC684F" w:rsidP="00EC684F">
            <w:pPr>
              <w:rPr>
                <w:iCs/>
                <w:color w:val="333333"/>
                <w:lang w:val="fr-FR"/>
              </w:rPr>
            </w:pPr>
            <w:r w:rsidRPr="00927778">
              <w:rPr>
                <w:iCs/>
                <w:color w:val="333333"/>
                <w:lang w:val="fr-FR"/>
              </w:rPr>
              <w:t>M.</w:t>
            </w:r>
            <w:r w:rsidR="00CB5AE0" w:rsidRPr="00927778">
              <w:rPr>
                <w:iCs/>
                <w:color w:val="333333"/>
                <w:lang w:val="fr-FR"/>
              </w:rPr>
              <w:t> </w:t>
            </w:r>
            <w:r w:rsidRPr="00927778">
              <w:rPr>
                <w:iCs/>
                <w:color w:val="333333"/>
                <w:lang w:val="fr-FR"/>
              </w:rPr>
              <w:t>Mohamed Abderraouf Bdioui</w:t>
            </w:r>
          </w:p>
        </w:tc>
      </w:tr>
      <w:tr w:rsidR="00047C22" w:rsidRPr="00927778" w:rsidTr="00847CC2">
        <w:trPr>
          <w:trHeight w:val="1165"/>
        </w:trPr>
        <w:tc>
          <w:tcPr>
            <w:tcW w:w="2376" w:type="dxa"/>
            <w:shd w:val="clear" w:color="auto" w:fill="auto"/>
          </w:tcPr>
          <w:p w:rsidR="00EA2C86" w:rsidRPr="00927778" w:rsidRDefault="00EC684F" w:rsidP="00EC684F">
            <w:pPr>
              <w:pStyle w:val="Heading3"/>
              <w:rPr>
                <w:color w:val="333333"/>
                <w:lang w:val="fr-FR"/>
              </w:rPr>
            </w:pPr>
            <w:r w:rsidRPr="00927778">
              <w:rPr>
                <w:color w:val="333333"/>
                <w:lang w:val="fr-FR"/>
              </w:rPr>
              <w:t>Liens avec les résultats escomptés dans le programme et budget</w:t>
            </w:r>
          </w:p>
          <w:p w:rsidR="009373F6" w:rsidRPr="00927778" w:rsidDel="00196374" w:rsidRDefault="009373F6" w:rsidP="00847CC2">
            <w:pPr>
              <w:rPr>
                <w:color w:val="333333"/>
                <w:lang w:val="fr-FR"/>
              </w:rPr>
            </w:pPr>
          </w:p>
        </w:tc>
        <w:tc>
          <w:tcPr>
            <w:tcW w:w="6912" w:type="dxa"/>
          </w:tcPr>
          <w:p w:rsidR="005E6718" w:rsidRPr="00927778" w:rsidRDefault="005E6718" w:rsidP="00847CC2">
            <w:pPr>
              <w:rPr>
                <w:iCs/>
                <w:color w:val="333333"/>
                <w:lang w:val="fr-FR"/>
              </w:rPr>
            </w:pPr>
          </w:p>
          <w:p w:rsidR="009373F6" w:rsidRPr="00927778" w:rsidRDefault="00EC684F" w:rsidP="00EC684F">
            <w:pPr>
              <w:rPr>
                <w:iCs/>
                <w:color w:val="333333"/>
                <w:lang w:val="fr-FR"/>
              </w:rPr>
            </w:pPr>
            <w:r w:rsidRPr="00927778">
              <w:rPr>
                <w:iCs/>
                <w:color w:val="333333"/>
                <w:lang w:val="fr-FR"/>
              </w:rPr>
              <w:t>Résultat escompté</w:t>
            </w:r>
            <w:r w:rsidR="00CB5AE0" w:rsidRPr="00927778">
              <w:rPr>
                <w:iCs/>
                <w:color w:val="333333"/>
                <w:lang w:val="fr-FR"/>
              </w:rPr>
              <w:t> </w:t>
            </w:r>
            <w:r w:rsidRPr="00927778">
              <w:rPr>
                <w:iCs/>
                <w:color w:val="333333"/>
                <w:lang w:val="fr-FR"/>
              </w:rPr>
              <w:t>III.2</w:t>
            </w:r>
            <w:r w:rsidR="00EA2C86" w:rsidRPr="00927778">
              <w:rPr>
                <w:iCs/>
                <w:color w:val="333333"/>
                <w:lang w:val="fr-FR"/>
              </w:rPr>
              <w:t> :</w:t>
            </w:r>
            <w:r w:rsidRPr="00927778">
              <w:rPr>
                <w:iCs/>
                <w:color w:val="333333"/>
                <w:lang w:val="fr-FR"/>
              </w:rPr>
              <w:t xml:space="preserve"> Renforcement des capacités en matière de ressources humaines pour pouvoir répondre aux nombreuses exigences en ce qui concerne l</w:t>
            </w:r>
            <w:r w:rsidR="00EA2C86" w:rsidRPr="00927778">
              <w:rPr>
                <w:iCs/>
                <w:color w:val="333333"/>
                <w:lang w:val="fr-FR"/>
              </w:rPr>
              <w:t>’</w:t>
            </w:r>
            <w:r w:rsidRPr="00927778">
              <w:rPr>
                <w:iCs/>
                <w:color w:val="333333"/>
                <w:lang w:val="fr-FR"/>
              </w:rPr>
              <w:t>utilisation efficace de la propriété intellectuelle au service du développement dans les pays en développement,</w:t>
            </w:r>
            <w:r w:rsidR="00EA2C86" w:rsidRPr="00927778">
              <w:rPr>
                <w:iCs/>
                <w:color w:val="333333"/>
                <w:lang w:val="fr-FR"/>
              </w:rPr>
              <w:t xml:space="preserve"> les PMA</w:t>
            </w:r>
            <w:r w:rsidRPr="00927778">
              <w:rPr>
                <w:iCs/>
                <w:color w:val="333333"/>
                <w:lang w:val="fr-FR"/>
              </w:rPr>
              <w:t xml:space="preserve"> et les pays en transition.</w:t>
            </w:r>
          </w:p>
        </w:tc>
      </w:tr>
      <w:tr w:rsidR="00047C22" w:rsidRPr="00927778" w:rsidTr="00847CC2">
        <w:trPr>
          <w:trHeight w:val="846"/>
        </w:trPr>
        <w:tc>
          <w:tcPr>
            <w:tcW w:w="2376" w:type="dxa"/>
            <w:shd w:val="clear" w:color="auto" w:fill="auto"/>
          </w:tcPr>
          <w:p w:rsidR="005E6718" w:rsidRPr="00927778" w:rsidRDefault="00EC684F" w:rsidP="00EC684F">
            <w:pPr>
              <w:pStyle w:val="Heading3"/>
              <w:rPr>
                <w:color w:val="333333"/>
                <w:lang w:val="fr-FR"/>
              </w:rPr>
            </w:pPr>
            <w:r w:rsidRPr="00927778">
              <w:rPr>
                <w:color w:val="333333"/>
                <w:lang w:val="fr-FR"/>
              </w:rPr>
              <w:t>État d</w:t>
            </w:r>
            <w:r w:rsidR="00EA2C86" w:rsidRPr="00927778">
              <w:rPr>
                <w:color w:val="333333"/>
                <w:lang w:val="fr-FR"/>
              </w:rPr>
              <w:t>’</w:t>
            </w:r>
            <w:r w:rsidRPr="00927778">
              <w:rPr>
                <w:color w:val="333333"/>
                <w:lang w:val="fr-FR"/>
              </w:rPr>
              <w:t>avancement du projet</w:t>
            </w:r>
          </w:p>
          <w:p w:rsidR="009373F6" w:rsidRPr="00927778" w:rsidRDefault="009373F6" w:rsidP="00847CC2">
            <w:pPr>
              <w:rPr>
                <w:color w:val="333333"/>
                <w:lang w:val="fr-FR"/>
              </w:rPr>
            </w:pPr>
          </w:p>
        </w:tc>
        <w:tc>
          <w:tcPr>
            <w:tcW w:w="6912" w:type="dxa"/>
          </w:tcPr>
          <w:p w:rsidR="005E6718" w:rsidRPr="00927778" w:rsidRDefault="005E6718" w:rsidP="00847CC2">
            <w:pPr>
              <w:rPr>
                <w:color w:val="333333"/>
                <w:lang w:val="fr-FR"/>
              </w:rPr>
            </w:pPr>
          </w:p>
          <w:p w:rsidR="005E6718" w:rsidRPr="00927778" w:rsidRDefault="00E77385" w:rsidP="00847CC2">
            <w:pPr>
              <w:rPr>
                <w:color w:val="333333"/>
                <w:lang w:val="fr-FR"/>
              </w:rPr>
            </w:pPr>
            <w:r w:rsidRPr="00927778">
              <w:rPr>
                <w:color w:val="333333"/>
                <w:lang w:val="fr-FR"/>
              </w:rPr>
              <w:t xml:space="preserve">En dépit du léger retard accusé au début du projet, </w:t>
            </w:r>
            <w:r w:rsidR="00D065C8" w:rsidRPr="00927778">
              <w:rPr>
                <w:color w:val="333333"/>
                <w:lang w:val="fr-FR"/>
              </w:rPr>
              <w:t>ce dernier</w:t>
            </w:r>
            <w:r w:rsidRPr="00927778">
              <w:rPr>
                <w:color w:val="333333"/>
                <w:lang w:val="fr-FR"/>
              </w:rPr>
              <w:t xml:space="preserve"> est entré dans sa phase fina</w:t>
            </w:r>
            <w:r w:rsidR="00306E74" w:rsidRPr="00927778">
              <w:rPr>
                <w:color w:val="333333"/>
                <w:lang w:val="fr-FR"/>
              </w:rPr>
              <w:t>le.  Le</w:t>
            </w:r>
            <w:r w:rsidRPr="00927778">
              <w:rPr>
                <w:color w:val="333333"/>
                <w:lang w:val="fr-FR"/>
              </w:rPr>
              <w:t>s avancées notables ont été rendues possibles grâce au soutien et à l</w:t>
            </w:r>
            <w:r w:rsidR="00EA2C86" w:rsidRPr="00927778">
              <w:rPr>
                <w:color w:val="333333"/>
                <w:lang w:val="fr-FR"/>
              </w:rPr>
              <w:t>’</w:t>
            </w:r>
            <w:r w:rsidRPr="00927778">
              <w:rPr>
                <w:color w:val="333333"/>
                <w:lang w:val="fr-FR"/>
              </w:rPr>
              <w:t>engagement des pays bénéficiaires pilotes (</w:t>
            </w:r>
            <w:r w:rsidR="009373F6" w:rsidRPr="00927778">
              <w:rPr>
                <w:color w:val="333333"/>
                <w:lang w:val="fr-FR"/>
              </w:rPr>
              <w:t>Costa</w:t>
            </w:r>
            <w:r w:rsidR="0057466D" w:rsidRPr="00927778">
              <w:rPr>
                <w:color w:val="333333"/>
                <w:lang w:val="fr-FR"/>
              </w:rPr>
              <w:t> </w:t>
            </w:r>
            <w:r w:rsidR="009373F6" w:rsidRPr="00927778">
              <w:rPr>
                <w:color w:val="333333"/>
                <w:lang w:val="fr-FR"/>
              </w:rPr>
              <w:t>Rica, L</w:t>
            </w:r>
            <w:r w:rsidRPr="00927778">
              <w:rPr>
                <w:color w:val="333333"/>
                <w:lang w:val="fr-FR"/>
              </w:rPr>
              <w:t>iban</w:t>
            </w:r>
            <w:r w:rsidR="009373F6" w:rsidRPr="00927778">
              <w:rPr>
                <w:color w:val="333333"/>
                <w:lang w:val="fr-FR"/>
              </w:rPr>
              <w:t>, N</w:t>
            </w:r>
            <w:r w:rsidRPr="00927778">
              <w:rPr>
                <w:color w:val="333333"/>
                <w:lang w:val="fr-FR"/>
              </w:rPr>
              <w:t>é</w:t>
            </w:r>
            <w:r w:rsidR="009373F6" w:rsidRPr="00927778">
              <w:rPr>
                <w:color w:val="333333"/>
                <w:lang w:val="fr-FR"/>
              </w:rPr>
              <w:t xml:space="preserve">pal </w:t>
            </w:r>
            <w:r w:rsidRPr="00927778">
              <w:rPr>
                <w:color w:val="333333"/>
                <w:lang w:val="fr-FR"/>
              </w:rPr>
              <w:t>et</w:t>
            </w:r>
            <w:r w:rsidR="009373F6" w:rsidRPr="00927778">
              <w:rPr>
                <w:color w:val="333333"/>
                <w:lang w:val="fr-FR"/>
              </w:rPr>
              <w:t xml:space="preserve"> Nig</w:t>
            </w:r>
            <w:r w:rsidRPr="00927778">
              <w:rPr>
                <w:color w:val="333333"/>
                <w:lang w:val="fr-FR"/>
              </w:rPr>
              <w:t>é</w:t>
            </w:r>
            <w:r w:rsidR="009373F6" w:rsidRPr="00927778">
              <w:rPr>
                <w:color w:val="333333"/>
                <w:lang w:val="fr-FR"/>
              </w:rPr>
              <w:t>ria).</w:t>
            </w:r>
          </w:p>
          <w:p w:rsidR="005E6718" w:rsidRPr="00927778" w:rsidRDefault="005E6718" w:rsidP="00847CC2">
            <w:pPr>
              <w:rPr>
                <w:color w:val="333333"/>
                <w:lang w:val="fr-FR"/>
              </w:rPr>
            </w:pPr>
          </w:p>
          <w:p w:rsidR="005E6718" w:rsidRPr="00927778" w:rsidRDefault="000E7CFE" w:rsidP="00847CC2">
            <w:pPr>
              <w:rPr>
                <w:color w:val="333333"/>
                <w:lang w:val="fr-FR"/>
              </w:rPr>
            </w:pPr>
            <w:r w:rsidRPr="00927778">
              <w:rPr>
                <w:color w:val="333333"/>
                <w:lang w:val="fr-FR"/>
              </w:rPr>
              <w:t>Tout au long des phase</w:t>
            </w:r>
            <w:r w:rsidR="000D70C3" w:rsidRPr="00927778">
              <w:rPr>
                <w:color w:val="333333"/>
                <w:lang w:val="fr-FR"/>
              </w:rPr>
              <w:t>s</w:t>
            </w:r>
            <w:r w:rsidRPr="00927778">
              <w:rPr>
                <w:color w:val="333333"/>
                <w:lang w:val="fr-FR"/>
              </w:rPr>
              <w:t xml:space="preserve"> de mise en œuvre, </w:t>
            </w:r>
            <w:r w:rsidR="002F57E2" w:rsidRPr="00927778">
              <w:rPr>
                <w:color w:val="333333"/>
                <w:lang w:val="fr-FR"/>
              </w:rPr>
              <w:t xml:space="preserve">une importance primordiale </w:t>
            </w:r>
            <w:r w:rsidRPr="00927778">
              <w:rPr>
                <w:color w:val="333333"/>
                <w:lang w:val="fr-FR"/>
              </w:rPr>
              <w:t xml:space="preserve">a été </w:t>
            </w:r>
            <w:r w:rsidR="002F57E2" w:rsidRPr="00927778">
              <w:rPr>
                <w:color w:val="333333"/>
                <w:lang w:val="fr-FR"/>
              </w:rPr>
              <w:t>accordée</w:t>
            </w:r>
            <w:r w:rsidRPr="00927778">
              <w:rPr>
                <w:color w:val="333333"/>
                <w:lang w:val="fr-FR"/>
              </w:rPr>
              <w:t xml:space="preserve"> au respect de certains principes fondamentaux, </w:t>
            </w:r>
            <w:r w:rsidR="002F57E2" w:rsidRPr="00927778">
              <w:rPr>
                <w:color w:val="333333"/>
                <w:lang w:val="fr-FR"/>
              </w:rPr>
              <w:t xml:space="preserve">tels que </w:t>
            </w:r>
            <w:r w:rsidR="00096675" w:rsidRPr="00927778">
              <w:rPr>
                <w:color w:val="333333"/>
                <w:lang w:val="fr-FR"/>
              </w:rPr>
              <w:t>la coordination complète avec les pays bénéficiaires et leur consultation afin de satisfaire leurs besoins et priorités et de veiller à la durabilité du projet au niveau national.</w:t>
            </w:r>
          </w:p>
          <w:p w:rsidR="005E6718" w:rsidRPr="00927778" w:rsidRDefault="005E6718" w:rsidP="00847CC2">
            <w:pPr>
              <w:rPr>
                <w:color w:val="333333"/>
                <w:lang w:val="fr-FR"/>
              </w:rPr>
            </w:pPr>
          </w:p>
          <w:p w:rsidR="00EA2C86" w:rsidRPr="00927778" w:rsidRDefault="00CD44E7" w:rsidP="00847CC2">
            <w:pPr>
              <w:rPr>
                <w:color w:val="333333"/>
                <w:lang w:val="fr-FR"/>
              </w:rPr>
            </w:pPr>
            <w:r w:rsidRPr="00927778">
              <w:rPr>
                <w:color w:val="333333"/>
                <w:lang w:val="fr-FR"/>
              </w:rPr>
              <w:t>Pour faire en sorte que</w:t>
            </w:r>
            <w:r w:rsidR="000D70C3" w:rsidRPr="00927778">
              <w:rPr>
                <w:color w:val="333333"/>
                <w:lang w:val="fr-FR"/>
              </w:rPr>
              <w:t xml:space="preserve"> ce projet </w:t>
            </w:r>
            <w:r w:rsidRPr="00927778">
              <w:rPr>
                <w:color w:val="333333"/>
                <w:lang w:val="fr-FR"/>
              </w:rPr>
              <w:t>devienne durable, l</w:t>
            </w:r>
            <w:r w:rsidR="000D70C3" w:rsidRPr="00927778">
              <w:rPr>
                <w:color w:val="333333"/>
                <w:lang w:val="fr-FR"/>
              </w:rPr>
              <w:t xml:space="preserve">es résultats </w:t>
            </w:r>
            <w:r w:rsidRPr="00927778">
              <w:rPr>
                <w:color w:val="333333"/>
                <w:lang w:val="fr-FR"/>
              </w:rPr>
              <w:t xml:space="preserve">atteints </w:t>
            </w:r>
            <w:r w:rsidR="000D70C3" w:rsidRPr="00927778">
              <w:rPr>
                <w:color w:val="333333"/>
                <w:lang w:val="fr-FR"/>
              </w:rPr>
              <w:t xml:space="preserve">sont </w:t>
            </w:r>
            <w:r w:rsidRPr="00927778">
              <w:rPr>
                <w:color w:val="333333"/>
                <w:lang w:val="fr-FR"/>
              </w:rPr>
              <w:t>agencés de sorte à</w:t>
            </w:r>
            <w:r w:rsidR="000D70C3" w:rsidRPr="00927778">
              <w:rPr>
                <w:color w:val="333333"/>
                <w:lang w:val="fr-FR"/>
              </w:rPr>
              <w:t xml:space="preserve"> faire face à d</w:t>
            </w:r>
            <w:r w:rsidR="00EA2C86" w:rsidRPr="00927778">
              <w:rPr>
                <w:color w:val="333333"/>
                <w:lang w:val="fr-FR"/>
              </w:rPr>
              <w:t>’</w:t>
            </w:r>
            <w:r w:rsidR="000D70C3" w:rsidRPr="00927778">
              <w:rPr>
                <w:color w:val="333333"/>
                <w:lang w:val="fr-FR"/>
              </w:rPr>
              <w:t xml:space="preserve">éventuelles nouvelles demandes </w:t>
            </w:r>
            <w:r w:rsidR="00C13CF2" w:rsidRPr="00927778">
              <w:rPr>
                <w:color w:val="333333"/>
                <w:lang w:val="fr-FR"/>
              </w:rPr>
              <w:t>d</w:t>
            </w:r>
            <w:r w:rsidR="00EA2C86" w:rsidRPr="00927778">
              <w:rPr>
                <w:color w:val="333333"/>
                <w:lang w:val="fr-FR"/>
              </w:rPr>
              <w:t>’</w:t>
            </w:r>
            <w:r w:rsidR="00C13CF2" w:rsidRPr="00927778">
              <w:rPr>
                <w:color w:val="333333"/>
                <w:lang w:val="fr-FR"/>
              </w:rPr>
              <w:t xml:space="preserve">assistance en matière de formation continue du corps judiciaire </w:t>
            </w:r>
            <w:r w:rsidR="000D70C3" w:rsidRPr="00927778">
              <w:rPr>
                <w:color w:val="333333"/>
                <w:lang w:val="fr-FR"/>
              </w:rPr>
              <w:t>que d</w:t>
            </w:r>
            <w:r w:rsidR="00EA2C86" w:rsidRPr="00927778">
              <w:rPr>
                <w:color w:val="333333"/>
                <w:lang w:val="fr-FR"/>
              </w:rPr>
              <w:t>’</w:t>
            </w:r>
            <w:r w:rsidR="000D70C3" w:rsidRPr="00927778">
              <w:rPr>
                <w:color w:val="333333"/>
                <w:lang w:val="fr-FR"/>
              </w:rPr>
              <w:t>autres pays pourraient émettre à l</w:t>
            </w:r>
            <w:r w:rsidR="00EA2C86" w:rsidRPr="00927778">
              <w:rPr>
                <w:color w:val="333333"/>
                <w:lang w:val="fr-FR"/>
              </w:rPr>
              <w:t>’</w:t>
            </w:r>
            <w:r w:rsidR="000D70C3" w:rsidRPr="00927778">
              <w:rPr>
                <w:color w:val="333333"/>
                <w:lang w:val="fr-FR"/>
              </w:rPr>
              <w:t>avenir.</w:t>
            </w:r>
          </w:p>
          <w:p w:rsidR="005E6718" w:rsidRPr="00927778" w:rsidRDefault="005E6718" w:rsidP="00847CC2">
            <w:pPr>
              <w:rPr>
                <w:color w:val="333333"/>
                <w:lang w:val="fr-FR"/>
              </w:rPr>
            </w:pPr>
          </w:p>
          <w:p w:rsidR="005E6718" w:rsidRPr="00927778" w:rsidRDefault="00957BE3" w:rsidP="00847CC2">
            <w:pPr>
              <w:rPr>
                <w:color w:val="333333"/>
                <w:lang w:val="fr-FR"/>
              </w:rPr>
            </w:pPr>
            <w:r w:rsidRPr="00927778">
              <w:rPr>
                <w:color w:val="333333"/>
                <w:lang w:val="fr-FR"/>
              </w:rPr>
              <w:t xml:space="preserve">Tous les résultats escomptés ou presque ont été enregistrés entre </w:t>
            </w:r>
            <w:r w:rsidR="00EA2C86" w:rsidRPr="00927778">
              <w:rPr>
                <w:color w:val="333333"/>
                <w:lang w:val="fr-FR"/>
              </w:rPr>
              <w:t>juillet 20</w:t>
            </w:r>
            <w:r w:rsidRPr="00927778">
              <w:rPr>
                <w:color w:val="333333"/>
                <w:lang w:val="fr-FR"/>
              </w:rPr>
              <w:t xml:space="preserve">17 et </w:t>
            </w:r>
            <w:r w:rsidR="00EA2C86" w:rsidRPr="00927778">
              <w:rPr>
                <w:color w:val="333333"/>
                <w:lang w:val="fr-FR"/>
              </w:rPr>
              <w:t>juillet 20</w:t>
            </w:r>
            <w:r w:rsidRPr="00927778">
              <w:rPr>
                <w:color w:val="333333"/>
                <w:lang w:val="fr-FR"/>
              </w:rPr>
              <w:t>18</w:t>
            </w:r>
            <w:r w:rsidR="00EA2C86" w:rsidRPr="00927778">
              <w:rPr>
                <w:color w:val="333333"/>
                <w:lang w:val="fr-FR"/>
              </w:rPr>
              <w:t> :</w:t>
            </w:r>
          </w:p>
          <w:p w:rsidR="005E6718" w:rsidRPr="00927778" w:rsidRDefault="005E6718" w:rsidP="00847CC2">
            <w:pPr>
              <w:rPr>
                <w:color w:val="333333"/>
                <w:lang w:val="fr-FR"/>
              </w:rPr>
            </w:pPr>
          </w:p>
          <w:p w:rsidR="00EA2C86" w:rsidRPr="00927778" w:rsidRDefault="00957BE3" w:rsidP="00EA1A2E">
            <w:pPr>
              <w:numPr>
                <w:ilvl w:val="0"/>
                <w:numId w:val="21"/>
              </w:numPr>
              <w:ind w:left="459" w:hanging="425"/>
              <w:rPr>
                <w:color w:val="333333"/>
                <w:lang w:val="fr-FR"/>
              </w:rPr>
            </w:pPr>
            <w:r w:rsidRPr="00927778">
              <w:rPr>
                <w:color w:val="333333"/>
                <w:lang w:val="fr-FR"/>
              </w:rPr>
              <w:t>Un cours d</w:t>
            </w:r>
            <w:r w:rsidR="00EA2C86" w:rsidRPr="00927778">
              <w:rPr>
                <w:color w:val="333333"/>
                <w:lang w:val="fr-FR"/>
              </w:rPr>
              <w:t>’</w:t>
            </w:r>
            <w:r w:rsidRPr="00927778">
              <w:rPr>
                <w:color w:val="333333"/>
                <w:lang w:val="fr-FR"/>
              </w:rPr>
              <w:t xml:space="preserve">enseignement à distance </w:t>
            </w:r>
            <w:r w:rsidR="0062164A" w:rsidRPr="00927778">
              <w:rPr>
                <w:color w:val="333333"/>
                <w:lang w:val="fr-FR"/>
              </w:rPr>
              <w:t xml:space="preserve">de nature </w:t>
            </w:r>
            <w:r w:rsidRPr="00927778">
              <w:rPr>
                <w:color w:val="333333"/>
                <w:lang w:val="fr-FR"/>
              </w:rPr>
              <w:t>générique sur la prop</w:t>
            </w:r>
            <w:r w:rsidR="00954D07" w:rsidRPr="00927778">
              <w:rPr>
                <w:color w:val="333333"/>
                <w:lang w:val="fr-FR"/>
              </w:rPr>
              <w:t>riété intellectuelle destiné au</w:t>
            </w:r>
            <w:r w:rsidRPr="00927778">
              <w:rPr>
                <w:color w:val="333333"/>
                <w:lang w:val="fr-FR"/>
              </w:rPr>
              <w:t xml:space="preserve"> </w:t>
            </w:r>
            <w:r w:rsidR="0062164A" w:rsidRPr="00927778">
              <w:rPr>
                <w:color w:val="333333"/>
                <w:lang w:val="fr-FR"/>
              </w:rPr>
              <w:t>corps</w:t>
            </w:r>
            <w:r w:rsidRPr="00927778">
              <w:rPr>
                <w:color w:val="333333"/>
                <w:lang w:val="fr-FR"/>
              </w:rPr>
              <w:t xml:space="preserve"> judiciaire a été mis sur pied par l</w:t>
            </w:r>
            <w:r w:rsidR="00EA2C86" w:rsidRPr="00927778">
              <w:rPr>
                <w:color w:val="333333"/>
                <w:lang w:val="fr-FR"/>
              </w:rPr>
              <w:t>’</w:t>
            </w:r>
            <w:r w:rsidRPr="00927778">
              <w:rPr>
                <w:color w:val="333333"/>
                <w:lang w:val="fr-FR"/>
              </w:rPr>
              <w:t>Académie de l</w:t>
            </w:r>
            <w:r w:rsidR="00EA2C86" w:rsidRPr="00927778">
              <w:rPr>
                <w:color w:val="333333"/>
                <w:lang w:val="fr-FR"/>
              </w:rPr>
              <w:t>’</w:t>
            </w:r>
            <w:r w:rsidRPr="00927778">
              <w:rPr>
                <w:color w:val="333333"/>
                <w:lang w:val="fr-FR"/>
              </w:rPr>
              <w:t>OMPI avec l</w:t>
            </w:r>
            <w:r w:rsidR="00EA2C86" w:rsidRPr="00927778">
              <w:rPr>
                <w:color w:val="333333"/>
                <w:lang w:val="fr-FR"/>
              </w:rPr>
              <w:t>’</w:t>
            </w:r>
            <w:r w:rsidRPr="00927778">
              <w:rPr>
                <w:color w:val="333333"/>
                <w:lang w:val="fr-FR"/>
              </w:rPr>
              <w:t>aide d</w:t>
            </w:r>
            <w:r w:rsidR="00EA2C86" w:rsidRPr="00927778">
              <w:rPr>
                <w:color w:val="333333"/>
                <w:lang w:val="fr-FR"/>
              </w:rPr>
              <w:t>’</w:t>
            </w:r>
            <w:r w:rsidRPr="00927778">
              <w:rPr>
                <w:color w:val="333333"/>
                <w:lang w:val="fr-FR"/>
              </w:rPr>
              <w:t>un juge expérimenté d</w:t>
            </w:r>
            <w:r w:rsidR="00EA2C86" w:rsidRPr="00927778">
              <w:rPr>
                <w:color w:val="333333"/>
                <w:lang w:val="fr-FR"/>
              </w:rPr>
              <w:t>’</w:t>
            </w:r>
            <w:r w:rsidRPr="00927778">
              <w:rPr>
                <w:color w:val="333333"/>
                <w:lang w:val="fr-FR"/>
              </w:rPr>
              <w:t>Égypte</w:t>
            </w:r>
            <w:r w:rsidR="0062164A" w:rsidRPr="00927778">
              <w:rPr>
                <w:color w:val="333333"/>
                <w:lang w:val="fr-FR"/>
              </w:rPr>
              <w:t>, également professe</w:t>
            </w:r>
            <w:r w:rsidR="00306E74" w:rsidRPr="00927778">
              <w:rPr>
                <w:color w:val="333333"/>
                <w:lang w:val="fr-FR"/>
              </w:rPr>
              <w:t>ur.  Le</w:t>
            </w:r>
            <w:r w:rsidRPr="00927778">
              <w:rPr>
                <w:color w:val="333333"/>
                <w:lang w:val="fr-FR"/>
              </w:rPr>
              <w:t xml:space="preserve">s supports didactiques ont ensuite été passés en revue par un groupe de </w:t>
            </w:r>
            <w:r w:rsidR="004360D9" w:rsidRPr="00927778">
              <w:rPr>
                <w:color w:val="333333"/>
                <w:lang w:val="fr-FR"/>
              </w:rPr>
              <w:t>juges chevronnés issus d</w:t>
            </w:r>
            <w:r w:rsidR="00EA2C86" w:rsidRPr="00927778">
              <w:rPr>
                <w:color w:val="333333"/>
                <w:lang w:val="fr-FR"/>
              </w:rPr>
              <w:t>’</w:t>
            </w:r>
            <w:r w:rsidR="004360D9" w:rsidRPr="00927778">
              <w:rPr>
                <w:color w:val="333333"/>
                <w:lang w:val="fr-FR"/>
              </w:rPr>
              <w:t xml:space="preserve">Australie, de Belgique, de Chine, du Pérou, des </w:t>
            </w:r>
            <w:r w:rsidR="00404662" w:rsidRPr="00927778">
              <w:rPr>
                <w:color w:val="333333"/>
                <w:lang w:val="fr-FR"/>
              </w:rPr>
              <w:t>Philippi</w:t>
            </w:r>
            <w:r w:rsidR="0021034E" w:rsidRPr="00927778">
              <w:rPr>
                <w:color w:val="333333"/>
                <w:lang w:val="fr-FR"/>
              </w:rPr>
              <w:t>nes et d</w:t>
            </w:r>
            <w:r w:rsidR="00EA2C86" w:rsidRPr="00927778">
              <w:rPr>
                <w:color w:val="333333"/>
                <w:lang w:val="fr-FR"/>
              </w:rPr>
              <w:t>’</w:t>
            </w:r>
            <w:r w:rsidR="0021034E" w:rsidRPr="00927778">
              <w:rPr>
                <w:color w:val="333333"/>
                <w:lang w:val="fr-FR"/>
              </w:rPr>
              <w:t>Afrique du Sud.</w:t>
            </w:r>
          </w:p>
          <w:p w:rsidR="005E6718" w:rsidRPr="00927778" w:rsidRDefault="005E6718" w:rsidP="005D4FA6">
            <w:pPr>
              <w:ind w:left="459"/>
              <w:rPr>
                <w:color w:val="333333"/>
                <w:lang w:val="fr-FR"/>
              </w:rPr>
            </w:pPr>
          </w:p>
          <w:p w:rsidR="00EA2C86" w:rsidRPr="00927778" w:rsidRDefault="00A70517" w:rsidP="00EA1A2E">
            <w:pPr>
              <w:numPr>
                <w:ilvl w:val="0"/>
                <w:numId w:val="21"/>
              </w:numPr>
              <w:ind w:left="459" w:hanging="425"/>
              <w:rPr>
                <w:color w:val="333333"/>
                <w:lang w:val="fr-FR"/>
              </w:rPr>
            </w:pPr>
            <w:r w:rsidRPr="00927778">
              <w:rPr>
                <w:color w:val="333333"/>
                <w:lang w:val="fr-FR"/>
              </w:rPr>
              <w:t>Après traduction, adaptation et révision au profit des pays pilotes, l</w:t>
            </w:r>
            <w:r w:rsidR="004360D9" w:rsidRPr="00927778">
              <w:rPr>
                <w:color w:val="333333"/>
                <w:lang w:val="fr-FR"/>
              </w:rPr>
              <w:t>e cours d</w:t>
            </w:r>
            <w:r w:rsidR="00EA2C86" w:rsidRPr="00927778">
              <w:rPr>
                <w:color w:val="333333"/>
                <w:lang w:val="fr-FR"/>
              </w:rPr>
              <w:t>’</w:t>
            </w:r>
            <w:r w:rsidR="004360D9" w:rsidRPr="00927778">
              <w:rPr>
                <w:color w:val="333333"/>
                <w:lang w:val="fr-FR"/>
              </w:rPr>
              <w:t xml:space="preserve">enseignement à distance </w:t>
            </w:r>
            <w:r w:rsidRPr="00927778">
              <w:rPr>
                <w:color w:val="333333"/>
                <w:lang w:val="fr-FR"/>
              </w:rPr>
              <w:t>de nature générique a</w:t>
            </w:r>
            <w:r w:rsidR="004360D9" w:rsidRPr="00927778">
              <w:rPr>
                <w:color w:val="333333"/>
                <w:lang w:val="fr-FR"/>
              </w:rPr>
              <w:t xml:space="preserve"> servi de base à quatre</w:t>
            </w:r>
            <w:r w:rsidR="0057466D" w:rsidRPr="00927778">
              <w:rPr>
                <w:color w:val="333333"/>
                <w:lang w:val="fr-FR"/>
              </w:rPr>
              <w:t> </w:t>
            </w:r>
            <w:r w:rsidR="004360D9" w:rsidRPr="00927778">
              <w:rPr>
                <w:color w:val="333333"/>
                <w:lang w:val="fr-FR"/>
              </w:rPr>
              <w:t>cours d</w:t>
            </w:r>
            <w:r w:rsidR="00EA2C86" w:rsidRPr="00927778">
              <w:rPr>
                <w:color w:val="333333"/>
                <w:lang w:val="fr-FR"/>
              </w:rPr>
              <w:t>’</w:t>
            </w:r>
            <w:r w:rsidR="004360D9" w:rsidRPr="00927778">
              <w:rPr>
                <w:color w:val="333333"/>
                <w:lang w:val="fr-FR"/>
              </w:rPr>
              <w:t>enseignement à distance nationa</w:t>
            </w:r>
            <w:r w:rsidR="00306E74" w:rsidRPr="00927778">
              <w:rPr>
                <w:color w:val="333333"/>
                <w:lang w:val="fr-FR"/>
              </w:rPr>
              <w:t>ux.  Le</w:t>
            </w:r>
            <w:r w:rsidR="004360D9" w:rsidRPr="00927778">
              <w:rPr>
                <w:color w:val="333333"/>
                <w:lang w:val="fr-FR"/>
              </w:rPr>
              <w:t xml:space="preserve"> processus d</w:t>
            </w:r>
            <w:r w:rsidR="00EA2C86" w:rsidRPr="00927778">
              <w:rPr>
                <w:color w:val="333333"/>
                <w:lang w:val="fr-FR"/>
              </w:rPr>
              <w:t>’</w:t>
            </w:r>
            <w:r w:rsidR="004360D9" w:rsidRPr="00927778">
              <w:rPr>
                <w:color w:val="333333"/>
                <w:lang w:val="fr-FR"/>
              </w:rPr>
              <w:t xml:space="preserve">adaptation a été entrepris en coordination complète avec les experts </w:t>
            </w:r>
            <w:r w:rsidR="00C111BE" w:rsidRPr="00927778">
              <w:rPr>
                <w:color w:val="333333"/>
                <w:lang w:val="fr-FR"/>
              </w:rPr>
              <w:t>nationaux</w:t>
            </w:r>
            <w:r w:rsidR="004360D9" w:rsidRPr="00927778">
              <w:rPr>
                <w:color w:val="333333"/>
                <w:lang w:val="fr-FR"/>
              </w:rPr>
              <w:t xml:space="preserve"> choisis par les pays bénéficiaires, qui ont tenu compte des besoins, priorités et contextes ju</w:t>
            </w:r>
            <w:r w:rsidRPr="00927778">
              <w:rPr>
                <w:color w:val="333333"/>
                <w:lang w:val="fr-FR"/>
              </w:rPr>
              <w:t>ri</w:t>
            </w:r>
            <w:r w:rsidR="004360D9" w:rsidRPr="00927778">
              <w:rPr>
                <w:color w:val="333333"/>
                <w:lang w:val="fr-FR"/>
              </w:rPr>
              <w:t>di</w:t>
            </w:r>
            <w:r w:rsidRPr="00927778">
              <w:rPr>
                <w:color w:val="333333"/>
                <w:lang w:val="fr-FR"/>
              </w:rPr>
              <w:t xml:space="preserve">ques </w:t>
            </w:r>
            <w:r w:rsidR="008343DD" w:rsidRPr="00927778">
              <w:rPr>
                <w:color w:val="333333"/>
                <w:lang w:val="fr-FR"/>
              </w:rPr>
              <w:t>propres à chaque pays.</w:t>
            </w:r>
          </w:p>
          <w:p w:rsidR="005E6718" w:rsidRPr="00927778" w:rsidRDefault="005E6718" w:rsidP="005D4FA6">
            <w:pPr>
              <w:ind w:left="459"/>
              <w:rPr>
                <w:color w:val="333333"/>
                <w:lang w:val="fr-FR"/>
              </w:rPr>
            </w:pPr>
          </w:p>
          <w:p w:rsidR="00EA2C86" w:rsidRPr="00927778" w:rsidRDefault="001D6D2F" w:rsidP="00EA1A2E">
            <w:pPr>
              <w:numPr>
                <w:ilvl w:val="0"/>
                <w:numId w:val="21"/>
              </w:numPr>
              <w:ind w:left="459" w:hanging="425"/>
              <w:rPr>
                <w:color w:val="333333"/>
                <w:lang w:val="fr-FR"/>
              </w:rPr>
            </w:pPr>
            <w:r w:rsidRPr="00927778">
              <w:rPr>
                <w:color w:val="333333"/>
                <w:lang w:val="fr-FR"/>
              </w:rPr>
              <w:t>Un programme</w:t>
            </w:r>
            <w:r w:rsidR="008343DD" w:rsidRPr="00927778">
              <w:rPr>
                <w:color w:val="333333"/>
                <w:lang w:val="fr-FR"/>
              </w:rPr>
              <w:t xml:space="preserve"> multidimensionnel</w:t>
            </w:r>
            <w:r w:rsidRPr="00927778">
              <w:rPr>
                <w:color w:val="333333"/>
                <w:lang w:val="fr-FR"/>
              </w:rPr>
              <w:t xml:space="preserve"> de formation des formateurs </w:t>
            </w:r>
            <w:r w:rsidR="00972DF7" w:rsidRPr="00927778">
              <w:rPr>
                <w:color w:val="333333"/>
                <w:lang w:val="fr-FR"/>
              </w:rPr>
              <w:t>a été conçu pour chaque pays pilo</w:t>
            </w:r>
            <w:r w:rsidR="00306E74" w:rsidRPr="00927778">
              <w:rPr>
                <w:color w:val="333333"/>
                <w:lang w:val="fr-FR"/>
              </w:rPr>
              <w:t>te.  De</w:t>
            </w:r>
            <w:r w:rsidR="00972DF7" w:rsidRPr="00927778">
              <w:rPr>
                <w:color w:val="333333"/>
                <w:lang w:val="fr-FR"/>
              </w:rPr>
              <w:t>s sessions spéciales d</w:t>
            </w:r>
            <w:r w:rsidR="00EA2C86" w:rsidRPr="00927778">
              <w:rPr>
                <w:color w:val="333333"/>
                <w:lang w:val="fr-FR"/>
              </w:rPr>
              <w:t>’</w:t>
            </w:r>
            <w:r w:rsidR="00972DF7" w:rsidRPr="00927778">
              <w:rPr>
                <w:color w:val="333333"/>
                <w:lang w:val="fr-FR"/>
              </w:rPr>
              <w:t>enseignement à distance et sur place ont été organisées pour chacun des pays pilotes en coordination avec les instituts nationaux de formation judiciaire et avec l</w:t>
            </w:r>
            <w:r w:rsidR="00EA2C86" w:rsidRPr="00927778">
              <w:rPr>
                <w:color w:val="333333"/>
                <w:lang w:val="fr-FR"/>
              </w:rPr>
              <w:t>’</w:t>
            </w:r>
            <w:r w:rsidR="00972DF7" w:rsidRPr="00927778">
              <w:rPr>
                <w:color w:val="333333"/>
                <w:lang w:val="fr-FR"/>
              </w:rPr>
              <w:t>aide de juges et professeurs nationaux et internationaux chevronnés</w:t>
            </w:r>
            <w:r w:rsidR="008343DD" w:rsidRPr="00927778">
              <w:rPr>
                <w:color w:val="333333"/>
                <w:lang w:val="fr-FR"/>
              </w:rPr>
              <w:t>.</w:t>
            </w:r>
          </w:p>
          <w:p w:rsidR="005E6718" w:rsidRPr="00927778" w:rsidRDefault="005E6718" w:rsidP="005D4FA6">
            <w:pPr>
              <w:ind w:left="459"/>
              <w:rPr>
                <w:color w:val="333333"/>
                <w:lang w:val="fr-FR"/>
              </w:rPr>
            </w:pPr>
          </w:p>
          <w:p w:rsidR="00EA2C86" w:rsidRPr="00927778" w:rsidRDefault="006A4632" w:rsidP="00EA1A2E">
            <w:pPr>
              <w:numPr>
                <w:ilvl w:val="0"/>
                <w:numId w:val="21"/>
              </w:numPr>
              <w:ind w:left="459" w:hanging="425"/>
              <w:rPr>
                <w:color w:val="333333"/>
                <w:lang w:val="fr-FR"/>
              </w:rPr>
            </w:pPr>
            <w:r w:rsidRPr="00927778">
              <w:rPr>
                <w:color w:val="333333"/>
                <w:lang w:val="fr-FR"/>
              </w:rPr>
              <w:t>Des ressources bibliographiques adaptées relatives aux droits de propriété intellectuelle ont été acquis</w:t>
            </w:r>
            <w:r w:rsidR="008343DD" w:rsidRPr="00927778">
              <w:rPr>
                <w:color w:val="333333"/>
                <w:lang w:val="fr-FR"/>
              </w:rPr>
              <w:t>es</w:t>
            </w:r>
            <w:r w:rsidRPr="00927778">
              <w:rPr>
                <w:color w:val="333333"/>
                <w:lang w:val="fr-FR"/>
              </w:rPr>
              <w:t xml:space="preserve"> et envoyé</w:t>
            </w:r>
            <w:r w:rsidR="008343DD" w:rsidRPr="00927778">
              <w:rPr>
                <w:color w:val="333333"/>
                <w:lang w:val="fr-FR"/>
              </w:rPr>
              <w:t>e</w:t>
            </w:r>
            <w:r w:rsidRPr="00927778">
              <w:rPr>
                <w:color w:val="333333"/>
                <w:lang w:val="fr-FR"/>
              </w:rPr>
              <w:t>s</w:t>
            </w:r>
            <w:r w:rsidR="008343DD" w:rsidRPr="00927778">
              <w:rPr>
                <w:color w:val="333333"/>
                <w:lang w:val="fr-FR"/>
              </w:rPr>
              <w:t xml:space="preserve"> dans tous les instituts de formation judiciaire</w:t>
            </w:r>
            <w:r w:rsidRPr="00927778">
              <w:rPr>
                <w:color w:val="333333"/>
                <w:lang w:val="fr-FR"/>
              </w:rPr>
              <w:t>, de même que les pub</w:t>
            </w:r>
            <w:r w:rsidR="008343DD" w:rsidRPr="00927778">
              <w:rPr>
                <w:color w:val="333333"/>
                <w:lang w:val="fr-FR"/>
              </w:rPr>
              <w:t>lications pertinentes de l</w:t>
            </w:r>
            <w:r w:rsidR="00EA2C86" w:rsidRPr="00927778">
              <w:rPr>
                <w:color w:val="333333"/>
                <w:lang w:val="fr-FR"/>
              </w:rPr>
              <w:t>’</w:t>
            </w:r>
            <w:r w:rsidR="008343DD" w:rsidRPr="00927778">
              <w:rPr>
                <w:color w:val="333333"/>
                <w:lang w:val="fr-FR"/>
              </w:rPr>
              <w:t>O</w:t>
            </w:r>
            <w:r w:rsidR="00306E74" w:rsidRPr="00927778">
              <w:rPr>
                <w:color w:val="333333"/>
                <w:lang w:val="fr-FR"/>
              </w:rPr>
              <w:t>MPI.  La</w:t>
            </w:r>
            <w:r w:rsidRPr="00927778">
              <w:rPr>
                <w:color w:val="333333"/>
                <w:lang w:val="fr-FR"/>
              </w:rPr>
              <w:t xml:space="preserve"> sélection des publications a été réalisée en coordination </w:t>
            </w:r>
            <w:r w:rsidR="008343DD" w:rsidRPr="00927778">
              <w:rPr>
                <w:color w:val="333333"/>
                <w:lang w:val="fr-FR"/>
              </w:rPr>
              <w:t>complète avec les pays pilotes.</w:t>
            </w:r>
          </w:p>
          <w:p w:rsidR="005E6718" w:rsidRPr="00927778" w:rsidRDefault="005E6718" w:rsidP="005D4FA6">
            <w:pPr>
              <w:ind w:left="459"/>
              <w:rPr>
                <w:color w:val="333333"/>
                <w:lang w:val="fr-FR"/>
              </w:rPr>
            </w:pPr>
          </w:p>
          <w:p w:rsidR="005E6718" w:rsidRPr="00927778" w:rsidRDefault="008351B5" w:rsidP="00EA1A2E">
            <w:pPr>
              <w:numPr>
                <w:ilvl w:val="0"/>
                <w:numId w:val="21"/>
              </w:numPr>
              <w:ind w:left="459" w:hanging="425"/>
              <w:rPr>
                <w:color w:val="333333"/>
                <w:lang w:val="fr-FR"/>
              </w:rPr>
            </w:pPr>
            <w:r w:rsidRPr="00927778">
              <w:rPr>
                <w:color w:val="333333"/>
                <w:lang w:val="fr-FR"/>
              </w:rPr>
              <w:t xml:space="preserve">Les instituts nationaux de formation judiciaire ont obtenu un accès libre pour </w:t>
            </w:r>
            <w:r w:rsidR="00B104C1" w:rsidRPr="00927778">
              <w:rPr>
                <w:color w:val="333333"/>
                <w:lang w:val="fr-FR"/>
              </w:rPr>
              <w:t>trois</w:t>
            </w:r>
            <w:r w:rsidR="0057466D" w:rsidRPr="00927778">
              <w:rPr>
                <w:color w:val="333333"/>
                <w:lang w:val="fr-FR"/>
              </w:rPr>
              <w:t> </w:t>
            </w:r>
            <w:r w:rsidRPr="00927778">
              <w:rPr>
                <w:color w:val="333333"/>
                <w:lang w:val="fr-FR"/>
              </w:rPr>
              <w:t>ans à u</w:t>
            </w:r>
            <w:r w:rsidR="00757A27" w:rsidRPr="00927778">
              <w:rPr>
                <w:color w:val="333333"/>
                <w:lang w:val="fr-FR"/>
              </w:rPr>
              <w:t>ne base de données de plus de 3,5</w:t>
            </w:r>
            <w:r w:rsidRPr="00927778">
              <w:rPr>
                <w:color w:val="333333"/>
                <w:lang w:val="fr-FR"/>
              </w:rPr>
              <w:t> </w:t>
            </w:r>
            <w:r w:rsidR="00757A27" w:rsidRPr="00927778">
              <w:rPr>
                <w:color w:val="333333"/>
                <w:lang w:val="fr-FR"/>
              </w:rPr>
              <w:t>millions d</w:t>
            </w:r>
            <w:r w:rsidR="00EA2C86" w:rsidRPr="00927778">
              <w:rPr>
                <w:color w:val="333333"/>
                <w:lang w:val="fr-FR"/>
              </w:rPr>
              <w:t>’</w:t>
            </w:r>
            <w:r w:rsidR="00757A27" w:rsidRPr="00927778">
              <w:rPr>
                <w:color w:val="333333"/>
                <w:lang w:val="fr-FR"/>
              </w:rPr>
              <w:t>affaires judiciaires relatives aux droits de propriété intellectuelle dans plus de 110</w:t>
            </w:r>
            <w:r w:rsidR="00002037" w:rsidRPr="00927778">
              <w:rPr>
                <w:color w:val="333333"/>
                <w:lang w:val="fr-FR"/>
              </w:rPr>
              <w:t> </w:t>
            </w:r>
            <w:r w:rsidRPr="00927778">
              <w:rPr>
                <w:color w:val="333333"/>
                <w:lang w:val="fr-FR"/>
              </w:rPr>
              <w:t>pa</w:t>
            </w:r>
            <w:r w:rsidR="00306E74" w:rsidRPr="00927778">
              <w:rPr>
                <w:color w:val="333333"/>
                <w:lang w:val="fr-FR"/>
              </w:rPr>
              <w:t xml:space="preserve">ys.  À </w:t>
            </w:r>
            <w:r w:rsidRPr="00927778">
              <w:rPr>
                <w:color w:val="333333"/>
                <w:lang w:val="fr-FR"/>
              </w:rPr>
              <w:t>cet effet, u</w:t>
            </w:r>
            <w:r w:rsidR="00757A27" w:rsidRPr="00927778">
              <w:rPr>
                <w:color w:val="333333"/>
                <w:lang w:val="fr-FR"/>
              </w:rPr>
              <w:t xml:space="preserve">n contrat a été conclu avec une </w:t>
            </w:r>
            <w:r w:rsidR="00C111BE" w:rsidRPr="00927778">
              <w:rPr>
                <w:color w:val="333333"/>
                <w:lang w:val="fr-FR"/>
              </w:rPr>
              <w:t>entreprise</w:t>
            </w:r>
            <w:r w:rsidR="00757A27" w:rsidRPr="00927778">
              <w:rPr>
                <w:color w:val="333333"/>
                <w:lang w:val="fr-FR"/>
              </w:rPr>
              <w:t xml:space="preserve"> spécialisée.</w:t>
            </w:r>
          </w:p>
          <w:p w:rsidR="005E6718" w:rsidRPr="00927778" w:rsidRDefault="005E6718" w:rsidP="005D4FA6">
            <w:pPr>
              <w:ind w:left="459"/>
              <w:rPr>
                <w:color w:val="333333"/>
                <w:lang w:val="fr-FR"/>
              </w:rPr>
            </w:pPr>
          </w:p>
          <w:p w:rsidR="005E6718" w:rsidRPr="00927778" w:rsidRDefault="001C74EF" w:rsidP="00EA1A2E">
            <w:pPr>
              <w:numPr>
                <w:ilvl w:val="0"/>
                <w:numId w:val="21"/>
              </w:numPr>
              <w:ind w:left="459" w:hanging="425"/>
              <w:rPr>
                <w:color w:val="333333"/>
                <w:lang w:val="fr-FR"/>
              </w:rPr>
            </w:pPr>
            <w:r w:rsidRPr="00927778">
              <w:rPr>
                <w:color w:val="333333"/>
                <w:lang w:val="fr-FR"/>
              </w:rPr>
              <w:t>La plateforme d</w:t>
            </w:r>
            <w:r w:rsidR="00EA2C86" w:rsidRPr="00927778">
              <w:rPr>
                <w:color w:val="333333"/>
                <w:lang w:val="fr-FR"/>
              </w:rPr>
              <w:t>’</w:t>
            </w:r>
            <w:r w:rsidRPr="00927778">
              <w:rPr>
                <w:color w:val="333333"/>
                <w:lang w:val="fr-FR"/>
              </w:rPr>
              <w:t>enseignement à distance de l</w:t>
            </w:r>
            <w:r w:rsidR="00EA2C86" w:rsidRPr="00927778">
              <w:rPr>
                <w:color w:val="333333"/>
                <w:lang w:val="fr-FR"/>
              </w:rPr>
              <w:t>’</w:t>
            </w:r>
            <w:r w:rsidRPr="00927778">
              <w:rPr>
                <w:color w:val="333333"/>
                <w:lang w:val="fr-FR"/>
              </w:rPr>
              <w:t>Académie de l</w:t>
            </w:r>
            <w:r w:rsidR="00EA2C86" w:rsidRPr="00927778">
              <w:rPr>
                <w:color w:val="333333"/>
                <w:lang w:val="fr-FR"/>
              </w:rPr>
              <w:t>’</w:t>
            </w:r>
            <w:r w:rsidRPr="00927778">
              <w:rPr>
                <w:color w:val="333333"/>
                <w:lang w:val="fr-FR"/>
              </w:rPr>
              <w:t xml:space="preserve">OMPI a été rendue accessible </w:t>
            </w:r>
            <w:r w:rsidR="005656BA" w:rsidRPr="00927778">
              <w:rPr>
                <w:color w:val="333333"/>
                <w:lang w:val="fr-FR"/>
              </w:rPr>
              <w:t>aux</w:t>
            </w:r>
            <w:r w:rsidRPr="00927778">
              <w:rPr>
                <w:color w:val="333333"/>
                <w:lang w:val="fr-FR"/>
              </w:rPr>
              <w:t xml:space="preserve"> instituts de formation judiciaire de chacun des pays pilotes</w:t>
            </w:r>
            <w:r w:rsidR="00222BBC" w:rsidRPr="00927778">
              <w:rPr>
                <w:color w:val="333333"/>
                <w:lang w:val="fr-FR"/>
              </w:rPr>
              <w:t xml:space="preserve"> à des fins de formation continue</w:t>
            </w:r>
            <w:r w:rsidRPr="00927778">
              <w:rPr>
                <w:color w:val="333333"/>
                <w:lang w:val="fr-FR"/>
              </w:rPr>
              <w:t>.</w:t>
            </w:r>
          </w:p>
          <w:p w:rsidR="005E6718" w:rsidRPr="00927778" w:rsidRDefault="005E6718" w:rsidP="005D4FA6">
            <w:pPr>
              <w:ind w:left="459"/>
              <w:rPr>
                <w:color w:val="333333"/>
                <w:lang w:val="fr-FR"/>
              </w:rPr>
            </w:pPr>
          </w:p>
          <w:p w:rsidR="00EA2C86" w:rsidRPr="00927778" w:rsidRDefault="001C74EF" w:rsidP="00EA1A2E">
            <w:pPr>
              <w:numPr>
                <w:ilvl w:val="0"/>
                <w:numId w:val="21"/>
              </w:numPr>
              <w:ind w:left="459" w:hanging="425"/>
              <w:rPr>
                <w:color w:val="333333"/>
                <w:lang w:val="fr-FR"/>
              </w:rPr>
            </w:pPr>
            <w:r w:rsidRPr="00927778">
              <w:rPr>
                <w:color w:val="333333"/>
                <w:lang w:val="fr-FR"/>
              </w:rPr>
              <w:t xml:space="preserve">Quatre forums nationaux </w:t>
            </w:r>
            <w:r w:rsidR="005656BA" w:rsidRPr="00927778">
              <w:rPr>
                <w:color w:val="333333"/>
                <w:lang w:val="fr-FR"/>
              </w:rPr>
              <w:t>en accès restreint ont été mis sur pied</w:t>
            </w:r>
            <w:r w:rsidRPr="00927778">
              <w:rPr>
                <w:color w:val="333333"/>
                <w:lang w:val="fr-FR"/>
              </w:rPr>
              <w:t xml:space="preserve"> pour échanger et apprendre entre </w:t>
            </w:r>
            <w:r w:rsidR="00C111BE" w:rsidRPr="00927778">
              <w:rPr>
                <w:color w:val="333333"/>
                <w:lang w:val="fr-FR"/>
              </w:rPr>
              <w:t>pairs au</w:t>
            </w:r>
            <w:r w:rsidRPr="00927778">
              <w:rPr>
                <w:color w:val="333333"/>
                <w:lang w:val="fr-FR"/>
              </w:rPr>
              <w:t xml:space="preserve"> sein du </w:t>
            </w:r>
            <w:r w:rsidR="005656BA" w:rsidRPr="00927778">
              <w:rPr>
                <w:color w:val="333333"/>
                <w:lang w:val="fr-FR"/>
              </w:rPr>
              <w:t>corps</w:t>
            </w:r>
            <w:r w:rsidR="0036624E" w:rsidRPr="00927778">
              <w:rPr>
                <w:color w:val="333333"/>
                <w:lang w:val="fr-FR"/>
              </w:rPr>
              <w:t xml:space="preserve"> judiciaire national de chaque</w:t>
            </w:r>
            <w:r w:rsidRPr="00927778">
              <w:rPr>
                <w:color w:val="333333"/>
                <w:lang w:val="fr-FR"/>
              </w:rPr>
              <w:t xml:space="preserve"> pays pilo</w:t>
            </w:r>
            <w:r w:rsidR="00306E74" w:rsidRPr="00927778">
              <w:rPr>
                <w:color w:val="333333"/>
                <w:lang w:val="fr-FR"/>
              </w:rPr>
              <w:t>te.  Un</w:t>
            </w:r>
            <w:r w:rsidRPr="00927778">
              <w:rPr>
                <w:color w:val="333333"/>
                <w:lang w:val="fr-FR"/>
              </w:rPr>
              <w:t xml:space="preserve"> accès a été donné aux participants afin qu</w:t>
            </w:r>
            <w:r w:rsidR="00EA2C86" w:rsidRPr="00927778">
              <w:rPr>
                <w:color w:val="333333"/>
                <w:lang w:val="fr-FR"/>
              </w:rPr>
              <w:t>’</w:t>
            </w:r>
            <w:r w:rsidRPr="00927778">
              <w:rPr>
                <w:color w:val="333333"/>
                <w:lang w:val="fr-FR"/>
              </w:rPr>
              <w:t>ils créent leur profil et qu</w:t>
            </w:r>
            <w:r w:rsidR="00EA2C86" w:rsidRPr="00927778">
              <w:rPr>
                <w:color w:val="333333"/>
                <w:lang w:val="fr-FR"/>
              </w:rPr>
              <w:t>’</w:t>
            </w:r>
            <w:r w:rsidRPr="00927778">
              <w:rPr>
                <w:color w:val="333333"/>
                <w:lang w:val="fr-FR"/>
              </w:rPr>
              <w:t>ils utilis</w:t>
            </w:r>
            <w:r w:rsidR="00702F66" w:rsidRPr="00927778">
              <w:rPr>
                <w:color w:val="333333"/>
                <w:lang w:val="fr-FR"/>
              </w:rPr>
              <w:t>ent les outils de communication</w:t>
            </w:r>
            <w:r w:rsidRPr="00927778">
              <w:rPr>
                <w:color w:val="333333"/>
                <w:lang w:val="fr-FR"/>
              </w:rPr>
              <w:t xml:space="preserve"> disponibles sur les foru</w:t>
            </w:r>
            <w:r w:rsidR="00306E74" w:rsidRPr="00927778">
              <w:rPr>
                <w:color w:val="333333"/>
                <w:lang w:val="fr-FR"/>
              </w:rPr>
              <w:t>ms.  Ce</w:t>
            </w:r>
            <w:r w:rsidRPr="00927778">
              <w:rPr>
                <w:color w:val="333333"/>
                <w:lang w:val="fr-FR"/>
              </w:rPr>
              <w:t xml:space="preserve">s derniers resteront ouverts et accessibles une fois le projet </w:t>
            </w:r>
            <w:r w:rsidR="00702F66" w:rsidRPr="00927778">
              <w:rPr>
                <w:color w:val="333333"/>
                <w:lang w:val="fr-FR"/>
              </w:rPr>
              <w:t>achevé</w:t>
            </w:r>
            <w:r w:rsidRPr="00927778">
              <w:rPr>
                <w:color w:val="333333"/>
                <w:lang w:val="fr-FR"/>
              </w:rPr>
              <w:t>.</w:t>
            </w:r>
          </w:p>
          <w:p w:rsidR="005E6718" w:rsidRPr="00927778" w:rsidRDefault="005E6718" w:rsidP="005D4FA6">
            <w:pPr>
              <w:ind w:left="459"/>
              <w:rPr>
                <w:color w:val="333333"/>
                <w:lang w:val="fr-FR"/>
              </w:rPr>
            </w:pPr>
          </w:p>
          <w:p w:rsidR="00EA2C86" w:rsidRPr="00927778" w:rsidRDefault="001C74EF" w:rsidP="00EA1A2E">
            <w:pPr>
              <w:numPr>
                <w:ilvl w:val="0"/>
                <w:numId w:val="21"/>
              </w:numPr>
              <w:ind w:left="459" w:hanging="425"/>
              <w:rPr>
                <w:color w:val="333333"/>
                <w:lang w:val="fr-FR"/>
              </w:rPr>
            </w:pPr>
            <w:r w:rsidRPr="00927778">
              <w:rPr>
                <w:color w:val="333333"/>
                <w:lang w:val="fr-FR"/>
              </w:rPr>
              <w:t>L</w:t>
            </w:r>
            <w:r w:rsidR="00EA2C86" w:rsidRPr="00927778">
              <w:rPr>
                <w:color w:val="333333"/>
                <w:lang w:val="fr-FR"/>
              </w:rPr>
              <w:t>’</w:t>
            </w:r>
            <w:r w:rsidR="009373F6" w:rsidRPr="00927778">
              <w:rPr>
                <w:color w:val="333333"/>
                <w:lang w:val="fr-FR"/>
              </w:rPr>
              <w:t>A</w:t>
            </w:r>
            <w:r w:rsidRPr="00927778">
              <w:rPr>
                <w:color w:val="333333"/>
                <w:lang w:val="fr-FR"/>
              </w:rPr>
              <w:t>cadémie de l</w:t>
            </w:r>
            <w:r w:rsidR="00EA2C86" w:rsidRPr="00927778">
              <w:rPr>
                <w:color w:val="333333"/>
                <w:lang w:val="fr-FR"/>
              </w:rPr>
              <w:t>’</w:t>
            </w:r>
            <w:r w:rsidRPr="00927778">
              <w:rPr>
                <w:color w:val="333333"/>
                <w:lang w:val="fr-FR"/>
              </w:rPr>
              <w:t>OMPI met actuellement en place un réseau international d</w:t>
            </w:r>
            <w:r w:rsidR="00EA2C86" w:rsidRPr="00927778">
              <w:rPr>
                <w:color w:val="333333"/>
                <w:lang w:val="fr-FR"/>
              </w:rPr>
              <w:t>’</w:t>
            </w:r>
            <w:r w:rsidRPr="00927778">
              <w:rPr>
                <w:color w:val="333333"/>
                <w:lang w:val="fr-FR"/>
              </w:rPr>
              <w:t xml:space="preserve">instituts de formation </w:t>
            </w:r>
            <w:r w:rsidR="00C111BE" w:rsidRPr="00927778">
              <w:rPr>
                <w:color w:val="333333"/>
                <w:lang w:val="fr-FR"/>
              </w:rPr>
              <w:t>judic</w:t>
            </w:r>
            <w:r w:rsidR="0010120A" w:rsidRPr="00927778">
              <w:rPr>
                <w:color w:val="333333"/>
                <w:lang w:val="fr-FR"/>
              </w:rPr>
              <w:t>ia</w:t>
            </w:r>
            <w:r w:rsidR="00C111BE" w:rsidRPr="00927778">
              <w:rPr>
                <w:color w:val="333333"/>
                <w:lang w:val="fr-FR"/>
              </w:rPr>
              <w:t>ire</w:t>
            </w:r>
            <w:r w:rsidRPr="00927778">
              <w:rPr>
                <w:color w:val="333333"/>
                <w:lang w:val="fr-FR"/>
              </w:rPr>
              <w:t xml:space="preserve"> existant de par le monde dans le but d</w:t>
            </w:r>
            <w:r w:rsidR="00EA2C86" w:rsidRPr="00927778">
              <w:rPr>
                <w:color w:val="333333"/>
                <w:lang w:val="fr-FR"/>
              </w:rPr>
              <w:t>’</w:t>
            </w:r>
            <w:r w:rsidRPr="00927778">
              <w:rPr>
                <w:color w:val="333333"/>
                <w:lang w:val="fr-FR"/>
              </w:rPr>
              <w:t xml:space="preserve">échanger des informations et des </w:t>
            </w:r>
            <w:r w:rsidR="00AD38A7" w:rsidRPr="00927778">
              <w:rPr>
                <w:color w:val="333333"/>
                <w:lang w:val="fr-FR"/>
              </w:rPr>
              <w:t>données d</w:t>
            </w:r>
            <w:r w:rsidR="00EA2C86" w:rsidRPr="00927778">
              <w:rPr>
                <w:color w:val="333333"/>
                <w:lang w:val="fr-FR"/>
              </w:rPr>
              <w:t>’</w:t>
            </w:r>
            <w:r w:rsidRPr="00927778">
              <w:rPr>
                <w:color w:val="333333"/>
                <w:lang w:val="fr-FR"/>
              </w:rPr>
              <w:t xml:space="preserve">expériences sur les activités de formation continue relatives à la propriété </w:t>
            </w:r>
            <w:r w:rsidR="00C111BE" w:rsidRPr="00927778">
              <w:rPr>
                <w:color w:val="333333"/>
                <w:lang w:val="fr-FR"/>
              </w:rPr>
              <w:t>intellectuel</w:t>
            </w:r>
            <w:r w:rsidR="00306E74" w:rsidRPr="00927778">
              <w:rPr>
                <w:color w:val="333333"/>
                <w:lang w:val="fr-FR"/>
              </w:rPr>
              <w:t>le.  Ce</w:t>
            </w:r>
            <w:r w:rsidRPr="00927778">
              <w:rPr>
                <w:color w:val="333333"/>
                <w:lang w:val="fr-FR"/>
              </w:rPr>
              <w:t xml:space="preserve"> réseau reposera sur les forums existants qui ont été </w:t>
            </w:r>
            <w:r w:rsidR="00AD38A7" w:rsidRPr="00927778">
              <w:rPr>
                <w:color w:val="333333"/>
                <w:lang w:val="fr-FR"/>
              </w:rPr>
              <w:t>mis sur pied</w:t>
            </w:r>
            <w:r w:rsidRPr="00927778">
              <w:rPr>
                <w:color w:val="333333"/>
                <w:lang w:val="fr-FR"/>
              </w:rPr>
              <w:t xml:space="preserve"> au </w:t>
            </w:r>
            <w:r w:rsidR="00C111BE" w:rsidRPr="00927778">
              <w:rPr>
                <w:color w:val="333333"/>
                <w:lang w:val="fr-FR"/>
              </w:rPr>
              <w:t>profit</w:t>
            </w:r>
            <w:r w:rsidRPr="00927778">
              <w:rPr>
                <w:color w:val="333333"/>
                <w:lang w:val="fr-FR"/>
              </w:rPr>
              <w:t xml:space="preserve"> des pays pilot</w:t>
            </w:r>
            <w:r w:rsidR="00306E74" w:rsidRPr="00927778">
              <w:rPr>
                <w:color w:val="333333"/>
                <w:lang w:val="fr-FR"/>
              </w:rPr>
              <w:t>es.  Le</w:t>
            </w:r>
            <w:r w:rsidRPr="00927778">
              <w:rPr>
                <w:color w:val="333333"/>
                <w:lang w:val="fr-FR"/>
              </w:rPr>
              <w:t xml:space="preserve">s instituts de formation judiciaire </w:t>
            </w:r>
            <w:r w:rsidR="00B76800" w:rsidRPr="00927778">
              <w:rPr>
                <w:color w:val="333333"/>
                <w:lang w:val="fr-FR"/>
              </w:rPr>
              <w:t xml:space="preserve">existant de par le monde </w:t>
            </w:r>
            <w:r w:rsidRPr="00927778">
              <w:rPr>
                <w:color w:val="333333"/>
                <w:lang w:val="fr-FR"/>
              </w:rPr>
              <w:t>seront conviés à rejoindre le réseau.</w:t>
            </w:r>
          </w:p>
          <w:p w:rsidR="005E6718" w:rsidRPr="00927778" w:rsidRDefault="005E6718" w:rsidP="005D4FA6">
            <w:pPr>
              <w:ind w:left="459"/>
              <w:rPr>
                <w:color w:val="333333"/>
                <w:lang w:val="fr-FR"/>
              </w:rPr>
            </w:pPr>
          </w:p>
          <w:p w:rsidR="00EA2C86" w:rsidRPr="00927778" w:rsidRDefault="00C73CF0" w:rsidP="00EA1A2E">
            <w:pPr>
              <w:numPr>
                <w:ilvl w:val="0"/>
                <w:numId w:val="21"/>
              </w:numPr>
              <w:ind w:left="459" w:hanging="425"/>
              <w:rPr>
                <w:color w:val="333333"/>
                <w:lang w:val="fr-FR"/>
              </w:rPr>
            </w:pPr>
            <w:r w:rsidRPr="00927778">
              <w:rPr>
                <w:color w:val="333333"/>
                <w:lang w:val="fr-FR"/>
              </w:rPr>
              <w:t>Il y a peu</w:t>
            </w:r>
            <w:r w:rsidR="00002037" w:rsidRPr="00927778">
              <w:rPr>
                <w:color w:val="333333"/>
                <w:lang w:val="fr-FR"/>
              </w:rPr>
              <w:t>,</w:t>
            </w:r>
            <w:r w:rsidRPr="00927778">
              <w:rPr>
                <w:color w:val="333333"/>
                <w:lang w:val="fr-FR"/>
              </w:rPr>
              <w:t xml:space="preserve"> l</w:t>
            </w:r>
            <w:r w:rsidR="004C4F41" w:rsidRPr="00927778">
              <w:rPr>
                <w:color w:val="333333"/>
                <w:lang w:val="fr-FR"/>
              </w:rPr>
              <w:t>es cours de l</w:t>
            </w:r>
            <w:r w:rsidR="00EA2C86" w:rsidRPr="00927778">
              <w:rPr>
                <w:color w:val="333333"/>
                <w:lang w:val="fr-FR"/>
              </w:rPr>
              <w:t>’</w:t>
            </w:r>
            <w:r w:rsidR="004C4F41" w:rsidRPr="00927778">
              <w:rPr>
                <w:color w:val="333333"/>
                <w:lang w:val="fr-FR"/>
              </w:rPr>
              <w:t>Académie de l</w:t>
            </w:r>
            <w:r w:rsidR="00EA2C86" w:rsidRPr="00927778">
              <w:rPr>
                <w:color w:val="333333"/>
                <w:lang w:val="fr-FR"/>
              </w:rPr>
              <w:t>’</w:t>
            </w:r>
            <w:r w:rsidR="004C4F41" w:rsidRPr="00927778">
              <w:rPr>
                <w:color w:val="333333"/>
                <w:lang w:val="fr-FR"/>
              </w:rPr>
              <w:t xml:space="preserve">OMPI sont devenus accessibles sur </w:t>
            </w:r>
            <w:r w:rsidR="00392F66" w:rsidRPr="00927778">
              <w:rPr>
                <w:color w:val="333333"/>
                <w:lang w:val="fr-FR"/>
              </w:rPr>
              <w:t xml:space="preserve">les appareils mobiles (téléphones intelligents et tablettes) afin de faciliter leur </w:t>
            </w:r>
            <w:r w:rsidR="00C111BE" w:rsidRPr="00927778">
              <w:rPr>
                <w:color w:val="333333"/>
                <w:lang w:val="fr-FR"/>
              </w:rPr>
              <w:t>acc</w:t>
            </w:r>
            <w:r w:rsidR="00306E74" w:rsidRPr="00927778">
              <w:rPr>
                <w:color w:val="333333"/>
                <w:lang w:val="fr-FR"/>
              </w:rPr>
              <w:t>ès.  Po</w:t>
            </w:r>
            <w:r w:rsidR="00C111BE" w:rsidRPr="00927778">
              <w:rPr>
                <w:color w:val="333333"/>
                <w:lang w:val="fr-FR"/>
              </w:rPr>
              <w:t>ur</w:t>
            </w:r>
            <w:r w:rsidR="00392F66" w:rsidRPr="00927778">
              <w:rPr>
                <w:color w:val="333333"/>
                <w:lang w:val="fr-FR"/>
              </w:rPr>
              <w:t xml:space="preserve"> la commodité des juges, les modules adaptés et les réseaux susmentionnés seront également rendus accessibles sur les appareils </w:t>
            </w:r>
            <w:r w:rsidR="00C111BE" w:rsidRPr="00927778">
              <w:rPr>
                <w:color w:val="333333"/>
                <w:lang w:val="fr-FR"/>
              </w:rPr>
              <w:t>mobiles</w:t>
            </w:r>
            <w:r w:rsidR="00392F66" w:rsidRPr="00927778">
              <w:rPr>
                <w:color w:val="333333"/>
                <w:lang w:val="fr-FR"/>
              </w:rPr>
              <w:t xml:space="preserve"> précités.</w:t>
            </w:r>
          </w:p>
          <w:p w:rsidR="005E6718" w:rsidRPr="00927778" w:rsidRDefault="005E6718" w:rsidP="005D4FA6">
            <w:pPr>
              <w:ind w:left="459"/>
              <w:rPr>
                <w:color w:val="333333"/>
                <w:lang w:val="fr-FR"/>
              </w:rPr>
            </w:pPr>
          </w:p>
          <w:p w:rsidR="00EA2C86" w:rsidRPr="00927778" w:rsidRDefault="00CE3DFB" w:rsidP="00EA1A2E">
            <w:pPr>
              <w:numPr>
                <w:ilvl w:val="0"/>
                <w:numId w:val="21"/>
              </w:numPr>
              <w:ind w:left="459" w:hanging="425"/>
              <w:rPr>
                <w:color w:val="333333"/>
                <w:lang w:val="fr-FR"/>
              </w:rPr>
            </w:pPr>
            <w:r w:rsidRPr="00927778">
              <w:rPr>
                <w:color w:val="333333"/>
                <w:lang w:val="fr-FR"/>
              </w:rPr>
              <w:t xml:space="preserve">Une enquête visant à cartographier les instituts de formation </w:t>
            </w:r>
            <w:r w:rsidR="00C111BE" w:rsidRPr="00927778">
              <w:rPr>
                <w:color w:val="333333"/>
                <w:lang w:val="fr-FR"/>
              </w:rPr>
              <w:t>judiciaire</w:t>
            </w:r>
            <w:r w:rsidRPr="00927778">
              <w:rPr>
                <w:color w:val="333333"/>
                <w:lang w:val="fr-FR"/>
              </w:rPr>
              <w:t xml:space="preserve"> existants </w:t>
            </w:r>
            <w:r w:rsidR="00C73CF0" w:rsidRPr="00927778">
              <w:rPr>
                <w:color w:val="333333"/>
                <w:lang w:val="fr-FR"/>
              </w:rPr>
              <w:t>qui offrent</w:t>
            </w:r>
            <w:r w:rsidRPr="00927778">
              <w:rPr>
                <w:color w:val="333333"/>
                <w:lang w:val="fr-FR"/>
              </w:rPr>
              <w:t xml:space="preserve"> des cours sur les droits de propriété </w:t>
            </w:r>
            <w:r w:rsidR="00C111BE" w:rsidRPr="00927778">
              <w:rPr>
                <w:color w:val="333333"/>
                <w:lang w:val="fr-FR"/>
              </w:rPr>
              <w:t>intellectuelle</w:t>
            </w:r>
            <w:r w:rsidRPr="00927778">
              <w:rPr>
                <w:color w:val="333333"/>
                <w:lang w:val="fr-FR"/>
              </w:rPr>
              <w:t xml:space="preserve"> </w:t>
            </w:r>
            <w:r w:rsidR="00C73CF0" w:rsidRPr="00927778">
              <w:rPr>
                <w:color w:val="333333"/>
                <w:lang w:val="fr-FR"/>
              </w:rPr>
              <w:t>au corps</w:t>
            </w:r>
            <w:r w:rsidRPr="00927778">
              <w:rPr>
                <w:color w:val="333333"/>
                <w:lang w:val="fr-FR"/>
              </w:rPr>
              <w:t xml:space="preserve"> judiciaire a été lancée.</w:t>
            </w:r>
          </w:p>
          <w:p w:rsidR="005E6718" w:rsidRPr="00927778" w:rsidRDefault="005E6718" w:rsidP="005D4FA6">
            <w:pPr>
              <w:ind w:left="459"/>
              <w:rPr>
                <w:color w:val="333333"/>
                <w:lang w:val="fr-FR"/>
              </w:rPr>
            </w:pPr>
          </w:p>
          <w:p w:rsidR="00EA2C86" w:rsidRPr="00927778" w:rsidRDefault="008D72D7" w:rsidP="00EA1A2E">
            <w:pPr>
              <w:numPr>
                <w:ilvl w:val="0"/>
                <w:numId w:val="21"/>
              </w:numPr>
              <w:ind w:left="459" w:hanging="425"/>
              <w:rPr>
                <w:color w:val="333333"/>
                <w:lang w:val="fr-FR"/>
              </w:rPr>
            </w:pPr>
            <w:r w:rsidRPr="00927778">
              <w:rPr>
                <w:color w:val="333333"/>
                <w:lang w:val="fr-FR"/>
              </w:rPr>
              <w:t>Un Manuel pour le formateur adapté à chaque pays pilote et visant à guider les formateurs dans leurs prestations de formation continue est également en cours d</w:t>
            </w:r>
            <w:r w:rsidR="00EA2C86" w:rsidRPr="00927778">
              <w:rPr>
                <w:color w:val="333333"/>
                <w:lang w:val="fr-FR"/>
              </w:rPr>
              <w:t>’</w:t>
            </w:r>
            <w:r w:rsidRPr="00927778">
              <w:rPr>
                <w:color w:val="333333"/>
                <w:lang w:val="fr-FR"/>
              </w:rPr>
              <w:t>élaboration.</w:t>
            </w:r>
          </w:p>
          <w:p w:rsidR="005E6718" w:rsidRPr="00927778" w:rsidRDefault="005E6718" w:rsidP="00847CC2">
            <w:pPr>
              <w:ind w:left="459"/>
              <w:rPr>
                <w:color w:val="333333"/>
                <w:lang w:val="fr-FR"/>
              </w:rPr>
            </w:pPr>
          </w:p>
          <w:p w:rsidR="00EA2C86" w:rsidRPr="00927778" w:rsidRDefault="008D72D7" w:rsidP="00D949A5">
            <w:pPr>
              <w:rPr>
                <w:color w:val="333333"/>
                <w:lang w:val="fr-FR"/>
              </w:rPr>
            </w:pPr>
            <w:r w:rsidRPr="00927778">
              <w:rPr>
                <w:color w:val="333333"/>
                <w:lang w:val="fr-FR"/>
              </w:rPr>
              <w:t xml:space="preserve">Tous les résultats </w:t>
            </w:r>
            <w:r w:rsidR="007464DD" w:rsidRPr="00927778">
              <w:rPr>
                <w:color w:val="333333"/>
                <w:lang w:val="fr-FR"/>
              </w:rPr>
              <w:t xml:space="preserve">susmentionnés forment </w:t>
            </w:r>
            <w:r w:rsidR="00D949A5" w:rsidRPr="00927778">
              <w:rPr>
                <w:color w:val="333333"/>
                <w:lang w:val="fr-FR"/>
              </w:rPr>
              <w:t>l</w:t>
            </w:r>
            <w:r w:rsidR="00EA2C86" w:rsidRPr="00927778">
              <w:rPr>
                <w:color w:val="333333"/>
                <w:lang w:val="fr-FR"/>
              </w:rPr>
              <w:t>’</w:t>
            </w:r>
            <w:r w:rsidR="00D949A5" w:rsidRPr="00927778">
              <w:rPr>
                <w:color w:val="333333"/>
                <w:lang w:val="fr-FR"/>
              </w:rPr>
              <w:t>instrument relatif aux droits de la propriété intellectuelle à l</w:t>
            </w:r>
            <w:r w:rsidR="00EA2C86" w:rsidRPr="00927778">
              <w:rPr>
                <w:color w:val="333333"/>
                <w:lang w:val="fr-FR"/>
              </w:rPr>
              <w:t>’</w:t>
            </w:r>
            <w:r w:rsidR="00D949A5" w:rsidRPr="00927778">
              <w:rPr>
                <w:color w:val="333333"/>
                <w:lang w:val="fr-FR"/>
              </w:rPr>
              <w:t xml:space="preserve">intention des </w:t>
            </w:r>
            <w:r w:rsidR="00C111BE" w:rsidRPr="00927778">
              <w:rPr>
                <w:color w:val="333333"/>
                <w:lang w:val="fr-FR"/>
              </w:rPr>
              <w:t>juges dont</w:t>
            </w:r>
            <w:r w:rsidR="007464DD" w:rsidRPr="00927778">
              <w:rPr>
                <w:color w:val="333333"/>
                <w:lang w:val="fr-FR"/>
              </w:rPr>
              <w:t xml:space="preserve"> il est question dans le document</w:t>
            </w:r>
            <w:r w:rsidR="00CB5AE0" w:rsidRPr="00927778">
              <w:rPr>
                <w:color w:val="333333"/>
                <w:lang w:val="fr-FR"/>
              </w:rPr>
              <w:t> </w:t>
            </w:r>
            <w:r w:rsidR="009373F6" w:rsidRPr="00927778">
              <w:rPr>
                <w:color w:val="333333"/>
                <w:lang w:val="fr-FR"/>
              </w:rPr>
              <w:t>CDIP/16/7 REV.2.</w:t>
            </w:r>
          </w:p>
          <w:p w:rsidR="005E6718" w:rsidRPr="00927778" w:rsidRDefault="005E6718" w:rsidP="00847CC2">
            <w:pPr>
              <w:rPr>
                <w:color w:val="333333"/>
                <w:lang w:val="fr-FR"/>
              </w:rPr>
            </w:pPr>
          </w:p>
          <w:p w:rsidR="00EA2C86" w:rsidRPr="00927778" w:rsidRDefault="007464DD" w:rsidP="00847CC2">
            <w:pPr>
              <w:rPr>
                <w:color w:val="333333"/>
                <w:lang w:val="fr-FR"/>
              </w:rPr>
            </w:pPr>
            <w:r w:rsidRPr="00927778">
              <w:rPr>
                <w:color w:val="333333"/>
                <w:lang w:val="fr-FR"/>
              </w:rPr>
              <w:t>Bien que la plupart des résultats escomptés aient été atteints e</w:t>
            </w:r>
            <w:r w:rsidR="00762AC0" w:rsidRPr="00927778">
              <w:rPr>
                <w:color w:val="333333"/>
                <w:lang w:val="fr-FR"/>
              </w:rPr>
              <w:t xml:space="preserve">n </w:t>
            </w:r>
            <w:r w:rsidR="00EA2C86" w:rsidRPr="00927778">
              <w:rPr>
                <w:color w:val="333333"/>
                <w:lang w:val="fr-FR"/>
              </w:rPr>
              <w:t>juillet 20</w:t>
            </w:r>
            <w:r w:rsidR="00762AC0" w:rsidRPr="00927778">
              <w:rPr>
                <w:color w:val="333333"/>
                <w:lang w:val="fr-FR"/>
              </w:rPr>
              <w:t>18</w:t>
            </w:r>
            <w:r w:rsidRPr="00927778">
              <w:rPr>
                <w:color w:val="333333"/>
                <w:lang w:val="fr-FR"/>
              </w:rPr>
              <w:t xml:space="preserve"> comme prévu, une </w:t>
            </w:r>
            <w:r w:rsidR="00C111BE" w:rsidRPr="00927778">
              <w:rPr>
                <w:color w:val="333333"/>
                <w:lang w:val="fr-FR"/>
              </w:rPr>
              <w:t>prorogation de</w:t>
            </w:r>
            <w:r w:rsidRPr="00927778">
              <w:rPr>
                <w:color w:val="333333"/>
                <w:lang w:val="fr-FR"/>
              </w:rPr>
              <w:t xml:space="preserve"> cinq</w:t>
            </w:r>
            <w:r w:rsidR="0057466D" w:rsidRPr="00927778">
              <w:rPr>
                <w:color w:val="333333"/>
                <w:lang w:val="fr-FR"/>
              </w:rPr>
              <w:t> </w:t>
            </w:r>
            <w:r w:rsidRPr="00927778">
              <w:rPr>
                <w:color w:val="333333"/>
                <w:lang w:val="fr-FR"/>
              </w:rPr>
              <w:t xml:space="preserve">mois a été jugée nécessaire pour pouvoir mettre en œuvre les activités susceptibles de garantir la qualité optimale des </w:t>
            </w:r>
            <w:r w:rsidR="00AE16B5" w:rsidRPr="00927778">
              <w:rPr>
                <w:color w:val="333333"/>
                <w:lang w:val="fr-FR"/>
              </w:rPr>
              <w:t>résultats du proj</w:t>
            </w:r>
            <w:r w:rsidR="00306E74" w:rsidRPr="00927778">
              <w:rPr>
                <w:color w:val="333333"/>
                <w:lang w:val="fr-FR"/>
              </w:rPr>
              <w:t>et.  En</w:t>
            </w:r>
            <w:r w:rsidR="00AE16B5" w:rsidRPr="00927778">
              <w:rPr>
                <w:color w:val="333333"/>
                <w:lang w:val="fr-FR"/>
              </w:rPr>
              <w:t>tre</w:t>
            </w:r>
            <w:r w:rsidRPr="00927778">
              <w:rPr>
                <w:color w:val="333333"/>
                <w:lang w:val="fr-FR"/>
              </w:rPr>
              <w:t xml:space="preserve"> août et </w:t>
            </w:r>
            <w:r w:rsidR="00EA2C86" w:rsidRPr="00927778">
              <w:rPr>
                <w:color w:val="333333"/>
                <w:lang w:val="fr-FR"/>
              </w:rPr>
              <w:t>novembre 20</w:t>
            </w:r>
            <w:r w:rsidRPr="00927778">
              <w:rPr>
                <w:color w:val="333333"/>
                <w:lang w:val="fr-FR"/>
              </w:rPr>
              <w:t>18, l</w:t>
            </w:r>
            <w:r w:rsidR="00EA2C86" w:rsidRPr="00927778">
              <w:rPr>
                <w:color w:val="333333"/>
                <w:lang w:val="fr-FR"/>
              </w:rPr>
              <w:t>’</w:t>
            </w:r>
            <w:r w:rsidRPr="00927778">
              <w:rPr>
                <w:color w:val="333333"/>
                <w:lang w:val="fr-FR"/>
              </w:rPr>
              <w:t>Académie de l</w:t>
            </w:r>
            <w:r w:rsidR="00EA2C86" w:rsidRPr="00927778">
              <w:rPr>
                <w:color w:val="333333"/>
                <w:lang w:val="fr-FR"/>
              </w:rPr>
              <w:t>’</w:t>
            </w:r>
            <w:r w:rsidRPr="00927778">
              <w:rPr>
                <w:color w:val="333333"/>
                <w:lang w:val="fr-FR"/>
              </w:rPr>
              <w:t>OMPI mènera une série d</w:t>
            </w:r>
            <w:r w:rsidR="00EA2C86" w:rsidRPr="00927778">
              <w:rPr>
                <w:color w:val="333333"/>
                <w:lang w:val="fr-FR"/>
              </w:rPr>
              <w:t>’</w:t>
            </w:r>
            <w:r w:rsidRPr="00927778">
              <w:rPr>
                <w:color w:val="333333"/>
                <w:lang w:val="fr-FR"/>
              </w:rPr>
              <w:t xml:space="preserve">activités destinées à tester, consolider et passer en revue </w:t>
            </w:r>
            <w:r w:rsidR="004F316F" w:rsidRPr="00927778">
              <w:rPr>
                <w:color w:val="333333"/>
                <w:lang w:val="fr-FR"/>
              </w:rPr>
              <w:t>l</w:t>
            </w:r>
            <w:r w:rsidR="00EA2C86" w:rsidRPr="00927778">
              <w:rPr>
                <w:color w:val="333333"/>
                <w:lang w:val="fr-FR"/>
              </w:rPr>
              <w:t>’</w:t>
            </w:r>
            <w:r w:rsidR="004F316F" w:rsidRPr="00927778">
              <w:rPr>
                <w:color w:val="333333"/>
                <w:lang w:val="fr-FR"/>
              </w:rPr>
              <w:t>ensemble</w:t>
            </w:r>
            <w:r w:rsidRPr="00927778">
              <w:rPr>
                <w:color w:val="333333"/>
                <w:lang w:val="fr-FR"/>
              </w:rPr>
              <w:t xml:space="preserve"> </w:t>
            </w:r>
            <w:r w:rsidR="004F316F" w:rsidRPr="00927778">
              <w:rPr>
                <w:color w:val="333333"/>
                <w:lang w:val="fr-FR"/>
              </w:rPr>
              <w:t>d</w:t>
            </w:r>
            <w:r w:rsidRPr="00927778">
              <w:rPr>
                <w:color w:val="333333"/>
                <w:lang w:val="fr-FR"/>
              </w:rPr>
              <w:t>es résultats du projet de sorte qu</w:t>
            </w:r>
            <w:r w:rsidR="00EA2C86" w:rsidRPr="00927778">
              <w:rPr>
                <w:color w:val="333333"/>
                <w:lang w:val="fr-FR"/>
              </w:rPr>
              <w:t>’</w:t>
            </w:r>
            <w:r w:rsidRPr="00927778">
              <w:rPr>
                <w:color w:val="333333"/>
                <w:lang w:val="fr-FR"/>
              </w:rPr>
              <w:t xml:space="preserve">ils soient tous testés, </w:t>
            </w:r>
            <w:r w:rsidR="004F316F" w:rsidRPr="00927778">
              <w:rPr>
                <w:color w:val="333333"/>
                <w:lang w:val="fr-FR"/>
              </w:rPr>
              <w:t>passés en revue</w:t>
            </w:r>
            <w:r w:rsidRPr="00927778">
              <w:rPr>
                <w:color w:val="333333"/>
                <w:lang w:val="fr-FR"/>
              </w:rPr>
              <w:t xml:space="preserve"> et livrés en </w:t>
            </w:r>
            <w:r w:rsidR="00EA2C86" w:rsidRPr="00927778">
              <w:rPr>
                <w:color w:val="333333"/>
                <w:lang w:val="fr-FR"/>
              </w:rPr>
              <w:t>décembre 20</w:t>
            </w:r>
            <w:r w:rsidRPr="00927778">
              <w:rPr>
                <w:color w:val="333333"/>
                <w:lang w:val="fr-FR"/>
              </w:rPr>
              <w:t xml:space="preserve">18. </w:t>
            </w:r>
            <w:r w:rsidR="00CB5AE0" w:rsidRPr="00927778">
              <w:rPr>
                <w:color w:val="333333"/>
                <w:lang w:val="fr-FR"/>
              </w:rPr>
              <w:t xml:space="preserve"> L</w:t>
            </w:r>
            <w:r w:rsidRPr="00927778">
              <w:rPr>
                <w:color w:val="333333"/>
                <w:lang w:val="fr-FR"/>
              </w:rPr>
              <w:t>e projet devrait donc arriver à son terme le 3</w:t>
            </w:r>
            <w:r w:rsidR="00EA2C86" w:rsidRPr="00927778">
              <w:rPr>
                <w:color w:val="333333"/>
                <w:lang w:val="fr-FR"/>
              </w:rPr>
              <w:t>1 décembre 20</w:t>
            </w:r>
            <w:r w:rsidRPr="00927778">
              <w:rPr>
                <w:color w:val="333333"/>
                <w:lang w:val="fr-FR"/>
              </w:rPr>
              <w:t>18.</w:t>
            </w:r>
          </w:p>
          <w:p w:rsidR="005E6718" w:rsidRPr="00927778" w:rsidRDefault="005E6718" w:rsidP="00847CC2">
            <w:pPr>
              <w:rPr>
                <w:color w:val="333333"/>
                <w:lang w:val="fr-FR"/>
              </w:rPr>
            </w:pPr>
          </w:p>
          <w:p w:rsidR="00EA2C86" w:rsidRPr="00927778" w:rsidRDefault="003508F9" w:rsidP="00847CC2">
            <w:pPr>
              <w:rPr>
                <w:color w:val="333333"/>
                <w:lang w:val="fr-FR"/>
              </w:rPr>
            </w:pPr>
            <w:r w:rsidRPr="00927778">
              <w:rPr>
                <w:color w:val="333333"/>
                <w:lang w:val="fr-FR"/>
              </w:rPr>
              <w:t xml:space="preserve">Au niveau national, toutes les activités </w:t>
            </w:r>
            <w:r w:rsidR="004F316F" w:rsidRPr="00927778">
              <w:rPr>
                <w:color w:val="333333"/>
                <w:lang w:val="fr-FR"/>
              </w:rPr>
              <w:t>susmentionnées propres aux</w:t>
            </w:r>
            <w:r w:rsidRPr="00927778">
              <w:rPr>
                <w:color w:val="333333"/>
                <w:lang w:val="fr-FR"/>
              </w:rPr>
              <w:t xml:space="preserve"> pays ont été mises en œuvre en vertu des accords de coopération conclus avec </w:t>
            </w:r>
            <w:r w:rsidR="00E934E1" w:rsidRPr="00927778">
              <w:rPr>
                <w:color w:val="333333"/>
                <w:lang w:val="fr-FR"/>
              </w:rPr>
              <w:t xml:space="preserve">(i) </w:t>
            </w:r>
            <w:r w:rsidRPr="00927778">
              <w:rPr>
                <w:color w:val="333333"/>
                <w:lang w:val="fr-FR"/>
              </w:rPr>
              <w:t>l</w:t>
            </w:r>
            <w:r w:rsidR="00EA2C86" w:rsidRPr="00927778">
              <w:rPr>
                <w:color w:val="333333"/>
                <w:lang w:val="fr-FR"/>
              </w:rPr>
              <w:t>’</w:t>
            </w:r>
            <w:r w:rsidRPr="00927778">
              <w:rPr>
                <w:color w:val="333333"/>
                <w:lang w:val="fr-FR"/>
              </w:rPr>
              <w:t xml:space="preserve">École de la magistrature Edgar Cervantes Villalta au </w:t>
            </w:r>
            <w:r w:rsidR="00E934E1" w:rsidRPr="00927778">
              <w:rPr>
                <w:color w:val="333333"/>
                <w:lang w:val="fr-FR"/>
              </w:rPr>
              <w:t>Costa</w:t>
            </w:r>
            <w:r w:rsidR="0057466D" w:rsidRPr="00927778">
              <w:rPr>
                <w:color w:val="333333"/>
                <w:lang w:val="fr-FR"/>
              </w:rPr>
              <w:t> </w:t>
            </w:r>
            <w:r w:rsidR="00E934E1" w:rsidRPr="00927778">
              <w:rPr>
                <w:color w:val="333333"/>
                <w:lang w:val="fr-FR"/>
              </w:rPr>
              <w:t>Rica</w:t>
            </w:r>
            <w:r w:rsidR="0057466D" w:rsidRPr="00927778">
              <w:rPr>
                <w:color w:val="333333"/>
                <w:lang w:val="fr-FR"/>
              </w:rPr>
              <w:t xml:space="preserve">; </w:t>
            </w:r>
            <w:r w:rsidR="00E934E1" w:rsidRPr="00927778">
              <w:rPr>
                <w:color w:val="333333"/>
                <w:lang w:val="fr-FR"/>
              </w:rPr>
              <w:t xml:space="preserve"> (ii) </w:t>
            </w:r>
            <w:r w:rsidRPr="00927778">
              <w:rPr>
                <w:color w:val="333333"/>
                <w:lang w:val="fr-FR"/>
              </w:rPr>
              <w:t>le Ministère de la justice au Liban</w:t>
            </w:r>
            <w:r w:rsidR="0057466D" w:rsidRPr="00927778">
              <w:rPr>
                <w:color w:val="333333"/>
                <w:lang w:val="fr-FR"/>
              </w:rPr>
              <w:t xml:space="preserve">; </w:t>
            </w:r>
            <w:r w:rsidR="00E934E1" w:rsidRPr="00927778">
              <w:rPr>
                <w:color w:val="333333"/>
                <w:lang w:val="fr-FR"/>
              </w:rPr>
              <w:t xml:space="preserve"> (iii) </w:t>
            </w:r>
            <w:r w:rsidRPr="00927778">
              <w:rPr>
                <w:color w:val="333333"/>
                <w:lang w:val="fr-FR"/>
              </w:rPr>
              <w:t>l</w:t>
            </w:r>
            <w:r w:rsidR="00EA2C86" w:rsidRPr="00927778">
              <w:rPr>
                <w:color w:val="333333"/>
                <w:lang w:val="fr-FR"/>
              </w:rPr>
              <w:t>’</w:t>
            </w:r>
            <w:r w:rsidRPr="00927778">
              <w:rPr>
                <w:color w:val="333333"/>
                <w:lang w:val="fr-FR"/>
              </w:rPr>
              <w:t>Académi</w:t>
            </w:r>
            <w:r w:rsidR="004F316F" w:rsidRPr="00927778">
              <w:rPr>
                <w:color w:val="333333"/>
                <w:lang w:val="fr-FR"/>
              </w:rPr>
              <w:t>e judiciaire nationale du Népal</w:t>
            </w:r>
            <w:r w:rsidR="0057466D" w:rsidRPr="00927778">
              <w:rPr>
                <w:color w:val="333333"/>
                <w:lang w:val="fr-FR"/>
              </w:rPr>
              <w:t xml:space="preserve">; </w:t>
            </w:r>
            <w:r w:rsidR="00E934E1" w:rsidRPr="00927778">
              <w:rPr>
                <w:color w:val="333333"/>
                <w:lang w:val="fr-FR"/>
              </w:rPr>
              <w:t xml:space="preserve"> </w:t>
            </w:r>
            <w:r w:rsidRPr="00927778">
              <w:rPr>
                <w:color w:val="333333"/>
                <w:lang w:val="fr-FR"/>
              </w:rPr>
              <w:t>et</w:t>
            </w:r>
            <w:r w:rsidR="00E934E1" w:rsidRPr="00927778">
              <w:rPr>
                <w:color w:val="333333"/>
                <w:lang w:val="fr-FR"/>
              </w:rPr>
              <w:t xml:space="preserve"> (i</w:t>
            </w:r>
            <w:r w:rsidR="00766DF9" w:rsidRPr="00927778">
              <w:rPr>
                <w:color w:val="333333"/>
                <w:lang w:val="fr-FR"/>
              </w:rPr>
              <w:t>v</w:t>
            </w:r>
            <w:r w:rsidR="00E934E1" w:rsidRPr="00927778">
              <w:rPr>
                <w:color w:val="333333"/>
                <w:lang w:val="fr-FR"/>
              </w:rPr>
              <w:t xml:space="preserve">) </w:t>
            </w:r>
            <w:r w:rsidRPr="00927778">
              <w:rPr>
                <w:color w:val="333333"/>
                <w:lang w:val="fr-FR"/>
              </w:rPr>
              <w:t>la Commission nationale du droit d</w:t>
            </w:r>
            <w:r w:rsidR="00EA2C86" w:rsidRPr="00927778">
              <w:rPr>
                <w:color w:val="333333"/>
                <w:lang w:val="fr-FR"/>
              </w:rPr>
              <w:t>’</w:t>
            </w:r>
            <w:r w:rsidRPr="00927778">
              <w:rPr>
                <w:color w:val="333333"/>
                <w:lang w:val="fr-FR"/>
              </w:rPr>
              <w:t>auteur au</w:t>
            </w:r>
            <w:r w:rsidR="00E934E1" w:rsidRPr="00927778">
              <w:rPr>
                <w:color w:val="333333"/>
                <w:lang w:val="fr-FR"/>
              </w:rPr>
              <w:t xml:space="preserve"> Nig</w:t>
            </w:r>
            <w:r w:rsidRPr="00927778">
              <w:rPr>
                <w:color w:val="333333"/>
                <w:lang w:val="fr-FR"/>
              </w:rPr>
              <w:t>é</w:t>
            </w:r>
            <w:r w:rsidR="00E934E1" w:rsidRPr="00927778">
              <w:rPr>
                <w:color w:val="333333"/>
                <w:lang w:val="fr-FR"/>
              </w:rPr>
              <w:t>ria.</w:t>
            </w:r>
          </w:p>
          <w:p w:rsidR="005E6718" w:rsidRPr="00927778" w:rsidRDefault="005E6718" w:rsidP="00847CC2">
            <w:pPr>
              <w:rPr>
                <w:color w:val="333333"/>
                <w:lang w:val="fr-FR"/>
              </w:rPr>
            </w:pPr>
          </w:p>
          <w:p w:rsidR="00EA2C86" w:rsidRPr="00927778" w:rsidRDefault="001C2386" w:rsidP="001C4FA6">
            <w:pPr>
              <w:rPr>
                <w:color w:val="333333"/>
                <w:lang w:val="fr-FR"/>
              </w:rPr>
            </w:pPr>
            <w:r w:rsidRPr="00927778">
              <w:rPr>
                <w:color w:val="333333"/>
                <w:lang w:val="fr-FR"/>
              </w:rPr>
              <w:t>Les participants ont apprécié la formation qui leur a permis de renforcer leur</w:t>
            </w:r>
            <w:r w:rsidR="00347E2A" w:rsidRPr="00927778">
              <w:rPr>
                <w:color w:val="333333"/>
                <w:lang w:val="fr-FR"/>
              </w:rPr>
              <w:t>s</w:t>
            </w:r>
            <w:r w:rsidRPr="00927778">
              <w:rPr>
                <w:color w:val="333333"/>
                <w:lang w:val="fr-FR"/>
              </w:rPr>
              <w:t xml:space="preserve"> connaissance</w:t>
            </w:r>
            <w:r w:rsidR="00347E2A" w:rsidRPr="00927778">
              <w:rPr>
                <w:color w:val="333333"/>
                <w:lang w:val="fr-FR"/>
              </w:rPr>
              <w:t>s</w:t>
            </w:r>
            <w:r w:rsidRPr="00927778">
              <w:rPr>
                <w:color w:val="333333"/>
                <w:lang w:val="fr-FR"/>
              </w:rPr>
              <w:t xml:space="preserve"> en matière de propriété intellectuelle et</w:t>
            </w:r>
            <w:r w:rsidR="00347E2A" w:rsidRPr="00927778">
              <w:rPr>
                <w:color w:val="333333"/>
                <w:lang w:val="fr-FR"/>
              </w:rPr>
              <w:t>,</w:t>
            </w:r>
            <w:r w:rsidRPr="00927778">
              <w:rPr>
                <w:color w:val="333333"/>
                <w:lang w:val="fr-FR"/>
              </w:rPr>
              <w:t xml:space="preserve"> dans le cas du Nigéria, de constituer un </w:t>
            </w:r>
            <w:r w:rsidR="00347E2A" w:rsidRPr="00927778">
              <w:rPr>
                <w:color w:val="333333"/>
                <w:lang w:val="fr-FR"/>
              </w:rPr>
              <w:t>groupe restreint</w:t>
            </w:r>
            <w:r w:rsidRPr="00927778">
              <w:rPr>
                <w:color w:val="333333"/>
                <w:lang w:val="fr-FR"/>
              </w:rPr>
              <w:t xml:space="preserve"> de personnes ressources capables d</w:t>
            </w:r>
            <w:r w:rsidR="00EA2C86" w:rsidRPr="00927778">
              <w:rPr>
                <w:color w:val="333333"/>
                <w:lang w:val="fr-FR"/>
              </w:rPr>
              <w:t>’</w:t>
            </w:r>
            <w:r w:rsidRPr="00927778">
              <w:rPr>
                <w:color w:val="333333"/>
                <w:lang w:val="fr-FR"/>
              </w:rPr>
              <w:t>offrir des sessions de formation continue aux juges.</w:t>
            </w:r>
          </w:p>
          <w:p w:rsidR="005E6718" w:rsidRPr="00927778" w:rsidRDefault="005E6718" w:rsidP="001C4FA6">
            <w:pPr>
              <w:rPr>
                <w:color w:val="333333"/>
                <w:lang w:val="fr-FR"/>
              </w:rPr>
            </w:pPr>
          </w:p>
          <w:p w:rsidR="005E6718" w:rsidRPr="00927778" w:rsidRDefault="006E3376" w:rsidP="00847CC2">
            <w:pPr>
              <w:rPr>
                <w:color w:val="333333"/>
                <w:lang w:val="fr-FR"/>
              </w:rPr>
            </w:pPr>
            <w:r w:rsidRPr="00927778">
              <w:rPr>
                <w:color w:val="333333"/>
                <w:lang w:val="fr-FR"/>
              </w:rPr>
              <w:t>Les groupes suivants ont pris part aux activités dans leur pays respectif</w:t>
            </w:r>
            <w:r w:rsidR="00EA2C86" w:rsidRPr="00927778">
              <w:rPr>
                <w:color w:val="333333"/>
                <w:lang w:val="fr-FR"/>
              </w:rPr>
              <w:t> :</w:t>
            </w:r>
          </w:p>
          <w:p w:rsidR="005E6718" w:rsidRPr="00927778" w:rsidRDefault="005E6718" w:rsidP="00847CC2">
            <w:pPr>
              <w:rPr>
                <w:color w:val="333333"/>
                <w:lang w:val="fr-FR"/>
              </w:rPr>
            </w:pPr>
          </w:p>
          <w:p w:rsidR="005E6718" w:rsidRPr="00927778" w:rsidRDefault="00EC684F" w:rsidP="00EC684F">
            <w:pPr>
              <w:rPr>
                <w:bCs/>
                <w:color w:val="333333"/>
                <w:u w:val="single"/>
                <w:lang w:val="fr-FR"/>
              </w:rPr>
            </w:pPr>
            <w:r w:rsidRPr="00927778">
              <w:rPr>
                <w:bCs/>
                <w:color w:val="333333"/>
                <w:u w:val="single"/>
                <w:lang w:val="fr-FR"/>
              </w:rPr>
              <w:t>Costa</w:t>
            </w:r>
            <w:r w:rsidR="0057466D" w:rsidRPr="00927778">
              <w:rPr>
                <w:bCs/>
                <w:color w:val="333333"/>
                <w:u w:val="single"/>
                <w:lang w:val="fr-FR"/>
              </w:rPr>
              <w:t> </w:t>
            </w:r>
            <w:r w:rsidRPr="00927778">
              <w:rPr>
                <w:bCs/>
                <w:color w:val="333333"/>
                <w:u w:val="single"/>
                <w:lang w:val="fr-FR"/>
              </w:rPr>
              <w:t>Rica</w:t>
            </w:r>
          </w:p>
          <w:p w:rsidR="00EA2C86" w:rsidRPr="00927778" w:rsidRDefault="00347E2A" w:rsidP="001C4FA6">
            <w:pPr>
              <w:rPr>
                <w:color w:val="333333"/>
                <w:lang w:val="fr-FR"/>
              </w:rPr>
            </w:pPr>
            <w:r w:rsidRPr="00927778">
              <w:rPr>
                <w:color w:val="333333"/>
                <w:lang w:val="fr-FR"/>
              </w:rPr>
              <w:t>Un groupe de v</w:t>
            </w:r>
            <w:r w:rsidR="00D949A5" w:rsidRPr="00927778">
              <w:rPr>
                <w:color w:val="333333"/>
                <w:lang w:val="fr-FR"/>
              </w:rPr>
              <w:t>ingt</w:t>
            </w:r>
            <w:r w:rsidR="00CB5AE0" w:rsidRPr="00927778">
              <w:rPr>
                <w:color w:val="333333"/>
                <w:lang w:val="fr-FR"/>
              </w:rPr>
              <w:noBreakHyphen/>
            </w:r>
            <w:r w:rsidR="00D949A5" w:rsidRPr="00927778">
              <w:rPr>
                <w:color w:val="333333"/>
                <w:lang w:val="fr-FR"/>
              </w:rPr>
              <w:t>quatre juges</w:t>
            </w:r>
            <w:r w:rsidR="001C4FA6" w:rsidRPr="00927778">
              <w:rPr>
                <w:color w:val="333333"/>
                <w:lang w:val="fr-FR"/>
              </w:rPr>
              <w:t xml:space="preserve"> </w:t>
            </w:r>
            <w:r w:rsidRPr="00927778">
              <w:rPr>
                <w:color w:val="333333"/>
                <w:lang w:val="fr-FR"/>
              </w:rPr>
              <w:t>a</w:t>
            </w:r>
            <w:r w:rsidR="00D949A5" w:rsidRPr="00927778">
              <w:rPr>
                <w:color w:val="333333"/>
                <w:lang w:val="fr-FR"/>
              </w:rPr>
              <w:t xml:space="preserve"> suivi le programme de formation continue en assistant, en ligne et sur place, à des sessions de formation</w:t>
            </w:r>
            <w:r w:rsidRPr="00927778">
              <w:rPr>
                <w:color w:val="333333"/>
                <w:lang w:val="fr-FR"/>
              </w:rPr>
              <w:t>,</w:t>
            </w:r>
            <w:r w:rsidR="00D949A5" w:rsidRPr="00927778">
              <w:rPr>
                <w:color w:val="333333"/>
                <w:lang w:val="fr-FR"/>
              </w:rPr>
              <w:t xml:space="preserve"> qui portaient tant sur le fond que la pratique</w:t>
            </w:r>
            <w:r w:rsidR="00762AC0" w:rsidRPr="00927778">
              <w:rPr>
                <w:color w:val="333333"/>
                <w:lang w:val="fr-FR"/>
              </w:rPr>
              <w:t xml:space="preserve"> et étaient</w:t>
            </w:r>
            <w:r w:rsidR="000A7DB1" w:rsidRPr="00927778">
              <w:rPr>
                <w:color w:val="333333"/>
                <w:lang w:val="fr-FR"/>
              </w:rPr>
              <w:t xml:space="preserve"> animées par d</w:t>
            </w:r>
            <w:r w:rsidR="00EA2C86" w:rsidRPr="00927778">
              <w:rPr>
                <w:color w:val="333333"/>
                <w:lang w:val="fr-FR"/>
              </w:rPr>
              <w:t>’</w:t>
            </w:r>
            <w:r w:rsidR="000A7DB1" w:rsidRPr="00927778">
              <w:rPr>
                <w:color w:val="333333"/>
                <w:lang w:val="fr-FR"/>
              </w:rPr>
              <w:t>éminents professeurs de Colombie et de République dominicaine et un juge</w:t>
            </w:r>
            <w:r w:rsidRPr="00927778">
              <w:rPr>
                <w:color w:val="333333"/>
                <w:lang w:val="fr-FR"/>
              </w:rPr>
              <w:t xml:space="preserve"> espagnol</w:t>
            </w:r>
            <w:r w:rsidR="000A7DB1" w:rsidRPr="00927778">
              <w:rPr>
                <w:color w:val="333333"/>
                <w:lang w:val="fr-FR"/>
              </w:rPr>
              <w:t xml:space="preserve"> de haut ra</w:t>
            </w:r>
            <w:r w:rsidR="00306E74" w:rsidRPr="00927778">
              <w:rPr>
                <w:color w:val="333333"/>
                <w:lang w:val="fr-FR"/>
              </w:rPr>
              <w:t>ng.  De</w:t>
            </w:r>
            <w:r w:rsidR="000A7DB1" w:rsidRPr="00927778">
              <w:rPr>
                <w:color w:val="333333"/>
                <w:lang w:val="fr-FR"/>
              </w:rPr>
              <w:t>s professeurs et juges costaricains ont également officié en tant que formateur</w:t>
            </w:r>
            <w:r w:rsidRPr="00927778">
              <w:rPr>
                <w:color w:val="333333"/>
                <w:lang w:val="fr-FR"/>
              </w:rPr>
              <w:t>s</w:t>
            </w:r>
            <w:r w:rsidR="000A7DB1" w:rsidRPr="00927778">
              <w:rPr>
                <w:color w:val="333333"/>
                <w:lang w:val="fr-FR"/>
              </w:rPr>
              <w:t xml:space="preserve"> dans ce programme.</w:t>
            </w:r>
          </w:p>
          <w:p w:rsidR="005E6718" w:rsidRPr="00927778" w:rsidRDefault="005E6718" w:rsidP="001C4FA6">
            <w:pPr>
              <w:rPr>
                <w:color w:val="333333"/>
                <w:lang w:val="fr-FR"/>
              </w:rPr>
            </w:pPr>
          </w:p>
          <w:p w:rsidR="005E6718" w:rsidRPr="00927778" w:rsidRDefault="005E6718" w:rsidP="00847CC2">
            <w:pPr>
              <w:rPr>
                <w:color w:val="333333"/>
                <w:lang w:val="fr-FR"/>
              </w:rPr>
            </w:pPr>
          </w:p>
          <w:p w:rsidR="005E6718" w:rsidRPr="00927778" w:rsidRDefault="00EC684F" w:rsidP="00EC684F">
            <w:pPr>
              <w:rPr>
                <w:bCs/>
                <w:color w:val="333333"/>
                <w:u w:val="single"/>
                <w:lang w:val="fr-FR"/>
              </w:rPr>
            </w:pPr>
            <w:r w:rsidRPr="00927778">
              <w:rPr>
                <w:bCs/>
                <w:color w:val="333333"/>
                <w:u w:val="single"/>
                <w:lang w:val="fr-FR"/>
              </w:rPr>
              <w:t>Liban</w:t>
            </w:r>
          </w:p>
          <w:p w:rsidR="005E6718" w:rsidRPr="00927778" w:rsidRDefault="00D541D6" w:rsidP="001C4FA6">
            <w:pPr>
              <w:rPr>
                <w:color w:val="333333"/>
                <w:lang w:val="fr-FR"/>
              </w:rPr>
            </w:pPr>
            <w:r w:rsidRPr="00927778">
              <w:rPr>
                <w:color w:val="333333"/>
                <w:lang w:val="fr-FR"/>
              </w:rPr>
              <w:t>Un groupe de vingt magistrats a</w:t>
            </w:r>
            <w:r w:rsidR="000A7DB1" w:rsidRPr="00927778">
              <w:rPr>
                <w:color w:val="333333"/>
                <w:lang w:val="fr-FR"/>
              </w:rPr>
              <w:t xml:space="preserve"> participé au programme de formation continue en assistant, en ligne et sur place, à des sessions de formation</w:t>
            </w:r>
            <w:r w:rsidRPr="00927778">
              <w:rPr>
                <w:color w:val="333333"/>
                <w:lang w:val="fr-FR"/>
              </w:rPr>
              <w:t>,</w:t>
            </w:r>
            <w:r w:rsidR="000A7DB1" w:rsidRPr="00927778">
              <w:rPr>
                <w:color w:val="333333"/>
                <w:lang w:val="fr-FR"/>
              </w:rPr>
              <w:t xml:space="preserve"> qui portaient tant sur le fond que la pratique</w:t>
            </w:r>
            <w:r w:rsidR="000B73ED" w:rsidRPr="00927778">
              <w:rPr>
                <w:color w:val="333333"/>
                <w:lang w:val="fr-FR"/>
              </w:rPr>
              <w:t xml:space="preserve"> et étaient</w:t>
            </w:r>
            <w:r w:rsidR="000A7DB1" w:rsidRPr="00927778">
              <w:rPr>
                <w:color w:val="333333"/>
                <w:lang w:val="fr-FR"/>
              </w:rPr>
              <w:t xml:space="preserve"> anim</w:t>
            </w:r>
            <w:r w:rsidRPr="00927778">
              <w:rPr>
                <w:color w:val="333333"/>
                <w:lang w:val="fr-FR"/>
              </w:rPr>
              <w:t>ées par d</w:t>
            </w:r>
            <w:r w:rsidR="00EA2C86" w:rsidRPr="00927778">
              <w:rPr>
                <w:color w:val="333333"/>
                <w:lang w:val="fr-FR"/>
              </w:rPr>
              <w:t>’</w:t>
            </w:r>
            <w:r w:rsidRPr="00927778">
              <w:rPr>
                <w:color w:val="333333"/>
                <w:lang w:val="fr-FR"/>
              </w:rPr>
              <w:t xml:space="preserve">éminents professeurs </w:t>
            </w:r>
            <w:r w:rsidR="000A7DB1" w:rsidRPr="00927778">
              <w:rPr>
                <w:color w:val="333333"/>
                <w:lang w:val="fr-FR"/>
              </w:rPr>
              <w:t>et juges d</w:t>
            </w:r>
            <w:r w:rsidR="00EA2C86" w:rsidRPr="00927778">
              <w:rPr>
                <w:color w:val="333333"/>
                <w:lang w:val="fr-FR"/>
              </w:rPr>
              <w:t>’</w:t>
            </w:r>
            <w:r w:rsidR="000A7DB1" w:rsidRPr="00927778">
              <w:rPr>
                <w:color w:val="333333"/>
                <w:lang w:val="fr-FR"/>
              </w:rPr>
              <w:t>Égypte ainsi qu</w:t>
            </w:r>
            <w:r w:rsidR="00EA2C86" w:rsidRPr="00927778">
              <w:rPr>
                <w:color w:val="333333"/>
                <w:lang w:val="fr-FR"/>
              </w:rPr>
              <w:t>’</w:t>
            </w:r>
            <w:r w:rsidR="000A7DB1" w:rsidRPr="00927778">
              <w:rPr>
                <w:color w:val="333333"/>
                <w:lang w:val="fr-FR"/>
              </w:rPr>
              <w:t>un un juge expérimenté et un expert libanais</w:t>
            </w:r>
            <w:r w:rsidR="001C4FA6" w:rsidRPr="00927778">
              <w:rPr>
                <w:color w:val="333333"/>
                <w:lang w:val="fr-FR"/>
              </w:rPr>
              <w:t>.</w:t>
            </w:r>
          </w:p>
          <w:p w:rsidR="005E6718" w:rsidRPr="00927778" w:rsidRDefault="005E6718" w:rsidP="00847CC2">
            <w:pPr>
              <w:rPr>
                <w:color w:val="333333"/>
                <w:lang w:val="fr-FR"/>
              </w:rPr>
            </w:pPr>
          </w:p>
          <w:p w:rsidR="005E6718" w:rsidRPr="00927778" w:rsidRDefault="005E6718" w:rsidP="00847CC2">
            <w:pPr>
              <w:rPr>
                <w:color w:val="333333"/>
                <w:lang w:val="fr-FR"/>
              </w:rPr>
            </w:pPr>
          </w:p>
          <w:p w:rsidR="005E6718" w:rsidRPr="00927778" w:rsidRDefault="00EC684F" w:rsidP="00EC684F">
            <w:pPr>
              <w:rPr>
                <w:bCs/>
                <w:color w:val="333333"/>
                <w:u w:val="single"/>
                <w:lang w:val="fr-FR"/>
              </w:rPr>
            </w:pPr>
            <w:r w:rsidRPr="00927778">
              <w:rPr>
                <w:bCs/>
                <w:color w:val="333333"/>
                <w:u w:val="single"/>
                <w:lang w:val="fr-FR"/>
              </w:rPr>
              <w:t>Népal</w:t>
            </w:r>
          </w:p>
          <w:p w:rsidR="00EA2C86" w:rsidRPr="00927778" w:rsidRDefault="00D541D6" w:rsidP="001C4FA6">
            <w:pPr>
              <w:rPr>
                <w:color w:val="333333"/>
                <w:lang w:val="fr-FR"/>
              </w:rPr>
            </w:pPr>
            <w:r w:rsidRPr="00927778">
              <w:rPr>
                <w:color w:val="333333"/>
                <w:lang w:val="fr-FR"/>
              </w:rPr>
              <w:t xml:space="preserve">Un groupe composé de </w:t>
            </w:r>
            <w:r w:rsidR="0057466D" w:rsidRPr="00927778">
              <w:rPr>
                <w:color w:val="333333"/>
                <w:lang w:val="fr-FR"/>
              </w:rPr>
              <w:t>13 </w:t>
            </w:r>
            <w:r w:rsidR="004B716E" w:rsidRPr="00927778">
              <w:rPr>
                <w:color w:val="333333"/>
                <w:lang w:val="fr-FR"/>
              </w:rPr>
              <w:t>juges de la Haute Cour</w:t>
            </w:r>
            <w:r w:rsidRPr="00927778">
              <w:rPr>
                <w:color w:val="333333"/>
                <w:lang w:val="fr-FR"/>
              </w:rPr>
              <w:t>,</w:t>
            </w:r>
            <w:r w:rsidR="004B716E" w:rsidRPr="00927778">
              <w:rPr>
                <w:color w:val="333333"/>
                <w:lang w:val="fr-FR"/>
              </w:rPr>
              <w:t xml:space="preserve"> juges de district </w:t>
            </w:r>
            <w:r w:rsidRPr="00927778">
              <w:rPr>
                <w:color w:val="333333"/>
                <w:lang w:val="fr-FR"/>
              </w:rPr>
              <w:t xml:space="preserve">et </w:t>
            </w:r>
            <w:r w:rsidR="004B716E" w:rsidRPr="00927778">
              <w:rPr>
                <w:color w:val="333333"/>
                <w:lang w:val="fr-FR"/>
              </w:rPr>
              <w:t xml:space="preserve">procureurs </w:t>
            </w:r>
            <w:r w:rsidRPr="00927778">
              <w:rPr>
                <w:color w:val="333333"/>
                <w:lang w:val="fr-FR"/>
              </w:rPr>
              <w:t>a</w:t>
            </w:r>
            <w:r w:rsidR="004B716E" w:rsidRPr="00927778">
              <w:rPr>
                <w:color w:val="333333"/>
                <w:lang w:val="fr-FR"/>
              </w:rPr>
              <w:t xml:space="preserve"> participé au programme de formation continue dispensé en ligne et sur pla</w:t>
            </w:r>
            <w:r w:rsidR="00306E74" w:rsidRPr="00927778">
              <w:rPr>
                <w:color w:val="333333"/>
                <w:lang w:val="fr-FR"/>
              </w:rPr>
              <w:t>ce.  Un</w:t>
            </w:r>
            <w:r w:rsidR="004B716E" w:rsidRPr="00927778">
              <w:rPr>
                <w:color w:val="333333"/>
                <w:lang w:val="fr-FR"/>
              </w:rPr>
              <w:t xml:space="preserve"> juge chevronné des </w:t>
            </w:r>
            <w:r w:rsidR="001C4FA6" w:rsidRPr="00927778">
              <w:rPr>
                <w:color w:val="333333"/>
                <w:lang w:val="fr-FR"/>
              </w:rPr>
              <w:t>Philippines</w:t>
            </w:r>
            <w:r w:rsidR="004B716E" w:rsidRPr="00927778">
              <w:rPr>
                <w:color w:val="333333"/>
                <w:lang w:val="fr-FR"/>
              </w:rPr>
              <w:t xml:space="preserve"> et des professeurs </w:t>
            </w:r>
            <w:r w:rsidRPr="00927778">
              <w:rPr>
                <w:color w:val="333333"/>
                <w:lang w:val="fr-FR"/>
              </w:rPr>
              <w:t>spécialisés en</w:t>
            </w:r>
            <w:r w:rsidR="004B716E" w:rsidRPr="00927778">
              <w:rPr>
                <w:color w:val="333333"/>
                <w:lang w:val="fr-FR"/>
              </w:rPr>
              <w:t xml:space="preserve"> droit de la propriété intellectuelle d</w:t>
            </w:r>
            <w:r w:rsidR="00EA2C86" w:rsidRPr="00927778">
              <w:rPr>
                <w:color w:val="333333"/>
                <w:lang w:val="fr-FR"/>
              </w:rPr>
              <w:t>’</w:t>
            </w:r>
            <w:r w:rsidR="004B716E" w:rsidRPr="00927778">
              <w:rPr>
                <w:color w:val="333333"/>
                <w:lang w:val="fr-FR"/>
              </w:rPr>
              <w:t>Inde et du Royaume</w:t>
            </w:r>
            <w:r w:rsidR="00CB5AE0" w:rsidRPr="00927778">
              <w:rPr>
                <w:color w:val="333333"/>
                <w:lang w:val="fr-FR"/>
              </w:rPr>
              <w:noBreakHyphen/>
            </w:r>
            <w:r w:rsidR="004B716E" w:rsidRPr="00927778">
              <w:rPr>
                <w:color w:val="333333"/>
                <w:lang w:val="fr-FR"/>
              </w:rPr>
              <w:t>Uni ont pris part au programme,</w:t>
            </w:r>
            <w:r w:rsidR="002453E3" w:rsidRPr="00927778">
              <w:rPr>
                <w:color w:val="333333"/>
                <w:lang w:val="fr-FR"/>
              </w:rPr>
              <w:t xml:space="preserve"> en</w:t>
            </w:r>
            <w:r w:rsidR="004B716E" w:rsidRPr="00927778">
              <w:rPr>
                <w:color w:val="333333"/>
                <w:lang w:val="fr-FR"/>
              </w:rPr>
              <w:t xml:space="preserve"> interagissant avec les participants sur un certain nombre d</w:t>
            </w:r>
            <w:r w:rsidR="00EA2C86" w:rsidRPr="00927778">
              <w:rPr>
                <w:color w:val="333333"/>
                <w:lang w:val="fr-FR"/>
              </w:rPr>
              <w:t>’</w:t>
            </w:r>
            <w:r w:rsidR="004B716E" w:rsidRPr="00927778">
              <w:rPr>
                <w:color w:val="333333"/>
                <w:lang w:val="fr-FR"/>
              </w:rPr>
              <w:t>affaires relatives à la propriété intellectuel</w:t>
            </w:r>
            <w:r w:rsidR="00306E74" w:rsidRPr="00927778">
              <w:rPr>
                <w:color w:val="333333"/>
                <w:lang w:val="fr-FR"/>
              </w:rPr>
              <w:t>le.  De</w:t>
            </w:r>
            <w:r w:rsidR="004B716E" w:rsidRPr="00927778">
              <w:rPr>
                <w:color w:val="333333"/>
                <w:lang w:val="fr-FR"/>
              </w:rPr>
              <w:t>ux</w:t>
            </w:r>
            <w:r w:rsidR="0057466D" w:rsidRPr="00927778">
              <w:rPr>
                <w:color w:val="333333"/>
                <w:lang w:val="fr-FR"/>
              </w:rPr>
              <w:t> </w:t>
            </w:r>
            <w:r w:rsidR="004B716E" w:rsidRPr="00927778">
              <w:rPr>
                <w:color w:val="333333"/>
                <w:lang w:val="fr-FR"/>
              </w:rPr>
              <w:t>juges de la Cour suprême ainsi que d</w:t>
            </w:r>
            <w:r w:rsidR="00EA2C86" w:rsidRPr="00927778">
              <w:rPr>
                <w:color w:val="333333"/>
                <w:lang w:val="fr-FR"/>
              </w:rPr>
              <w:t>’</w:t>
            </w:r>
            <w:r w:rsidR="004B716E" w:rsidRPr="00927778">
              <w:rPr>
                <w:color w:val="333333"/>
                <w:lang w:val="fr-FR"/>
              </w:rPr>
              <w:t xml:space="preserve">autres experts népalais ont donné des cours magistraux et ont </w:t>
            </w:r>
            <w:r w:rsidR="002453E3" w:rsidRPr="00927778">
              <w:rPr>
                <w:color w:val="333333"/>
                <w:lang w:val="fr-FR"/>
              </w:rPr>
              <w:t>présenté</w:t>
            </w:r>
            <w:r w:rsidR="004B716E" w:rsidRPr="00927778">
              <w:rPr>
                <w:color w:val="333333"/>
                <w:lang w:val="fr-FR"/>
              </w:rPr>
              <w:t xml:space="preserve"> des expériences nationales</w:t>
            </w:r>
            <w:r w:rsidR="002453E3" w:rsidRPr="00927778">
              <w:rPr>
                <w:color w:val="333333"/>
                <w:lang w:val="fr-FR"/>
              </w:rPr>
              <w:t xml:space="preserve"> concrètes</w:t>
            </w:r>
            <w:r w:rsidR="004B716E" w:rsidRPr="00927778">
              <w:rPr>
                <w:color w:val="333333"/>
                <w:lang w:val="fr-FR"/>
              </w:rPr>
              <w:t>.</w:t>
            </w:r>
          </w:p>
          <w:p w:rsidR="005E6718" w:rsidRDefault="005E6718" w:rsidP="001C4FA6">
            <w:pPr>
              <w:rPr>
                <w:color w:val="333333"/>
                <w:lang w:val="fr-FR"/>
              </w:rPr>
            </w:pPr>
          </w:p>
          <w:p w:rsidR="00636673" w:rsidRDefault="00636673" w:rsidP="001C4FA6">
            <w:pPr>
              <w:rPr>
                <w:color w:val="333333"/>
                <w:lang w:val="fr-FR"/>
              </w:rPr>
            </w:pPr>
          </w:p>
          <w:p w:rsidR="00636673" w:rsidRPr="00927778" w:rsidRDefault="00636673" w:rsidP="001C4FA6">
            <w:pPr>
              <w:rPr>
                <w:color w:val="333333"/>
                <w:lang w:val="fr-FR"/>
              </w:rPr>
            </w:pPr>
          </w:p>
          <w:p w:rsidR="005E6718" w:rsidRPr="00927778" w:rsidRDefault="00EC684F" w:rsidP="00EC684F">
            <w:pPr>
              <w:rPr>
                <w:bCs/>
                <w:color w:val="333333"/>
                <w:u w:val="single"/>
                <w:lang w:val="fr-FR"/>
              </w:rPr>
            </w:pPr>
            <w:r w:rsidRPr="00927778">
              <w:rPr>
                <w:bCs/>
                <w:color w:val="333333"/>
                <w:u w:val="single"/>
                <w:lang w:val="fr-FR"/>
              </w:rPr>
              <w:t>Nigéria</w:t>
            </w:r>
          </w:p>
          <w:p w:rsidR="00EA2C86" w:rsidRPr="00927778" w:rsidRDefault="00D541D6" w:rsidP="001C4FA6">
            <w:pPr>
              <w:rPr>
                <w:color w:val="333333"/>
                <w:lang w:val="fr-FR"/>
              </w:rPr>
            </w:pPr>
            <w:r w:rsidRPr="00927778">
              <w:rPr>
                <w:color w:val="333333"/>
                <w:lang w:val="fr-FR"/>
              </w:rPr>
              <w:t xml:space="preserve">Un groupe de </w:t>
            </w:r>
            <w:r w:rsidR="0057466D" w:rsidRPr="00927778">
              <w:rPr>
                <w:color w:val="333333"/>
                <w:lang w:val="fr-FR"/>
              </w:rPr>
              <w:t>18 </w:t>
            </w:r>
            <w:r w:rsidR="005350F2" w:rsidRPr="00927778">
              <w:rPr>
                <w:color w:val="333333"/>
                <w:lang w:val="fr-FR"/>
              </w:rPr>
              <w:t xml:space="preserve">professeurs et praticiens du droit </w:t>
            </w:r>
            <w:r w:rsidR="0075230F" w:rsidRPr="00927778">
              <w:rPr>
                <w:color w:val="333333"/>
                <w:lang w:val="fr-FR"/>
              </w:rPr>
              <w:t>a</w:t>
            </w:r>
            <w:r w:rsidR="005350F2" w:rsidRPr="00927778">
              <w:rPr>
                <w:color w:val="333333"/>
                <w:lang w:val="fr-FR"/>
              </w:rPr>
              <w:t xml:space="preserve"> participé au programme de formation continue dispensé en ligne et sur </w:t>
            </w:r>
            <w:r w:rsidR="00C111BE" w:rsidRPr="00927778">
              <w:rPr>
                <w:color w:val="333333"/>
                <w:lang w:val="fr-FR"/>
              </w:rPr>
              <w:t>pla</w:t>
            </w:r>
            <w:r w:rsidR="00306E74" w:rsidRPr="00927778">
              <w:rPr>
                <w:color w:val="333333"/>
                <w:lang w:val="fr-FR"/>
              </w:rPr>
              <w:t>ce.  De</w:t>
            </w:r>
            <w:r w:rsidR="00C111BE" w:rsidRPr="00927778">
              <w:rPr>
                <w:color w:val="333333"/>
                <w:lang w:val="fr-FR"/>
              </w:rPr>
              <w:t>s</w:t>
            </w:r>
            <w:r w:rsidR="005350F2" w:rsidRPr="00927778">
              <w:rPr>
                <w:color w:val="333333"/>
                <w:lang w:val="fr-FR"/>
              </w:rPr>
              <w:t xml:space="preserve"> professeurs de droit chevronnés d</w:t>
            </w:r>
            <w:r w:rsidR="00EA2C86" w:rsidRPr="00927778">
              <w:rPr>
                <w:color w:val="333333"/>
                <w:lang w:val="fr-FR"/>
              </w:rPr>
              <w:t>’</w:t>
            </w:r>
            <w:r w:rsidR="005350F2" w:rsidRPr="00927778">
              <w:rPr>
                <w:color w:val="333333"/>
                <w:lang w:val="fr-FR"/>
              </w:rPr>
              <w:t xml:space="preserve">Éthiopie et du Kenya ont apporté leur assistance et leur expertise </w:t>
            </w:r>
            <w:r w:rsidR="0075230F" w:rsidRPr="00927778">
              <w:rPr>
                <w:color w:val="333333"/>
                <w:lang w:val="fr-FR"/>
              </w:rPr>
              <w:t>à la mise en œuvre des activités</w:t>
            </w:r>
            <w:r w:rsidR="005350F2" w:rsidRPr="00927778">
              <w:rPr>
                <w:color w:val="333333"/>
                <w:lang w:val="fr-FR"/>
              </w:rPr>
              <w:t xml:space="preserve"> de formati</w:t>
            </w:r>
            <w:r w:rsidR="00306E74" w:rsidRPr="00927778">
              <w:rPr>
                <w:color w:val="333333"/>
                <w:lang w:val="fr-FR"/>
              </w:rPr>
              <w:t>on.  Le</w:t>
            </w:r>
            <w:r w:rsidR="005350F2" w:rsidRPr="00927778">
              <w:rPr>
                <w:color w:val="333333"/>
                <w:lang w:val="fr-FR"/>
              </w:rPr>
              <w:t xml:space="preserve"> Nigéria a choisi de renforcer les capacités des experts de la propriété intellectuelle qui</w:t>
            </w:r>
            <w:r w:rsidR="0075230F" w:rsidRPr="00927778">
              <w:rPr>
                <w:color w:val="333333"/>
                <w:lang w:val="fr-FR"/>
              </w:rPr>
              <w:t>,</w:t>
            </w:r>
            <w:r w:rsidR="005350F2" w:rsidRPr="00927778">
              <w:rPr>
                <w:color w:val="333333"/>
                <w:lang w:val="fr-FR"/>
              </w:rPr>
              <w:t xml:space="preserve"> à leur tour</w:t>
            </w:r>
            <w:r w:rsidR="0075230F" w:rsidRPr="00927778">
              <w:rPr>
                <w:color w:val="333333"/>
                <w:lang w:val="fr-FR"/>
              </w:rPr>
              <w:t>,</w:t>
            </w:r>
            <w:r w:rsidR="005350F2" w:rsidRPr="00927778">
              <w:rPr>
                <w:color w:val="333333"/>
                <w:lang w:val="fr-FR"/>
              </w:rPr>
              <w:t xml:space="preserve"> organiseront les </w:t>
            </w:r>
            <w:r w:rsidR="0075230F" w:rsidRPr="00927778">
              <w:rPr>
                <w:color w:val="333333"/>
                <w:lang w:val="fr-FR"/>
              </w:rPr>
              <w:t>sessions</w:t>
            </w:r>
            <w:r w:rsidR="005350F2" w:rsidRPr="00927778">
              <w:rPr>
                <w:color w:val="333333"/>
                <w:lang w:val="fr-FR"/>
              </w:rPr>
              <w:t xml:space="preserve"> de formation continue auprès des juges nationaux.</w:t>
            </w:r>
          </w:p>
          <w:p w:rsidR="005E6718" w:rsidRPr="00927778" w:rsidRDefault="005E6718" w:rsidP="001C4FA6">
            <w:pPr>
              <w:rPr>
                <w:color w:val="333333"/>
                <w:lang w:val="fr-FR"/>
              </w:rPr>
            </w:pPr>
          </w:p>
          <w:p w:rsidR="00EA2C86" w:rsidRPr="00927778" w:rsidRDefault="004C270D" w:rsidP="001C4FA6">
            <w:pPr>
              <w:rPr>
                <w:color w:val="333333"/>
                <w:lang w:val="fr-FR"/>
              </w:rPr>
            </w:pPr>
            <w:r w:rsidRPr="00927778">
              <w:rPr>
                <w:color w:val="333333"/>
                <w:lang w:val="fr-FR"/>
              </w:rPr>
              <w:t>Dans les quatre</w:t>
            </w:r>
            <w:r w:rsidR="0057466D" w:rsidRPr="00927778">
              <w:rPr>
                <w:color w:val="333333"/>
                <w:lang w:val="fr-FR"/>
              </w:rPr>
              <w:t> </w:t>
            </w:r>
            <w:r w:rsidRPr="00927778">
              <w:rPr>
                <w:color w:val="333333"/>
                <w:lang w:val="fr-FR"/>
              </w:rPr>
              <w:t>pays, il est prévu d</w:t>
            </w:r>
            <w:r w:rsidR="00EA2C86" w:rsidRPr="00927778">
              <w:rPr>
                <w:color w:val="333333"/>
                <w:lang w:val="fr-FR"/>
              </w:rPr>
              <w:t>’</w:t>
            </w:r>
            <w:r w:rsidRPr="00927778">
              <w:rPr>
                <w:color w:val="333333"/>
                <w:lang w:val="fr-FR"/>
              </w:rPr>
              <w:t xml:space="preserve">organiser des sessions de suivi au cours desquelles chaque participant formerait les autres juges </w:t>
            </w:r>
            <w:r w:rsidR="00F7107F" w:rsidRPr="00927778">
              <w:rPr>
                <w:color w:val="333333"/>
                <w:lang w:val="fr-FR"/>
              </w:rPr>
              <w:t>prenant part</w:t>
            </w:r>
            <w:r w:rsidRPr="00927778">
              <w:rPr>
                <w:color w:val="333333"/>
                <w:lang w:val="fr-FR"/>
              </w:rPr>
              <w:t xml:space="preserve"> au programme sur un sujet particuli</w:t>
            </w:r>
            <w:r w:rsidR="00306E74" w:rsidRPr="00927778">
              <w:rPr>
                <w:color w:val="333333"/>
                <w:lang w:val="fr-FR"/>
              </w:rPr>
              <w:t>er.  Da</w:t>
            </w:r>
            <w:r w:rsidRPr="00927778">
              <w:rPr>
                <w:color w:val="333333"/>
                <w:lang w:val="fr-FR"/>
              </w:rPr>
              <w:t>ns le cas du Nigéria, les experts précédemment formés</w:t>
            </w:r>
            <w:r w:rsidR="00682507" w:rsidRPr="00927778">
              <w:rPr>
                <w:color w:val="333333"/>
                <w:lang w:val="fr-FR"/>
              </w:rPr>
              <w:t xml:space="preserve"> </w:t>
            </w:r>
            <w:r w:rsidRPr="00927778">
              <w:rPr>
                <w:color w:val="333333"/>
                <w:lang w:val="fr-FR"/>
              </w:rPr>
              <w:t>devraient animer des sessions de formation continue auprès de 10</w:t>
            </w:r>
            <w:r w:rsidR="00002037" w:rsidRPr="00927778">
              <w:rPr>
                <w:color w:val="333333"/>
                <w:lang w:val="fr-FR"/>
              </w:rPr>
              <w:t> </w:t>
            </w:r>
            <w:r w:rsidRPr="00927778">
              <w:rPr>
                <w:color w:val="333333"/>
                <w:lang w:val="fr-FR"/>
              </w:rPr>
              <w:t>juges.</w:t>
            </w:r>
          </w:p>
          <w:p w:rsidR="005E6718" w:rsidRPr="00927778" w:rsidRDefault="005E6718" w:rsidP="001C4FA6">
            <w:pPr>
              <w:rPr>
                <w:color w:val="333333"/>
                <w:lang w:val="fr-FR"/>
              </w:rPr>
            </w:pPr>
          </w:p>
          <w:p w:rsidR="00EA2C86" w:rsidRPr="00927778" w:rsidRDefault="005E188A" w:rsidP="001C4FA6">
            <w:pPr>
              <w:rPr>
                <w:color w:val="333333"/>
                <w:lang w:val="fr-FR"/>
              </w:rPr>
            </w:pPr>
            <w:r w:rsidRPr="00927778">
              <w:rPr>
                <w:color w:val="333333"/>
                <w:lang w:val="fr-FR"/>
              </w:rPr>
              <w:t xml:space="preserve">Les sessions </w:t>
            </w:r>
            <w:r w:rsidR="00F7107F" w:rsidRPr="00927778">
              <w:rPr>
                <w:color w:val="333333"/>
                <w:lang w:val="fr-FR"/>
              </w:rPr>
              <w:t>de suivi devraient constituer un excellent moyen d</w:t>
            </w:r>
            <w:r w:rsidR="00EA2C86" w:rsidRPr="00927778">
              <w:rPr>
                <w:color w:val="333333"/>
                <w:lang w:val="fr-FR"/>
              </w:rPr>
              <w:t>’</w:t>
            </w:r>
            <w:r w:rsidRPr="00927778">
              <w:rPr>
                <w:color w:val="333333"/>
                <w:lang w:val="fr-FR"/>
              </w:rPr>
              <w:t>évaluation des avancées enregistrées dans tous les domaines principaux du projet de formati</w:t>
            </w:r>
            <w:r w:rsidR="00306E74" w:rsidRPr="00927778">
              <w:rPr>
                <w:color w:val="333333"/>
                <w:lang w:val="fr-FR"/>
              </w:rPr>
              <w:t>on.  El</w:t>
            </w:r>
            <w:r w:rsidRPr="00927778">
              <w:rPr>
                <w:color w:val="333333"/>
                <w:lang w:val="fr-FR"/>
              </w:rPr>
              <w:t xml:space="preserve">les sont prévues en </w:t>
            </w:r>
            <w:r w:rsidR="00EA2C86" w:rsidRPr="00927778">
              <w:rPr>
                <w:color w:val="333333"/>
                <w:lang w:val="fr-FR"/>
              </w:rPr>
              <w:t>octobre 20</w:t>
            </w:r>
            <w:r w:rsidRPr="00927778">
              <w:rPr>
                <w:color w:val="333333"/>
                <w:lang w:val="fr-FR"/>
              </w:rPr>
              <w:t>18 (pour le Costa</w:t>
            </w:r>
            <w:r w:rsidR="0057466D" w:rsidRPr="00927778">
              <w:rPr>
                <w:color w:val="333333"/>
                <w:lang w:val="fr-FR"/>
              </w:rPr>
              <w:t> </w:t>
            </w:r>
            <w:r w:rsidRPr="00927778">
              <w:rPr>
                <w:color w:val="333333"/>
                <w:lang w:val="fr-FR"/>
              </w:rPr>
              <w:t xml:space="preserve">Rica, le Népal et le Nigéria) et en </w:t>
            </w:r>
            <w:r w:rsidR="00EA2C86" w:rsidRPr="00927778">
              <w:rPr>
                <w:color w:val="333333"/>
                <w:lang w:val="fr-FR"/>
              </w:rPr>
              <w:t>novembre 20</w:t>
            </w:r>
            <w:r w:rsidRPr="00927778">
              <w:rPr>
                <w:color w:val="333333"/>
                <w:lang w:val="fr-FR"/>
              </w:rPr>
              <w:t>18 (pour le Liban).</w:t>
            </w:r>
          </w:p>
          <w:p w:rsidR="005E6718" w:rsidRPr="00927778" w:rsidRDefault="005E6718" w:rsidP="00847CC2">
            <w:pPr>
              <w:rPr>
                <w:color w:val="333333"/>
                <w:lang w:val="fr-FR"/>
              </w:rPr>
            </w:pPr>
          </w:p>
          <w:p w:rsidR="00EA2C86" w:rsidRPr="00927778" w:rsidRDefault="00095FBC" w:rsidP="00847CC2">
            <w:pPr>
              <w:rPr>
                <w:color w:val="333333"/>
                <w:lang w:val="fr-FR"/>
              </w:rPr>
            </w:pPr>
            <w:r w:rsidRPr="00927778">
              <w:rPr>
                <w:color w:val="333333"/>
                <w:lang w:val="fr-FR"/>
              </w:rPr>
              <w:t xml:space="preserve">Les premiers rapports transmis par les pays </w:t>
            </w:r>
            <w:r w:rsidR="00F7107F" w:rsidRPr="00927778">
              <w:rPr>
                <w:color w:val="333333"/>
                <w:lang w:val="fr-FR"/>
              </w:rPr>
              <w:t>pilotes étaient très positi</w:t>
            </w:r>
            <w:r w:rsidR="00306E74" w:rsidRPr="00927778">
              <w:rPr>
                <w:color w:val="333333"/>
                <w:lang w:val="fr-FR"/>
              </w:rPr>
              <w:t>fs.  Le</w:t>
            </w:r>
            <w:r w:rsidRPr="00927778">
              <w:rPr>
                <w:color w:val="333333"/>
                <w:lang w:val="fr-FR"/>
              </w:rPr>
              <w:t>s pays pilotes ont prié l</w:t>
            </w:r>
            <w:r w:rsidR="00EA2C86" w:rsidRPr="00927778">
              <w:rPr>
                <w:color w:val="333333"/>
                <w:lang w:val="fr-FR"/>
              </w:rPr>
              <w:t>’</w:t>
            </w:r>
            <w:r w:rsidRPr="00927778">
              <w:rPr>
                <w:color w:val="333333"/>
                <w:lang w:val="fr-FR"/>
              </w:rPr>
              <w:t>OMPI de continuer à coopérer avec eux après la conclusion du projet afin de consolider les résultats obten</w:t>
            </w:r>
            <w:r w:rsidR="00306E74" w:rsidRPr="00927778">
              <w:rPr>
                <w:color w:val="333333"/>
                <w:lang w:val="fr-FR"/>
              </w:rPr>
              <w:t>us.  Ce</w:t>
            </w:r>
            <w:r w:rsidRPr="00927778">
              <w:rPr>
                <w:color w:val="333333"/>
                <w:lang w:val="fr-FR"/>
              </w:rPr>
              <w:t>rtains d</w:t>
            </w:r>
            <w:r w:rsidR="00EA2C86" w:rsidRPr="00927778">
              <w:rPr>
                <w:color w:val="333333"/>
                <w:lang w:val="fr-FR"/>
              </w:rPr>
              <w:t>’</w:t>
            </w:r>
            <w:r w:rsidRPr="00927778">
              <w:rPr>
                <w:color w:val="333333"/>
                <w:lang w:val="fr-FR"/>
              </w:rPr>
              <w:t>entre eux ont estimé que les bénéfices issus du projet avaient dépassé leurs attent</w:t>
            </w:r>
            <w:r w:rsidR="00306E74" w:rsidRPr="00927778">
              <w:rPr>
                <w:color w:val="333333"/>
                <w:lang w:val="fr-FR"/>
              </w:rPr>
              <w:t>es.  To</w:t>
            </w:r>
            <w:r w:rsidRPr="00927778">
              <w:rPr>
                <w:color w:val="333333"/>
                <w:lang w:val="fr-FR"/>
              </w:rPr>
              <w:t>us les instituts de formation continue bénéficiaires du projet ont fait savoir qu</w:t>
            </w:r>
            <w:r w:rsidR="00EA2C86" w:rsidRPr="00927778">
              <w:rPr>
                <w:color w:val="333333"/>
                <w:lang w:val="fr-FR"/>
              </w:rPr>
              <w:t>’</w:t>
            </w:r>
            <w:r w:rsidRPr="00927778">
              <w:rPr>
                <w:color w:val="333333"/>
                <w:lang w:val="fr-FR"/>
              </w:rPr>
              <w:t xml:space="preserve">ils incluraient les droits de la propriété intellectuelle dans leurs programmes de formation continue habituels en exploitant les modules </w:t>
            </w:r>
            <w:r w:rsidR="00C111BE" w:rsidRPr="00927778">
              <w:rPr>
                <w:color w:val="333333"/>
                <w:lang w:val="fr-FR"/>
              </w:rPr>
              <w:t>récemment</w:t>
            </w:r>
            <w:r w:rsidRPr="00927778">
              <w:rPr>
                <w:color w:val="333333"/>
                <w:lang w:val="fr-FR"/>
              </w:rPr>
              <w:t xml:space="preserve"> mis sur pied aux fins du proj</w:t>
            </w:r>
            <w:r w:rsidR="00306E74" w:rsidRPr="00927778">
              <w:rPr>
                <w:color w:val="333333"/>
                <w:lang w:val="fr-FR"/>
              </w:rPr>
              <w:t>et.  Un</w:t>
            </w:r>
            <w:r w:rsidRPr="00927778">
              <w:rPr>
                <w:color w:val="333333"/>
                <w:lang w:val="fr-FR"/>
              </w:rPr>
              <w:t xml:space="preserve"> tel engagement est l</w:t>
            </w:r>
            <w:r w:rsidR="00EA2C86" w:rsidRPr="00927778">
              <w:rPr>
                <w:color w:val="333333"/>
                <w:lang w:val="fr-FR"/>
              </w:rPr>
              <w:t>’</w:t>
            </w:r>
            <w:r w:rsidRPr="00927778">
              <w:rPr>
                <w:color w:val="333333"/>
                <w:lang w:val="fr-FR"/>
              </w:rPr>
              <w:t>assurance de la durabilité du projet au niveau national.</w:t>
            </w:r>
          </w:p>
          <w:p w:rsidR="009373F6" w:rsidRPr="00927778" w:rsidRDefault="009373F6">
            <w:pPr>
              <w:rPr>
                <w:color w:val="333333"/>
                <w:lang w:val="fr-FR"/>
              </w:rPr>
            </w:pPr>
          </w:p>
        </w:tc>
      </w:tr>
      <w:tr w:rsidR="00047C22" w:rsidRPr="00927778" w:rsidTr="00847CC2">
        <w:trPr>
          <w:trHeight w:val="1212"/>
        </w:trPr>
        <w:tc>
          <w:tcPr>
            <w:tcW w:w="2376" w:type="dxa"/>
            <w:shd w:val="clear" w:color="auto" w:fill="auto"/>
          </w:tcPr>
          <w:p w:rsidR="009373F6" w:rsidRPr="00927778" w:rsidRDefault="00EC684F" w:rsidP="00EC684F">
            <w:pPr>
              <w:pStyle w:val="Heading3"/>
              <w:keepNext w:val="0"/>
              <w:rPr>
                <w:color w:val="333333"/>
                <w:lang w:val="fr-FR"/>
              </w:rPr>
            </w:pPr>
            <w:r w:rsidRPr="00927778">
              <w:rPr>
                <w:color w:val="333333"/>
                <w:lang w:val="fr-FR"/>
              </w:rPr>
              <w:t>Exemples de succès ou d</w:t>
            </w:r>
            <w:r w:rsidR="00EA2C86" w:rsidRPr="00927778">
              <w:rPr>
                <w:color w:val="333333"/>
                <w:lang w:val="fr-FR"/>
              </w:rPr>
              <w:t>’</w:t>
            </w:r>
            <w:r w:rsidRPr="00927778">
              <w:rPr>
                <w:color w:val="333333"/>
                <w:lang w:val="fr-FR"/>
              </w:rPr>
              <w:t>effets positifs et principaux enseignements</w:t>
            </w:r>
          </w:p>
        </w:tc>
        <w:tc>
          <w:tcPr>
            <w:tcW w:w="6912" w:type="dxa"/>
            <w:vAlign w:val="center"/>
          </w:tcPr>
          <w:p w:rsidR="009373F6" w:rsidRPr="00927778" w:rsidRDefault="00EC684F" w:rsidP="00EC684F">
            <w:pPr>
              <w:rPr>
                <w:iCs/>
                <w:color w:val="333333"/>
                <w:lang w:val="fr-FR"/>
              </w:rPr>
            </w:pPr>
            <w:r w:rsidRPr="00927778">
              <w:rPr>
                <w:iCs/>
                <w:color w:val="333333"/>
                <w:lang w:val="fr-FR"/>
              </w:rPr>
              <w:t>s.o.</w:t>
            </w:r>
          </w:p>
        </w:tc>
      </w:tr>
      <w:tr w:rsidR="00047C22" w:rsidRPr="00927778" w:rsidTr="00847CC2">
        <w:trPr>
          <w:trHeight w:val="713"/>
        </w:trPr>
        <w:tc>
          <w:tcPr>
            <w:tcW w:w="2376" w:type="dxa"/>
            <w:shd w:val="clear" w:color="auto" w:fill="auto"/>
          </w:tcPr>
          <w:p w:rsidR="009373F6" w:rsidRPr="00927778" w:rsidRDefault="00EC684F" w:rsidP="00DE14D6">
            <w:pPr>
              <w:pStyle w:val="Heading3"/>
              <w:keepNext w:val="0"/>
              <w:rPr>
                <w:color w:val="333333"/>
                <w:lang w:val="fr-FR"/>
              </w:rPr>
            </w:pPr>
            <w:r w:rsidRPr="00927778">
              <w:rPr>
                <w:color w:val="333333"/>
                <w:lang w:val="fr-FR"/>
              </w:rPr>
              <w:t xml:space="preserve">Risques et </w:t>
            </w:r>
            <w:r w:rsidR="00DE14D6" w:rsidRPr="00927778">
              <w:rPr>
                <w:color w:val="333333"/>
                <w:lang w:val="fr-FR"/>
              </w:rPr>
              <w:t>mesures de prévention</w:t>
            </w:r>
          </w:p>
        </w:tc>
        <w:tc>
          <w:tcPr>
            <w:tcW w:w="6912" w:type="dxa"/>
          </w:tcPr>
          <w:p w:rsidR="005E6718" w:rsidRPr="00927778" w:rsidRDefault="005E6718" w:rsidP="00855FC8">
            <w:pPr>
              <w:rPr>
                <w:iCs/>
                <w:color w:val="333333"/>
                <w:lang w:val="fr-FR"/>
              </w:rPr>
            </w:pPr>
          </w:p>
          <w:p w:rsidR="00EA2C86" w:rsidRPr="00927778" w:rsidRDefault="003B749B" w:rsidP="00855FC8">
            <w:pPr>
              <w:rPr>
                <w:iCs/>
                <w:color w:val="333333"/>
                <w:lang w:val="fr-FR"/>
              </w:rPr>
            </w:pPr>
            <w:r w:rsidRPr="00927778">
              <w:rPr>
                <w:iCs/>
                <w:color w:val="333333"/>
                <w:lang w:val="fr-FR"/>
              </w:rPr>
              <w:t>Tel qu</w:t>
            </w:r>
            <w:r w:rsidR="00EA2C86" w:rsidRPr="00927778">
              <w:rPr>
                <w:iCs/>
                <w:color w:val="333333"/>
                <w:lang w:val="fr-FR"/>
              </w:rPr>
              <w:t>’</w:t>
            </w:r>
            <w:r w:rsidRPr="00927778">
              <w:rPr>
                <w:iCs/>
                <w:color w:val="333333"/>
                <w:lang w:val="fr-FR"/>
              </w:rPr>
              <w:t xml:space="preserve">indiqué dans le </w:t>
            </w:r>
            <w:r w:rsidR="009B15AE" w:rsidRPr="00927778">
              <w:rPr>
                <w:iCs/>
                <w:color w:val="333333"/>
                <w:lang w:val="fr-FR"/>
              </w:rPr>
              <w:t>descriptif de</w:t>
            </w:r>
            <w:r w:rsidRPr="00927778">
              <w:rPr>
                <w:iCs/>
                <w:color w:val="333333"/>
                <w:lang w:val="fr-FR"/>
              </w:rPr>
              <w:t xml:space="preserve"> projet, </w:t>
            </w:r>
            <w:r w:rsidR="0024346E" w:rsidRPr="00927778">
              <w:rPr>
                <w:iCs/>
                <w:color w:val="333333"/>
                <w:lang w:val="fr-FR"/>
              </w:rPr>
              <w:t xml:space="preserve">les risques encourus pendant </w:t>
            </w:r>
            <w:r w:rsidR="00B104C1" w:rsidRPr="00927778">
              <w:rPr>
                <w:iCs/>
                <w:color w:val="333333"/>
                <w:lang w:val="fr-FR"/>
              </w:rPr>
              <w:t>la</w:t>
            </w:r>
            <w:r w:rsidR="0024346E" w:rsidRPr="00927778">
              <w:rPr>
                <w:iCs/>
                <w:color w:val="333333"/>
                <w:lang w:val="fr-FR"/>
              </w:rPr>
              <w:t xml:space="preserve"> mise en œuvre </w:t>
            </w:r>
            <w:r w:rsidRPr="00927778">
              <w:rPr>
                <w:iCs/>
                <w:color w:val="333333"/>
                <w:lang w:val="fr-FR"/>
              </w:rPr>
              <w:t>du projet</w:t>
            </w:r>
            <w:r w:rsidR="0024346E" w:rsidRPr="00927778">
              <w:rPr>
                <w:iCs/>
                <w:color w:val="333333"/>
                <w:lang w:val="fr-FR"/>
              </w:rPr>
              <w:t xml:space="preserve"> sont les suivants</w:t>
            </w:r>
            <w:r w:rsidR="00EA2C86" w:rsidRPr="00927778">
              <w:rPr>
                <w:iCs/>
                <w:color w:val="333333"/>
                <w:lang w:val="fr-FR"/>
              </w:rPr>
              <w:t> :</w:t>
            </w:r>
          </w:p>
          <w:p w:rsidR="005E6718" w:rsidRPr="00927778" w:rsidRDefault="005E6718" w:rsidP="00855FC8">
            <w:pPr>
              <w:rPr>
                <w:iCs/>
                <w:color w:val="333333"/>
                <w:lang w:val="fr-FR"/>
              </w:rPr>
            </w:pPr>
          </w:p>
          <w:p w:rsidR="005E6718" w:rsidRPr="00927778" w:rsidRDefault="00EC684F" w:rsidP="00EC684F">
            <w:pPr>
              <w:rPr>
                <w:iCs/>
                <w:color w:val="333333"/>
                <w:lang w:val="fr-FR"/>
              </w:rPr>
            </w:pPr>
            <w:r w:rsidRPr="00927778">
              <w:rPr>
                <w:iCs/>
                <w:color w:val="333333"/>
                <w:lang w:val="fr-FR"/>
              </w:rPr>
              <w:t>a)</w:t>
            </w:r>
            <w:r w:rsidRPr="00927778">
              <w:rPr>
                <w:iCs/>
                <w:color w:val="333333"/>
                <w:lang w:val="fr-FR"/>
              </w:rPr>
              <w:tab/>
              <w:t>Des difficultés à organiser une formation continue pour un corps judiciaire très occupé sont possibl</w:t>
            </w:r>
            <w:r w:rsidR="00306E74" w:rsidRPr="00927778">
              <w:rPr>
                <w:iCs/>
                <w:color w:val="333333"/>
                <w:lang w:val="fr-FR"/>
              </w:rPr>
              <w:t>es.  Un</w:t>
            </w:r>
            <w:r w:rsidRPr="00927778">
              <w:rPr>
                <w:iCs/>
                <w:color w:val="333333"/>
                <w:lang w:val="fr-FR"/>
              </w:rPr>
              <w:t xml:space="preserve">e mesure </w:t>
            </w:r>
            <w:r w:rsidR="00DE14D6" w:rsidRPr="00927778">
              <w:rPr>
                <w:iCs/>
                <w:color w:val="333333"/>
                <w:lang w:val="fr-FR"/>
              </w:rPr>
              <w:t>de prévention</w:t>
            </w:r>
            <w:r w:rsidRPr="00927778">
              <w:rPr>
                <w:iCs/>
                <w:color w:val="333333"/>
                <w:lang w:val="fr-FR"/>
              </w:rPr>
              <w:t xml:space="preserve"> essentielle pour écarter ce risque consiste à s</w:t>
            </w:r>
            <w:r w:rsidR="00EA2C86" w:rsidRPr="00927778">
              <w:rPr>
                <w:iCs/>
                <w:color w:val="333333"/>
                <w:lang w:val="fr-FR"/>
              </w:rPr>
              <w:t>’</w:t>
            </w:r>
            <w:r w:rsidRPr="00927778">
              <w:rPr>
                <w:iCs/>
                <w:color w:val="333333"/>
                <w:lang w:val="fr-FR"/>
              </w:rPr>
              <w:t>assurer totalement l</w:t>
            </w:r>
            <w:r w:rsidR="00EA2C86" w:rsidRPr="00927778">
              <w:rPr>
                <w:iCs/>
                <w:color w:val="333333"/>
                <w:lang w:val="fr-FR"/>
              </w:rPr>
              <w:t>’</w:t>
            </w:r>
            <w:r w:rsidRPr="00927778">
              <w:rPr>
                <w:iCs/>
                <w:color w:val="333333"/>
                <w:lang w:val="fr-FR"/>
              </w:rPr>
              <w:t>engagement et l</w:t>
            </w:r>
            <w:r w:rsidR="00EA2C86" w:rsidRPr="00927778">
              <w:rPr>
                <w:iCs/>
                <w:color w:val="333333"/>
                <w:lang w:val="fr-FR"/>
              </w:rPr>
              <w:t>’</w:t>
            </w:r>
            <w:r w:rsidRPr="00927778">
              <w:rPr>
                <w:iCs/>
                <w:color w:val="333333"/>
                <w:lang w:val="fr-FR"/>
              </w:rPr>
              <w:t>appui de l</w:t>
            </w:r>
            <w:r w:rsidR="00EA2C86" w:rsidRPr="00927778">
              <w:rPr>
                <w:iCs/>
                <w:color w:val="333333"/>
                <w:lang w:val="fr-FR"/>
              </w:rPr>
              <w:t>’</w:t>
            </w:r>
            <w:r w:rsidRPr="00927778">
              <w:rPr>
                <w:iCs/>
                <w:color w:val="333333"/>
                <w:lang w:val="fr-FR"/>
              </w:rPr>
              <w:t>institut de formation judiciaire ou des autorités compétentes à toutes les étapes du projet</w:t>
            </w:r>
            <w:r w:rsidR="0057466D" w:rsidRPr="00927778">
              <w:rPr>
                <w:iCs/>
                <w:color w:val="333333"/>
                <w:lang w:val="fr-FR"/>
              </w:rPr>
              <w:t xml:space="preserve">; </w:t>
            </w:r>
            <w:r w:rsidR="00063DA0" w:rsidRPr="00927778">
              <w:rPr>
                <w:iCs/>
                <w:color w:val="333333"/>
                <w:lang w:val="fr-FR"/>
              </w:rPr>
              <w:t xml:space="preserve"> </w:t>
            </w:r>
            <w:r w:rsidRPr="00927778">
              <w:rPr>
                <w:iCs/>
                <w:color w:val="333333"/>
                <w:lang w:val="fr-FR"/>
              </w:rPr>
              <w:t>l</w:t>
            </w:r>
            <w:r w:rsidR="00EA2C86" w:rsidRPr="00927778">
              <w:rPr>
                <w:iCs/>
                <w:color w:val="333333"/>
                <w:lang w:val="fr-FR"/>
              </w:rPr>
              <w:t>’</w:t>
            </w:r>
            <w:r w:rsidRPr="00927778">
              <w:rPr>
                <w:iCs/>
                <w:color w:val="333333"/>
                <w:lang w:val="fr-FR"/>
              </w:rPr>
              <w:t>élaboration des cours en ligne participerait aussi à atténuer ce risque</w:t>
            </w:r>
            <w:r w:rsidR="00D1583C" w:rsidRPr="00927778">
              <w:rPr>
                <w:iCs/>
                <w:color w:val="333333"/>
                <w:lang w:val="fr-FR"/>
              </w:rPr>
              <w:t>.</w:t>
            </w:r>
          </w:p>
          <w:p w:rsidR="005E6718" w:rsidRPr="00927778" w:rsidRDefault="005E6718" w:rsidP="00855FC8">
            <w:pPr>
              <w:rPr>
                <w:iCs/>
                <w:color w:val="333333"/>
                <w:lang w:val="fr-FR"/>
              </w:rPr>
            </w:pPr>
          </w:p>
          <w:p w:rsidR="00EA2C86" w:rsidRPr="00927778" w:rsidRDefault="00D1583C" w:rsidP="00855FC8">
            <w:pPr>
              <w:rPr>
                <w:color w:val="333333"/>
                <w:lang w:val="fr-FR"/>
              </w:rPr>
            </w:pPr>
            <w:r w:rsidRPr="00927778">
              <w:rPr>
                <w:color w:val="333333"/>
                <w:lang w:val="fr-FR"/>
              </w:rPr>
              <w:t>Pour l</w:t>
            </w:r>
            <w:r w:rsidR="00EA2C86" w:rsidRPr="00927778">
              <w:rPr>
                <w:color w:val="333333"/>
                <w:lang w:val="fr-FR"/>
              </w:rPr>
              <w:t>’</w:t>
            </w:r>
            <w:r w:rsidRPr="00927778">
              <w:rPr>
                <w:color w:val="333333"/>
                <w:lang w:val="fr-FR"/>
              </w:rPr>
              <w:t xml:space="preserve">instant, </w:t>
            </w:r>
            <w:r w:rsidR="003B749B" w:rsidRPr="00927778">
              <w:rPr>
                <w:color w:val="333333"/>
                <w:lang w:val="fr-FR"/>
              </w:rPr>
              <w:t xml:space="preserve">les instituts de formation judiciaire et les autorités concernées des pays bénéficiaires ont </w:t>
            </w:r>
            <w:r w:rsidR="00C111BE" w:rsidRPr="00927778">
              <w:rPr>
                <w:color w:val="333333"/>
                <w:lang w:val="fr-FR"/>
              </w:rPr>
              <w:t>pleinement</w:t>
            </w:r>
            <w:r w:rsidR="003B749B" w:rsidRPr="00927778">
              <w:rPr>
                <w:color w:val="333333"/>
                <w:lang w:val="fr-FR"/>
              </w:rPr>
              <w:t xml:space="preserve"> appuyé la mise en œuvre du projet de sorte que les risques envisagés ont été évités et </w:t>
            </w:r>
            <w:r w:rsidR="00134834" w:rsidRPr="00927778">
              <w:rPr>
                <w:color w:val="333333"/>
                <w:lang w:val="fr-FR"/>
              </w:rPr>
              <w:t>qu</w:t>
            </w:r>
            <w:r w:rsidR="00EA2C86" w:rsidRPr="00927778">
              <w:rPr>
                <w:color w:val="333333"/>
                <w:lang w:val="fr-FR"/>
              </w:rPr>
              <w:t>’</w:t>
            </w:r>
            <w:r w:rsidRPr="00927778">
              <w:rPr>
                <w:color w:val="333333"/>
                <w:lang w:val="fr-FR"/>
              </w:rPr>
              <w:t xml:space="preserve">aucune incidence </w:t>
            </w:r>
            <w:r w:rsidR="00B104C1" w:rsidRPr="00927778">
              <w:rPr>
                <w:color w:val="333333"/>
                <w:lang w:val="fr-FR"/>
              </w:rPr>
              <w:t>négative</w:t>
            </w:r>
            <w:r w:rsidRPr="00927778">
              <w:rPr>
                <w:color w:val="333333"/>
                <w:lang w:val="fr-FR"/>
              </w:rPr>
              <w:t xml:space="preserve"> n</w:t>
            </w:r>
            <w:r w:rsidR="00EA2C86" w:rsidRPr="00927778">
              <w:rPr>
                <w:color w:val="333333"/>
                <w:lang w:val="fr-FR"/>
              </w:rPr>
              <w:t>’</w:t>
            </w:r>
            <w:r w:rsidRPr="00927778">
              <w:rPr>
                <w:color w:val="333333"/>
                <w:lang w:val="fr-FR"/>
              </w:rPr>
              <w:t>a été constatée</w:t>
            </w:r>
            <w:r w:rsidR="00062016" w:rsidRPr="00927778">
              <w:rPr>
                <w:color w:val="333333"/>
                <w:lang w:val="fr-FR"/>
              </w:rPr>
              <w:t>.</w:t>
            </w:r>
          </w:p>
          <w:p w:rsidR="005E6718" w:rsidRPr="00927778" w:rsidRDefault="005E6718" w:rsidP="00855FC8">
            <w:pPr>
              <w:rPr>
                <w:iCs/>
                <w:color w:val="333333"/>
                <w:lang w:val="fr-FR"/>
              </w:rPr>
            </w:pPr>
          </w:p>
          <w:p w:rsidR="005E6718" w:rsidRPr="00927778" w:rsidRDefault="00EC684F" w:rsidP="00EC684F">
            <w:pPr>
              <w:rPr>
                <w:iCs/>
                <w:color w:val="333333"/>
                <w:lang w:val="fr-FR"/>
              </w:rPr>
            </w:pPr>
            <w:r w:rsidRPr="00927778">
              <w:rPr>
                <w:iCs/>
                <w:color w:val="333333"/>
                <w:lang w:val="fr-FR"/>
              </w:rPr>
              <w:t>b)</w:t>
            </w:r>
            <w:r w:rsidRPr="00927778">
              <w:rPr>
                <w:iCs/>
                <w:color w:val="333333"/>
                <w:lang w:val="fr-FR"/>
              </w:rPr>
              <w:tab/>
              <w:t>Les conditions dans un pays pilote sélectionné sont susceptibles d</w:t>
            </w:r>
            <w:r w:rsidR="00EA2C86" w:rsidRPr="00927778">
              <w:rPr>
                <w:iCs/>
                <w:color w:val="333333"/>
                <w:lang w:val="fr-FR"/>
              </w:rPr>
              <w:t>’</w:t>
            </w:r>
            <w:r w:rsidRPr="00927778">
              <w:rPr>
                <w:iCs/>
                <w:color w:val="333333"/>
                <w:lang w:val="fr-FR"/>
              </w:rPr>
              <w:t>entraver le projet, auquel cas les discussions devraient se poursuiv</w:t>
            </w:r>
            <w:r w:rsidR="00306E74" w:rsidRPr="00927778">
              <w:rPr>
                <w:iCs/>
                <w:color w:val="333333"/>
                <w:lang w:val="fr-FR"/>
              </w:rPr>
              <w:t>re.  Si</w:t>
            </w:r>
            <w:r w:rsidRPr="00927778">
              <w:rPr>
                <w:iCs/>
                <w:color w:val="333333"/>
                <w:lang w:val="fr-FR"/>
              </w:rPr>
              <w:t xml:space="preserve"> ces discussions devaient se révéler infructueuses, le projet dans le pays pourrait être suspendu ou reporté.</w:t>
            </w:r>
          </w:p>
          <w:p w:rsidR="005E6718" w:rsidRPr="00927778" w:rsidRDefault="005E6718" w:rsidP="00855FC8">
            <w:pPr>
              <w:rPr>
                <w:iCs/>
                <w:color w:val="333333"/>
                <w:lang w:val="fr-FR"/>
              </w:rPr>
            </w:pPr>
          </w:p>
          <w:p w:rsidR="005E6718" w:rsidRPr="00927778" w:rsidRDefault="001E1184" w:rsidP="00855FC8">
            <w:pPr>
              <w:rPr>
                <w:iCs/>
                <w:color w:val="333333"/>
                <w:lang w:val="fr-FR"/>
              </w:rPr>
            </w:pPr>
            <w:r w:rsidRPr="00927778">
              <w:rPr>
                <w:color w:val="333333"/>
                <w:lang w:val="fr-FR"/>
              </w:rPr>
              <w:t xml:space="preserve">Les conditions dans les pays sélectionnés ont été </w:t>
            </w:r>
            <w:r w:rsidR="00C111BE" w:rsidRPr="00927778">
              <w:rPr>
                <w:color w:val="333333"/>
                <w:lang w:val="fr-FR"/>
              </w:rPr>
              <w:t>favorables</w:t>
            </w:r>
            <w:r w:rsidRPr="00927778">
              <w:rPr>
                <w:color w:val="333333"/>
                <w:lang w:val="fr-FR"/>
              </w:rPr>
              <w:t xml:space="preserve"> à la mise en œuvre du proj</w:t>
            </w:r>
            <w:r w:rsidR="00306E74" w:rsidRPr="00927778">
              <w:rPr>
                <w:color w:val="333333"/>
                <w:lang w:val="fr-FR"/>
              </w:rPr>
              <w:t>et.  Le</w:t>
            </w:r>
            <w:r w:rsidRPr="00927778">
              <w:rPr>
                <w:color w:val="333333"/>
                <w:lang w:val="fr-FR"/>
              </w:rPr>
              <w:t xml:space="preserve"> risque a été évité </w:t>
            </w:r>
            <w:r w:rsidR="002840D3" w:rsidRPr="00927778">
              <w:rPr>
                <w:color w:val="333333"/>
                <w:lang w:val="fr-FR"/>
              </w:rPr>
              <w:t xml:space="preserve">et aucune incidence </w:t>
            </w:r>
            <w:r w:rsidR="00B104C1" w:rsidRPr="00927778">
              <w:rPr>
                <w:color w:val="333333"/>
                <w:lang w:val="fr-FR"/>
              </w:rPr>
              <w:t>négative</w:t>
            </w:r>
            <w:r w:rsidR="002840D3" w:rsidRPr="00927778">
              <w:rPr>
                <w:color w:val="333333"/>
                <w:lang w:val="fr-FR"/>
              </w:rPr>
              <w:t xml:space="preserve"> n</w:t>
            </w:r>
            <w:r w:rsidR="00EA2C86" w:rsidRPr="00927778">
              <w:rPr>
                <w:color w:val="333333"/>
                <w:lang w:val="fr-FR"/>
              </w:rPr>
              <w:t>’</w:t>
            </w:r>
            <w:r w:rsidR="002840D3" w:rsidRPr="00927778">
              <w:rPr>
                <w:color w:val="333333"/>
                <w:lang w:val="fr-FR"/>
              </w:rPr>
              <w:t>a été constatée.</w:t>
            </w:r>
          </w:p>
          <w:p w:rsidR="005E6718" w:rsidRPr="00927778" w:rsidRDefault="005E6718" w:rsidP="00855FC8">
            <w:pPr>
              <w:rPr>
                <w:iCs/>
                <w:color w:val="333333"/>
                <w:lang w:val="fr-FR"/>
              </w:rPr>
            </w:pPr>
          </w:p>
          <w:p w:rsidR="005E6718" w:rsidRPr="00927778" w:rsidRDefault="00EC684F" w:rsidP="00EC684F">
            <w:pPr>
              <w:rPr>
                <w:iCs/>
                <w:color w:val="333333"/>
                <w:lang w:val="fr-FR"/>
              </w:rPr>
            </w:pPr>
            <w:r w:rsidRPr="00927778">
              <w:rPr>
                <w:iCs/>
                <w:color w:val="333333"/>
                <w:lang w:val="fr-FR"/>
              </w:rPr>
              <w:t>c)</w:t>
            </w:r>
            <w:r w:rsidRPr="00927778">
              <w:rPr>
                <w:iCs/>
                <w:color w:val="333333"/>
                <w:lang w:val="fr-FR"/>
              </w:rPr>
              <w:tab/>
              <w:t>L</w:t>
            </w:r>
            <w:r w:rsidR="00EA2C86" w:rsidRPr="00927778">
              <w:rPr>
                <w:iCs/>
                <w:color w:val="333333"/>
                <w:lang w:val="fr-FR"/>
              </w:rPr>
              <w:t>’</w:t>
            </w:r>
            <w:r w:rsidRPr="00927778">
              <w:rPr>
                <w:iCs/>
                <w:color w:val="333333"/>
                <w:lang w:val="fr-FR"/>
              </w:rPr>
              <w:t>utilisation de techniques de l</w:t>
            </w:r>
            <w:r w:rsidR="00EA2C86" w:rsidRPr="00927778">
              <w:rPr>
                <w:iCs/>
                <w:color w:val="333333"/>
                <w:lang w:val="fr-FR"/>
              </w:rPr>
              <w:t>’</w:t>
            </w:r>
            <w:r w:rsidRPr="00927778">
              <w:rPr>
                <w:iCs/>
                <w:color w:val="333333"/>
                <w:lang w:val="fr-FR"/>
              </w:rPr>
              <w:t>information et de la communication (TIC) pourrait être confrontée aux limitations existant dans les pays en développement et les pays les moins avancés comme, par exemple, l</w:t>
            </w:r>
            <w:r w:rsidR="00EA2C86" w:rsidRPr="00927778">
              <w:rPr>
                <w:iCs/>
                <w:color w:val="333333"/>
                <w:lang w:val="fr-FR"/>
              </w:rPr>
              <w:t>’</w:t>
            </w:r>
            <w:r w:rsidRPr="00927778">
              <w:rPr>
                <w:iCs/>
                <w:color w:val="333333"/>
                <w:lang w:val="fr-FR"/>
              </w:rPr>
              <w:t>absence de l</w:t>
            </w:r>
            <w:r w:rsidR="00EA2C86" w:rsidRPr="00927778">
              <w:rPr>
                <w:iCs/>
                <w:color w:val="333333"/>
                <w:lang w:val="fr-FR"/>
              </w:rPr>
              <w:t>’</w:t>
            </w:r>
            <w:r w:rsidRPr="00927778">
              <w:rPr>
                <w:iCs/>
                <w:color w:val="333333"/>
                <w:lang w:val="fr-FR"/>
              </w:rPr>
              <w:t>Internet ou l</w:t>
            </w:r>
            <w:r w:rsidR="00EA2C86" w:rsidRPr="00927778">
              <w:rPr>
                <w:iCs/>
                <w:color w:val="333333"/>
                <w:lang w:val="fr-FR"/>
              </w:rPr>
              <w:t>’</w:t>
            </w:r>
            <w:r w:rsidRPr="00927778">
              <w:rPr>
                <w:iCs/>
                <w:color w:val="333333"/>
                <w:lang w:val="fr-FR"/>
              </w:rPr>
              <w:t>Internet à faible déb</w:t>
            </w:r>
            <w:r w:rsidR="00306E74" w:rsidRPr="00927778">
              <w:rPr>
                <w:iCs/>
                <w:color w:val="333333"/>
                <w:lang w:val="fr-FR"/>
              </w:rPr>
              <w:t>it.  Un</w:t>
            </w:r>
            <w:r w:rsidRPr="00927778">
              <w:rPr>
                <w:iCs/>
                <w:color w:val="333333"/>
                <w:lang w:val="fr-FR"/>
              </w:rPr>
              <w:t xml:space="preserve">e mesure </w:t>
            </w:r>
            <w:r w:rsidR="00DE14D6" w:rsidRPr="00927778">
              <w:rPr>
                <w:iCs/>
                <w:color w:val="333333"/>
                <w:lang w:val="fr-FR"/>
              </w:rPr>
              <w:t>de prévention</w:t>
            </w:r>
            <w:r w:rsidRPr="00927778">
              <w:rPr>
                <w:iCs/>
                <w:color w:val="333333"/>
                <w:lang w:val="fr-FR"/>
              </w:rPr>
              <w:t xml:space="preserve"> essentielle pour écarter ce risque consisterait à assurer la publication sur support imprimé de l</w:t>
            </w:r>
            <w:r w:rsidR="00EA2C86" w:rsidRPr="00927778">
              <w:rPr>
                <w:iCs/>
                <w:color w:val="333333"/>
                <w:lang w:val="fr-FR"/>
              </w:rPr>
              <w:t>’</w:t>
            </w:r>
            <w:r w:rsidRPr="00927778">
              <w:rPr>
                <w:iCs/>
                <w:color w:val="333333"/>
                <w:lang w:val="fr-FR"/>
              </w:rPr>
              <w:t>instrument relatif aux droits de propriété intellectuelle à l</w:t>
            </w:r>
            <w:r w:rsidR="00EA2C86" w:rsidRPr="00927778">
              <w:rPr>
                <w:iCs/>
                <w:color w:val="333333"/>
                <w:lang w:val="fr-FR"/>
              </w:rPr>
              <w:t>’</w:t>
            </w:r>
            <w:r w:rsidRPr="00927778">
              <w:rPr>
                <w:iCs/>
                <w:color w:val="333333"/>
                <w:lang w:val="fr-FR"/>
              </w:rPr>
              <w:t>intention des juges.</w:t>
            </w:r>
          </w:p>
          <w:p w:rsidR="005E6718" w:rsidRPr="00927778" w:rsidRDefault="005E6718" w:rsidP="00855FC8">
            <w:pPr>
              <w:rPr>
                <w:iCs/>
                <w:color w:val="333333"/>
                <w:lang w:val="fr-FR"/>
              </w:rPr>
            </w:pPr>
          </w:p>
          <w:p w:rsidR="005E6718" w:rsidRPr="00927778" w:rsidRDefault="000624DF" w:rsidP="00855FC8">
            <w:pPr>
              <w:rPr>
                <w:color w:val="333333"/>
                <w:lang w:val="fr-FR"/>
              </w:rPr>
            </w:pPr>
            <w:r w:rsidRPr="00927778">
              <w:rPr>
                <w:color w:val="333333"/>
                <w:lang w:val="fr-FR"/>
              </w:rPr>
              <w:t>L</w:t>
            </w:r>
            <w:r w:rsidR="00EA2C86" w:rsidRPr="00927778">
              <w:rPr>
                <w:color w:val="333333"/>
                <w:lang w:val="fr-FR"/>
              </w:rPr>
              <w:t>’</w:t>
            </w:r>
            <w:r w:rsidRPr="00927778">
              <w:rPr>
                <w:color w:val="333333"/>
                <w:lang w:val="fr-FR"/>
              </w:rPr>
              <w:t>utilisation de TIC n</w:t>
            </w:r>
            <w:r w:rsidR="00EA2C86" w:rsidRPr="00927778">
              <w:rPr>
                <w:color w:val="333333"/>
                <w:lang w:val="fr-FR"/>
              </w:rPr>
              <w:t>’</w:t>
            </w:r>
            <w:r w:rsidRPr="00927778">
              <w:rPr>
                <w:color w:val="333333"/>
                <w:lang w:val="fr-FR"/>
              </w:rPr>
              <w:t xml:space="preserve">a pas été confrontée à de sérieuses limitations dans les pays bénéficiaires étant donné </w:t>
            </w:r>
            <w:r w:rsidR="005F4D5F" w:rsidRPr="00927778">
              <w:rPr>
                <w:color w:val="333333"/>
                <w:lang w:val="fr-FR"/>
              </w:rPr>
              <w:t xml:space="preserve">que </w:t>
            </w:r>
            <w:r w:rsidRPr="00927778">
              <w:rPr>
                <w:color w:val="333333"/>
                <w:lang w:val="fr-FR"/>
              </w:rPr>
              <w:t>les supports didactiques ont été mis à disposition dans des formats papier facilement accessibl</w:t>
            </w:r>
            <w:r w:rsidR="00306E74" w:rsidRPr="00927778">
              <w:rPr>
                <w:color w:val="333333"/>
                <w:lang w:val="fr-FR"/>
              </w:rPr>
              <w:t>es.  Le</w:t>
            </w:r>
            <w:r w:rsidRPr="00927778">
              <w:rPr>
                <w:color w:val="333333"/>
                <w:lang w:val="fr-FR"/>
              </w:rPr>
              <w:t xml:space="preserve"> risque a été </w:t>
            </w:r>
            <w:r w:rsidR="0088497A" w:rsidRPr="00927778">
              <w:rPr>
                <w:color w:val="333333"/>
                <w:lang w:val="fr-FR"/>
              </w:rPr>
              <w:t xml:space="preserve">évité </w:t>
            </w:r>
            <w:r w:rsidR="002840D3" w:rsidRPr="00927778">
              <w:rPr>
                <w:color w:val="333333"/>
                <w:lang w:val="fr-FR"/>
              </w:rPr>
              <w:t xml:space="preserve">et aucune incidence </w:t>
            </w:r>
            <w:r w:rsidR="00B104C1" w:rsidRPr="00927778">
              <w:rPr>
                <w:color w:val="333333"/>
                <w:lang w:val="fr-FR"/>
              </w:rPr>
              <w:t>négative</w:t>
            </w:r>
            <w:r w:rsidR="002840D3" w:rsidRPr="00927778">
              <w:rPr>
                <w:color w:val="333333"/>
                <w:lang w:val="fr-FR"/>
              </w:rPr>
              <w:t xml:space="preserve"> n</w:t>
            </w:r>
            <w:r w:rsidR="00EA2C86" w:rsidRPr="00927778">
              <w:rPr>
                <w:color w:val="333333"/>
                <w:lang w:val="fr-FR"/>
              </w:rPr>
              <w:t>’</w:t>
            </w:r>
            <w:r w:rsidR="002840D3" w:rsidRPr="00927778">
              <w:rPr>
                <w:color w:val="333333"/>
                <w:lang w:val="fr-FR"/>
              </w:rPr>
              <w:t>a été constatée.</w:t>
            </w:r>
          </w:p>
          <w:p w:rsidR="0063175C" w:rsidRPr="00927778" w:rsidRDefault="0063175C" w:rsidP="00855FC8">
            <w:pPr>
              <w:rPr>
                <w:iCs/>
                <w:color w:val="333333"/>
                <w:lang w:val="fr-FR"/>
              </w:rPr>
            </w:pPr>
          </w:p>
        </w:tc>
      </w:tr>
      <w:tr w:rsidR="00047C22" w:rsidRPr="00927778" w:rsidTr="00847CC2">
        <w:trPr>
          <w:trHeight w:val="901"/>
        </w:trPr>
        <w:tc>
          <w:tcPr>
            <w:tcW w:w="2376" w:type="dxa"/>
            <w:shd w:val="clear" w:color="auto" w:fill="auto"/>
          </w:tcPr>
          <w:p w:rsidR="009373F6" w:rsidRPr="00927778" w:rsidRDefault="00EC684F" w:rsidP="00EC684F">
            <w:pPr>
              <w:pStyle w:val="Heading3"/>
              <w:keepNext w:val="0"/>
              <w:rPr>
                <w:color w:val="333333"/>
                <w:lang w:val="fr-FR"/>
              </w:rPr>
            </w:pPr>
            <w:r w:rsidRPr="00927778">
              <w:rPr>
                <w:color w:val="333333"/>
                <w:lang w:val="fr-FR"/>
              </w:rPr>
              <w:t>Questions nécessitant un appui ou une attention immédiats</w:t>
            </w:r>
          </w:p>
        </w:tc>
        <w:tc>
          <w:tcPr>
            <w:tcW w:w="6912" w:type="dxa"/>
          </w:tcPr>
          <w:p w:rsidR="005E6718" w:rsidRPr="00927778" w:rsidRDefault="005E6718" w:rsidP="00855FC8">
            <w:pPr>
              <w:ind w:left="318"/>
              <w:rPr>
                <w:iCs/>
                <w:color w:val="333333"/>
                <w:lang w:val="fr-FR"/>
              </w:rPr>
            </w:pPr>
          </w:p>
          <w:p w:rsidR="00EA2C86" w:rsidRPr="00927778" w:rsidRDefault="00F0329A" w:rsidP="00855FC8">
            <w:pPr>
              <w:rPr>
                <w:iCs/>
                <w:color w:val="333333"/>
                <w:lang w:val="fr-FR"/>
              </w:rPr>
            </w:pPr>
            <w:r w:rsidRPr="00927778">
              <w:rPr>
                <w:iCs/>
                <w:color w:val="333333"/>
                <w:lang w:val="fr-FR"/>
              </w:rPr>
              <w:t>Tout en concevant</w:t>
            </w:r>
            <w:r w:rsidR="00F65D02" w:rsidRPr="00927778">
              <w:rPr>
                <w:iCs/>
                <w:color w:val="333333"/>
                <w:lang w:val="fr-FR"/>
              </w:rPr>
              <w:t xml:space="preserve"> les outils de formation continue, l</w:t>
            </w:r>
            <w:r w:rsidR="00EA2C86" w:rsidRPr="00927778">
              <w:rPr>
                <w:iCs/>
                <w:color w:val="333333"/>
                <w:lang w:val="fr-FR"/>
              </w:rPr>
              <w:t>’</w:t>
            </w:r>
            <w:r w:rsidR="00F65D02" w:rsidRPr="00927778">
              <w:rPr>
                <w:iCs/>
                <w:color w:val="333333"/>
                <w:lang w:val="fr-FR"/>
              </w:rPr>
              <w:t>Académie de l</w:t>
            </w:r>
            <w:r w:rsidR="00EA2C86" w:rsidRPr="00927778">
              <w:rPr>
                <w:iCs/>
                <w:color w:val="333333"/>
                <w:lang w:val="fr-FR"/>
              </w:rPr>
              <w:t>’</w:t>
            </w:r>
            <w:r w:rsidR="00F65D02" w:rsidRPr="00927778">
              <w:rPr>
                <w:iCs/>
                <w:color w:val="333333"/>
                <w:lang w:val="fr-FR"/>
              </w:rPr>
              <w:t>OMPI a également préparé le terrain pour répondre à d</w:t>
            </w:r>
            <w:r w:rsidR="00EA2C86" w:rsidRPr="00927778">
              <w:rPr>
                <w:iCs/>
                <w:color w:val="333333"/>
                <w:lang w:val="fr-FR"/>
              </w:rPr>
              <w:t>’</w:t>
            </w:r>
            <w:r w:rsidR="00F65D02" w:rsidRPr="00927778">
              <w:rPr>
                <w:iCs/>
                <w:color w:val="333333"/>
                <w:lang w:val="fr-FR"/>
              </w:rPr>
              <w:t>éventuelles nouvelles demandes d</w:t>
            </w:r>
            <w:r w:rsidR="00EA2C86" w:rsidRPr="00927778">
              <w:rPr>
                <w:iCs/>
                <w:color w:val="333333"/>
                <w:lang w:val="fr-FR"/>
              </w:rPr>
              <w:t>’</w:t>
            </w:r>
            <w:r w:rsidR="00F65D02" w:rsidRPr="00927778">
              <w:rPr>
                <w:iCs/>
                <w:color w:val="333333"/>
                <w:lang w:val="fr-FR"/>
              </w:rPr>
              <w:t xml:space="preserve">assistance </w:t>
            </w:r>
            <w:r w:rsidR="00885255" w:rsidRPr="00927778">
              <w:rPr>
                <w:iCs/>
                <w:color w:val="333333"/>
                <w:lang w:val="fr-FR"/>
              </w:rPr>
              <w:t>de la part</w:t>
            </w:r>
            <w:r w:rsidR="00F65D02" w:rsidRPr="00927778">
              <w:rPr>
                <w:iCs/>
                <w:color w:val="333333"/>
                <w:lang w:val="fr-FR"/>
              </w:rPr>
              <w:t xml:space="preserve"> d</w:t>
            </w:r>
            <w:r w:rsidR="00EA2C86" w:rsidRPr="00927778">
              <w:rPr>
                <w:iCs/>
                <w:color w:val="333333"/>
                <w:lang w:val="fr-FR"/>
              </w:rPr>
              <w:t>’</w:t>
            </w:r>
            <w:r w:rsidR="00F65D02" w:rsidRPr="00927778">
              <w:rPr>
                <w:iCs/>
                <w:color w:val="333333"/>
                <w:lang w:val="fr-FR"/>
              </w:rPr>
              <w:t>autres pays.</w:t>
            </w:r>
          </w:p>
          <w:p w:rsidR="005E6718" w:rsidRPr="00927778" w:rsidRDefault="005E6718" w:rsidP="00855FC8">
            <w:pPr>
              <w:ind w:left="318" w:hanging="284"/>
              <w:rPr>
                <w:iCs/>
                <w:color w:val="333333"/>
                <w:lang w:val="fr-FR"/>
              </w:rPr>
            </w:pPr>
          </w:p>
          <w:p w:rsidR="00EA2C86" w:rsidRPr="00927778" w:rsidRDefault="002B20C8" w:rsidP="00855FC8">
            <w:pPr>
              <w:rPr>
                <w:color w:val="333333"/>
                <w:lang w:val="fr-FR"/>
              </w:rPr>
            </w:pPr>
            <w:r w:rsidRPr="00927778">
              <w:rPr>
                <w:color w:val="333333"/>
                <w:lang w:val="fr-FR"/>
              </w:rPr>
              <w:t>Sous réserve de l</w:t>
            </w:r>
            <w:r w:rsidR="00EA2C86" w:rsidRPr="00927778">
              <w:rPr>
                <w:color w:val="333333"/>
                <w:lang w:val="fr-FR"/>
              </w:rPr>
              <w:t>’</w:t>
            </w:r>
            <w:r w:rsidRPr="00927778">
              <w:rPr>
                <w:color w:val="333333"/>
                <w:lang w:val="fr-FR"/>
              </w:rPr>
              <w:t xml:space="preserve">évaluation du projet et de sa considération par le </w:t>
            </w:r>
            <w:r w:rsidR="0057466D" w:rsidRPr="00927778">
              <w:rPr>
                <w:color w:val="333333"/>
                <w:lang w:val="fr-FR"/>
              </w:rPr>
              <w:t>comité</w:t>
            </w:r>
            <w:r w:rsidRPr="00927778">
              <w:rPr>
                <w:color w:val="333333"/>
                <w:lang w:val="fr-FR"/>
              </w:rPr>
              <w:t>, les activités du projet pourraient être intégrées aux programmes réguliers de l</w:t>
            </w:r>
            <w:r w:rsidR="00EA2C86" w:rsidRPr="00927778">
              <w:rPr>
                <w:color w:val="333333"/>
                <w:lang w:val="fr-FR"/>
              </w:rPr>
              <w:t>’</w:t>
            </w:r>
            <w:r w:rsidRPr="00927778">
              <w:rPr>
                <w:color w:val="333333"/>
                <w:lang w:val="fr-FR"/>
              </w:rPr>
              <w:t>O</w:t>
            </w:r>
            <w:r w:rsidR="00306E74" w:rsidRPr="00927778">
              <w:rPr>
                <w:color w:val="333333"/>
                <w:lang w:val="fr-FR"/>
              </w:rPr>
              <w:t>MPI.  Il</w:t>
            </w:r>
            <w:r w:rsidRPr="00927778">
              <w:rPr>
                <w:color w:val="333333"/>
                <w:lang w:val="fr-FR"/>
              </w:rPr>
              <w:t xml:space="preserve"> serait ainsi plus aisé de satisfaire les demandes de nouveaux pays et de maintenir une assistance</w:t>
            </w:r>
            <w:r w:rsidR="0010120A" w:rsidRPr="00927778">
              <w:rPr>
                <w:color w:val="333333"/>
                <w:lang w:val="fr-FR"/>
              </w:rPr>
              <w:t xml:space="preserve">, </w:t>
            </w:r>
            <w:r w:rsidRPr="00927778">
              <w:rPr>
                <w:color w:val="333333"/>
                <w:lang w:val="fr-FR"/>
              </w:rPr>
              <w:t>quelle qu</w:t>
            </w:r>
            <w:r w:rsidR="00EA2C86" w:rsidRPr="00927778">
              <w:rPr>
                <w:color w:val="333333"/>
                <w:lang w:val="fr-FR"/>
              </w:rPr>
              <w:t>’</w:t>
            </w:r>
            <w:r w:rsidRPr="00927778">
              <w:rPr>
                <w:color w:val="333333"/>
                <w:lang w:val="fr-FR"/>
              </w:rPr>
              <w:t>elle soit</w:t>
            </w:r>
            <w:r w:rsidR="0010120A" w:rsidRPr="00927778">
              <w:rPr>
                <w:color w:val="333333"/>
                <w:lang w:val="fr-FR"/>
              </w:rPr>
              <w:t>,</w:t>
            </w:r>
            <w:r w:rsidRPr="00927778">
              <w:rPr>
                <w:color w:val="333333"/>
                <w:lang w:val="fr-FR"/>
              </w:rPr>
              <w:t xml:space="preserve"> auprès des pays pilotes après 2018, </w:t>
            </w:r>
            <w:r w:rsidR="00885255" w:rsidRPr="00927778">
              <w:rPr>
                <w:color w:val="333333"/>
                <w:lang w:val="fr-FR"/>
              </w:rPr>
              <w:t xml:space="preserve">assistance pour laquelle ils </w:t>
            </w:r>
            <w:r w:rsidR="00514F84" w:rsidRPr="00927778">
              <w:rPr>
                <w:color w:val="333333"/>
                <w:lang w:val="fr-FR"/>
              </w:rPr>
              <w:t xml:space="preserve">ont déjà manifesté un </w:t>
            </w:r>
            <w:r w:rsidR="00885255" w:rsidRPr="00927778">
              <w:rPr>
                <w:color w:val="333333"/>
                <w:lang w:val="fr-FR"/>
              </w:rPr>
              <w:t>réel</w:t>
            </w:r>
            <w:r w:rsidR="00514F84" w:rsidRPr="00927778">
              <w:rPr>
                <w:color w:val="333333"/>
                <w:lang w:val="fr-FR"/>
              </w:rPr>
              <w:t xml:space="preserve"> intérêt.</w:t>
            </w:r>
          </w:p>
          <w:p w:rsidR="009373F6" w:rsidRPr="00927778" w:rsidRDefault="009373F6" w:rsidP="00855FC8">
            <w:pPr>
              <w:rPr>
                <w:iCs/>
                <w:color w:val="333333"/>
                <w:lang w:val="fr-FR"/>
              </w:rPr>
            </w:pPr>
          </w:p>
        </w:tc>
      </w:tr>
      <w:tr w:rsidR="00047C22" w:rsidRPr="00927778" w:rsidTr="00847CC2">
        <w:trPr>
          <w:trHeight w:val="1081"/>
        </w:trPr>
        <w:tc>
          <w:tcPr>
            <w:tcW w:w="2376" w:type="dxa"/>
            <w:shd w:val="clear" w:color="auto" w:fill="auto"/>
          </w:tcPr>
          <w:p w:rsidR="009373F6" w:rsidRPr="00927778" w:rsidRDefault="00EC684F" w:rsidP="00144EAC">
            <w:pPr>
              <w:pStyle w:val="Heading3"/>
              <w:keepNext w:val="0"/>
              <w:rPr>
                <w:color w:val="333333"/>
                <w:lang w:val="fr-FR"/>
              </w:rPr>
            </w:pPr>
            <w:r w:rsidRPr="00927778">
              <w:rPr>
                <w:color w:val="333333"/>
                <w:lang w:val="fr-FR"/>
              </w:rPr>
              <w:t>Mesures à prendre</w:t>
            </w:r>
          </w:p>
        </w:tc>
        <w:tc>
          <w:tcPr>
            <w:tcW w:w="6912" w:type="dxa"/>
          </w:tcPr>
          <w:p w:rsidR="005E6718" w:rsidRPr="00927778" w:rsidRDefault="005E6718" w:rsidP="00144EAC">
            <w:pPr>
              <w:ind w:left="318"/>
              <w:rPr>
                <w:iCs/>
                <w:color w:val="333333"/>
                <w:lang w:val="fr-FR"/>
              </w:rPr>
            </w:pPr>
          </w:p>
          <w:p w:rsidR="005E6718" w:rsidRPr="00927778" w:rsidRDefault="00B916C2" w:rsidP="00144EAC">
            <w:pPr>
              <w:rPr>
                <w:iCs/>
                <w:color w:val="333333"/>
                <w:lang w:val="fr-FR"/>
              </w:rPr>
            </w:pPr>
            <w:r w:rsidRPr="00927778">
              <w:rPr>
                <w:iCs/>
                <w:color w:val="333333"/>
                <w:lang w:val="fr-FR"/>
              </w:rPr>
              <w:t>Achever le</w:t>
            </w:r>
            <w:r w:rsidR="00264118" w:rsidRPr="00927778">
              <w:rPr>
                <w:iCs/>
                <w:color w:val="333333"/>
                <w:lang w:val="fr-FR"/>
              </w:rPr>
              <w:t xml:space="preserve"> proje</w:t>
            </w:r>
            <w:r w:rsidR="009373F6" w:rsidRPr="00927778">
              <w:rPr>
                <w:iCs/>
                <w:color w:val="333333"/>
                <w:lang w:val="fr-FR"/>
              </w:rPr>
              <w:t>t</w:t>
            </w:r>
            <w:r w:rsidR="00264118" w:rsidRPr="00927778">
              <w:rPr>
                <w:iCs/>
                <w:color w:val="333333"/>
                <w:lang w:val="fr-FR"/>
              </w:rPr>
              <w:t xml:space="preserve"> d</w:t>
            </w:r>
            <w:r w:rsidR="00EA2C86" w:rsidRPr="00927778">
              <w:rPr>
                <w:iCs/>
                <w:color w:val="333333"/>
                <w:lang w:val="fr-FR"/>
              </w:rPr>
              <w:t>’</w:t>
            </w:r>
            <w:r w:rsidR="00264118" w:rsidRPr="00927778">
              <w:rPr>
                <w:iCs/>
                <w:color w:val="333333"/>
                <w:lang w:val="fr-FR"/>
              </w:rPr>
              <w:t>ici au 3</w:t>
            </w:r>
            <w:r w:rsidR="00EA2C86" w:rsidRPr="00927778">
              <w:rPr>
                <w:iCs/>
                <w:color w:val="333333"/>
                <w:lang w:val="fr-FR"/>
              </w:rPr>
              <w:t>1 décembre 20</w:t>
            </w:r>
            <w:r w:rsidR="009373F6" w:rsidRPr="00927778">
              <w:rPr>
                <w:iCs/>
                <w:color w:val="333333"/>
                <w:lang w:val="fr-FR"/>
              </w:rPr>
              <w:t xml:space="preserve">18 </w:t>
            </w:r>
            <w:r w:rsidR="00264118" w:rsidRPr="00927778">
              <w:rPr>
                <w:iCs/>
                <w:color w:val="333333"/>
                <w:lang w:val="fr-FR"/>
              </w:rPr>
              <w:t>en testant, passant en revue et consolidant les résultats obtenus</w:t>
            </w:r>
            <w:r w:rsidR="009373F6" w:rsidRPr="00927778">
              <w:rPr>
                <w:iCs/>
                <w:color w:val="333333"/>
                <w:lang w:val="fr-FR"/>
              </w:rPr>
              <w:t>;</w:t>
            </w:r>
          </w:p>
          <w:p w:rsidR="005E6718" w:rsidRPr="00927778" w:rsidRDefault="005E6718" w:rsidP="00144EAC">
            <w:pPr>
              <w:ind w:left="318"/>
              <w:rPr>
                <w:iCs/>
                <w:color w:val="333333"/>
                <w:lang w:val="fr-FR"/>
              </w:rPr>
            </w:pPr>
          </w:p>
          <w:p w:rsidR="00EA2C86" w:rsidRPr="00927778" w:rsidRDefault="00B916C2" w:rsidP="00144EAC">
            <w:pPr>
              <w:rPr>
                <w:iCs/>
                <w:color w:val="333333"/>
                <w:lang w:val="fr-FR"/>
              </w:rPr>
            </w:pPr>
            <w:r w:rsidRPr="00927778">
              <w:rPr>
                <w:iCs/>
                <w:color w:val="333333"/>
                <w:lang w:val="fr-FR"/>
              </w:rPr>
              <w:t>Achever</w:t>
            </w:r>
            <w:r w:rsidR="00264118" w:rsidRPr="00927778">
              <w:rPr>
                <w:iCs/>
                <w:color w:val="333333"/>
                <w:lang w:val="fr-FR"/>
              </w:rPr>
              <w:t xml:space="preserve"> la cartographie des instituts de formation judiciaire existants qui offrent une formation continue en matière de droits de</w:t>
            </w:r>
            <w:r w:rsidRPr="00927778">
              <w:rPr>
                <w:iCs/>
                <w:color w:val="333333"/>
                <w:lang w:val="fr-FR"/>
              </w:rPr>
              <w:t xml:space="preserve"> la</w:t>
            </w:r>
            <w:r w:rsidR="00264118" w:rsidRPr="00927778">
              <w:rPr>
                <w:iCs/>
                <w:color w:val="333333"/>
                <w:lang w:val="fr-FR"/>
              </w:rPr>
              <w:t xml:space="preserve"> propriété intellectuelle</w:t>
            </w:r>
            <w:r w:rsidR="009373F6" w:rsidRPr="00927778">
              <w:rPr>
                <w:iCs/>
                <w:color w:val="333333"/>
                <w:lang w:val="fr-FR"/>
              </w:rPr>
              <w:t>.</w:t>
            </w:r>
          </w:p>
          <w:p w:rsidR="009373F6" w:rsidRPr="00927778" w:rsidRDefault="009373F6" w:rsidP="00144EAC">
            <w:pPr>
              <w:ind w:left="318"/>
              <w:rPr>
                <w:iCs/>
                <w:color w:val="333333"/>
                <w:lang w:val="fr-FR"/>
              </w:rPr>
            </w:pPr>
          </w:p>
        </w:tc>
      </w:tr>
      <w:tr w:rsidR="00047C22" w:rsidRPr="00927778" w:rsidTr="00847CC2">
        <w:trPr>
          <w:trHeight w:val="1407"/>
        </w:trPr>
        <w:tc>
          <w:tcPr>
            <w:tcW w:w="2376" w:type="dxa"/>
            <w:shd w:val="clear" w:color="auto" w:fill="auto"/>
          </w:tcPr>
          <w:p w:rsidR="009373F6" w:rsidRPr="00927778" w:rsidRDefault="00EC684F" w:rsidP="00144EAC">
            <w:pPr>
              <w:pStyle w:val="Heading3"/>
              <w:keepNext w:val="0"/>
              <w:rPr>
                <w:color w:val="333333"/>
                <w:lang w:val="fr-FR"/>
              </w:rPr>
            </w:pPr>
            <w:r w:rsidRPr="00927778">
              <w:rPr>
                <w:color w:val="333333"/>
                <w:lang w:val="fr-FR"/>
              </w:rPr>
              <w:t xml:space="preserve">Calendrier </w:t>
            </w:r>
            <w:r w:rsidR="00112390" w:rsidRPr="00927778">
              <w:rPr>
                <w:color w:val="333333"/>
                <w:lang w:val="fr-FR"/>
              </w:rPr>
              <w:t xml:space="preserve">de mise en œuvre </w:t>
            </w:r>
          </w:p>
        </w:tc>
        <w:tc>
          <w:tcPr>
            <w:tcW w:w="6912" w:type="dxa"/>
          </w:tcPr>
          <w:p w:rsidR="005E6718" w:rsidRPr="00927778" w:rsidRDefault="005E6718" w:rsidP="00144EAC">
            <w:pPr>
              <w:rPr>
                <w:iCs/>
                <w:color w:val="333333"/>
                <w:lang w:val="fr-FR"/>
              </w:rPr>
            </w:pPr>
          </w:p>
          <w:p w:rsidR="005E6718" w:rsidRPr="00927778" w:rsidRDefault="008578B2" w:rsidP="00144EAC">
            <w:pPr>
              <w:rPr>
                <w:iCs/>
                <w:color w:val="333333"/>
                <w:lang w:val="fr-FR"/>
              </w:rPr>
            </w:pPr>
            <w:r w:rsidRPr="00927778">
              <w:rPr>
                <w:iCs/>
                <w:color w:val="333333"/>
                <w:lang w:val="fr-FR"/>
              </w:rPr>
              <w:t>1</w:t>
            </w:r>
            <w:r w:rsidR="00EA2C86" w:rsidRPr="00927778">
              <w:rPr>
                <w:iCs/>
                <w:color w:val="333333"/>
                <w:lang w:val="fr-FR"/>
              </w:rPr>
              <w:t>5 juillet 20</w:t>
            </w:r>
            <w:r w:rsidR="009373F6" w:rsidRPr="00927778">
              <w:rPr>
                <w:iCs/>
                <w:color w:val="333333"/>
                <w:lang w:val="fr-FR"/>
              </w:rPr>
              <w:t xml:space="preserve">16 – </w:t>
            </w:r>
            <w:r w:rsidRPr="00927778">
              <w:rPr>
                <w:iCs/>
                <w:color w:val="333333"/>
                <w:lang w:val="fr-FR"/>
              </w:rPr>
              <w:t>3</w:t>
            </w:r>
            <w:r w:rsidR="00EA2C86" w:rsidRPr="00927778">
              <w:rPr>
                <w:iCs/>
                <w:color w:val="333333"/>
                <w:lang w:val="fr-FR"/>
              </w:rPr>
              <w:t>1 décembre 20</w:t>
            </w:r>
            <w:r w:rsidR="009373F6" w:rsidRPr="00927778">
              <w:rPr>
                <w:iCs/>
                <w:color w:val="333333"/>
                <w:lang w:val="fr-FR"/>
              </w:rPr>
              <w:t>18</w:t>
            </w:r>
          </w:p>
          <w:p w:rsidR="005E6718" w:rsidRPr="00927778" w:rsidRDefault="005E6718" w:rsidP="00144EAC">
            <w:pPr>
              <w:rPr>
                <w:iCs/>
                <w:color w:val="333333"/>
                <w:lang w:val="fr-FR"/>
              </w:rPr>
            </w:pPr>
          </w:p>
          <w:p w:rsidR="00EA2C86" w:rsidRPr="00927778" w:rsidRDefault="00AE16B5" w:rsidP="00144EAC">
            <w:pPr>
              <w:rPr>
                <w:iCs/>
                <w:color w:val="333333"/>
                <w:lang w:val="fr-FR"/>
              </w:rPr>
            </w:pPr>
            <w:r w:rsidRPr="00927778">
              <w:rPr>
                <w:iCs/>
                <w:color w:val="333333"/>
                <w:lang w:val="fr-FR"/>
              </w:rPr>
              <w:t xml:space="preserve">La plupart des résultats escomptés étaient atteints en </w:t>
            </w:r>
            <w:r w:rsidR="00EA2C86" w:rsidRPr="00927778">
              <w:rPr>
                <w:iCs/>
                <w:color w:val="333333"/>
                <w:lang w:val="fr-FR"/>
              </w:rPr>
              <w:t>juillet 20</w:t>
            </w:r>
            <w:r w:rsidRPr="00927778">
              <w:rPr>
                <w:iCs/>
                <w:color w:val="333333"/>
                <w:lang w:val="fr-FR"/>
              </w:rPr>
              <w:t>18 comme pré</w:t>
            </w:r>
            <w:r w:rsidR="00306E74" w:rsidRPr="00927778">
              <w:rPr>
                <w:iCs/>
                <w:color w:val="333333"/>
                <w:lang w:val="fr-FR"/>
              </w:rPr>
              <w:t>vu.  To</w:t>
            </w:r>
            <w:r w:rsidRPr="00927778">
              <w:rPr>
                <w:iCs/>
                <w:color w:val="333333"/>
                <w:lang w:val="fr-FR"/>
              </w:rPr>
              <w:t xml:space="preserve">utefois, une </w:t>
            </w:r>
            <w:r w:rsidR="00C111BE" w:rsidRPr="00927778">
              <w:rPr>
                <w:iCs/>
                <w:color w:val="333333"/>
                <w:lang w:val="fr-FR"/>
              </w:rPr>
              <w:t>prorogation de</w:t>
            </w:r>
            <w:r w:rsidRPr="00927778">
              <w:rPr>
                <w:iCs/>
                <w:color w:val="333333"/>
                <w:lang w:val="fr-FR"/>
              </w:rPr>
              <w:t xml:space="preserve"> cinq</w:t>
            </w:r>
            <w:r w:rsidR="0057466D" w:rsidRPr="00927778">
              <w:rPr>
                <w:iCs/>
                <w:color w:val="333333"/>
                <w:lang w:val="fr-FR"/>
              </w:rPr>
              <w:t> </w:t>
            </w:r>
            <w:r w:rsidRPr="00927778">
              <w:rPr>
                <w:iCs/>
                <w:color w:val="333333"/>
                <w:lang w:val="fr-FR"/>
              </w:rPr>
              <w:t xml:space="preserve">mois a été jugée nécessaire pour pouvoir tester et passer en revue les activités </w:t>
            </w:r>
            <w:r w:rsidR="00150121" w:rsidRPr="00927778">
              <w:rPr>
                <w:iCs/>
                <w:color w:val="333333"/>
                <w:lang w:val="fr-FR"/>
              </w:rPr>
              <w:t>et veiller à</w:t>
            </w:r>
            <w:r w:rsidRPr="00927778">
              <w:rPr>
                <w:iCs/>
                <w:color w:val="333333"/>
                <w:lang w:val="fr-FR"/>
              </w:rPr>
              <w:t xml:space="preserve"> la qualité </w:t>
            </w:r>
            <w:r w:rsidR="00150121" w:rsidRPr="00927778">
              <w:rPr>
                <w:iCs/>
                <w:color w:val="333333"/>
                <w:lang w:val="fr-FR"/>
              </w:rPr>
              <w:t xml:space="preserve">optimale </w:t>
            </w:r>
            <w:r w:rsidRPr="00927778">
              <w:rPr>
                <w:iCs/>
                <w:color w:val="333333"/>
                <w:lang w:val="fr-FR"/>
              </w:rPr>
              <w:t>des résultats du projet.</w:t>
            </w:r>
          </w:p>
          <w:p w:rsidR="00822082" w:rsidRPr="00927778" w:rsidRDefault="00822082" w:rsidP="00144EAC">
            <w:pPr>
              <w:rPr>
                <w:iCs/>
                <w:color w:val="333333"/>
                <w:lang w:val="fr-FR"/>
              </w:rPr>
            </w:pPr>
          </w:p>
        </w:tc>
      </w:tr>
      <w:tr w:rsidR="00047C22" w:rsidRPr="00927778" w:rsidTr="00847CC2">
        <w:trPr>
          <w:trHeight w:val="848"/>
        </w:trPr>
        <w:tc>
          <w:tcPr>
            <w:tcW w:w="2376" w:type="dxa"/>
            <w:shd w:val="clear" w:color="auto" w:fill="auto"/>
          </w:tcPr>
          <w:p w:rsidR="009373F6" w:rsidRPr="00927778" w:rsidRDefault="00EC684F" w:rsidP="00EC684F">
            <w:pPr>
              <w:pStyle w:val="Heading3"/>
              <w:rPr>
                <w:color w:val="333333"/>
                <w:lang w:val="fr-FR"/>
              </w:rPr>
            </w:pPr>
            <w:r w:rsidRPr="00927778">
              <w:rPr>
                <w:color w:val="333333"/>
                <w:lang w:val="fr-FR"/>
              </w:rPr>
              <w:t>Taux d</w:t>
            </w:r>
            <w:r w:rsidR="00EA2C86" w:rsidRPr="00927778">
              <w:rPr>
                <w:color w:val="333333"/>
                <w:lang w:val="fr-FR"/>
              </w:rPr>
              <w:t>’</w:t>
            </w:r>
            <w:r w:rsidRPr="00927778">
              <w:rPr>
                <w:color w:val="333333"/>
                <w:lang w:val="fr-FR"/>
              </w:rPr>
              <w:t>exécution du projet</w:t>
            </w:r>
            <w:r w:rsidR="009373F6" w:rsidRPr="00927778">
              <w:rPr>
                <w:color w:val="333333"/>
                <w:lang w:val="fr-FR"/>
              </w:rPr>
              <w:t xml:space="preserve"> </w:t>
            </w:r>
          </w:p>
        </w:tc>
        <w:tc>
          <w:tcPr>
            <w:tcW w:w="6912" w:type="dxa"/>
          </w:tcPr>
          <w:p w:rsidR="00415490" w:rsidRPr="00927778" w:rsidRDefault="00415490">
            <w:pPr>
              <w:rPr>
                <w:color w:val="333333"/>
                <w:lang w:val="fr-FR"/>
              </w:rPr>
            </w:pPr>
          </w:p>
          <w:p w:rsidR="009373F6" w:rsidRPr="00927778" w:rsidRDefault="000D43C9" w:rsidP="00847CC2">
            <w:pPr>
              <w:rPr>
                <w:iCs/>
                <w:color w:val="333333"/>
                <w:lang w:val="fr-FR"/>
              </w:rPr>
            </w:pPr>
            <w:r w:rsidRPr="00927778">
              <w:rPr>
                <w:iCs/>
                <w:color w:val="333333"/>
                <w:lang w:val="fr-FR"/>
              </w:rPr>
              <w:t>Taux d</w:t>
            </w:r>
            <w:r w:rsidR="00EA2C86" w:rsidRPr="00927778">
              <w:rPr>
                <w:iCs/>
                <w:color w:val="333333"/>
                <w:lang w:val="fr-FR"/>
              </w:rPr>
              <w:t>’</w:t>
            </w:r>
            <w:r w:rsidRPr="00927778">
              <w:rPr>
                <w:iCs/>
                <w:color w:val="333333"/>
                <w:lang w:val="fr-FR"/>
              </w:rPr>
              <w:t>utilisation du budget à la fin du mois d</w:t>
            </w:r>
            <w:r w:rsidR="00EA2C86" w:rsidRPr="00927778">
              <w:rPr>
                <w:iCs/>
                <w:color w:val="333333"/>
                <w:lang w:val="fr-FR"/>
              </w:rPr>
              <w:t>’août 20</w:t>
            </w:r>
            <w:r w:rsidRPr="00927778">
              <w:rPr>
                <w:iCs/>
                <w:color w:val="333333"/>
                <w:lang w:val="fr-FR"/>
              </w:rPr>
              <w:t>18</w:t>
            </w:r>
            <w:r w:rsidR="00EA2C86" w:rsidRPr="00927778">
              <w:rPr>
                <w:iCs/>
                <w:color w:val="333333"/>
                <w:lang w:val="fr-FR"/>
              </w:rPr>
              <w:t> :</w:t>
            </w:r>
            <w:r w:rsidRPr="00927778">
              <w:rPr>
                <w:iCs/>
                <w:color w:val="333333"/>
                <w:lang w:val="fr-FR"/>
              </w:rPr>
              <w:t xml:space="preserve"> 37%</w:t>
            </w:r>
          </w:p>
        </w:tc>
      </w:tr>
      <w:tr w:rsidR="009373F6" w:rsidRPr="00927778" w:rsidTr="00847CC2">
        <w:trPr>
          <w:trHeight w:val="420"/>
        </w:trPr>
        <w:tc>
          <w:tcPr>
            <w:tcW w:w="2376" w:type="dxa"/>
            <w:shd w:val="clear" w:color="auto" w:fill="auto"/>
          </w:tcPr>
          <w:p w:rsidR="009373F6" w:rsidRPr="00927778" w:rsidRDefault="00EC684F" w:rsidP="00EC684F">
            <w:pPr>
              <w:pStyle w:val="Heading3"/>
              <w:rPr>
                <w:color w:val="333333"/>
                <w:lang w:val="fr-FR"/>
              </w:rPr>
            </w:pPr>
            <w:r w:rsidRPr="00927778">
              <w:rPr>
                <w:color w:val="333333"/>
                <w:lang w:val="fr-FR"/>
              </w:rPr>
              <w:t>Rapports précédents</w:t>
            </w:r>
          </w:p>
        </w:tc>
        <w:tc>
          <w:tcPr>
            <w:tcW w:w="6912" w:type="dxa"/>
          </w:tcPr>
          <w:p w:rsidR="005E6718" w:rsidRPr="00927778" w:rsidRDefault="005E6718" w:rsidP="00847CC2">
            <w:pPr>
              <w:rPr>
                <w:iCs/>
                <w:color w:val="333333"/>
                <w:lang w:val="fr-FR"/>
              </w:rPr>
            </w:pPr>
          </w:p>
          <w:p w:rsidR="005E6718" w:rsidRPr="00927778" w:rsidRDefault="00EC684F" w:rsidP="00EC684F">
            <w:pPr>
              <w:rPr>
                <w:iCs/>
                <w:color w:val="333333"/>
                <w:lang w:val="fr-FR"/>
              </w:rPr>
            </w:pPr>
            <w:r w:rsidRPr="00927778">
              <w:rPr>
                <w:iCs/>
                <w:color w:val="333333"/>
                <w:lang w:val="fr-FR"/>
              </w:rPr>
              <w:t>Ceci est le troisième rapport présenté</w:t>
            </w:r>
            <w:r w:rsidR="00EA2C86" w:rsidRPr="00927778">
              <w:rPr>
                <w:iCs/>
                <w:color w:val="333333"/>
                <w:lang w:val="fr-FR"/>
              </w:rPr>
              <w:t xml:space="preserve"> au CDI</w:t>
            </w:r>
            <w:r w:rsidRPr="00927778">
              <w:rPr>
                <w:iCs/>
                <w:color w:val="333333"/>
                <w:lang w:val="fr-FR"/>
              </w:rPr>
              <w:t>P.</w:t>
            </w:r>
          </w:p>
          <w:p w:rsidR="005E6718" w:rsidRPr="00927778" w:rsidRDefault="005E6718" w:rsidP="00847CC2">
            <w:pPr>
              <w:rPr>
                <w:iCs/>
                <w:color w:val="333333"/>
                <w:lang w:val="fr-FR"/>
              </w:rPr>
            </w:pPr>
          </w:p>
          <w:p w:rsidR="00DF0655" w:rsidRPr="00927778" w:rsidRDefault="00DF0655" w:rsidP="00DF0655">
            <w:pPr>
              <w:rPr>
                <w:iCs/>
                <w:color w:val="333333"/>
                <w:lang w:val="fr-FR"/>
              </w:rPr>
            </w:pPr>
            <w:r w:rsidRPr="00927778">
              <w:rPr>
                <w:iCs/>
                <w:color w:val="333333"/>
                <w:lang w:val="fr-FR"/>
              </w:rPr>
              <w:t xml:space="preserve">Le premier </w:t>
            </w:r>
            <w:r w:rsidR="001F3239" w:rsidRPr="00927778">
              <w:rPr>
                <w:iCs/>
                <w:color w:val="333333"/>
                <w:lang w:val="fr-FR"/>
              </w:rPr>
              <w:t>rapport sur l</w:t>
            </w:r>
            <w:r w:rsidR="00EA2C86" w:rsidRPr="00927778">
              <w:rPr>
                <w:iCs/>
                <w:color w:val="333333"/>
                <w:lang w:val="fr-FR"/>
              </w:rPr>
              <w:t>’</w:t>
            </w:r>
            <w:r w:rsidR="001F3239" w:rsidRPr="00927778">
              <w:rPr>
                <w:iCs/>
                <w:color w:val="333333"/>
                <w:lang w:val="fr-FR"/>
              </w:rPr>
              <w:t>état d</w:t>
            </w:r>
            <w:r w:rsidR="00EA2C86" w:rsidRPr="00927778">
              <w:rPr>
                <w:iCs/>
                <w:color w:val="333333"/>
                <w:lang w:val="fr-FR"/>
              </w:rPr>
              <w:t>’</w:t>
            </w:r>
            <w:r w:rsidR="001F3239" w:rsidRPr="00927778">
              <w:rPr>
                <w:iCs/>
                <w:color w:val="333333"/>
                <w:lang w:val="fr-FR"/>
              </w:rPr>
              <w:t>avancement</w:t>
            </w:r>
            <w:r w:rsidRPr="00927778">
              <w:rPr>
                <w:iCs/>
                <w:color w:val="333333"/>
                <w:lang w:val="fr-FR"/>
              </w:rPr>
              <w:t>, figurant à</w:t>
            </w:r>
          </w:p>
          <w:p w:rsidR="00DF0655" w:rsidRPr="00927778" w:rsidRDefault="00DF0655" w:rsidP="00DF0655">
            <w:pPr>
              <w:rPr>
                <w:iCs/>
                <w:color w:val="333333"/>
                <w:lang w:val="fr-FR"/>
              </w:rPr>
            </w:pPr>
            <w:r w:rsidRPr="00927778">
              <w:rPr>
                <w:iCs/>
                <w:color w:val="333333"/>
                <w:lang w:val="fr-FR"/>
              </w:rPr>
              <w:t>l</w:t>
            </w:r>
            <w:r w:rsidR="00EA2C86" w:rsidRPr="00927778">
              <w:rPr>
                <w:iCs/>
                <w:color w:val="333333"/>
                <w:lang w:val="fr-FR"/>
              </w:rPr>
              <w:t>’annexe V</w:t>
            </w:r>
            <w:r w:rsidRPr="00927778">
              <w:rPr>
                <w:iCs/>
                <w:color w:val="333333"/>
                <w:lang w:val="fr-FR"/>
              </w:rPr>
              <w:t>I du document</w:t>
            </w:r>
            <w:r w:rsidR="00CB5AE0" w:rsidRPr="00927778">
              <w:rPr>
                <w:iCs/>
                <w:color w:val="333333"/>
                <w:lang w:val="fr-FR"/>
              </w:rPr>
              <w:t> </w:t>
            </w:r>
            <w:r w:rsidRPr="00927778">
              <w:rPr>
                <w:iCs/>
                <w:color w:val="333333"/>
                <w:lang w:val="fr-FR"/>
              </w:rPr>
              <w:t>CDIP/18/2, a été présenté</w:t>
            </w:r>
            <w:r w:rsidR="00EA2C86" w:rsidRPr="00927778">
              <w:rPr>
                <w:iCs/>
                <w:color w:val="333333"/>
                <w:lang w:val="fr-FR"/>
              </w:rPr>
              <w:t xml:space="preserve"> au CDI</w:t>
            </w:r>
            <w:r w:rsidRPr="00927778">
              <w:rPr>
                <w:iCs/>
                <w:color w:val="333333"/>
                <w:lang w:val="fr-FR"/>
              </w:rPr>
              <w:t>P lors de</w:t>
            </w:r>
          </w:p>
          <w:p w:rsidR="00EA2C86" w:rsidRPr="00927778" w:rsidRDefault="00E65DCF" w:rsidP="00DF0655">
            <w:pPr>
              <w:rPr>
                <w:iCs/>
                <w:color w:val="333333"/>
                <w:lang w:val="fr-FR"/>
              </w:rPr>
            </w:pPr>
            <w:r w:rsidRPr="00927778">
              <w:rPr>
                <w:iCs/>
                <w:color w:val="333333"/>
                <w:lang w:val="fr-FR"/>
              </w:rPr>
              <w:t>sa dix</w:t>
            </w:r>
            <w:r w:rsidR="00CB5AE0" w:rsidRPr="00927778">
              <w:rPr>
                <w:iCs/>
                <w:color w:val="333333"/>
                <w:lang w:val="fr-FR"/>
              </w:rPr>
              <w:noBreakHyphen/>
            </w:r>
            <w:r w:rsidRPr="00927778">
              <w:rPr>
                <w:iCs/>
                <w:color w:val="333333"/>
                <w:lang w:val="fr-FR"/>
              </w:rPr>
              <w:t>huit</w:t>
            </w:r>
            <w:r w:rsidR="00EA2C86" w:rsidRPr="00927778">
              <w:rPr>
                <w:iCs/>
                <w:color w:val="333333"/>
                <w:lang w:val="fr-FR"/>
              </w:rPr>
              <w:t>ième sessi</w:t>
            </w:r>
            <w:r w:rsidR="00306E74" w:rsidRPr="00927778">
              <w:rPr>
                <w:iCs/>
                <w:color w:val="333333"/>
                <w:lang w:val="fr-FR"/>
              </w:rPr>
              <w:t>on.  Le</w:t>
            </w:r>
            <w:r w:rsidR="00EC684F" w:rsidRPr="00927778">
              <w:rPr>
                <w:iCs/>
                <w:color w:val="333333"/>
                <w:lang w:val="fr-FR"/>
              </w:rPr>
              <w:t xml:space="preserve"> deuxième rapport est présent à l</w:t>
            </w:r>
            <w:r w:rsidR="00EA2C86" w:rsidRPr="00927778">
              <w:rPr>
                <w:iCs/>
                <w:color w:val="333333"/>
                <w:lang w:val="fr-FR"/>
              </w:rPr>
              <w:t>’annexe V</w:t>
            </w:r>
            <w:r w:rsidR="00EC684F" w:rsidRPr="00927778">
              <w:rPr>
                <w:iCs/>
                <w:color w:val="333333"/>
                <w:lang w:val="fr-FR"/>
              </w:rPr>
              <w:t>I du document</w:t>
            </w:r>
            <w:r w:rsidR="00CB5AE0" w:rsidRPr="00927778">
              <w:rPr>
                <w:iCs/>
                <w:color w:val="333333"/>
                <w:lang w:val="fr-FR"/>
              </w:rPr>
              <w:t> </w:t>
            </w:r>
            <w:r w:rsidR="00EC684F" w:rsidRPr="00927778">
              <w:rPr>
                <w:iCs/>
                <w:color w:val="333333"/>
                <w:lang w:val="fr-FR"/>
              </w:rPr>
              <w:t>CDIP/20/2 et a été soumis</w:t>
            </w:r>
            <w:r w:rsidR="00EA2C86" w:rsidRPr="00927778">
              <w:rPr>
                <w:iCs/>
                <w:color w:val="333333"/>
                <w:lang w:val="fr-FR"/>
              </w:rPr>
              <w:t xml:space="preserve"> au CDI</w:t>
            </w:r>
            <w:r w:rsidR="00EC684F" w:rsidRPr="00927778">
              <w:rPr>
                <w:iCs/>
                <w:color w:val="333333"/>
                <w:lang w:val="fr-FR"/>
              </w:rPr>
              <w:t>P à sa vingt</w:t>
            </w:r>
            <w:r w:rsidR="00EA2C86" w:rsidRPr="00927778">
              <w:rPr>
                <w:iCs/>
                <w:color w:val="333333"/>
                <w:lang w:val="fr-FR"/>
              </w:rPr>
              <w:t>ième session</w:t>
            </w:r>
            <w:r w:rsidR="00EC684F" w:rsidRPr="00927778">
              <w:rPr>
                <w:iCs/>
                <w:color w:val="333333"/>
                <w:lang w:val="fr-FR"/>
              </w:rPr>
              <w:t>.</w:t>
            </w:r>
          </w:p>
          <w:p w:rsidR="00415490" w:rsidRPr="00927778" w:rsidRDefault="00415490" w:rsidP="00847CC2">
            <w:pPr>
              <w:rPr>
                <w:iCs/>
                <w:color w:val="333333"/>
                <w:lang w:val="fr-FR"/>
              </w:rPr>
            </w:pPr>
          </w:p>
        </w:tc>
      </w:tr>
    </w:tbl>
    <w:p w:rsidR="005E6718" w:rsidRPr="00927778" w:rsidRDefault="005E6718" w:rsidP="009373F6">
      <w:pPr>
        <w:rPr>
          <w:color w:val="333333"/>
          <w:lang w:val="fr-FR"/>
        </w:rPr>
      </w:pPr>
    </w:p>
    <w:p w:rsidR="009373F6" w:rsidRPr="00927778" w:rsidRDefault="009373F6" w:rsidP="009373F6">
      <w:pPr>
        <w:rPr>
          <w:color w:val="333333"/>
          <w:lang w:val="fr-FR"/>
        </w:rPr>
      </w:pPr>
      <w:r w:rsidRPr="00927778">
        <w:rPr>
          <w:color w:val="333333"/>
          <w:lang w:val="fr-FR"/>
        </w:rPr>
        <w:br w:type="page"/>
      </w:r>
    </w:p>
    <w:tbl>
      <w:tblPr>
        <w:tblW w:w="0" w:type="auto"/>
        <w:tblLook w:val="01E0" w:firstRow="1" w:lastRow="1" w:firstColumn="1" w:lastColumn="1" w:noHBand="0" w:noVBand="0"/>
      </w:tblPr>
      <w:tblGrid>
        <w:gridCol w:w="9287"/>
      </w:tblGrid>
      <w:tr w:rsidR="009373F6" w:rsidRPr="00927778" w:rsidTr="00847CC2">
        <w:trPr>
          <w:trHeight w:val="494"/>
        </w:trPr>
        <w:tc>
          <w:tcPr>
            <w:tcW w:w="9287" w:type="dxa"/>
            <w:vAlign w:val="center"/>
          </w:tcPr>
          <w:p w:rsidR="009373F6" w:rsidRPr="00927778" w:rsidRDefault="009373F6" w:rsidP="00EC684F">
            <w:pPr>
              <w:rPr>
                <w:color w:val="333333"/>
                <w:lang w:val="fr-FR"/>
              </w:rPr>
            </w:pPr>
            <w:r w:rsidRPr="00927778">
              <w:rPr>
                <w:color w:val="333333"/>
                <w:lang w:val="fr-FR"/>
              </w:rPr>
              <w:br w:type="page"/>
            </w:r>
            <w:r w:rsidR="00EC684F" w:rsidRPr="00927778">
              <w:rPr>
                <w:color w:val="333333"/>
                <w:lang w:val="fr-FR"/>
              </w:rPr>
              <w:t>AUTO</w:t>
            </w:r>
            <w:r w:rsidR="00CB5AE0" w:rsidRPr="00927778">
              <w:rPr>
                <w:color w:val="333333"/>
                <w:lang w:val="fr-FR"/>
              </w:rPr>
              <w:noBreakHyphen/>
            </w:r>
            <w:r w:rsidR="00EC684F" w:rsidRPr="00927778">
              <w:rPr>
                <w:color w:val="333333"/>
                <w:lang w:val="fr-FR"/>
              </w:rPr>
              <w:t>ÉVALUATION DU PROJET</w:t>
            </w:r>
          </w:p>
        </w:tc>
      </w:tr>
    </w:tbl>
    <w:p w:rsidR="005E6718" w:rsidRPr="00927778" w:rsidRDefault="005E6718" w:rsidP="009373F6">
      <w:pPr>
        <w:rPr>
          <w:color w:val="333333"/>
          <w:lang w:val="fr-FR"/>
        </w:rPr>
      </w:pPr>
    </w:p>
    <w:p w:rsidR="005E6718" w:rsidRPr="00927778" w:rsidRDefault="00EC684F" w:rsidP="00EC684F">
      <w:pPr>
        <w:rPr>
          <w:color w:val="333333"/>
          <w:lang w:val="fr-FR"/>
        </w:rPr>
      </w:pPr>
      <w:r w:rsidRPr="00927778">
        <w:rPr>
          <w:color w:val="333333"/>
          <w:lang w:val="fr-FR"/>
        </w:rPr>
        <w:t>Code d</w:t>
      </w:r>
      <w:r w:rsidR="00EA2C86" w:rsidRPr="00927778">
        <w:rPr>
          <w:color w:val="333333"/>
          <w:lang w:val="fr-FR"/>
        </w:rPr>
        <w:t>’</w:t>
      </w:r>
      <w:r w:rsidRPr="00927778">
        <w:rPr>
          <w:color w:val="333333"/>
          <w:lang w:val="fr-FR"/>
        </w:rPr>
        <w:t>évaluation</w:t>
      </w:r>
    </w:p>
    <w:p w:rsidR="009373F6" w:rsidRPr="00927778" w:rsidRDefault="009373F6" w:rsidP="009373F6">
      <w:pPr>
        <w:rPr>
          <w:color w:val="333333"/>
          <w:lang w:val="fr-FR"/>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927778" w:rsidRPr="00927778" w:rsidTr="00847CC2">
        <w:trPr>
          <w:trHeight w:val="469"/>
        </w:trPr>
        <w:tc>
          <w:tcPr>
            <w:tcW w:w="1416" w:type="dxa"/>
            <w:shd w:val="clear" w:color="auto" w:fill="auto"/>
            <w:vAlign w:val="center"/>
          </w:tcPr>
          <w:p w:rsidR="009373F6" w:rsidRPr="00927778" w:rsidRDefault="009373F6" w:rsidP="00847CC2">
            <w:pPr>
              <w:rPr>
                <w:color w:val="333333"/>
                <w:lang w:val="fr-FR"/>
              </w:rPr>
            </w:pPr>
            <w:r w:rsidRPr="00927778">
              <w:rPr>
                <w:color w:val="333333"/>
                <w:lang w:val="fr-FR"/>
              </w:rPr>
              <w:t>****</w:t>
            </w:r>
          </w:p>
        </w:tc>
        <w:tc>
          <w:tcPr>
            <w:tcW w:w="1677" w:type="dxa"/>
            <w:shd w:val="clear" w:color="auto" w:fill="auto"/>
            <w:vAlign w:val="center"/>
          </w:tcPr>
          <w:p w:rsidR="009373F6" w:rsidRPr="00927778" w:rsidRDefault="009373F6" w:rsidP="00847CC2">
            <w:pPr>
              <w:rPr>
                <w:color w:val="333333"/>
                <w:lang w:val="fr-FR"/>
              </w:rPr>
            </w:pPr>
            <w:r w:rsidRPr="00927778">
              <w:rPr>
                <w:color w:val="333333"/>
                <w:lang w:val="fr-FR"/>
              </w:rPr>
              <w:t>***</w:t>
            </w:r>
          </w:p>
        </w:tc>
        <w:tc>
          <w:tcPr>
            <w:tcW w:w="1797" w:type="dxa"/>
            <w:shd w:val="clear" w:color="auto" w:fill="auto"/>
            <w:vAlign w:val="center"/>
          </w:tcPr>
          <w:p w:rsidR="009373F6" w:rsidRPr="00927778" w:rsidRDefault="009373F6" w:rsidP="00847CC2">
            <w:pPr>
              <w:rPr>
                <w:color w:val="333333"/>
                <w:lang w:val="fr-FR"/>
              </w:rPr>
            </w:pPr>
            <w:r w:rsidRPr="00927778">
              <w:rPr>
                <w:color w:val="333333"/>
                <w:lang w:val="fr-FR"/>
              </w:rPr>
              <w:t>**</w:t>
            </w:r>
          </w:p>
        </w:tc>
        <w:tc>
          <w:tcPr>
            <w:tcW w:w="1895" w:type="dxa"/>
            <w:shd w:val="clear" w:color="auto" w:fill="auto"/>
            <w:vAlign w:val="center"/>
          </w:tcPr>
          <w:p w:rsidR="009373F6" w:rsidRPr="00927778" w:rsidRDefault="00EC684F" w:rsidP="00EC684F">
            <w:pPr>
              <w:rPr>
                <w:color w:val="333333"/>
                <w:lang w:val="fr-FR"/>
              </w:rPr>
            </w:pPr>
            <w:r w:rsidRPr="00927778">
              <w:rPr>
                <w:color w:val="333333"/>
                <w:lang w:val="fr-FR"/>
              </w:rPr>
              <w:t>AP</w:t>
            </w:r>
          </w:p>
        </w:tc>
        <w:tc>
          <w:tcPr>
            <w:tcW w:w="2563" w:type="dxa"/>
            <w:shd w:val="clear" w:color="auto" w:fill="auto"/>
            <w:vAlign w:val="center"/>
          </w:tcPr>
          <w:p w:rsidR="009373F6" w:rsidRPr="00927778" w:rsidRDefault="00EC684F" w:rsidP="00EC684F">
            <w:pPr>
              <w:rPr>
                <w:color w:val="333333"/>
                <w:lang w:val="fr-FR"/>
              </w:rPr>
            </w:pPr>
            <w:r w:rsidRPr="00927778">
              <w:rPr>
                <w:color w:val="333333"/>
                <w:lang w:val="fr-FR"/>
              </w:rPr>
              <w:t>s.o.</w:t>
            </w:r>
          </w:p>
        </w:tc>
      </w:tr>
      <w:tr w:rsidR="009373F6" w:rsidRPr="00927778" w:rsidTr="00847CC2">
        <w:tc>
          <w:tcPr>
            <w:tcW w:w="1416" w:type="dxa"/>
            <w:shd w:val="clear" w:color="auto" w:fill="auto"/>
          </w:tcPr>
          <w:p w:rsidR="009373F6" w:rsidRPr="00927778" w:rsidRDefault="00EC684F" w:rsidP="00EC684F">
            <w:pPr>
              <w:rPr>
                <w:color w:val="333333"/>
                <w:lang w:val="fr-FR"/>
              </w:rPr>
            </w:pPr>
            <w:r w:rsidRPr="00927778">
              <w:rPr>
                <w:color w:val="333333"/>
                <w:lang w:val="fr-FR"/>
              </w:rPr>
              <w:t>Objectifs pleinement atteints</w:t>
            </w:r>
          </w:p>
        </w:tc>
        <w:tc>
          <w:tcPr>
            <w:tcW w:w="1677" w:type="dxa"/>
            <w:shd w:val="clear" w:color="auto" w:fill="auto"/>
          </w:tcPr>
          <w:p w:rsidR="009373F6" w:rsidRPr="00927778" w:rsidRDefault="00EC684F" w:rsidP="00EC684F">
            <w:pPr>
              <w:rPr>
                <w:color w:val="333333"/>
                <w:lang w:val="fr-FR"/>
              </w:rPr>
            </w:pPr>
            <w:r w:rsidRPr="00927778">
              <w:rPr>
                <w:color w:val="333333"/>
                <w:lang w:val="fr-FR"/>
              </w:rPr>
              <w:t>Progrès considérables</w:t>
            </w:r>
          </w:p>
        </w:tc>
        <w:tc>
          <w:tcPr>
            <w:tcW w:w="1797" w:type="dxa"/>
            <w:shd w:val="clear" w:color="auto" w:fill="auto"/>
          </w:tcPr>
          <w:p w:rsidR="009373F6" w:rsidRPr="00927778" w:rsidRDefault="00EC684F" w:rsidP="00EC684F">
            <w:pPr>
              <w:rPr>
                <w:color w:val="333333"/>
                <w:lang w:val="fr-FR"/>
              </w:rPr>
            </w:pPr>
            <w:r w:rsidRPr="00927778">
              <w:rPr>
                <w:color w:val="333333"/>
                <w:lang w:val="fr-FR"/>
              </w:rPr>
              <w:t>Quelques progrès</w:t>
            </w:r>
          </w:p>
        </w:tc>
        <w:tc>
          <w:tcPr>
            <w:tcW w:w="1895" w:type="dxa"/>
            <w:shd w:val="clear" w:color="auto" w:fill="auto"/>
          </w:tcPr>
          <w:p w:rsidR="009373F6" w:rsidRPr="00927778" w:rsidRDefault="00EC684F" w:rsidP="00EC684F">
            <w:pPr>
              <w:rPr>
                <w:color w:val="333333"/>
                <w:lang w:val="fr-FR"/>
              </w:rPr>
            </w:pPr>
            <w:r w:rsidRPr="00927778">
              <w:rPr>
                <w:color w:val="333333"/>
                <w:lang w:val="fr-FR"/>
              </w:rPr>
              <w:t>Aucun progrès</w:t>
            </w:r>
          </w:p>
        </w:tc>
        <w:tc>
          <w:tcPr>
            <w:tcW w:w="2563" w:type="dxa"/>
            <w:shd w:val="clear" w:color="auto" w:fill="auto"/>
          </w:tcPr>
          <w:p w:rsidR="009373F6" w:rsidRPr="00927778" w:rsidRDefault="00EC684F" w:rsidP="00EC684F">
            <w:pPr>
              <w:rPr>
                <w:color w:val="333333"/>
                <w:lang w:val="fr-FR"/>
              </w:rPr>
            </w:pPr>
            <w:r w:rsidRPr="00927778">
              <w:rPr>
                <w:color w:val="333333"/>
                <w:lang w:val="fr-FR"/>
              </w:rPr>
              <w:t>Non évalué/abandonné</w:t>
            </w:r>
          </w:p>
        </w:tc>
      </w:tr>
    </w:tbl>
    <w:p w:rsidR="009373F6" w:rsidRPr="00927778" w:rsidRDefault="009373F6" w:rsidP="009373F6">
      <w:pPr>
        <w:rPr>
          <w:color w:val="333333"/>
          <w:lang w:val="fr-FR"/>
        </w:rPr>
      </w:pPr>
    </w:p>
    <w:tbl>
      <w:tblPr>
        <w:tblW w:w="9356" w:type="dxa"/>
        <w:tblInd w:w="-34" w:type="dxa"/>
        <w:tblLayout w:type="fixed"/>
        <w:tblLook w:val="01E0" w:firstRow="1" w:lastRow="1" w:firstColumn="1" w:lastColumn="1" w:noHBand="0" w:noVBand="0"/>
      </w:tblPr>
      <w:tblGrid>
        <w:gridCol w:w="2410"/>
        <w:gridCol w:w="2694"/>
        <w:gridCol w:w="3118"/>
        <w:gridCol w:w="1134"/>
      </w:tblGrid>
      <w:tr w:rsidR="00047C22" w:rsidRPr="00927778" w:rsidTr="00144EAC">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373F6" w:rsidRPr="00927778" w:rsidRDefault="00EC684F" w:rsidP="00144EAC">
            <w:pPr>
              <w:rPr>
                <w:color w:val="333333"/>
                <w:lang w:val="fr-FR"/>
              </w:rPr>
            </w:pPr>
            <w:r w:rsidRPr="00927778">
              <w:rPr>
                <w:color w:val="333333"/>
                <w:u w:val="single"/>
                <w:lang w:val="fr-FR"/>
              </w:rPr>
              <w:t>Résultats du projet</w:t>
            </w:r>
            <w:r w:rsidRPr="00927778">
              <w:rPr>
                <w:rStyle w:val="FootnoteReference"/>
                <w:color w:val="333333"/>
                <w:lang w:val="fr-FR"/>
              </w:rPr>
              <w:footnoteReference w:id="6"/>
            </w:r>
            <w:r w:rsidRPr="00927778">
              <w:rPr>
                <w:color w:val="333333"/>
                <w:lang w:val="fr-FR"/>
              </w:rPr>
              <w:t xml:space="preserve"> (résultat escompté)</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373F6" w:rsidRPr="00927778" w:rsidRDefault="00EC684F" w:rsidP="00144EAC">
            <w:pPr>
              <w:rPr>
                <w:color w:val="333333"/>
                <w:lang w:val="fr-FR"/>
              </w:rPr>
            </w:pPr>
            <w:r w:rsidRPr="00927778">
              <w:rPr>
                <w:color w:val="333333"/>
                <w:u w:val="single"/>
                <w:lang w:val="fr-FR"/>
              </w:rPr>
              <w:t>Indicateurs d</w:t>
            </w:r>
            <w:r w:rsidR="00EA2C86" w:rsidRPr="00927778">
              <w:rPr>
                <w:color w:val="333333"/>
                <w:u w:val="single"/>
                <w:lang w:val="fr-FR"/>
              </w:rPr>
              <w:t>’</w:t>
            </w:r>
            <w:r w:rsidRPr="00927778">
              <w:rPr>
                <w:color w:val="333333"/>
                <w:u w:val="single"/>
                <w:lang w:val="fr-FR"/>
              </w:rPr>
              <w:t>exécution</w:t>
            </w:r>
            <w:r w:rsidRPr="00927778">
              <w:rPr>
                <w:color w:val="333333"/>
                <w:lang w:val="fr-FR"/>
              </w:rPr>
              <w:t xml:space="preserve"> (indicateurs de résultats)</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5B3C9F" w:rsidRPr="00927778" w:rsidRDefault="00EC684F" w:rsidP="00144EAC">
            <w:pPr>
              <w:pStyle w:val="Heading3"/>
              <w:spacing w:before="0" w:after="0"/>
              <w:rPr>
                <w:color w:val="333333"/>
                <w:lang w:val="fr-FR"/>
              </w:rPr>
            </w:pPr>
            <w:r w:rsidRPr="00927778">
              <w:rPr>
                <w:color w:val="333333"/>
                <w:lang w:val="fr-FR"/>
              </w:rPr>
              <w:t>Données relatives à l</w:t>
            </w:r>
            <w:r w:rsidR="00EA2C86" w:rsidRPr="00927778">
              <w:rPr>
                <w:color w:val="333333"/>
                <w:lang w:val="fr-FR"/>
              </w:rPr>
              <w:t>’</w:t>
            </w:r>
            <w:r w:rsidRPr="00927778">
              <w:rPr>
                <w:color w:val="333333"/>
                <w:lang w:val="fr-FR"/>
              </w:rPr>
              <w:t>exécution</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rsidR="009373F6" w:rsidRPr="00144EAC" w:rsidRDefault="00EC684F" w:rsidP="00144EAC">
            <w:pPr>
              <w:pStyle w:val="Heading3"/>
              <w:rPr>
                <w:color w:val="333333"/>
                <w:sz w:val="20"/>
                <w:lang w:val="fr-FR"/>
              </w:rPr>
            </w:pPr>
            <w:r w:rsidRPr="00144EAC">
              <w:rPr>
                <w:color w:val="333333"/>
                <w:sz w:val="20"/>
                <w:lang w:val="fr-FR"/>
              </w:rPr>
              <w:t>Code d</w:t>
            </w:r>
            <w:r w:rsidR="00EA2C86" w:rsidRPr="00144EAC">
              <w:rPr>
                <w:color w:val="333333"/>
                <w:sz w:val="20"/>
                <w:lang w:val="fr-FR"/>
              </w:rPr>
              <w:t>’</w:t>
            </w:r>
            <w:r w:rsidRPr="00144EAC">
              <w:rPr>
                <w:color w:val="333333"/>
                <w:sz w:val="20"/>
                <w:lang w:val="fr-FR"/>
              </w:rPr>
              <w:t>évaluation</w:t>
            </w:r>
          </w:p>
        </w:tc>
      </w:tr>
      <w:tr w:rsidR="00047C22" w:rsidRPr="00927778" w:rsidTr="00144EAC">
        <w:trPr>
          <w:trHeight w:val="2174"/>
        </w:trPr>
        <w:tc>
          <w:tcPr>
            <w:tcW w:w="2410" w:type="dxa"/>
            <w:tcBorders>
              <w:top w:val="single" w:sz="2" w:space="0" w:color="000000"/>
              <w:left w:val="single" w:sz="2" w:space="0" w:color="000000"/>
              <w:bottom w:val="single" w:sz="2" w:space="0" w:color="000000"/>
              <w:right w:val="single" w:sz="6" w:space="0" w:color="000000"/>
            </w:tcBorders>
            <w:shd w:val="clear" w:color="auto" w:fill="auto"/>
            <w:vAlign w:val="center"/>
          </w:tcPr>
          <w:p w:rsidR="005E6718" w:rsidRPr="00927778" w:rsidRDefault="005E6718" w:rsidP="00847CC2">
            <w:pPr>
              <w:rPr>
                <w:bCs/>
                <w:color w:val="333333"/>
                <w:lang w:val="fr-FR"/>
              </w:rPr>
            </w:pPr>
          </w:p>
          <w:p w:rsidR="005E6718" w:rsidRPr="00927778" w:rsidRDefault="00EC684F" w:rsidP="00EC684F">
            <w:pPr>
              <w:rPr>
                <w:bCs/>
                <w:color w:val="333333"/>
                <w:lang w:val="fr-FR"/>
              </w:rPr>
            </w:pPr>
            <w:r w:rsidRPr="00927778">
              <w:rPr>
                <w:bCs/>
                <w:color w:val="333333"/>
                <w:lang w:val="fr-FR"/>
              </w:rPr>
              <w:t>Inventaire des instituts de formation aux droits de propriété intellectuelle et des autres initiatives dans ce domaine à l</w:t>
            </w:r>
            <w:r w:rsidR="00EA2C86" w:rsidRPr="00927778">
              <w:rPr>
                <w:bCs/>
                <w:color w:val="333333"/>
                <w:lang w:val="fr-FR"/>
              </w:rPr>
              <w:t>’</w:t>
            </w:r>
            <w:r w:rsidRPr="00927778">
              <w:rPr>
                <w:bCs/>
                <w:color w:val="333333"/>
                <w:lang w:val="fr-FR"/>
              </w:rPr>
              <w:t>intention du corps judiciaire exerçant dans le monde</w:t>
            </w:r>
          </w:p>
          <w:p w:rsidR="00CB2150" w:rsidRPr="00927778" w:rsidRDefault="00CB2150" w:rsidP="00847CC2">
            <w:pPr>
              <w:rPr>
                <w:bCs/>
                <w:color w:val="333333"/>
                <w:lang w:val="fr-FR"/>
              </w:rPr>
            </w:pPr>
          </w:p>
        </w:tc>
        <w:tc>
          <w:tcPr>
            <w:tcW w:w="2694" w:type="dxa"/>
            <w:tcBorders>
              <w:top w:val="single" w:sz="2" w:space="0" w:color="000000"/>
              <w:left w:val="single" w:sz="6" w:space="0" w:color="000000"/>
              <w:bottom w:val="single" w:sz="2" w:space="0" w:color="000000"/>
              <w:right w:val="single" w:sz="2" w:space="0" w:color="000000"/>
            </w:tcBorders>
            <w:shd w:val="clear" w:color="auto" w:fill="auto"/>
            <w:vAlign w:val="center"/>
          </w:tcPr>
          <w:p w:rsidR="005E6718" w:rsidRPr="00927778" w:rsidRDefault="00EC684F" w:rsidP="00EC684F">
            <w:pPr>
              <w:numPr>
                <w:ilvl w:val="0"/>
                <w:numId w:val="22"/>
              </w:numPr>
              <w:ind w:left="318" w:hanging="284"/>
              <w:rPr>
                <w:color w:val="333333"/>
                <w:lang w:val="fr-FR"/>
              </w:rPr>
            </w:pPr>
            <w:r w:rsidRPr="00927778">
              <w:rPr>
                <w:color w:val="333333"/>
                <w:lang w:val="fr-FR"/>
              </w:rPr>
              <w:t>Inventaire achevé et</w:t>
            </w:r>
          </w:p>
          <w:p w:rsidR="005E6718" w:rsidRPr="00927778" w:rsidRDefault="005E6718" w:rsidP="00847CC2">
            <w:pPr>
              <w:ind w:left="318" w:hanging="284"/>
              <w:rPr>
                <w:color w:val="333333"/>
                <w:lang w:val="fr-FR"/>
              </w:rPr>
            </w:pPr>
          </w:p>
          <w:p w:rsidR="009373F6" w:rsidRPr="00927778" w:rsidRDefault="00EC684F" w:rsidP="00EC684F">
            <w:pPr>
              <w:numPr>
                <w:ilvl w:val="0"/>
                <w:numId w:val="22"/>
              </w:numPr>
              <w:ind w:left="318" w:hanging="284"/>
              <w:rPr>
                <w:color w:val="333333"/>
                <w:lang w:val="fr-FR"/>
              </w:rPr>
            </w:pPr>
            <w:r w:rsidRPr="00927778">
              <w:rPr>
                <w:color w:val="333333"/>
                <w:lang w:val="fr-FR"/>
              </w:rPr>
              <w:t>Analyse préliminaire effectuée</w:t>
            </w: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rsidR="005E6718" w:rsidRPr="00927778" w:rsidRDefault="005E6718" w:rsidP="00847CC2">
            <w:pPr>
              <w:rPr>
                <w:color w:val="333333"/>
                <w:lang w:val="fr-FR"/>
              </w:rPr>
            </w:pPr>
          </w:p>
          <w:p w:rsidR="009373F6" w:rsidRPr="00927778" w:rsidRDefault="00DF0655" w:rsidP="00DB1FDF">
            <w:pPr>
              <w:rPr>
                <w:color w:val="333333"/>
                <w:lang w:val="fr-FR"/>
              </w:rPr>
            </w:pPr>
            <w:r w:rsidRPr="00927778">
              <w:rPr>
                <w:color w:val="333333"/>
                <w:lang w:val="fr-FR"/>
              </w:rPr>
              <w:t>L</w:t>
            </w:r>
            <w:r w:rsidR="00EA2C86" w:rsidRPr="00927778">
              <w:rPr>
                <w:color w:val="333333"/>
                <w:lang w:val="fr-FR"/>
              </w:rPr>
              <w:t>’</w:t>
            </w:r>
            <w:r w:rsidRPr="00927778">
              <w:rPr>
                <w:color w:val="333333"/>
                <w:lang w:val="fr-FR"/>
              </w:rPr>
              <w:t xml:space="preserve">enquête a été </w:t>
            </w:r>
            <w:r w:rsidR="00DB1FDF" w:rsidRPr="00927778">
              <w:rPr>
                <w:color w:val="333333"/>
                <w:lang w:val="fr-FR"/>
              </w:rPr>
              <w:t>diffusée</w:t>
            </w:r>
            <w:r w:rsidRPr="00927778">
              <w:rPr>
                <w:color w:val="333333"/>
                <w:lang w:val="fr-FR"/>
              </w:rPr>
              <w:t xml:space="preserve"> et une analyse préliminaire a commencé à être effectuée. </w:t>
            </w:r>
            <w:r w:rsidR="0057466D" w:rsidRPr="00927778">
              <w:rPr>
                <w:color w:val="333333"/>
                <w:lang w:val="fr-FR"/>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5E6718" w:rsidRPr="00144EAC" w:rsidRDefault="005E6718" w:rsidP="00847CC2">
            <w:pPr>
              <w:rPr>
                <w:color w:val="333333"/>
                <w:sz w:val="20"/>
                <w:lang w:val="fr-FR"/>
              </w:rPr>
            </w:pPr>
          </w:p>
          <w:p w:rsidR="009373F6" w:rsidRPr="00144EAC" w:rsidRDefault="009373F6" w:rsidP="00847CC2">
            <w:pPr>
              <w:rPr>
                <w:color w:val="333333"/>
                <w:sz w:val="20"/>
                <w:lang w:val="fr-FR"/>
              </w:rPr>
            </w:pPr>
            <w:r w:rsidRPr="00144EAC">
              <w:rPr>
                <w:color w:val="333333"/>
                <w:sz w:val="20"/>
                <w:lang w:val="fr-FR"/>
              </w:rPr>
              <w:t>***</w:t>
            </w:r>
          </w:p>
        </w:tc>
      </w:tr>
      <w:tr w:rsidR="00047C22" w:rsidRPr="00927778" w:rsidTr="00144EAC">
        <w:trPr>
          <w:trHeight w:val="1518"/>
        </w:trPr>
        <w:tc>
          <w:tcPr>
            <w:tcW w:w="2410" w:type="dxa"/>
            <w:tcBorders>
              <w:top w:val="single" w:sz="2" w:space="0" w:color="000000"/>
              <w:left w:val="single" w:sz="2" w:space="0" w:color="000000"/>
              <w:bottom w:val="single" w:sz="2" w:space="0" w:color="000000"/>
              <w:right w:val="single" w:sz="6" w:space="0" w:color="000000"/>
            </w:tcBorders>
            <w:shd w:val="clear" w:color="auto" w:fill="auto"/>
            <w:vAlign w:val="center"/>
          </w:tcPr>
          <w:p w:rsidR="009373F6" w:rsidRPr="00927778" w:rsidRDefault="00EC684F" w:rsidP="00EC684F">
            <w:pPr>
              <w:rPr>
                <w:bCs/>
                <w:color w:val="333333"/>
                <w:lang w:val="fr-FR"/>
              </w:rPr>
            </w:pPr>
            <w:r w:rsidRPr="00927778">
              <w:rPr>
                <w:bCs/>
                <w:color w:val="333333"/>
                <w:lang w:val="fr-FR"/>
              </w:rPr>
              <w:t>Modules de formation à la propriété intellectuelle adaptés aux besoins des juges et des magistrats pour chaque projet pilote</w:t>
            </w:r>
          </w:p>
        </w:tc>
        <w:tc>
          <w:tcPr>
            <w:tcW w:w="2694" w:type="dxa"/>
            <w:tcBorders>
              <w:top w:val="single" w:sz="2" w:space="0" w:color="000000"/>
              <w:left w:val="single" w:sz="6" w:space="0" w:color="000000"/>
              <w:bottom w:val="single" w:sz="2" w:space="0" w:color="000000"/>
              <w:right w:val="single" w:sz="2" w:space="0" w:color="000000"/>
            </w:tcBorders>
            <w:shd w:val="clear" w:color="auto" w:fill="auto"/>
            <w:vAlign w:val="center"/>
          </w:tcPr>
          <w:p w:rsidR="005E6718" w:rsidRPr="00927778" w:rsidRDefault="005E6718" w:rsidP="005D4FA6">
            <w:pPr>
              <w:ind w:left="318"/>
              <w:rPr>
                <w:color w:val="333333"/>
                <w:lang w:val="fr-FR"/>
              </w:rPr>
            </w:pPr>
          </w:p>
          <w:p w:rsidR="005E6718" w:rsidRPr="00927778" w:rsidRDefault="00EC684F" w:rsidP="00EC684F">
            <w:pPr>
              <w:numPr>
                <w:ilvl w:val="0"/>
                <w:numId w:val="23"/>
              </w:numPr>
              <w:ind w:left="318" w:hanging="284"/>
              <w:rPr>
                <w:color w:val="333333"/>
                <w:lang w:val="fr-FR"/>
              </w:rPr>
            </w:pPr>
            <w:r w:rsidRPr="00927778">
              <w:rPr>
                <w:color w:val="333333"/>
                <w:lang w:val="fr-FR"/>
              </w:rPr>
              <w:t>Modules achevés et approuvés par les autorités nationales ou régionales compétentes</w:t>
            </w:r>
          </w:p>
          <w:p w:rsidR="005E6718" w:rsidRPr="00927778" w:rsidRDefault="005E6718" w:rsidP="00847CC2">
            <w:pPr>
              <w:ind w:left="318" w:hanging="284"/>
              <w:rPr>
                <w:color w:val="333333"/>
                <w:lang w:val="fr-FR"/>
              </w:rPr>
            </w:pPr>
          </w:p>
          <w:p w:rsidR="005E6718" w:rsidRPr="00927778" w:rsidRDefault="00EC684F" w:rsidP="00EC684F">
            <w:pPr>
              <w:numPr>
                <w:ilvl w:val="0"/>
                <w:numId w:val="23"/>
              </w:numPr>
              <w:ind w:left="318" w:hanging="284"/>
              <w:rPr>
                <w:color w:val="333333"/>
                <w:lang w:val="fr-FR"/>
              </w:rPr>
            </w:pPr>
            <w:r w:rsidRPr="00927778">
              <w:rPr>
                <w:color w:val="333333"/>
                <w:lang w:val="fr-FR"/>
              </w:rPr>
              <w:t>Au moins une session de formation (en ligne, mixte ou sur place) organisée en coopération avec chaque institut de formation bénéficiaire sur la base des nouveaux modules, des programmes de cours et d</w:t>
            </w:r>
            <w:r w:rsidR="00EA2C86" w:rsidRPr="00927778">
              <w:rPr>
                <w:color w:val="333333"/>
                <w:lang w:val="fr-FR"/>
              </w:rPr>
              <w:t>’</w:t>
            </w:r>
            <w:r w:rsidRPr="00927778">
              <w:rPr>
                <w:color w:val="333333"/>
                <w:lang w:val="fr-FR"/>
              </w:rPr>
              <w:t>une technique de formation qui permet d</w:t>
            </w:r>
            <w:r w:rsidR="00EA2C86" w:rsidRPr="00927778">
              <w:rPr>
                <w:color w:val="333333"/>
                <w:lang w:val="fr-FR"/>
              </w:rPr>
              <w:t>’</w:t>
            </w:r>
            <w:r w:rsidRPr="00927778">
              <w:rPr>
                <w:color w:val="333333"/>
                <w:lang w:val="fr-FR"/>
              </w:rPr>
              <w:t>atteindre les résultats pédagogiques souhaités</w:t>
            </w:r>
          </w:p>
          <w:p w:rsidR="0015502F" w:rsidRPr="00927778" w:rsidRDefault="0015502F" w:rsidP="005D4FA6">
            <w:pPr>
              <w:rPr>
                <w:color w:val="333333"/>
                <w:lang w:val="fr-FR"/>
              </w:rPr>
            </w:pP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rsidR="005E6718" w:rsidRPr="00927778" w:rsidRDefault="005E6718" w:rsidP="005D4FA6">
            <w:pPr>
              <w:ind w:left="317"/>
              <w:rPr>
                <w:color w:val="333333"/>
                <w:lang w:val="fr-FR"/>
              </w:rPr>
            </w:pPr>
          </w:p>
          <w:p w:rsidR="00EA2C86" w:rsidRPr="00927778" w:rsidRDefault="00095CF6" w:rsidP="00EA1A2E">
            <w:pPr>
              <w:numPr>
                <w:ilvl w:val="0"/>
                <w:numId w:val="24"/>
              </w:numPr>
              <w:ind w:left="317" w:hanging="284"/>
              <w:rPr>
                <w:color w:val="333333"/>
                <w:lang w:val="fr-FR"/>
              </w:rPr>
            </w:pPr>
            <w:r w:rsidRPr="00927778">
              <w:rPr>
                <w:color w:val="333333"/>
                <w:lang w:val="fr-FR"/>
              </w:rPr>
              <w:t>L</w:t>
            </w:r>
            <w:r w:rsidR="00DF0655" w:rsidRPr="00927778">
              <w:rPr>
                <w:color w:val="333333"/>
                <w:lang w:val="fr-FR"/>
              </w:rPr>
              <w:t>es quatre</w:t>
            </w:r>
            <w:r w:rsidR="0057466D" w:rsidRPr="00927778">
              <w:rPr>
                <w:color w:val="333333"/>
                <w:lang w:val="fr-FR"/>
              </w:rPr>
              <w:t> </w:t>
            </w:r>
            <w:r w:rsidR="00DF0655" w:rsidRPr="00927778">
              <w:rPr>
                <w:color w:val="333333"/>
                <w:lang w:val="fr-FR"/>
              </w:rPr>
              <w:t>modules ont été adaptés, achevés et approuvés par les autorités nationales.</w:t>
            </w:r>
          </w:p>
          <w:p w:rsidR="005E6718" w:rsidRPr="00927778" w:rsidRDefault="005E6718" w:rsidP="00847CC2">
            <w:pPr>
              <w:ind w:left="317" w:hanging="284"/>
              <w:rPr>
                <w:color w:val="333333"/>
                <w:lang w:val="fr-FR"/>
              </w:rPr>
            </w:pPr>
          </w:p>
          <w:p w:rsidR="00EA2C86" w:rsidRPr="00927778" w:rsidRDefault="00BB0207" w:rsidP="00EA1A2E">
            <w:pPr>
              <w:numPr>
                <w:ilvl w:val="0"/>
                <w:numId w:val="24"/>
              </w:numPr>
              <w:ind w:left="317" w:hanging="284"/>
              <w:rPr>
                <w:color w:val="333333"/>
                <w:lang w:val="fr-FR"/>
              </w:rPr>
            </w:pPr>
            <w:r w:rsidRPr="00927778">
              <w:rPr>
                <w:color w:val="333333"/>
                <w:lang w:val="fr-FR"/>
              </w:rPr>
              <w:t>Plus d</w:t>
            </w:r>
            <w:r w:rsidR="00EA2C86" w:rsidRPr="00927778">
              <w:rPr>
                <w:color w:val="333333"/>
                <w:lang w:val="fr-FR"/>
              </w:rPr>
              <w:t>’</w:t>
            </w:r>
            <w:r w:rsidRPr="00927778">
              <w:rPr>
                <w:color w:val="333333"/>
                <w:lang w:val="fr-FR"/>
              </w:rPr>
              <w:t>une</w:t>
            </w:r>
            <w:r w:rsidR="006879BB" w:rsidRPr="00927778">
              <w:rPr>
                <w:color w:val="333333"/>
                <w:lang w:val="fr-FR"/>
              </w:rPr>
              <w:t xml:space="preserve"> session de formation a été organisée pour chaque pays pilote en coopération avec les </w:t>
            </w:r>
            <w:r w:rsidR="00C111BE" w:rsidRPr="00927778">
              <w:rPr>
                <w:color w:val="333333"/>
                <w:lang w:val="fr-FR"/>
              </w:rPr>
              <w:t>instituts</w:t>
            </w:r>
            <w:r w:rsidR="006879BB" w:rsidRPr="00927778">
              <w:rPr>
                <w:color w:val="333333"/>
                <w:lang w:val="fr-FR"/>
              </w:rPr>
              <w:t xml:space="preserve"> de formation bénéficiaires</w:t>
            </w:r>
            <w:r w:rsidR="007F7E4C" w:rsidRPr="00927778">
              <w:rPr>
                <w:color w:val="333333"/>
                <w:lang w:val="fr-FR"/>
              </w:rPr>
              <w:t xml:space="preserve"> sur la base des modules </w:t>
            </w:r>
            <w:r w:rsidR="000D028B" w:rsidRPr="00927778">
              <w:rPr>
                <w:color w:val="333333"/>
                <w:lang w:val="fr-FR"/>
              </w:rPr>
              <w:t>mis au point</w:t>
            </w:r>
            <w:r w:rsidR="007F7E4C" w:rsidRPr="00927778">
              <w:rPr>
                <w:color w:val="333333"/>
                <w:lang w:val="fr-FR"/>
              </w:rPr>
              <w:t>.</w:t>
            </w:r>
          </w:p>
          <w:p w:rsidR="009373F6" w:rsidRPr="00927778" w:rsidRDefault="009373F6" w:rsidP="00847CC2">
            <w:pPr>
              <w:rPr>
                <w:color w:val="333333"/>
                <w:lang w:val="fr-FR"/>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5E6718" w:rsidRPr="00144EAC" w:rsidRDefault="005E6718" w:rsidP="00847CC2">
            <w:pPr>
              <w:rPr>
                <w:color w:val="333333"/>
                <w:sz w:val="20"/>
                <w:lang w:val="fr-FR"/>
              </w:rPr>
            </w:pPr>
          </w:p>
          <w:p w:rsidR="009373F6" w:rsidRPr="00144EAC" w:rsidRDefault="009373F6" w:rsidP="00847CC2">
            <w:pPr>
              <w:rPr>
                <w:color w:val="333333"/>
                <w:sz w:val="20"/>
                <w:lang w:val="fr-FR"/>
              </w:rPr>
            </w:pPr>
            <w:r w:rsidRPr="00144EAC">
              <w:rPr>
                <w:color w:val="333333"/>
                <w:sz w:val="20"/>
                <w:lang w:val="fr-FR"/>
              </w:rPr>
              <w:t>****</w:t>
            </w:r>
          </w:p>
        </w:tc>
      </w:tr>
      <w:tr w:rsidR="00047C22" w:rsidRPr="00927778" w:rsidTr="00144EAC">
        <w:trPr>
          <w:trHeight w:val="1518"/>
        </w:trPr>
        <w:tc>
          <w:tcPr>
            <w:tcW w:w="2410" w:type="dxa"/>
            <w:tcBorders>
              <w:top w:val="single" w:sz="2" w:space="0" w:color="000000"/>
              <w:left w:val="single" w:sz="2" w:space="0" w:color="000000"/>
              <w:bottom w:val="single" w:sz="4" w:space="0" w:color="auto"/>
              <w:right w:val="single" w:sz="6" w:space="0" w:color="000000"/>
            </w:tcBorders>
            <w:shd w:val="clear" w:color="auto" w:fill="auto"/>
            <w:vAlign w:val="center"/>
          </w:tcPr>
          <w:p w:rsidR="009373F6" w:rsidRPr="00927778" w:rsidRDefault="00EC684F" w:rsidP="00EC684F">
            <w:pPr>
              <w:rPr>
                <w:bCs/>
                <w:color w:val="333333"/>
                <w:lang w:val="fr-FR"/>
              </w:rPr>
            </w:pPr>
            <w:r w:rsidRPr="00927778">
              <w:rPr>
                <w:bCs/>
                <w:color w:val="333333"/>
                <w:lang w:val="fr-FR"/>
              </w:rPr>
              <w:t>Groupe de juges, comprenant un ou des formateur(s) potentiel(s), formés sur la base des modules mis au point</w:t>
            </w:r>
          </w:p>
        </w:tc>
        <w:tc>
          <w:tcPr>
            <w:tcW w:w="2694" w:type="dxa"/>
            <w:tcBorders>
              <w:top w:val="single" w:sz="2" w:space="0" w:color="000000"/>
              <w:left w:val="single" w:sz="6" w:space="0" w:color="000000"/>
              <w:bottom w:val="single" w:sz="4" w:space="0" w:color="auto"/>
              <w:right w:val="single" w:sz="2" w:space="0" w:color="000000"/>
            </w:tcBorders>
            <w:shd w:val="clear" w:color="auto" w:fill="auto"/>
            <w:vAlign w:val="center"/>
          </w:tcPr>
          <w:p w:rsidR="009373F6" w:rsidRPr="00927778" w:rsidRDefault="00EC684F" w:rsidP="00EC684F">
            <w:pPr>
              <w:rPr>
                <w:color w:val="333333"/>
                <w:lang w:val="fr-FR"/>
              </w:rPr>
            </w:pPr>
            <w:r w:rsidRPr="00927778">
              <w:rPr>
                <w:color w:val="333333"/>
                <w:lang w:val="fr-FR"/>
              </w:rPr>
              <w:t>Session de formation des bénéficiaires terminée</w:t>
            </w:r>
          </w:p>
        </w:tc>
        <w:tc>
          <w:tcPr>
            <w:tcW w:w="3118" w:type="dxa"/>
            <w:tcBorders>
              <w:top w:val="single" w:sz="2" w:space="0" w:color="000000"/>
              <w:left w:val="single" w:sz="2" w:space="0" w:color="000000"/>
              <w:bottom w:val="single" w:sz="4" w:space="0" w:color="auto"/>
              <w:right w:val="single" w:sz="2" w:space="0" w:color="000000"/>
            </w:tcBorders>
            <w:shd w:val="clear" w:color="auto" w:fill="auto"/>
          </w:tcPr>
          <w:p w:rsidR="005E6718" w:rsidRPr="00927778" w:rsidRDefault="005E6718" w:rsidP="00847CC2">
            <w:pPr>
              <w:rPr>
                <w:color w:val="333333"/>
                <w:lang w:val="fr-FR"/>
              </w:rPr>
            </w:pPr>
          </w:p>
          <w:p w:rsidR="009373F6" w:rsidRPr="00927778" w:rsidRDefault="00C949DC" w:rsidP="00C949DC">
            <w:pPr>
              <w:rPr>
                <w:color w:val="333333"/>
                <w:lang w:val="fr-FR"/>
              </w:rPr>
            </w:pPr>
            <w:r w:rsidRPr="00927778">
              <w:rPr>
                <w:color w:val="333333"/>
                <w:lang w:val="fr-FR"/>
              </w:rPr>
              <w:t>Tous l</w:t>
            </w:r>
            <w:r w:rsidR="002121DD" w:rsidRPr="00927778">
              <w:rPr>
                <w:color w:val="333333"/>
                <w:lang w:val="fr-FR"/>
              </w:rPr>
              <w:t>es</w:t>
            </w:r>
            <w:r w:rsidR="00176B77" w:rsidRPr="00927778">
              <w:rPr>
                <w:color w:val="333333"/>
                <w:lang w:val="fr-FR"/>
              </w:rPr>
              <w:t xml:space="preserve"> juges et formateurs des quatre</w:t>
            </w:r>
            <w:r w:rsidR="0057466D" w:rsidRPr="00927778">
              <w:rPr>
                <w:color w:val="333333"/>
                <w:lang w:val="fr-FR"/>
              </w:rPr>
              <w:t> </w:t>
            </w:r>
            <w:r w:rsidR="00176B77" w:rsidRPr="00927778">
              <w:rPr>
                <w:color w:val="333333"/>
                <w:lang w:val="fr-FR"/>
              </w:rPr>
              <w:t xml:space="preserve">pays pilotes </w:t>
            </w:r>
            <w:r w:rsidRPr="00927778">
              <w:rPr>
                <w:color w:val="333333"/>
                <w:lang w:val="fr-FR"/>
              </w:rPr>
              <w:t>ont</w:t>
            </w:r>
            <w:r w:rsidR="002121DD" w:rsidRPr="00927778">
              <w:rPr>
                <w:color w:val="333333"/>
                <w:lang w:val="fr-FR"/>
              </w:rPr>
              <w:t xml:space="preserve"> été formé</w:t>
            </w:r>
            <w:r w:rsidRPr="00927778">
              <w:rPr>
                <w:color w:val="333333"/>
                <w:lang w:val="fr-FR"/>
              </w:rPr>
              <w:t>s</w:t>
            </w:r>
            <w:r w:rsidR="00176B77" w:rsidRPr="00927778">
              <w:rPr>
                <w:color w:val="333333"/>
                <w:lang w:val="fr-FR"/>
              </w:rPr>
              <w:t xml:space="preserve"> sur la base des modules mis au point. </w:t>
            </w:r>
            <w:r w:rsidR="0057466D" w:rsidRPr="00927778">
              <w:rPr>
                <w:color w:val="333333"/>
                <w:lang w:val="fr-FR"/>
              </w:rPr>
              <w:t xml:space="preserve"> </w:t>
            </w:r>
          </w:p>
        </w:tc>
        <w:tc>
          <w:tcPr>
            <w:tcW w:w="1134" w:type="dxa"/>
            <w:tcBorders>
              <w:top w:val="single" w:sz="2" w:space="0" w:color="000000"/>
              <w:left w:val="single" w:sz="2" w:space="0" w:color="000000"/>
              <w:bottom w:val="single" w:sz="4" w:space="0" w:color="auto"/>
              <w:right w:val="single" w:sz="2" w:space="0" w:color="000000"/>
            </w:tcBorders>
            <w:shd w:val="clear" w:color="auto" w:fill="auto"/>
            <w:tcMar>
              <w:left w:w="0" w:type="dxa"/>
              <w:right w:w="0" w:type="dxa"/>
            </w:tcMar>
          </w:tcPr>
          <w:p w:rsidR="005E6718" w:rsidRPr="00144EAC" w:rsidRDefault="005E6718" w:rsidP="00847CC2">
            <w:pPr>
              <w:rPr>
                <w:color w:val="333333"/>
                <w:sz w:val="20"/>
                <w:lang w:val="fr-FR"/>
              </w:rPr>
            </w:pPr>
          </w:p>
          <w:p w:rsidR="009373F6" w:rsidRPr="00144EAC" w:rsidRDefault="009373F6" w:rsidP="00847CC2">
            <w:pPr>
              <w:rPr>
                <w:color w:val="333333"/>
                <w:sz w:val="20"/>
                <w:lang w:val="fr-FR"/>
              </w:rPr>
            </w:pPr>
            <w:r w:rsidRPr="00144EAC">
              <w:rPr>
                <w:color w:val="333333"/>
                <w:sz w:val="20"/>
                <w:lang w:val="fr-FR"/>
              </w:rPr>
              <w:t>****</w:t>
            </w:r>
          </w:p>
        </w:tc>
      </w:tr>
      <w:tr w:rsidR="00047C22" w:rsidRPr="00927778" w:rsidTr="00144EAC">
        <w:trPr>
          <w:trHeight w:val="151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373F6" w:rsidRPr="00927778" w:rsidRDefault="00EC684F" w:rsidP="00EC684F">
            <w:pPr>
              <w:rPr>
                <w:bCs/>
                <w:color w:val="333333"/>
                <w:lang w:val="fr-FR"/>
              </w:rPr>
            </w:pPr>
            <w:r w:rsidRPr="00927778">
              <w:rPr>
                <w:bCs/>
                <w:color w:val="333333"/>
                <w:lang w:val="fr-FR"/>
              </w:rPr>
              <w:t>Un réseau reliant les établissements de formation judiciaire a été créé.</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E6718" w:rsidRPr="00144EAC" w:rsidRDefault="005E6718" w:rsidP="00847CC2">
            <w:pPr>
              <w:rPr>
                <w:color w:val="333333"/>
                <w:sz w:val="12"/>
                <w:lang w:val="fr-FR"/>
              </w:rPr>
            </w:pPr>
          </w:p>
          <w:p w:rsidR="005E6718" w:rsidRPr="00927778" w:rsidRDefault="00EC684F" w:rsidP="00EC684F">
            <w:pPr>
              <w:rPr>
                <w:color w:val="333333"/>
                <w:lang w:val="fr-FR"/>
              </w:rPr>
            </w:pPr>
            <w:r w:rsidRPr="00927778">
              <w:rPr>
                <w:color w:val="333333"/>
                <w:lang w:val="fr-FR"/>
              </w:rPr>
              <w:t>Souhait d</w:t>
            </w:r>
            <w:r w:rsidR="00EA2C86" w:rsidRPr="00927778">
              <w:rPr>
                <w:color w:val="333333"/>
                <w:lang w:val="fr-FR"/>
              </w:rPr>
              <w:t>’</w:t>
            </w:r>
            <w:r w:rsidRPr="00927778">
              <w:rPr>
                <w:color w:val="333333"/>
                <w:lang w:val="fr-FR"/>
              </w:rPr>
              <w:t>au moins deux</w:t>
            </w:r>
            <w:r w:rsidR="0057466D" w:rsidRPr="00927778">
              <w:rPr>
                <w:color w:val="333333"/>
                <w:lang w:val="fr-FR"/>
              </w:rPr>
              <w:t> </w:t>
            </w:r>
            <w:r w:rsidRPr="00927778">
              <w:rPr>
                <w:color w:val="333333"/>
                <w:lang w:val="fr-FR"/>
              </w:rPr>
              <w:t>instituts de formation judiciaire d</w:t>
            </w:r>
            <w:r w:rsidR="00EA2C86" w:rsidRPr="00927778">
              <w:rPr>
                <w:color w:val="333333"/>
                <w:lang w:val="fr-FR"/>
              </w:rPr>
              <w:t>’</w:t>
            </w:r>
            <w:r w:rsidRPr="00927778">
              <w:rPr>
                <w:color w:val="333333"/>
                <w:lang w:val="fr-FR"/>
              </w:rPr>
              <w:t>établir des contacts et de coopérer plus étroitement dans le domaine de la formation spécialisée</w:t>
            </w:r>
          </w:p>
          <w:p w:rsidR="00AF2FDF" w:rsidRPr="00144EAC" w:rsidRDefault="00AF2FDF" w:rsidP="00847CC2">
            <w:pPr>
              <w:rPr>
                <w:color w:val="333333"/>
                <w:sz w:val="10"/>
                <w:lang w:val="fr-FR"/>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5E6718" w:rsidRPr="00144EAC" w:rsidRDefault="005E6718" w:rsidP="00847CC2">
            <w:pPr>
              <w:rPr>
                <w:color w:val="333333"/>
                <w:sz w:val="12"/>
                <w:lang w:val="fr-FR"/>
              </w:rPr>
            </w:pPr>
          </w:p>
          <w:p w:rsidR="009373F6" w:rsidRPr="00927778" w:rsidRDefault="00067F44" w:rsidP="00067F44">
            <w:pPr>
              <w:rPr>
                <w:color w:val="333333"/>
                <w:lang w:val="fr-FR"/>
              </w:rPr>
            </w:pPr>
            <w:r w:rsidRPr="00927778">
              <w:rPr>
                <w:color w:val="333333"/>
                <w:lang w:val="fr-FR"/>
              </w:rPr>
              <w:t xml:space="preserve">Tous les instituts de </w:t>
            </w:r>
            <w:r w:rsidR="00C111BE" w:rsidRPr="00927778">
              <w:rPr>
                <w:color w:val="333333"/>
                <w:lang w:val="fr-FR"/>
              </w:rPr>
              <w:t>formation</w:t>
            </w:r>
            <w:r w:rsidRPr="00927778">
              <w:rPr>
                <w:color w:val="333333"/>
                <w:lang w:val="fr-FR"/>
              </w:rPr>
              <w:t xml:space="preserve"> judiciaire ont exprimé le souhait d</w:t>
            </w:r>
            <w:r w:rsidR="00EA2C86" w:rsidRPr="00927778">
              <w:rPr>
                <w:color w:val="333333"/>
                <w:lang w:val="fr-FR"/>
              </w:rPr>
              <w:t>’</w:t>
            </w:r>
            <w:r w:rsidRPr="00927778">
              <w:rPr>
                <w:color w:val="333333"/>
                <w:lang w:val="fr-FR"/>
              </w:rPr>
              <w:t>établir des contacts avec d</w:t>
            </w:r>
            <w:r w:rsidR="00EA2C86" w:rsidRPr="00927778">
              <w:rPr>
                <w:color w:val="333333"/>
                <w:lang w:val="fr-FR"/>
              </w:rPr>
              <w:t>’</w:t>
            </w:r>
            <w:r w:rsidRPr="00927778">
              <w:rPr>
                <w:color w:val="333333"/>
                <w:lang w:val="fr-FR"/>
              </w:rPr>
              <w:t>autres instituts similaires et de coopérer plus étroitement dans le domaine de la formation spécialisée.</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5E6718" w:rsidRPr="00144EAC" w:rsidRDefault="005E6718" w:rsidP="00847CC2">
            <w:pPr>
              <w:rPr>
                <w:color w:val="333333"/>
                <w:sz w:val="14"/>
                <w:lang w:val="fr-FR"/>
              </w:rPr>
            </w:pPr>
          </w:p>
          <w:p w:rsidR="009373F6" w:rsidRPr="00144EAC" w:rsidRDefault="009373F6" w:rsidP="00847CC2">
            <w:pPr>
              <w:rPr>
                <w:color w:val="333333"/>
                <w:sz w:val="20"/>
                <w:lang w:val="fr-FR"/>
              </w:rPr>
            </w:pPr>
            <w:r w:rsidRPr="00144EAC">
              <w:rPr>
                <w:color w:val="333333"/>
                <w:sz w:val="20"/>
                <w:lang w:val="fr-FR"/>
              </w:rPr>
              <w:t>****</w:t>
            </w:r>
          </w:p>
        </w:tc>
      </w:tr>
    </w:tbl>
    <w:p w:rsidR="005E6718" w:rsidRPr="00927778" w:rsidRDefault="005E6718" w:rsidP="009373F6">
      <w:pPr>
        <w:rPr>
          <w:color w:val="333333"/>
          <w:lang w:val="fr-FR"/>
        </w:rPr>
      </w:pPr>
    </w:p>
    <w:p w:rsidR="005E6718" w:rsidRPr="00927778" w:rsidRDefault="005E6718" w:rsidP="009373F6">
      <w:pPr>
        <w:rPr>
          <w:color w:val="333333"/>
          <w:lang w:val="fr-FR"/>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084"/>
        <w:gridCol w:w="1168"/>
      </w:tblGrid>
      <w:tr w:rsidR="00047C22" w:rsidRPr="00927778" w:rsidTr="00144EAC">
        <w:trPr>
          <w:trHeight w:val="616"/>
        </w:trPr>
        <w:tc>
          <w:tcPr>
            <w:tcW w:w="2410" w:type="dxa"/>
            <w:shd w:val="clear" w:color="auto" w:fill="auto"/>
          </w:tcPr>
          <w:p w:rsidR="009373F6" w:rsidRPr="00927778" w:rsidRDefault="00EC684F" w:rsidP="00EC684F">
            <w:pPr>
              <w:pStyle w:val="Heading3"/>
              <w:rPr>
                <w:color w:val="333333"/>
                <w:lang w:val="fr-FR"/>
              </w:rPr>
            </w:pPr>
            <w:r w:rsidRPr="00927778">
              <w:rPr>
                <w:color w:val="333333"/>
                <w:lang w:val="fr-FR"/>
              </w:rPr>
              <w:t>Objectifs du projet</w:t>
            </w:r>
          </w:p>
        </w:tc>
        <w:tc>
          <w:tcPr>
            <w:tcW w:w="2694" w:type="dxa"/>
            <w:shd w:val="clear" w:color="auto" w:fill="auto"/>
          </w:tcPr>
          <w:p w:rsidR="005E6718" w:rsidRPr="00927778" w:rsidRDefault="00EC684F" w:rsidP="00EC684F">
            <w:pPr>
              <w:autoSpaceDE w:val="0"/>
              <w:autoSpaceDN w:val="0"/>
              <w:adjustRightInd w:val="0"/>
              <w:rPr>
                <w:bCs/>
                <w:color w:val="333333"/>
                <w:szCs w:val="22"/>
                <w:u w:val="single"/>
                <w:lang w:val="fr-FR"/>
              </w:rPr>
            </w:pPr>
            <w:r w:rsidRPr="00927778">
              <w:rPr>
                <w:bCs/>
                <w:color w:val="333333"/>
                <w:szCs w:val="22"/>
                <w:u w:val="single"/>
                <w:lang w:val="fr-FR"/>
              </w:rPr>
              <w:t>Indicateur(s) de réussite dans la réalisation de l</w:t>
            </w:r>
            <w:r w:rsidR="00EA2C86" w:rsidRPr="00927778">
              <w:rPr>
                <w:bCs/>
                <w:color w:val="333333"/>
                <w:szCs w:val="22"/>
                <w:u w:val="single"/>
                <w:lang w:val="fr-FR"/>
              </w:rPr>
              <w:t>’</w:t>
            </w:r>
            <w:r w:rsidRPr="00927778">
              <w:rPr>
                <w:bCs/>
                <w:color w:val="333333"/>
                <w:szCs w:val="22"/>
                <w:u w:val="single"/>
                <w:lang w:val="fr-FR"/>
              </w:rPr>
              <w:t>objectif du projet</w:t>
            </w:r>
          </w:p>
          <w:p w:rsidR="005E6718" w:rsidRPr="00927778" w:rsidRDefault="00EC684F" w:rsidP="00EC684F">
            <w:pPr>
              <w:autoSpaceDE w:val="0"/>
              <w:autoSpaceDN w:val="0"/>
              <w:adjustRightInd w:val="0"/>
              <w:rPr>
                <w:bCs/>
                <w:color w:val="333333"/>
                <w:szCs w:val="22"/>
                <w:u w:val="single"/>
                <w:lang w:val="fr-FR"/>
              </w:rPr>
            </w:pPr>
            <w:r w:rsidRPr="00927778">
              <w:rPr>
                <w:bCs/>
                <w:color w:val="333333"/>
                <w:szCs w:val="22"/>
                <w:u w:val="single"/>
                <w:lang w:val="fr-FR"/>
              </w:rPr>
              <w:t>(indicateurs de réussite)</w:t>
            </w:r>
          </w:p>
          <w:p w:rsidR="009373F6" w:rsidRPr="00927778" w:rsidRDefault="009373F6" w:rsidP="00847CC2">
            <w:pPr>
              <w:rPr>
                <w:color w:val="333333"/>
                <w:lang w:val="fr-FR"/>
              </w:rPr>
            </w:pPr>
          </w:p>
        </w:tc>
        <w:tc>
          <w:tcPr>
            <w:tcW w:w="3084" w:type="dxa"/>
            <w:shd w:val="clear" w:color="auto" w:fill="auto"/>
          </w:tcPr>
          <w:p w:rsidR="009373F6" w:rsidRPr="00927778" w:rsidRDefault="00EC684F" w:rsidP="00EC684F">
            <w:pPr>
              <w:pStyle w:val="Heading3"/>
              <w:rPr>
                <w:color w:val="333333"/>
                <w:lang w:val="fr-FR"/>
              </w:rPr>
            </w:pPr>
            <w:r w:rsidRPr="00927778">
              <w:rPr>
                <w:color w:val="333333"/>
                <w:lang w:val="fr-FR"/>
              </w:rPr>
              <w:t>Données relatives à l</w:t>
            </w:r>
            <w:r w:rsidR="00EA2C86" w:rsidRPr="00927778">
              <w:rPr>
                <w:color w:val="333333"/>
                <w:lang w:val="fr-FR"/>
              </w:rPr>
              <w:t>’</w:t>
            </w:r>
            <w:r w:rsidRPr="00927778">
              <w:rPr>
                <w:color w:val="333333"/>
                <w:lang w:val="fr-FR"/>
              </w:rPr>
              <w:t>exécution</w:t>
            </w:r>
          </w:p>
        </w:tc>
        <w:tc>
          <w:tcPr>
            <w:tcW w:w="1168" w:type="dxa"/>
            <w:shd w:val="clear" w:color="auto" w:fill="auto"/>
            <w:tcMar>
              <w:left w:w="0" w:type="dxa"/>
              <w:right w:w="0" w:type="dxa"/>
            </w:tcMar>
          </w:tcPr>
          <w:p w:rsidR="009373F6" w:rsidRPr="00144EAC" w:rsidRDefault="00EC684F" w:rsidP="00EC684F">
            <w:pPr>
              <w:pStyle w:val="Heading3"/>
              <w:rPr>
                <w:color w:val="333333"/>
                <w:sz w:val="20"/>
                <w:lang w:val="fr-FR"/>
              </w:rPr>
            </w:pPr>
            <w:r w:rsidRPr="00144EAC">
              <w:rPr>
                <w:color w:val="333333"/>
                <w:sz w:val="20"/>
                <w:lang w:val="fr-FR"/>
              </w:rPr>
              <w:t>Code d</w:t>
            </w:r>
            <w:r w:rsidR="00EA2C86" w:rsidRPr="00144EAC">
              <w:rPr>
                <w:color w:val="333333"/>
                <w:sz w:val="20"/>
                <w:lang w:val="fr-FR"/>
              </w:rPr>
              <w:t>’</w:t>
            </w:r>
            <w:r w:rsidRPr="00144EAC">
              <w:rPr>
                <w:color w:val="333333"/>
                <w:sz w:val="20"/>
                <w:lang w:val="fr-FR"/>
              </w:rPr>
              <w:t>évaluation</w:t>
            </w:r>
          </w:p>
        </w:tc>
      </w:tr>
      <w:tr w:rsidR="00047C22" w:rsidRPr="00927778" w:rsidTr="00144EAC">
        <w:trPr>
          <w:trHeight w:val="509"/>
        </w:trPr>
        <w:tc>
          <w:tcPr>
            <w:tcW w:w="2410" w:type="dxa"/>
            <w:shd w:val="clear" w:color="auto" w:fill="auto"/>
          </w:tcPr>
          <w:p w:rsidR="005E6718" w:rsidRPr="00927778" w:rsidRDefault="005E6718" w:rsidP="00847CC2">
            <w:pPr>
              <w:rPr>
                <w:bCs/>
                <w:color w:val="333333"/>
                <w:lang w:val="fr-FR"/>
              </w:rPr>
            </w:pPr>
          </w:p>
          <w:p w:rsidR="005E6718" w:rsidRPr="00927778" w:rsidRDefault="00EC684F" w:rsidP="00EC684F">
            <w:pPr>
              <w:rPr>
                <w:bCs/>
                <w:color w:val="333333"/>
                <w:lang w:val="fr-FR"/>
              </w:rPr>
            </w:pPr>
            <w:r w:rsidRPr="00927778">
              <w:rPr>
                <w:bCs/>
                <w:color w:val="333333"/>
                <w:lang w:val="fr-FR"/>
              </w:rPr>
              <w:t>Capacités et compétences renforcées des magistrats, juges et procureurs dans les pays en développement et les pays les moins avancés pour régler efficacement les litiges de propriété intellectuelle en cohésion avec les besoins et les priorités recensés du pays concerné en termes de développement</w:t>
            </w:r>
          </w:p>
          <w:p w:rsidR="00DF3C47" w:rsidRPr="00927778" w:rsidRDefault="00DF3C47" w:rsidP="00847CC2">
            <w:pPr>
              <w:rPr>
                <w:bCs/>
                <w:color w:val="333333"/>
                <w:lang w:val="fr-FR"/>
              </w:rPr>
            </w:pPr>
          </w:p>
        </w:tc>
        <w:tc>
          <w:tcPr>
            <w:tcW w:w="2694" w:type="dxa"/>
            <w:shd w:val="clear" w:color="auto" w:fill="auto"/>
          </w:tcPr>
          <w:p w:rsidR="005E6718" w:rsidRPr="00927778" w:rsidRDefault="005E6718" w:rsidP="00847CC2">
            <w:pPr>
              <w:rPr>
                <w:color w:val="333333"/>
                <w:lang w:val="fr-FR"/>
              </w:rPr>
            </w:pPr>
          </w:p>
          <w:p w:rsidR="009373F6" w:rsidRPr="00927778" w:rsidRDefault="00EC684F" w:rsidP="00EC684F">
            <w:pPr>
              <w:rPr>
                <w:color w:val="333333"/>
                <w:lang w:val="fr-FR"/>
              </w:rPr>
            </w:pPr>
            <w:r w:rsidRPr="00927778">
              <w:rPr>
                <w:color w:val="333333"/>
                <w:lang w:val="fr-FR"/>
              </w:rPr>
              <w:t>Au moins 50% des juges, magistrats et procureurs bénéficiaires indiquent qu</w:t>
            </w:r>
            <w:r w:rsidR="00EA2C86" w:rsidRPr="00927778">
              <w:rPr>
                <w:color w:val="333333"/>
                <w:lang w:val="fr-FR"/>
              </w:rPr>
              <w:t>’</w:t>
            </w:r>
            <w:r w:rsidRPr="00927778">
              <w:rPr>
                <w:color w:val="333333"/>
                <w:lang w:val="fr-FR"/>
              </w:rPr>
              <w:t>ils ont acquis de nouvelles compétences pour régler efficacement les litiges de propriété intellectuelle.</w:t>
            </w:r>
          </w:p>
        </w:tc>
        <w:tc>
          <w:tcPr>
            <w:tcW w:w="3084" w:type="dxa"/>
            <w:shd w:val="clear" w:color="auto" w:fill="auto"/>
          </w:tcPr>
          <w:p w:rsidR="005E6718" w:rsidRPr="00927778" w:rsidRDefault="005E6718" w:rsidP="00847CC2">
            <w:pPr>
              <w:rPr>
                <w:color w:val="333333"/>
                <w:lang w:val="fr-FR"/>
              </w:rPr>
            </w:pPr>
          </w:p>
          <w:p w:rsidR="009373F6" w:rsidRPr="00927778" w:rsidRDefault="00D93FD9" w:rsidP="00D93FD9">
            <w:pPr>
              <w:rPr>
                <w:color w:val="333333"/>
                <w:lang w:val="fr-FR"/>
              </w:rPr>
            </w:pPr>
            <w:r w:rsidRPr="00927778">
              <w:rPr>
                <w:color w:val="333333"/>
                <w:lang w:val="fr-FR"/>
              </w:rPr>
              <w:t xml:space="preserve">La plupart des juges formés ont indiqué avoir acquis de nouvelles compétences pour régler efficacement les litiges de propriété intellectuelle. </w:t>
            </w:r>
            <w:r w:rsidR="0057466D" w:rsidRPr="00927778">
              <w:rPr>
                <w:color w:val="333333"/>
                <w:lang w:val="fr-FR"/>
              </w:rPr>
              <w:t xml:space="preserve"> </w:t>
            </w:r>
          </w:p>
        </w:tc>
        <w:tc>
          <w:tcPr>
            <w:tcW w:w="1168" w:type="dxa"/>
            <w:shd w:val="clear" w:color="auto" w:fill="auto"/>
            <w:tcMar>
              <w:left w:w="0" w:type="dxa"/>
              <w:right w:w="0" w:type="dxa"/>
            </w:tcMar>
          </w:tcPr>
          <w:p w:rsidR="005E6718" w:rsidRPr="00144EAC" w:rsidRDefault="005E6718" w:rsidP="00847CC2">
            <w:pPr>
              <w:rPr>
                <w:color w:val="333333"/>
                <w:sz w:val="20"/>
                <w:lang w:val="fr-FR"/>
              </w:rPr>
            </w:pPr>
          </w:p>
          <w:p w:rsidR="009373F6" w:rsidRPr="00144EAC" w:rsidRDefault="009373F6" w:rsidP="00847CC2">
            <w:pPr>
              <w:rPr>
                <w:color w:val="333333"/>
                <w:sz w:val="20"/>
                <w:lang w:val="fr-FR"/>
              </w:rPr>
            </w:pPr>
            <w:r w:rsidRPr="00144EAC">
              <w:rPr>
                <w:color w:val="333333"/>
                <w:sz w:val="20"/>
                <w:lang w:val="fr-FR"/>
              </w:rPr>
              <w:t>****</w:t>
            </w:r>
          </w:p>
        </w:tc>
      </w:tr>
      <w:tr w:rsidR="00047C22" w:rsidRPr="00927778" w:rsidTr="00144EAC">
        <w:trPr>
          <w:trHeight w:val="509"/>
        </w:trPr>
        <w:tc>
          <w:tcPr>
            <w:tcW w:w="2410" w:type="dxa"/>
            <w:shd w:val="clear" w:color="auto" w:fill="auto"/>
          </w:tcPr>
          <w:p w:rsidR="005E6718" w:rsidRPr="00927778" w:rsidRDefault="005E6718" w:rsidP="00847CC2">
            <w:pPr>
              <w:rPr>
                <w:color w:val="333333"/>
                <w:lang w:val="fr-FR"/>
              </w:rPr>
            </w:pPr>
          </w:p>
          <w:p w:rsidR="005E6718" w:rsidRPr="00927778" w:rsidRDefault="00EC684F" w:rsidP="00EC684F">
            <w:pPr>
              <w:rPr>
                <w:color w:val="333333"/>
                <w:lang w:val="fr-FR"/>
              </w:rPr>
            </w:pPr>
            <w:r w:rsidRPr="00927778">
              <w:rPr>
                <w:color w:val="333333"/>
                <w:lang w:val="fr-FR"/>
              </w:rPr>
              <w:t>Culture de la propriété intellectuelle axée sur le développement dans le corps judiciaire qui encourage l</w:t>
            </w:r>
            <w:r w:rsidR="00EA2C86" w:rsidRPr="00927778">
              <w:rPr>
                <w:color w:val="333333"/>
                <w:lang w:val="fr-FR"/>
              </w:rPr>
              <w:t>’</w:t>
            </w:r>
            <w:r w:rsidRPr="00927778">
              <w:rPr>
                <w:color w:val="333333"/>
                <w:lang w:val="fr-FR"/>
              </w:rPr>
              <w:t>innovation et la créativité locales et améliore l</w:t>
            </w:r>
            <w:r w:rsidR="00EA2C86" w:rsidRPr="00927778">
              <w:rPr>
                <w:color w:val="333333"/>
                <w:lang w:val="fr-FR"/>
              </w:rPr>
              <w:t>’</w:t>
            </w:r>
            <w:r w:rsidRPr="00927778">
              <w:rPr>
                <w:color w:val="333333"/>
                <w:lang w:val="fr-FR"/>
              </w:rPr>
              <w:t>environnement pour la collaboration internationale, le transfert de technologie et l</w:t>
            </w:r>
            <w:r w:rsidR="00EA2C86" w:rsidRPr="00927778">
              <w:rPr>
                <w:color w:val="333333"/>
                <w:lang w:val="fr-FR"/>
              </w:rPr>
              <w:t>’</w:t>
            </w:r>
            <w:r w:rsidRPr="00927778">
              <w:rPr>
                <w:color w:val="333333"/>
                <w:lang w:val="fr-FR"/>
              </w:rPr>
              <w:t>investissement</w:t>
            </w:r>
          </w:p>
          <w:p w:rsidR="009A0304" w:rsidRPr="00927778" w:rsidRDefault="009A0304" w:rsidP="00847CC2">
            <w:pPr>
              <w:rPr>
                <w:color w:val="333333"/>
                <w:lang w:val="fr-FR"/>
              </w:rPr>
            </w:pPr>
          </w:p>
        </w:tc>
        <w:tc>
          <w:tcPr>
            <w:tcW w:w="2694" w:type="dxa"/>
            <w:shd w:val="clear" w:color="auto" w:fill="auto"/>
          </w:tcPr>
          <w:p w:rsidR="005E6718" w:rsidRPr="00927778" w:rsidRDefault="005E6718" w:rsidP="00847CC2">
            <w:pPr>
              <w:rPr>
                <w:color w:val="333333"/>
                <w:lang w:val="fr-FR"/>
              </w:rPr>
            </w:pPr>
          </w:p>
          <w:p w:rsidR="009373F6" w:rsidRPr="00927778" w:rsidRDefault="00EC684F" w:rsidP="00EC684F">
            <w:pPr>
              <w:rPr>
                <w:color w:val="333333"/>
                <w:lang w:val="fr-FR"/>
              </w:rPr>
            </w:pPr>
            <w:r w:rsidRPr="00927778">
              <w:rPr>
                <w:color w:val="333333"/>
                <w:lang w:val="fr-FR"/>
              </w:rPr>
              <w:t>Au moins 50% des juges, magistrats et procureurs bénéficiaires reconnaissent la corrélation entre un jugement efficace et efficient et l</w:t>
            </w:r>
            <w:r w:rsidR="00EA2C86" w:rsidRPr="00927778">
              <w:rPr>
                <w:color w:val="333333"/>
                <w:lang w:val="fr-FR"/>
              </w:rPr>
              <w:t>’</w:t>
            </w:r>
            <w:r w:rsidRPr="00927778">
              <w:rPr>
                <w:color w:val="333333"/>
                <w:lang w:val="fr-FR"/>
              </w:rPr>
              <w:t>innovation et la créativité locales.</w:t>
            </w:r>
          </w:p>
        </w:tc>
        <w:tc>
          <w:tcPr>
            <w:tcW w:w="3084" w:type="dxa"/>
            <w:shd w:val="clear" w:color="auto" w:fill="auto"/>
          </w:tcPr>
          <w:p w:rsidR="005E6718" w:rsidRPr="00927778" w:rsidRDefault="005E6718" w:rsidP="00847CC2">
            <w:pPr>
              <w:rPr>
                <w:color w:val="333333"/>
                <w:lang w:val="fr-FR"/>
              </w:rPr>
            </w:pPr>
          </w:p>
          <w:p w:rsidR="009373F6" w:rsidRPr="00927778" w:rsidRDefault="007426E9" w:rsidP="007426E9">
            <w:pPr>
              <w:rPr>
                <w:color w:val="333333"/>
                <w:lang w:val="fr-FR"/>
              </w:rPr>
            </w:pPr>
            <w:r w:rsidRPr="00927778">
              <w:rPr>
                <w:color w:val="333333"/>
                <w:lang w:val="fr-FR"/>
              </w:rPr>
              <w:t>La plupart des juges formés reconnaissent la corrélation entre un jugement efficace et efficient et l</w:t>
            </w:r>
            <w:r w:rsidR="00EA2C86" w:rsidRPr="00927778">
              <w:rPr>
                <w:color w:val="333333"/>
                <w:lang w:val="fr-FR"/>
              </w:rPr>
              <w:t>’</w:t>
            </w:r>
            <w:r w:rsidRPr="00927778">
              <w:rPr>
                <w:color w:val="333333"/>
                <w:lang w:val="fr-FR"/>
              </w:rPr>
              <w:t>innovation et la créativité locales.</w:t>
            </w:r>
          </w:p>
        </w:tc>
        <w:tc>
          <w:tcPr>
            <w:tcW w:w="1168" w:type="dxa"/>
            <w:shd w:val="clear" w:color="auto" w:fill="auto"/>
            <w:tcMar>
              <w:left w:w="0" w:type="dxa"/>
              <w:right w:w="0" w:type="dxa"/>
            </w:tcMar>
          </w:tcPr>
          <w:p w:rsidR="005E6718" w:rsidRPr="00144EAC" w:rsidRDefault="005E6718" w:rsidP="00847CC2">
            <w:pPr>
              <w:rPr>
                <w:color w:val="333333"/>
                <w:sz w:val="20"/>
                <w:lang w:val="fr-FR"/>
              </w:rPr>
            </w:pPr>
          </w:p>
          <w:p w:rsidR="009373F6" w:rsidRPr="00144EAC" w:rsidRDefault="009373F6" w:rsidP="00847CC2">
            <w:pPr>
              <w:rPr>
                <w:color w:val="333333"/>
                <w:sz w:val="20"/>
                <w:lang w:val="fr-FR"/>
              </w:rPr>
            </w:pPr>
            <w:r w:rsidRPr="00144EAC">
              <w:rPr>
                <w:color w:val="333333"/>
                <w:sz w:val="20"/>
                <w:lang w:val="fr-FR"/>
              </w:rPr>
              <w:t>****</w:t>
            </w:r>
          </w:p>
        </w:tc>
      </w:tr>
      <w:tr w:rsidR="00047C22" w:rsidRPr="00927778" w:rsidTr="00144EAC">
        <w:trPr>
          <w:trHeight w:val="509"/>
        </w:trPr>
        <w:tc>
          <w:tcPr>
            <w:tcW w:w="2410" w:type="dxa"/>
            <w:shd w:val="clear" w:color="auto" w:fill="auto"/>
          </w:tcPr>
          <w:p w:rsidR="005E6718" w:rsidRPr="00927778" w:rsidRDefault="005E6718" w:rsidP="00847CC2">
            <w:pPr>
              <w:rPr>
                <w:color w:val="333333"/>
                <w:lang w:val="fr-FR"/>
              </w:rPr>
            </w:pPr>
          </w:p>
          <w:p w:rsidR="005E6718" w:rsidRPr="00927778" w:rsidRDefault="00EC684F" w:rsidP="00EC684F">
            <w:pPr>
              <w:rPr>
                <w:color w:val="333333"/>
                <w:lang w:val="fr-FR"/>
              </w:rPr>
            </w:pPr>
            <w:r w:rsidRPr="00927778">
              <w:rPr>
                <w:color w:val="333333"/>
                <w:lang w:val="fr-FR"/>
              </w:rPr>
              <w:t>Instituts nationaux de règlement des litiges de propriété intellectuelle plus efficaces et juste équilibre entre la protection des droits de propriété intellectuelle et l</w:t>
            </w:r>
            <w:r w:rsidR="00EA2C86" w:rsidRPr="00927778">
              <w:rPr>
                <w:color w:val="333333"/>
                <w:lang w:val="fr-FR"/>
              </w:rPr>
              <w:t>’</w:t>
            </w:r>
            <w:r w:rsidRPr="00927778">
              <w:rPr>
                <w:color w:val="333333"/>
                <w:lang w:val="fr-FR"/>
              </w:rPr>
              <w:t>intérêt général</w:t>
            </w:r>
          </w:p>
          <w:p w:rsidR="009373F6" w:rsidRPr="00927778" w:rsidRDefault="009373F6" w:rsidP="00847CC2">
            <w:pPr>
              <w:rPr>
                <w:color w:val="333333"/>
                <w:lang w:val="fr-FR"/>
              </w:rPr>
            </w:pPr>
          </w:p>
        </w:tc>
        <w:tc>
          <w:tcPr>
            <w:tcW w:w="2694" w:type="dxa"/>
            <w:shd w:val="clear" w:color="auto" w:fill="auto"/>
          </w:tcPr>
          <w:p w:rsidR="005E6718" w:rsidRPr="00927778" w:rsidRDefault="005E6718" w:rsidP="00847CC2">
            <w:pPr>
              <w:rPr>
                <w:color w:val="333333"/>
                <w:lang w:val="fr-FR"/>
              </w:rPr>
            </w:pPr>
          </w:p>
          <w:p w:rsidR="005E6718" w:rsidRPr="00927778" w:rsidRDefault="00EC684F" w:rsidP="00EC684F">
            <w:pPr>
              <w:rPr>
                <w:color w:val="333333"/>
                <w:lang w:val="fr-FR"/>
              </w:rPr>
            </w:pPr>
            <w:r w:rsidRPr="00927778">
              <w:rPr>
                <w:color w:val="333333"/>
                <w:lang w:val="fr-FR"/>
              </w:rPr>
              <w:t>Au moins 50% des juges, magistrats et procureurs bénéficiaires reconnaissent la corrélation entre le jugement et l</w:t>
            </w:r>
            <w:r w:rsidR="00EA2C86" w:rsidRPr="00927778">
              <w:rPr>
                <w:color w:val="333333"/>
                <w:lang w:val="fr-FR"/>
              </w:rPr>
              <w:t>’</w:t>
            </w:r>
            <w:r w:rsidRPr="00927778">
              <w:rPr>
                <w:color w:val="333333"/>
                <w:lang w:val="fr-FR"/>
              </w:rPr>
              <w:t>intérêt général.</w:t>
            </w:r>
          </w:p>
          <w:p w:rsidR="005E6718" w:rsidRPr="00927778" w:rsidRDefault="005E6718" w:rsidP="00847CC2">
            <w:pPr>
              <w:rPr>
                <w:color w:val="333333"/>
                <w:lang w:val="fr-FR"/>
              </w:rPr>
            </w:pPr>
          </w:p>
          <w:p w:rsidR="005E6718" w:rsidRPr="00927778" w:rsidRDefault="00EC684F" w:rsidP="00EC684F">
            <w:pPr>
              <w:rPr>
                <w:color w:val="333333"/>
                <w:lang w:val="fr-FR"/>
              </w:rPr>
            </w:pPr>
            <w:r w:rsidRPr="00927778">
              <w:rPr>
                <w:color w:val="333333"/>
                <w:lang w:val="fr-FR"/>
              </w:rPr>
              <w:t>Au moins 50% des juges, magistrats et procureurs bénéficiaires indiquent que la formation a amélioré leurs compétences en matière de règlement des litiges.</w:t>
            </w:r>
          </w:p>
          <w:p w:rsidR="009373F6" w:rsidRPr="00927778" w:rsidRDefault="009373F6" w:rsidP="00847CC2">
            <w:pPr>
              <w:rPr>
                <w:color w:val="333333"/>
                <w:lang w:val="fr-FR"/>
              </w:rPr>
            </w:pPr>
          </w:p>
        </w:tc>
        <w:tc>
          <w:tcPr>
            <w:tcW w:w="3084" w:type="dxa"/>
            <w:shd w:val="clear" w:color="auto" w:fill="auto"/>
          </w:tcPr>
          <w:p w:rsidR="005E6718" w:rsidRPr="00927778" w:rsidRDefault="005E6718" w:rsidP="00847CC2">
            <w:pPr>
              <w:rPr>
                <w:color w:val="333333"/>
                <w:lang w:val="fr-FR"/>
              </w:rPr>
            </w:pPr>
          </w:p>
          <w:p w:rsidR="005E6718" w:rsidRPr="00927778" w:rsidRDefault="006F6363" w:rsidP="00847CC2">
            <w:pPr>
              <w:rPr>
                <w:color w:val="333333"/>
                <w:lang w:val="fr-FR"/>
              </w:rPr>
            </w:pPr>
            <w:r w:rsidRPr="00927778">
              <w:rPr>
                <w:color w:val="333333"/>
                <w:lang w:val="fr-FR"/>
              </w:rPr>
              <w:t>La plupart des juges formés reconnaissent la corrélation entre le jugement et l</w:t>
            </w:r>
            <w:r w:rsidR="00EA2C86" w:rsidRPr="00927778">
              <w:rPr>
                <w:color w:val="333333"/>
                <w:lang w:val="fr-FR"/>
              </w:rPr>
              <w:t>’</w:t>
            </w:r>
            <w:r w:rsidRPr="00927778">
              <w:rPr>
                <w:color w:val="333333"/>
                <w:lang w:val="fr-FR"/>
              </w:rPr>
              <w:t>intérêt général</w:t>
            </w:r>
            <w:r w:rsidR="009373F6" w:rsidRPr="00927778">
              <w:rPr>
                <w:color w:val="333333"/>
                <w:lang w:val="fr-FR"/>
              </w:rPr>
              <w:t>.</w:t>
            </w:r>
          </w:p>
          <w:p w:rsidR="005E6718" w:rsidRPr="00927778" w:rsidRDefault="005E6718" w:rsidP="00847CC2">
            <w:pPr>
              <w:rPr>
                <w:color w:val="333333"/>
                <w:lang w:val="fr-FR"/>
              </w:rPr>
            </w:pPr>
          </w:p>
          <w:p w:rsidR="00EA2C86" w:rsidRPr="00927778" w:rsidRDefault="007A0EAC" w:rsidP="00847CC2">
            <w:pPr>
              <w:rPr>
                <w:color w:val="333333"/>
                <w:lang w:val="fr-FR"/>
              </w:rPr>
            </w:pPr>
            <w:r w:rsidRPr="00927778">
              <w:rPr>
                <w:color w:val="333333"/>
                <w:lang w:val="fr-FR"/>
              </w:rPr>
              <w:t xml:space="preserve">La plupart des juges formés ont indiqué que la formation améliorerait </w:t>
            </w:r>
            <w:r w:rsidR="00D97004" w:rsidRPr="00927778">
              <w:rPr>
                <w:color w:val="333333"/>
                <w:lang w:val="fr-FR"/>
              </w:rPr>
              <w:t>leurs compétences en matière de règlement des litiges.</w:t>
            </w:r>
          </w:p>
          <w:p w:rsidR="009373F6" w:rsidRPr="00927778" w:rsidRDefault="009373F6" w:rsidP="00847CC2">
            <w:pPr>
              <w:rPr>
                <w:color w:val="333333"/>
                <w:lang w:val="fr-FR"/>
              </w:rPr>
            </w:pPr>
          </w:p>
        </w:tc>
        <w:tc>
          <w:tcPr>
            <w:tcW w:w="1168" w:type="dxa"/>
            <w:shd w:val="clear" w:color="auto" w:fill="auto"/>
            <w:tcMar>
              <w:left w:w="0" w:type="dxa"/>
              <w:right w:w="0" w:type="dxa"/>
            </w:tcMar>
          </w:tcPr>
          <w:p w:rsidR="005E6718" w:rsidRPr="00144EAC" w:rsidRDefault="005E6718" w:rsidP="00847CC2">
            <w:pPr>
              <w:rPr>
                <w:color w:val="333333"/>
                <w:sz w:val="20"/>
                <w:lang w:val="fr-FR"/>
              </w:rPr>
            </w:pPr>
          </w:p>
          <w:p w:rsidR="009373F6" w:rsidRPr="00144EAC" w:rsidRDefault="009373F6" w:rsidP="00847CC2">
            <w:pPr>
              <w:rPr>
                <w:color w:val="333333"/>
                <w:sz w:val="20"/>
                <w:lang w:val="fr-FR"/>
              </w:rPr>
            </w:pPr>
            <w:r w:rsidRPr="00144EAC">
              <w:rPr>
                <w:color w:val="333333"/>
                <w:sz w:val="20"/>
                <w:lang w:val="fr-FR"/>
              </w:rPr>
              <w:t>****</w:t>
            </w:r>
          </w:p>
        </w:tc>
      </w:tr>
      <w:tr w:rsidR="009373F6" w:rsidRPr="00927778" w:rsidTr="00144EAC">
        <w:trPr>
          <w:trHeight w:val="509"/>
        </w:trPr>
        <w:tc>
          <w:tcPr>
            <w:tcW w:w="2410" w:type="dxa"/>
            <w:shd w:val="clear" w:color="auto" w:fill="auto"/>
          </w:tcPr>
          <w:p w:rsidR="005E6718" w:rsidRPr="00927778" w:rsidRDefault="005E6718" w:rsidP="00847CC2">
            <w:pPr>
              <w:rPr>
                <w:color w:val="333333"/>
                <w:lang w:val="fr-FR"/>
              </w:rPr>
            </w:pPr>
          </w:p>
          <w:p w:rsidR="005E6718" w:rsidRPr="00927778" w:rsidRDefault="00EC684F" w:rsidP="00EC684F">
            <w:pPr>
              <w:rPr>
                <w:color w:val="333333"/>
                <w:lang w:val="fr-FR"/>
              </w:rPr>
            </w:pPr>
            <w:r w:rsidRPr="00927778">
              <w:rPr>
                <w:color w:val="333333"/>
                <w:lang w:val="fr-FR"/>
              </w:rPr>
              <w:t>Orientation du corps judiciaire en faveur du développement en vue de créer, en matière de droits de propriété intellectuelle, un système équilibré, efficient et efficace de règlement des litiges qui appuie les talents locaux, l</w:t>
            </w:r>
            <w:r w:rsidR="00EA2C86" w:rsidRPr="00927778">
              <w:rPr>
                <w:color w:val="333333"/>
                <w:lang w:val="fr-FR"/>
              </w:rPr>
              <w:t>’</w:t>
            </w:r>
            <w:r w:rsidRPr="00927778">
              <w:rPr>
                <w:color w:val="333333"/>
                <w:lang w:val="fr-FR"/>
              </w:rPr>
              <w:t>innovation et la créativité tout en promouvant, récompensant et protégeant, de manière équitable et équilibrée, les droits et les intérêts de tous les titulaires et les utilisateurs de droits de propriété intellectuelle ainsi que l</w:t>
            </w:r>
            <w:r w:rsidR="00EA2C86" w:rsidRPr="00927778">
              <w:rPr>
                <w:color w:val="333333"/>
                <w:lang w:val="fr-FR"/>
              </w:rPr>
              <w:t>’</w:t>
            </w:r>
            <w:r w:rsidRPr="00927778">
              <w:rPr>
                <w:color w:val="333333"/>
                <w:lang w:val="fr-FR"/>
              </w:rPr>
              <w:t>intérêt général</w:t>
            </w:r>
          </w:p>
          <w:p w:rsidR="009373F6" w:rsidRPr="00927778" w:rsidRDefault="009373F6" w:rsidP="00847CC2">
            <w:pPr>
              <w:rPr>
                <w:color w:val="333333"/>
                <w:lang w:val="fr-FR"/>
              </w:rPr>
            </w:pPr>
          </w:p>
        </w:tc>
        <w:tc>
          <w:tcPr>
            <w:tcW w:w="2694" w:type="dxa"/>
            <w:shd w:val="clear" w:color="auto" w:fill="auto"/>
          </w:tcPr>
          <w:p w:rsidR="005E6718" w:rsidRPr="00927778" w:rsidRDefault="005E6718" w:rsidP="00847CC2">
            <w:pPr>
              <w:rPr>
                <w:color w:val="333333"/>
                <w:lang w:val="fr-FR"/>
              </w:rPr>
            </w:pPr>
          </w:p>
          <w:p w:rsidR="009373F6" w:rsidRPr="00927778" w:rsidRDefault="00EC684F" w:rsidP="00EC684F">
            <w:pPr>
              <w:rPr>
                <w:color w:val="333333"/>
                <w:lang w:val="fr-FR"/>
              </w:rPr>
            </w:pPr>
            <w:r w:rsidRPr="00927778">
              <w:rPr>
                <w:color w:val="333333"/>
                <w:lang w:val="fr-FR"/>
              </w:rPr>
              <w:t>Au moins 50% des juges, magistrats et procureurs bénéficiaires reconnaissent l</w:t>
            </w:r>
            <w:r w:rsidR="00EA2C86" w:rsidRPr="00927778">
              <w:rPr>
                <w:color w:val="333333"/>
                <w:lang w:val="fr-FR"/>
              </w:rPr>
              <w:t>’</w:t>
            </w:r>
            <w:r w:rsidRPr="00927778">
              <w:rPr>
                <w:color w:val="333333"/>
                <w:lang w:val="fr-FR"/>
              </w:rPr>
              <w:t>importance d</w:t>
            </w:r>
            <w:r w:rsidR="00EA2C86" w:rsidRPr="00927778">
              <w:rPr>
                <w:color w:val="333333"/>
                <w:lang w:val="fr-FR"/>
              </w:rPr>
              <w:t>’</w:t>
            </w:r>
            <w:r w:rsidRPr="00927778">
              <w:rPr>
                <w:color w:val="333333"/>
                <w:lang w:val="fr-FR"/>
              </w:rPr>
              <w:t>établir un équilibre entre les droits et les intérêts des titulaires de droits de propriété intellectuelle, des utilisateurs de droits de propriété intellectuelle et l</w:t>
            </w:r>
            <w:r w:rsidR="00EA2C86" w:rsidRPr="00927778">
              <w:rPr>
                <w:color w:val="333333"/>
                <w:lang w:val="fr-FR"/>
              </w:rPr>
              <w:t>’</w:t>
            </w:r>
            <w:r w:rsidRPr="00927778">
              <w:rPr>
                <w:color w:val="333333"/>
                <w:lang w:val="fr-FR"/>
              </w:rPr>
              <w:t>intérêt général.</w:t>
            </w:r>
          </w:p>
        </w:tc>
        <w:tc>
          <w:tcPr>
            <w:tcW w:w="3084" w:type="dxa"/>
            <w:shd w:val="clear" w:color="auto" w:fill="auto"/>
          </w:tcPr>
          <w:p w:rsidR="005E6718" w:rsidRPr="00927778" w:rsidRDefault="005E6718" w:rsidP="00847CC2">
            <w:pPr>
              <w:rPr>
                <w:color w:val="333333"/>
                <w:lang w:val="fr-FR"/>
              </w:rPr>
            </w:pPr>
          </w:p>
          <w:p w:rsidR="009373F6" w:rsidRPr="00927778" w:rsidRDefault="0016760D" w:rsidP="0016760D">
            <w:pPr>
              <w:rPr>
                <w:color w:val="333333"/>
                <w:lang w:val="fr-FR"/>
              </w:rPr>
            </w:pPr>
            <w:r w:rsidRPr="00927778">
              <w:rPr>
                <w:color w:val="333333"/>
                <w:lang w:val="fr-FR"/>
              </w:rPr>
              <w:t>La plupart des juges formés reconnaissent l</w:t>
            </w:r>
            <w:r w:rsidR="00EA2C86" w:rsidRPr="00927778">
              <w:rPr>
                <w:color w:val="333333"/>
                <w:lang w:val="fr-FR"/>
              </w:rPr>
              <w:t>’</w:t>
            </w:r>
            <w:r w:rsidRPr="00927778">
              <w:rPr>
                <w:color w:val="333333"/>
                <w:lang w:val="fr-FR"/>
              </w:rPr>
              <w:t>importance d</w:t>
            </w:r>
            <w:r w:rsidR="00EA2C86" w:rsidRPr="00927778">
              <w:rPr>
                <w:color w:val="333333"/>
                <w:lang w:val="fr-FR"/>
              </w:rPr>
              <w:t>’</w:t>
            </w:r>
            <w:r w:rsidRPr="00927778">
              <w:rPr>
                <w:color w:val="333333"/>
                <w:lang w:val="fr-FR"/>
              </w:rPr>
              <w:t>établir un équilibre entre les droits et les intérêts des titulaires de droits de propriété intellectuelle, des utilisateurs de droits de propriété intellectuelle et l</w:t>
            </w:r>
            <w:r w:rsidR="00EA2C86" w:rsidRPr="00927778">
              <w:rPr>
                <w:color w:val="333333"/>
                <w:lang w:val="fr-FR"/>
              </w:rPr>
              <w:t>’</w:t>
            </w:r>
            <w:r w:rsidRPr="00927778">
              <w:rPr>
                <w:color w:val="333333"/>
                <w:lang w:val="fr-FR"/>
              </w:rPr>
              <w:t xml:space="preserve">intérêt général. </w:t>
            </w:r>
            <w:r w:rsidR="0057466D" w:rsidRPr="00927778">
              <w:rPr>
                <w:color w:val="333333"/>
                <w:lang w:val="fr-FR"/>
              </w:rPr>
              <w:t xml:space="preserve"> </w:t>
            </w:r>
          </w:p>
        </w:tc>
        <w:tc>
          <w:tcPr>
            <w:tcW w:w="1168" w:type="dxa"/>
            <w:shd w:val="clear" w:color="auto" w:fill="auto"/>
            <w:tcMar>
              <w:left w:w="0" w:type="dxa"/>
              <w:right w:w="0" w:type="dxa"/>
            </w:tcMar>
          </w:tcPr>
          <w:p w:rsidR="005E6718" w:rsidRPr="00144EAC" w:rsidRDefault="005E6718" w:rsidP="00847CC2">
            <w:pPr>
              <w:rPr>
                <w:color w:val="333333"/>
                <w:sz w:val="20"/>
                <w:lang w:val="fr-FR"/>
              </w:rPr>
            </w:pPr>
          </w:p>
          <w:p w:rsidR="009373F6" w:rsidRPr="00144EAC" w:rsidRDefault="009373F6" w:rsidP="00847CC2">
            <w:pPr>
              <w:rPr>
                <w:color w:val="333333"/>
                <w:sz w:val="20"/>
                <w:lang w:val="fr-FR"/>
              </w:rPr>
            </w:pPr>
            <w:r w:rsidRPr="00144EAC">
              <w:rPr>
                <w:color w:val="333333"/>
                <w:sz w:val="20"/>
                <w:lang w:val="fr-FR"/>
              </w:rPr>
              <w:t>****</w:t>
            </w:r>
          </w:p>
        </w:tc>
      </w:tr>
    </w:tbl>
    <w:p w:rsidR="005E6718" w:rsidRPr="00927778" w:rsidRDefault="00EC684F" w:rsidP="00144EAC">
      <w:pPr>
        <w:spacing w:before="600"/>
        <w:ind w:left="5534"/>
        <w:jc w:val="right"/>
        <w:rPr>
          <w:rFonts w:eastAsia="SimSun"/>
          <w:color w:val="333333"/>
          <w:lang w:val="fr-FR" w:eastAsia="zh-CN"/>
        </w:rPr>
      </w:pPr>
      <w:r w:rsidRPr="00927778">
        <w:rPr>
          <w:rFonts w:eastAsia="SimSun"/>
          <w:color w:val="333333"/>
          <w:lang w:val="fr-FR" w:eastAsia="zh-CN"/>
        </w:rPr>
        <w:t>[L</w:t>
      </w:r>
      <w:r w:rsidR="00EA2C86" w:rsidRPr="00927778">
        <w:rPr>
          <w:rFonts w:eastAsia="SimSun"/>
          <w:color w:val="333333"/>
          <w:lang w:val="fr-FR" w:eastAsia="zh-CN"/>
        </w:rPr>
        <w:t>’annexe I</w:t>
      </w:r>
      <w:r w:rsidRPr="00927778">
        <w:rPr>
          <w:rFonts w:eastAsia="SimSun"/>
          <w:color w:val="333333"/>
          <w:lang w:val="fr-FR" w:eastAsia="zh-CN"/>
        </w:rPr>
        <w:t>V suit]</w:t>
      </w:r>
    </w:p>
    <w:p w:rsidR="00216E2E" w:rsidRPr="00927778" w:rsidRDefault="00216E2E" w:rsidP="00D527E8">
      <w:pPr>
        <w:pStyle w:val="Heading2"/>
        <w:rPr>
          <w:color w:val="333333"/>
          <w:lang w:val="fr-FR"/>
        </w:rPr>
        <w:sectPr w:rsidR="00216E2E" w:rsidRPr="00927778" w:rsidSect="00047C22">
          <w:headerReference w:type="default" r:id="rId17"/>
          <w:headerReference w:type="first" r:id="rId18"/>
          <w:pgSz w:w="11906" w:h="16840" w:code="9"/>
          <w:pgMar w:top="567" w:right="1134" w:bottom="1417" w:left="1417" w:header="510" w:footer="1020"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047C22" w:rsidRPr="00927778" w:rsidTr="00D527E8">
        <w:trPr>
          <w:trHeight w:val="432"/>
        </w:trPr>
        <w:tc>
          <w:tcPr>
            <w:tcW w:w="9288" w:type="dxa"/>
            <w:gridSpan w:val="2"/>
            <w:shd w:val="clear" w:color="auto" w:fill="auto"/>
            <w:vAlign w:val="center"/>
          </w:tcPr>
          <w:p w:rsidR="004044B7" w:rsidRPr="00927778" w:rsidRDefault="00EC684F" w:rsidP="00EC684F">
            <w:pPr>
              <w:pStyle w:val="Heading2"/>
              <w:rPr>
                <w:color w:val="333333"/>
                <w:lang w:val="fr-FR"/>
              </w:rPr>
            </w:pPr>
            <w:r w:rsidRPr="00927778">
              <w:rPr>
                <w:color w:val="333333"/>
                <w:lang w:val="fr-FR"/>
              </w:rPr>
              <w:t>RÉSUMÉ DU PROJET</w:t>
            </w:r>
          </w:p>
        </w:tc>
      </w:tr>
      <w:tr w:rsidR="00047C22" w:rsidRPr="00927778" w:rsidTr="00D527E8">
        <w:trPr>
          <w:trHeight w:val="496"/>
        </w:trPr>
        <w:tc>
          <w:tcPr>
            <w:tcW w:w="2376" w:type="dxa"/>
            <w:shd w:val="clear" w:color="auto" w:fill="auto"/>
          </w:tcPr>
          <w:p w:rsidR="004044B7" w:rsidRPr="00927778" w:rsidRDefault="00EC684F" w:rsidP="00EC684F">
            <w:pPr>
              <w:pStyle w:val="Heading3"/>
              <w:rPr>
                <w:color w:val="333333"/>
                <w:lang w:val="fr-FR"/>
              </w:rPr>
            </w:pPr>
            <w:r w:rsidRPr="00927778">
              <w:rPr>
                <w:color w:val="333333"/>
                <w:lang w:val="fr-FR"/>
              </w:rPr>
              <w:t>Cote du projet</w:t>
            </w:r>
          </w:p>
        </w:tc>
        <w:tc>
          <w:tcPr>
            <w:tcW w:w="6912" w:type="dxa"/>
            <w:shd w:val="clear" w:color="auto" w:fill="auto"/>
            <w:vAlign w:val="center"/>
          </w:tcPr>
          <w:p w:rsidR="004044B7" w:rsidRPr="00927778" w:rsidRDefault="00EC684F" w:rsidP="00EC684F">
            <w:pPr>
              <w:rPr>
                <w:i/>
                <w:color w:val="333333"/>
                <w:lang w:val="fr-FR"/>
              </w:rPr>
            </w:pPr>
            <w:r w:rsidRPr="00927778">
              <w:rPr>
                <w:i/>
                <w:color w:val="333333"/>
                <w:lang w:val="fr-FR"/>
              </w:rPr>
              <w:t>DA_1_10_12_40_01</w:t>
            </w:r>
          </w:p>
        </w:tc>
      </w:tr>
      <w:tr w:rsidR="00047C22" w:rsidRPr="00927778" w:rsidTr="00D527E8">
        <w:trPr>
          <w:trHeight w:val="404"/>
        </w:trPr>
        <w:tc>
          <w:tcPr>
            <w:tcW w:w="2376" w:type="dxa"/>
            <w:shd w:val="clear" w:color="auto" w:fill="auto"/>
          </w:tcPr>
          <w:p w:rsidR="005E6718" w:rsidRPr="00927778" w:rsidRDefault="00EC684F" w:rsidP="00EC684F">
            <w:pPr>
              <w:pStyle w:val="Heading3"/>
              <w:rPr>
                <w:color w:val="333333"/>
                <w:lang w:val="fr-FR"/>
              </w:rPr>
            </w:pPr>
            <w:r w:rsidRPr="00927778">
              <w:rPr>
                <w:color w:val="333333"/>
                <w:lang w:val="fr-FR"/>
              </w:rPr>
              <w:t>Titre</w:t>
            </w:r>
          </w:p>
          <w:p w:rsidR="004044B7" w:rsidRPr="00927778" w:rsidRDefault="004044B7" w:rsidP="00D527E8">
            <w:pPr>
              <w:rPr>
                <w:color w:val="333333"/>
                <w:lang w:val="fr-FR"/>
              </w:rPr>
            </w:pPr>
          </w:p>
        </w:tc>
        <w:tc>
          <w:tcPr>
            <w:tcW w:w="6912" w:type="dxa"/>
            <w:shd w:val="clear" w:color="auto" w:fill="auto"/>
            <w:vAlign w:val="center"/>
          </w:tcPr>
          <w:p w:rsidR="005E6718" w:rsidRPr="00927778" w:rsidRDefault="005E6718" w:rsidP="00D527E8">
            <w:pPr>
              <w:rPr>
                <w:i/>
                <w:iCs/>
                <w:color w:val="333333"/>
                <w:szCs w:val="22"/>
                <w:lang w:val="fr-FR"/>
              </w:rPr>
            </w:pPr>
          </w:p>
          <w:p w:rsidR="005E6718" w:rsidRPr="00927778" w:rsidRDefault="00EC684F" w:rsidP="00EC684F">
            <w:pPr>
              <w:rPr>
                <w:i/>
                <w:iCs/>
                <w:color w:val="333333"/>
                <w:szCs w:val="22"/>
                <w:lang w:val="fr-FR"/>
              </w:rPr>
            </w:pPr>
            <w:r w:rsidRPr="00927778">
              <w:rPr>
                <w:i/>
                <w:iCs/>
                <w:color w:val="333333"/>
                <w:szCs w:val="22"/>
                <w:lang w:val="fr-FR"/>
              </w:rPr>
              <w:t>Propriété intellectuelle, tourisme et culture</w:t>
            </w:r>
            <w:r w:rsidR="00EA2C86" w:rsidRPr="00927778">
              <w:rPr>
                <w:i/>
                <w:iCs/>
                <w:color w:val="333333"/>
                <w:szCs w:val="22"/>
                <w:lang w:val="fr-FR"/>
              </w:rPr>
              <w:t> :</w:t>
            </w:r>
            <w:r w:rsidRPr="00927778">
              <w:rPr>
                <w:i/>
                <w:iCs/>
                <w:color w:val="333333"/>
                <w:szCs w:val="22"/>
                <w:lang w:val="fr-FR"/>
              </w:rPr>
              <w:t xml:space="preserve"> contribution aux objectifs de développement et promotion du patrimoine culturel en Égypte et dans d</w:t>
            </w:r>
            <w:r w:rsidR="00EA2C86" w:rsidRPr="00927778">
              <w:rPr>
                <w:i/>
                <w:iCs/>
                <w:color w:val="333333"/>
                <w:szCs w:val="22"/>
                <w:lang w:val="fr-FR"/>
              </w:rPr>
              <w:t>’</w:t>
            </w:r>
            <w:r w:rsidRPr="00927778">
              <w:rPr>
                <w:i/>
                <w:iCs/>
                <w:color w:val="333333"/>
                <w:szCs w:val="22"/>
                <w:lang w:val="fr-FR"/>
              </w:rPr>
              <w:t>autres pays en développement</w:t>
            </w:r>
          </w:p>
          <w:p w:rsidR="004044B7" w:rsidRPr="00927778" w:rsidRDefault="004044B7" w:rsidP="00D527E8">
            <w:pPr>
              <w:rPr>
                <w:i/>
                <w:color w:val="333333"/>
                <w:lang w:val="fr-FR"/>
              </w:rPr>
            </w:pPr>
          </w:p>
        </w:tc>
      </w:tr>
      <w:tr w:rsidR="00047C22" w:rsidRPr="00927778" w:rsidTr="00D527E8">
        <w:tc>
          <w:tcPr>
            <w:tcW w:w="2376" w:type="dxa"/>
            <w:shd w:val="clear" w:color="auto" w:fill="auto"/>
          </w:tcPr>
          <w:p w:rsidR="005E6718" w:rsidRPr="00927778" w:rsidRDefault="00EC684F" w:rsidP="00EC684F">
            <w:pPr>
              <w:pStyle w:val="Heading3"/>
              <w:rPr>
                <w:color w:val="333333"/>
                <w:lang w:val="fr-FR"/>
              </w:rPr>
            </w:pPr>
            <w:r w:rsidRPr="00927778">
              <w:rPr>
                <w:color w:val="333333"/>
                <w:lang w:val="fr-FR"/>
              </w:rPr>
              <w:t>Recommandation du Plan d</w:t>
            </w:r>
            <w:r w:rsidR="00EA2C86" w:rsidRPr="00927778">
              <w:rPr>
                <w:color w:val="333333"/>
                <w:lang w:val="fr-FR"/>
              </w:rPr>
              <w:t>’</w:t>
            </w:r>
            <w:r w:rsidRPr="00927778">
              <w:rPr>
                <w:color w:val="333333"/>
                <w:lang w:val="fr-FR"/>
              </w:rPr>
              <w:t>action pour le développement</w:t>
            </w:r>
          </w:p>
          <w:p w:rsidR="004044B7" w:rsidRPr="00927778" w:rsidRDefault="004044B7" w:rsidP="00D527E8">
            <w:pPr>
              <w:rPr>
                <w:color w:val="333333"/>
                <w:lang w:val="fr-FR"/>
              </w:rPr>
            </w:pPr>
          </w:p>
        </w:tc>
        <w:tc>
          <w:tcPr>
            <w:tcW w:w="6912" w:type="dxa"/>
            <w:shd w:val="clear" w:color="auto" w:fill="auto"/>
          </w:tcPr>
          <w:p w:rsidR="005E6718" w:rsidRPr="00927778" w:rsidRDefault="005E6718" w:rsidP="00D527E8">
            <w:pPr>
              <w:rPr>
                <w:i/>
                <w:color w:val="333333"/>
                <w:lang w:val="fr-FR"/>
              </w:rPr>
            </w:pPr>
          </w:p>
          <w:p w:rsidR="005E6718" w:rsidRPr="00927778" w:rsidRDefault="00EC684F" w:rsidP="00EC684F">
            <w:pPr>
              <w:rPr>
                <w:color w:val="333333"/>
                <w:lang w:val="fr-FR"/>
              </w:rPr>
            </w:pPr>
            <w:r w:rsidRPr="00927778">
              <w:rPr>
                <w:i/>
                <w:color w:val="333333"/>
                <w:lang w:val="fr-FR"/>
              </w:rPr>
              <w:t>Recommandation n°</w:t>
            </w:r>
            <w:r w:rsidR="0057466D" w:rsidRPr="00927778">
              <w:rPr>
                <w:i/>
                <w:color w:val="333333"/>
                <w:lang w:val="fr-FR"/>
              </w:rPr>
              <w:t> </w:t>
            </w:r>
            <w:r w:rsidRPr="00927778">
              <w:rPr>
                <w:i/>
                <w:color w:val="333333"/>
                <w:lang w:val="fr-FR"/>
              </w:rPr>
              <w:t>1</w:t>
            </w:r>
            <w:r w:rsidR="00EA2C86" w:rsidRPr="00927778">
              <w:rPr>
                <w:color w:val="333333"/>
                <w:lang w:val="fr-FR"/>
              </w:rPr>
              <w:t> :</w:t>
            </w:r>
            <w:r w:rsidRPr="00927778">
              <w:rPr>
                <w:color w:val="333333"/>
                <w:lang w:val="fr-FR"/>
              </w:rPr>
              <w:t xml:space="preserve"> L</w:t>
            </w:r>
            <w:r w:rsidR="00EA2C86" w:rsidRPr="00927778">
              <w:rPr>
                <w:color w:val="333333"/>
                <w:lang w:val="fr-FR"/>
              </w:rPr>
              <w:t>’</w:t>
            </w:r>
            <w:r w:rsidRPr="00927778">
              <w:rPr>
                <w:color w:val="333333"/>
                <w:lang w:val="fr-FR"/>
              </w:rPr>
              <w:t>assistance technique de l</w:t>
            </w:r>
            <w:r w:rsidR="00EA2C86" w:rsidRPr="00927778">
              <w:rPr>
                <w:color w:val="333333"/>
                <w:lang w:val="fr-FR"/>
              </w:rPr>
              <w:t>’</w:t>
            </w:r>
            <w:r w:rsidRPr="00927778">
              <w:rPr>
                <w:color w:val="333333"/>
                <w:lang w:val="fr-FR"/>
              </w:rPr>
              <w:t>OMPI doit notamment être axée sur le développement et la demande et elle doit être transparente;</w:t>
            </w:r>
            <w:r w:rsidR="00063DA0" w:rsidRPr="00927778">
              <w:rPr>
                <w:color w:val="333333"/>
                <w:lang w:val="fr-FR"/>
              </w:rPr>
              <w:t xml:space="preserve"> </w:t>
            </w:r>
            <w:r w:rsidR="0057466D" w:rsidRPr="00927778">
              <w:rPr>
                <w:color w:val="333333"/>
                <w:lang w:val="fr-FR"/>
              </w:rPr>
              <w:t xml:space="preserve"> </w:t>
            </w:r>
            <w:r w:rsidRPr="00927778">
              <w:rPr>
                <w:color w:val="333333"/>
                <w:lang w:val="fr-FR"/>
              </w:rPr>
              <w:t>elle doit tenir compte des priorités et des besoins particuliers des pays en développement, en particulier</w:t>
            </w:r>
            <w:r w:rsidR="00EA2C86" w:rsidRPr="00927778">
              <w:rPr>
                <w:color w:val="333333"/>
                <w:lang w:val="fr-FR"/>
              </w:rPr>
              <w:t xml:space="preserve"> des PMA</w:t>
            </w:r>
            <w:r w:rsidRPr="00927778">
              <w:rPr>
                <w:color w:val="333333"/>
                <w:lang w:val="fr-FR"/>
              </w:rPr>
              <w:t>, ainsi que des différents niveaux de développement des États membres et les activités doivent être menées à bien dans les déla</w:t>
            </w:r>
            <w:r w:rsidR="00306E74" w:rsidRPr="00927778">
              <w:rPr>
                <w:color w:val="333333"/>
                <w:lang w:val="fr-FR"/>
              </w:rPr>
              <w:t xml:space="preserve">is.  À </w:t>
            </w:r>
            <w:r w:rsidRPr="00927778">
              <w:rPr>
                <w:color w:val="333333"/>
                <w:lang w:val="fr-FR"/>
              </w:rPr>
              <w:t>cet égard, les mécanismes d</w:t>
            </w:r>
            <w:r w:rsidR="00EA2C86" w:rsidRPr="00927778">
              <w:rPr>
                <w:color w:val="333333"/>
                <w:lang w:val="fr-FR"/>
              </w:rPr>
              <w:t>’</w:t>
            </w:r>
            <w:r w:rsidRPr="00927778">
              <w:rPr>
                <w:color w:val="333333"/>
                <w:lang w:val="fr-FR"/>
              </w:rPr>
              <w:t>établissement et d</w:t>
            </w:r>
            <w:r w:rsidR="00EA2C86" w:rsidRPr="00927778">
              <w:rPr>
                <w:color w:val="333333"/>
                <w:lang w:val="fr-FR"/>
              </w:rPr>
              <w:t>’</w:t>
            </w:r>
            <w:r w:rsidRPr="00927778">
              <w:rPr>
                <w:color w:val="333333"/>
                <w:lang w:val="fr-FR"/>
              </w:rPr>
              <w:t>exécution et procédures d</w:t>
            </w:r>
            <w:r w:rsidR="00EA2C86" w:rsidRPr="00927778">
              <w:rPr>
                <w:color w:val="333333"/>
                <w:lang w:val="fr-FR"/>
              </w:rPr>
              <w:t>’</w:t>
            </w:r>
            <w:r w:rsidRPr="00927778">
              <w:rPr>
                <w:color w:val="333333"/>
                <w:lang w:val="fr-FR"/>
              </w:rPr>
              <w:t>évaluation des programmes d</w:t>
            </w:r>
            <w:r w:rsidR="00EA2C86" w:rsidRPr="00927778">
              <w:rPr>
                <w:color w:val="333333"/>
                <w:lang w:val="fr-FR"/>
              </w:rPr>
              <w:t>’</w:t>
            </w:r>
            <w:r w:rsidRPr="00927778">
              <w:rPr>
                <w:color w:val="333333"/>
                <w:lang w:val="fr-FR"/>
              </w:rPr>
              <w:t>assistance technique doivent être ciblés par pays.</w:t>
            </w:r>
          </w:p>
          <w:p w:rsidR="005E6718" w:rsidRPr="00927778" w:rsidRDefault="005E6718" w:rsidP="00D527E8">
            <w:pPr>
              <w:rPr>
                <w:i/>
                <w:color w:val="333333"/>
                <w:lang w:val="fr-FR"/>
              </w:rPr>
            </w:pPr>
          </w:p>
          <w:p w:rsidR="005E6718" w:rsidRPr="00927778" w:rsidRDefault="00EC684F" w:rsidP="00EC684F">
            <w:pPr>
              <w:rPr>
                <w:color w:val="333333"/>
                <w:lang w:val="fr-FR"/>
              </w:rPr>
            </w:pPr>
            <w:r w:rsidRPr="00927778">
              <w:rPr>
                <w:i/>
                <w:color w:val="333333"/>
                <w:lang w:val="fr-FR"/>
              </w:rPr>
              <w:t>Recommandation n°</w:t>
            </w:r>
            <w:r w:rsidR="0057466D" w:rsidRPr="00927778">
              <w:rPr>
                <w:i/>
                <w:color w:val="333333"/>
                <w:lang w:val="fr-FR"/>
              </w:rPr>
              <w:t> </w:t>
            </w:r>
            <w:r w:rsidRPr="00927778">
              <w:rPr>
                <w:i/>
                <w:color w:val="333333"/>
                <w:lang w:val="fr-FR"/>
              </w:rPr>
              <w:t>10</w:t>
            </w:r>
            <w:r w:rsidR="00EA2C86" w:rsidRPr="00927778">
              <w:rPr>
                <w:i/>
                <w:color w:val="333333"/>
                <w:lang w:val="fr-FR"/>
              </w:rPr>
              <w:t> :</w:t>
            </w:r>
            <w:r w:rsidRPr="00927778">
              <w:rPr>
                <w:color w:val="333333"/>
                <w:lang w:val="fr-FR"/>
              </w:rPr>
              <w:t xml:space="preserve"> Aider les États membres à développer et à améliorer les capacités institutionnelles nationales en propriété intellectuelle par le développement des infrastructures et autres moyens en vue de renforcer l</w:t>
            </w:r>
            <w:r w:rsidR="00EA2C86" w:rsidRPr="00927778">
              <w:rPr>
                <w:color w:val="333333"/>
                <w:lang w:val="fr-FR"/>
              </w:rPr>
              <w:t>’</w:t>
            </w:r>
            <w:r w:rsidRPr="00927778">
              <w:rPr>
                <w:color w:val="333333"/>
                <w:lang w:val="fr-FR"/>
              </w:rPr>
              <w:t>efficacité des institutions nationales de propriété intellectuelle et de concilier protection de la propriété intellectuelle et préservation de l</w:t>
            </w:r>
            <w:r w:rsidR="00EA2C86" w:rsidRPr="00927778">
              <w:rPr>
                <w:color w:val="333333"/>
                <w:lang w:val="fr-FR"/>
              </w:rPr>
              <w:t>’</w:t>
            </w:r>
            <w:r w:rsidRPr="00927778">
              <w:rPr>
                <w:color w:val="333333"/>
                <w:lang w:val="fr-FR"/>
              </w:rPr>
              <w:t>intérêt génér</w:t>
            </w:r>
            <w:r w:rsidR="00306E74" w:rsidRPr="00927778">
              <w:rPr>
                <w:color w:val="333333"/>
                <w:lang w:val="fr-FR"/>
              </w:rPr>
              <w:t>al.  Ce</w:t>
            </w:r>
            <w:r w:rsidRPr="00927778">
              <w:rPr>
                <w:color w:val="333333"/>
                <w:lang w:val="fr-FR"/>
              </w:rPr>
              <w:t>tte assistance technique devrait également être étendue aux organisations sous régionales et régionales œuvrant dans le domaine de la propriété intellectuelle.</w:t>
            </w:r>
          </w:p>
          <w:p w:rsidR="005E6718" w:rsidRPr="00927778" w:rsidRDefault="00EC684F" w:rsidP="00EC684F">
            <w:pPr>
              <w:rPr>
                <w:color w:val="333333"/>
                <w:lang w:val="fr-FR"/>
              </w:rPr>
            </w:pPr>
            <w:r w:rsidRPr="00927778">
              <w:rPr>
                <w:i/>
                <w:color w:val="333333"/>
                <w:lang w:val="fr-FR"/>
              </w:rPr>
              <w:t>Recommandation n°</w:t>
            </w:r>
            <w:r w:rsidR="0057466D" w:rsidRPr="00927778">
              <w:rPr>
                <w:i/>
                <w:color w:val="333333"/>
                <w:lang w:val="fr-FR"/>
              </w:rPr>
              <w:t> </w:t>
            </w:r>
            <w:r w:rsidRPr="00927778">
              <w:rPr>
                <w:i/>
                <w:color w:val="333333"/>
                <w:lang w:val="fr-FR"/>
              </w:rPr>
              <w:t>12</w:t>
            </w:r>
            <w:r w:rsidR="00EA2C86" w:rsidRPr="00927778">
              <w:rPr>
                <w:i/>
                <w:color w:val="333333"/>
                <w:lang w:val="fr-FR"/>
              </w:rPr>
              <w:t> :</w:t>
            </w:r>
            <w:r w:rsidRPr="00927778">
              <w:rPr>
                <w:color w:val="333333"/>
                <w:lang w:val="fr-FR"/>
              </w:rPr>
              <w:t xml:space="preserve"> Intégrer davantage la dimension du développement dans les activités et les débats de l</w:t>
            </w:r>
            <w:r w:rsidR="00EA2C86" w:rsidRPr="00927778">
              <w:rPr>
                <w:color w:val="333333"/>
                <w:lang w:val="fr-FR"/>
              </w:rPr>
              <w:t>’</w:t>
            </w:r>
            <w:r w:rsidRPr="00927778">
              <w:rPr>
                <w:color w:val="333333"/>
                <w:lang w:val="fr-FR"/>
              </w:rPr>
              <w:t>OMPI portant sur les questions de fond et l</w:t>
            </w:r>
            <w:r w:rsidR="00EA2C86" w:rsidRPr="00927778">
              <w:rPr>
                <w:color w:val="333333"/>
                <w:lang w:val="fr-FR"/>
              </w:rPr>
              <w:t>’</w:t>
            </w:r>
            <w:r w:rsidRPr="00927778">
              <w:rPr>
                <w:color w:val="333333"/>
                <w:lang w:val="fr-FR"/>
              </w:rPr>
              <w:t>assistance technique, conformément au mandat de l</w:t>
            </w:r>
            <w:r w:rsidR="00EA2C86" w:rsidRPr="00927778">
              <w:rPr>
                <w:color w:val="333333"/>
                <w:lang w:val="fr-FR"/>
              </w:rPr>
              <w:t>’</w:t>
            </w:r>
            <w:r w:rsidRPr="00927778">
              <w:rPr>
                <w:color w:val="333333"/>
                <w:lang w:val="fr-FR"/>
              </w:rPr>
              <w:t>Organisation</w:t>
            </w:r>
            <w:r w:rsidRPr="00927778">
              <w:rPr>
                <w:i/>
                <w:color w:val="333333"/>
                <w:lang w:val="fr-FR"/>
              </w:rPr>
              <w:t>.</w:t>
            </w:r>
          </w:p>
          <w:p w:rsidR="005E6718" w:rsidRPr="00927778" w:rsidRDefault="005E6718" w:rsidP="00D527E8">
            <w:pPr>
              <w:rPr>
                <w:i/>
                <w:color w:val="333333"/>
                <w:lang w:val="fr-FR"/>
              </w:rPr>
            </w:pPr>
          </w:p>
          <w:p w:rsidR="005E6718" w:rsidRPr="00927778" w:rsidRDefault="00EC684F" w:rsidP="00EC684F">
            <w:pPr>
              <w:rPr>
                <w:iCs/>
                <w:color w:val="333333"/>
                <w:lang w:val="fr-FR"/>
              </w:rPr>
            </w:pPr>
            <w:r w:rsidRPr="00927778">
              <w:rPr>
                <w:i/>
                <w:iCs/>
                <w:color w:val="333333"/>
                <w:lang w:val="fr-FR"/>
              </w:rPr>
              <w:t>Recommandation n° 40</w:t>
            </w:r>
            <w:r w:rsidR="00EA2C86" w:rsidRPr="00927778">
              <w:rPr>
                <w:i/>
                <w:iCs/>
                <w:color w:val="333333"/>
                <w:lang w:val="fr-FR"/>
              </w:rPr>
              <w:t> :</w:t>
            </w:r>
            <w:r w:rsidRPr="00927778">
              <w:rPr>
                <w:i/>
                <w:iCs/>
                <w:color w:val="333333"/>
                <w:lang w:val="fr-FR"/>
              </w:rPr>
              <w:t xml:space="preserve"> </w:t>
            </w:r>
            <w:r w:rsidRPr="00927778">
              <w:rPr>
                <w:iCs/>
                <w:color w:val="333333"/>
                <w:lang w:val="fr-FR"/>
              </w:rPr>
              <w:t>Demander à l</w:t>
            </w:r>
            <w:r w:rsidR="00EA2C86" w:rsidRPr="00927778">
              <w:rPr>
                <w:iCs/>
                <w:color w:val="333333"/>
                <w:lang w:val="fr-FR"/>
              </w:rPr>
              <w:t>’</w:t>
            </w:r>
            <w:r w:rsidRPr="00927778">
              <w:rPr>
                <w:iCs/>
                <w:color w:val="333333"/>
                <w:lang w:val="fr-FR"/>
              </w:rPr>
              <w:t>OMPI d</w:t>
            </w:r>
            <w:r w:rsidR="00EA2C86" w:rsidRPr="00927778">
              <w:rPr>
                <w:iCs/>
                <w:color w:val="333333"/>
                <w:lang w:val="fr-FR"/>
              </w:rPr>
              <w:t>’</w:t>
            </w:r>
            <w:r w:rsidRPr="00927778">
              <w:rPr>
                <w:iCs/>
                <w:color w:val="333333"/>
                <w:lang w:val="fr-FR"/>
              </w:rPr>
              <w:t xml:space="preserve">intensifier sa coopération avec les institutions des </w:t>
            </w:r>
            <w:r w:rsidR="00EA2C86" w:rsidRPr="00927778">
              <w:rPr>
                <w:iCs/>
                <w:color w:val="333333"/>
                <w:lang w:val="fr-FR"/>
              </w:rPr>
              <w:t>Nations Unies</w:t>
            </w:r>
            <w:r w:rsidRPr="00927778">
              <w:rPr>
                <w:iCs/>
                <w:color w:val="333333"/>
                <w:lang w:val="fr-FR"/>
              </w:rPr>
              <w:t>, en particulier la CNUCED, le PNUE, l</w:t>
            </w:r>
            <w:r w:rsidR="00EA2C86" w:rsidRPr="00927778">
              <w:rPr>
                <w:iCs/>
                <w:color w:val="333333"/>
                <w:lang w:val="fr-FR"/>
              </w:rPr>
              <w:t>’</w:t>
            </w:r>
            <w:r w:rsidRPr="00927778">
              <w:rPr>
                <w:iCs/>
                <w:color w:val="333333"/>
                <w:lang w:val="fr-FR"/>
              </w:rPr>
              <w:t>OMS, l</w:t>
            </w:r>
            <w:r w:rsidR="00EA2C86" w:rsidRPr="00927778">
              <w:rPr>
                <w:iCs/>
                <w:color w:val="333333"/>
                <w:lang w:val="fr-FR"/>
              </w:rPr>
              <w:t>’</w:t>
            </w:r>
            <w:r w:rsidRPr="00927778">
              <w:rPr>
                <w:iCs/>
                <w:color w:val="333333"/>
                <w:lang w:val="fr-FR"/>
              </w:rPr>
              <w:t>ONUDI, l</w:t>
            </w:r>
            <w:r w:rsidR="00EA2C86" w:rsidRPr="00927778">
              <w:rPr>
                <w:iCs/>
                <w:color w:val="333333"/>
                <w:lang w:val="fr-FR"/>
              </w:rPr>
              <w:t>’</w:t>
            </w:r>
            <w:r w:rsidRPr="00927778">
              <w:rPr>
                <w:iCs/>
                <w:color w:val="333333"/>
                <w:lang w:val="fr-FR"/>
              </w:rPr>
              <w:t>UNESCO et d</w:t>
            </w:r>
            <w:r w:rsidR="00EA2C86" w:rsidRPr="00927778">
              <w:rPr>
                <w:iCs/>
                <w:color w:val="333333"/>
                <w:lang w:val="fr-FR"/>
              </w:rPr>
              <w:t>’</w:t>
            </w:r>
            <w:r w:rsidRPr="00927778">
              <w:rPr>
                <w:iCs/>
                <w:color w:val="333333"/>
                <w:lang w:val="fr-FR"/>
              </w:rPr>
              <w:t>autres organisations internationales compétentes, notamment l</w:t>
            </w:r>
            <w:r w:rsidR="00EA2C86" w:rsidRPr="00927778">
              <w:rPr>
                <w:iCs/>
                <w:color w:val="333333"/>
                <w:lang w:val="fr-FR"/>
              </w:rPr>
              <w:t>’</w:t>
            </w:r>
            <w:r w:rsidRPr="00927778">
              <w:rPr>
                <w:iCs/>
                <w:color w:val="333333"/>
                <w:lang w:val="fr-FR"/>
              </w:rPr>
              <w:t>OMC, sur les questions relatives à la propriété intellectuelle et conformément aux orientations données par les États membres, afin de renforcer la coordination pour une efficacité maximum dans l</w:t>
            </w:r>
            <w:r w:rsidR="00EA2C86" w:rsidRPr="00927778">
              <w:rPr>
                <w:iCs/>
                <w:color w:val="333333"/>
                <w:lang w:val="fr-FR"/>
              </w:rPr>
              <w:t>’</w:t>
            </w:r>
            <w:r w:rsidRPr="00927778">
              <w:rPr>
                <w:iCs/>
                <w:color w:val="333333"/>
                <w:lang w:val="fr-FR"/>
              </w:rPr>
              <w:t>application de programmes de développement.</w:t>
            </w:r>
          </w:p>
          <w:p w:rsidR="004044B7" w:rsidRPr="00927778" w:rsidRDefault="004044B7" w:rsidP="00D527E8">
            <w:pPr>
              <w:rPr>
                <w:i/>
                <w:color w:val="333333"/>
                <w:lang w:val="fr-FR"/>
              </w:rPr>
            </w:pPr>
          </w:p>
        </w:tc>
      </w:tr>
      <w:tr w:rsidR="00047C22" w:rsidRPr="00927778" w:rsidTr="00D527E8">
        <w:tc>
          <w:tcPr>
            <w:tcW w:w="2376" w:type="dxa"/>
            <w:shd w:val="clear" w:color="auto" w:fill="auto"/>
          </w:tcPr>
          <w:p w:rsidR="005E6718" w:rsidRPr="00927778" w:rsidRDefault="00EC684F" w:rsidP="00EC684F">
            <w:pPr>
              <w:pStyle w:val="Heading3"/>
              <w:rPr>
                <w:color w:val="333333"/>
                <w:lang w:val="fr-FR"/>
              </w:rPr>
            </w:pPr>
            <w:r w:rsidRPr="00927778">
              <w:rPr>
                <w:color w:val="333333"/>
                <w:lang w:val="fr-FR"/>
              </w:rPr>
              <w:t>Budget du projet</w:t>
            </w:r>
          </w:p>
          <w:p w:rsidR="004044B7" w:rsidRPr="00927778" w:rsidRDefault="004044B7" w:rsidP="00D527E8">
            <w:pPr>
              <w:rPr>
                <w:color w:val="333333"/>
                <w:lang w:val="fr-FR"/>
              </w:rPr>
            </w:pPr>
          </w:p>
        </w:tc>
        <w:tc>
          <w:tcPr>
            <w:tcW w:w="6912" w:type="dxa"/>
            <w:shd w:val="clear" w:color="auto" w:fill="auto"/>
          </w:tcPr>
          <w:p w:rsidR="005E6718" w:rsidRPr="00927778" w:rsidRDefault="005E6718" w:rsidP="00D527E8">
            <w:pPr>
              <w:rPr>
                <w:color w:val="333333"/>
                <w:lang w:val="fr-FR"/>
              </w:rPr>
            </w:pPr>
          </w:p>
          <w:p w:rsidR="005E6718" w:rsidRPr="00927778" w:rsidRDefault="00EC684F" w:rsidP="00EC684F">
            <w:pPr>
              <w:rPr>
                <w:color w:val="333333"/>
                <w:lang w:val="fr-FR"/>
              </w:rPr>
            </w:pPr>
            <w:r w:rsidRPr="00927778">
              <w:rPr>
                <w:rFonts w:eastAsia="SimSun"/>
                <w:color w:val="333333"/>
                <w:lang w:val="fr-FR" w:eastAsia="zh-CN"/>
              </w:rPr>
              <w:t>320 00</w:t>
            </w:r>
            <w:r w:rsidR="00EA2C86" w:rsidRPr="00927778">
              <w:rPr>
                <w:rFonts w:eastAsia="SimSun"/>
                <w:color w:val="333333"/>
                <w:lang w:val="fr-FR" w:eastAsia="zh-CN"/>
              </w:rPr>
              <w:t>0 </w:t>
            </w:r>
            <w:r w:rsidR="00EA2C86" w:rsidRPr="00927778">
              <w:rPr>
                <w:color w:val="333333"/>
                <w:lang w:val="fr-FR"/>
              </w:rPr>
              <w:t>franc</w:t>
            </w:r>
            <w:r w:rsidRPr="00927778">
              <w:rPr>
                <w:color w:val="333333"/>
                <w:lang w:val="fr-FR"/>
              </w:rPr>
              <w:t>s suiss</w:t>
            </w:r>
            <w:r w:rsidR="00306E74" w:rsidRPr="00927778">
              <w:rPr>
                <w:color w:val="333333"/>
                <w:lang w:val="fr-FR"/>
              </w:rPr>
              <w:t>es.  La</w:t>
            </w:r>
            <w:r w:rsidRPr="00927778">
              <w:rPr>
                <w:color w:val="333333"/>
                <w:lang w:val="fr-FR"/>
              </w:rPr>
              <w:t xml:space="preserve"> totalité de ce montant est liée à des dépenses autres que des frais de personnel.</w:t>
            </w:r>
          </w:p>
          <w:p w:rsidR="004044B7" w:rsidRPr="00927778" w:rsidRDefault="004044B7" w:rsidP="00D527E8">
            <w:pPr>
              <w:rPr>
                <w:color w:val="333333"/>
                <w:lang w:val="fr-FR"/>
              </w:rPr>
            </w:pPr>
          </w:p>
        </w:tc>
      </w:tr>
      <w:tr w:rsidR="00047C22" w:rsidRPr="00927778" w:rsidTr="00D527E8">
        <w:tc>
          <w:tcPr>
            <w:tcW w:w="2376" w:type="dxa"/>
            <w:shd w:val="clear" w:color="auto" w:fill="auto"/>
          </w:tcPr>
          <w:p w:rsidR="005E6718" w:rsidRPr="00927778" w:rsidRDefault="00EC684F" w:rsidP="00EC684F">
            <w:pPr>
              <w:pStyle w:val="Heading3"/>
              <w:rPr>
                <w:color w:val="333333"/>
                <w:lang w:val="fr-FR"/>
              </w:rPr>
            </w:pPr>
            <w:r w:rsidRPr="00927778">
              <w:rPr>
                <w:color w:val="333333"/>
                <w:lang w:val="fr-FR"/>
              </w:rPr>
              <w:t>Début du projet</w:t>
            </w:r>
          </w:p>
          <w:p w:rsidR="004044B7" w:rsidRPr="00927778" w:rsidRDefault="004044B7" w:rsidP="00D527E8">
            <w:pPr>
              <w:rPr>
                <w:color w:val="333333"/>
                <w:lang w:val="fr-FR"/>
              </w:rPr>
            </w:pPr>
          </w:p>
        </w:tc>
        <w:tc>
          <w:tcPr>
            <w:tcW w:w="6912" w:type="dxa"/>
            <w:shd w:val="clear" w:color="auto" w:fill="auto"/>
          </w:tcPr>
          <w:p w:rsidR="005E6718" w:rsidRPr="00927778" w:rsidRDefault="005E6718" w:rsidP="00D527E8">
            <w:pPr>
              <w:rPr>
                <w:color w:val="333333"/>
                <w:lang w:val="fr-FR"/>
              </w:rPr>
            </w:pPr>
          </w:p>
          <w:p w:rsidR="004044B7" w:rsidRPr="00927778" w:rsidRDefault="00EC684F" w:rsidP="00EC684F">
            <w:pPr>
              <w:rPr>
                <w:color w:val="333333"/>
                <w:lang w:val="fr-FR"/>
              </w:rPr>
            </w:pPr>
            <w:r w:rsidRPr="00927778">
              <w:rPr>
                <w:color w:val="333333"/>
                <w:lang w:val="fr-FR"/>
              </w:rPr>
              <w:t>1er janvier 2016</w:t>
            </w:r>
          </w:p>
        </w:tc>
      </w:tr>
      <w:tr w:rsidR="00047C22" w:rsidRPr="00927778" w:rsidTr="00D527E8">
        <w:tc>
          <w:tcPr>
            <w:tcW w:w="2376" w:type="dxa"/>
            <w:shd w:val="clear" w:color="auto" w:fill="auto"/>
          </w:tcPr>
          <w:p w:rsidR="005E6718" w:rsidRPr="00927778" w:rsidRDefault="00EC684F" w:rsidP="00EC684F">
            <w:pPr>
              <w:pStyle w:val="Heading3"/>
              <w:rPr>
                <w:color w:val="333333"/>
                <w:lang w:val="fr-FR"/>
              </w:rPr>
            </w:pPr>
            <w:r w:rsidRPr="00927778">
              <w:rPr>
                <w:color w:val="333333"/>
                <w:lang w:val="fr-FR"/>
              </w:rPr>
              <w:t>Durée du projet</w:t>
            </w:r>
          </w:p>
          <w:p w:rsidR="004044B7" w:rsidRPr="00927778" w:rsidRDefault="004044B7" w:rsidP="00D527E8">
            <w:pPr>
              <w:rPr>
                <w:color w:val="333333"/>
                <w:lang w:val="fr-FR"/>
              </w:rPr>
            </w:pPr>
          </w:p>
        </w:tc>
        <w:tc>
          <w:tcPr>
            <w:tcW w:w="6912" w:type="dxa"/>
            <w:shd w:val="clear" w:color="auto" w:fill="auto"/>
          </w:tcPr>
          <w:p w:rsidR="005E6718" w:rsidRPr="00927778" w:rsidRDefault="005E6718" w:rsidP="00D527E8">
            <w:pPr>
              <w:rPr>
                <w:color w:val="333333"/>
                <w:lang w:val="fr-FR"/>
              </w:rPr>
            </w:pPr>
          </w:p>
          <w:p w:rsidR="004044B7" w:rsidRPr="00927778" w:rsidRDefault="00EC684F" w:rsidP="00EC684F">
            <w:pPr>
              <w:rPr>
                <w:color w:val="333333"/>
                <w:lang w:val="fr-FR"/>
              </w:rPr>
            </w:pPr>
            <w:r w:rsidRPr="00927778">
              <w:rPr>
                <w:color w:val="333333"/>
                <w:lang w:val="fr-FR"/>
              </w:rPr>
              <w:t>36 mois</w:t>
            </w:r>
          </w:p>
        </w:tc>
      </w:tr>
      <w:tr w:rsidR="00047C22" w:rsidRPr="00927778" w:rsidTr="00D527E8">
        <w:tc>
          <w:tcPr>
            <w:tcW w:w="2376" w:type="dxa"/>
            <w:shd w:val="clear" w:color="auto" w:fill="auto"/>
          </w:tcPr>
          <w:p w:rsidR="004044B7" w:rsidRPr="00927778" w:rsidRDefault="00EC684F" w:rsidP="00EC684F">
            <w:pPr>
              <w:pStyle w:val="Heading3"/>
              <w:rPr>
                <w:color w:val="333333"/>
                <w:lang w:val="fr-FR"/>
              </w:rPr>
            </w:pPr>
            <w:r w:rsidRPr="00927778">
              <w:rPr>
                <w:color w:val="333333"/>
                <w:lang w:val="fr-FR"/>
              </w:rPr>
              <w:t>Principaux secteurs de l</w:t>
            </w:r>
            <w:r w:rsidR="00EA2C86" w:rsidRPr="00927778">
              <w:rPr>
                <w:color w:val="333333"/>
                <w:lang w:val="fr-FR"/>
              </w:rPr>
              <w:t>’</w:t>
            </w:r>
            <w:r w:rsidRPr="00927778">
              <w:rPr>
                <w:color w:val="333333"/>
                <w:lang w:val="fr-FR"/>
              </w:rPr>
              <w:t>OMPI concernés et liens avec les programmes de l</w:t>
            </w:r>
            <w:r w:rsidR="00EA2C86" w:rsidRPr="00927778">
              <w:rPr>
                <w:color w:val="333333"/>
                <w:lang w:val="fr-FR"/>
              </w:rPr>
              <w:t>’</w:t>
            </w:r>
            <w:r w:rsidRPr="00927778">
              <w:rPr>
                <w:color w:val="333333"/>
                <w:lang w:val="fr-FR"/>
              </w:rPr>
              <w:t>OMPI</w:t>
            </w:r>
          </w:p>
        </w:tc>
        <w:tc>
          <w:tcPr>
            <w:tcW w:w="6912" w:type="dxa"/>
            <w:shd w:val="clear" w:color="auto" w:fill="auto"/>
          </w:tcPr>
          <w:p w:rsidR="005E6718" w:rsidRPr="00927778" w:rsidRDefault="005E6718" w:rsidP="00D527E8">
            <w:pPr>
              <w:rPr>
                <w:color w:val="333333"/>
                <w:lang w:val="fr-FR"/>
              </w:rPr>
            </w:pPr>
          </w:p>
          <w:p w:rsidR="005E6718" w:rsidRPr="00927778" w:rsidRDefault="00EC684F" w:rsidP="00EC684F">
            <w:pPr>
              <w:rPr>
                <w:color w:val="333333"/>
                <w:lang w:val="fr-FR"/>
              </w:rPr>
            </w:pPr>
            <w:r w:rsidRPr="00927778">
              <w:rPr>
                <w:color w:val="333333"/>
                <w:lang w:val="fr-FR"/>
              </w:rPr>
              <w:t>Liens avec les programmes</w:t>
            </w:r>
            <w:r w:rsidR="00002037" w:rsidRPr="00927778">
              <w:rPr>
                <w:color w:val="333333"/>
                <w:lang w:val="fr-FR"/>
              </w:rPr>
              <w:t> </w:t>
            </w:r>
            <w:r w:rsidRPr="00927778">
              <w:rPr>
                <w:color w:val="333333"/>
                <w:lang w:val="fr-FR"/>
              </w:rPr>
              <w:t>3, 4, 9, 18 et 30.</w:t>
            </w:r>
          </w:p>
          <w:p w:rsidR="005E6718" w:rsidRPr="00927778" w:rsidRDefault="005E6718" w:rsidP="00D527E8">
            <w:pPr>
              <w:rPr>
                <w:color w:val="333333"/>
                <w:highlight w:val="yellow"/>
                <w:lang w:val="fr-FR"/>
              </w:rPr>
            </w:pPr>
          </w:p>
          <w:p w:rsidR="002D4F83" w:rsidRPr="00927778" w:rsidRDefault="002D4F83" w:rsidP="00AB7EC2">
            <w:pPr>
              <w:rPr>
                <w:color w:val="333333"/>
                <w:highlight w:val="yellow"/>
                <w:lang w:val="fr-FR"/>
              </w:rPr>
            </w:pPr>
          </w:p>
        </w:tc>
      </w:tr>
      <w:tr w:rsidR="00047C22" w:rsidRPr="00927778" w:rsidTr="00D527E8">
        <w:trPr>
          <w:trHeight w:val="2664"/>
        </w:trPr>
        <w:tc>
          <w:tcPr>
            <w:tcW w:w="2376" w:type="dxa"/>
            <w:shd w:val="clear" w:color="auto" w:fill="auto"/>
          </w:tcPr>
          <w:p w:rsidR="004044B7" w:rsidRPr="00927778" w:rsidRDefault="00EC684F" w:rsidP="00EC684F">
            <w:pPr>
              <w:pStyle w:val="Heading3"/>
              <w:keepNext w:val="0"/>
              <w:rPr>
                <w:color w:val="333333"/>
                <w:lang w:val="fr-FR"/>
              </w:rPr>
            </w:pPr>
            <w:r w:rsidRPr="00927778">
              <w:rPr>
                <w:color w:val="333333"/>
                <w:lang w:val="fr-FR"/>
              </w:rPr>
              <w:t>Brève description du projet</w:t>
            </w:r>
          </w:p>
        </w:tc>
        <w:tc>
          <w:tcPr>
            <w:tcW w:w="6912" w:type="dxa"/>
            <w:shd w:val="clear" w:color="auto" w:fill="auto"/>
          </w:tcPr>
          <w:p w:rsidR="005E6718" w:rsidRPr="00927778" w:rsidRDefault="005E6718" w:rsidP="002D4F83">
            <w:pPr>
              <w:rPr>
                <w:color w:val="333333"/>
                <w:lang w:val="fr-FR"/>
              </w:rPr>
            </w:pPr>
          </w:p>
          <w:p w:rsidR="00EA2C86" w:rsidRPr="00927778" w:rsidRDefault="00EC684F" w:rsidP="00EC684F">
            <w:pPr>
              <w:rPr>
                <w:color w:val="333333"/>
                <w:lang w:val="fr-FR"/>
              </w:rPr>
            </w:pPr>
            <w:r w:rsidRPr="00927778">
              <w:rPr>
                <w:color w:val="333333"/>
                <w:lang w:val="fr-FR"/>
              </w:rPr>
              <w:t>Le tourisme est devenu l</w:t>
            </w:r>
            <w:r w:rsidR="00EA2C86" w:rsidRPr="00927778">
              <w:rPr>
                <w:color w:val="333333"/>
                <w:lang w:val="fr-FR"/>
              </w:rPr>
              <w:t>’</w:t>
            </w:r>
            <w:r w:rsidRPr="00927778">
              <w:rPr>
                <w:color w:val="333333"/>
                <w:lang w:val="fr-FR"/>
              </w:rPr>
              <w:t>un des acteurs majeurs du commerce international, représentant l</w:t>
            </w:r>
            <w:r w:rsidR="00EA2C86" w:rsidRPr="00927778">
              <w:rPr>
                <w:color w:val="333333"/>
                <w:lang w:val="fr-FR"/>
              </w:rPr>
              <w:t>’</w:t>
            </w:r>
            <w:r w:rsidRPr="00927778">
              <w:rPr>
                <w:color w:val="333333"/>
                <w:lang w:val="fr-FR"/>
              </w:rPr>
              <w:t>une des principales sources de revenus pour de nombreux pays en développeme</w:t>
            </w:r>
            <w:r w:rsidR="00306E74" w:rsidRPr="00927778">
              <w:rPr>
                <w:color w:val="333333"/>
                <w:lang w:val="fr-FR"/>
              </w:rPr>
              <w:t>nt.  Da</w:t>
            </w:r>
            <w:r w:rsidRPr="00927778">
              <w:rPr>
                <w:color w:val="333333"/>
                <w:lang w:val="fr-FR"/>
              </w:rPr>
              <w:t>ns le monde globalisé hautement concurrentiel d</w:t>
            </w:r>
            <w:r w:rsidR="00EA2C86" w:rsidRPr="00927778">
              <w:rPr>
                <w:color w:val="333333"/>
                <w:lang w:val="fr-FR"/>
              </w:rPr>
              <w:t>’</w:t>
            </w:r>
            <w:r w:rsidRPr="00927778">
              <w:rPr>
                <w:color w:val="333333"/>
                <w:lang w:val="fr-FR"/>
              </w:rPr>
              <w:t>aujourd</w:t>
            </w:r>
            <w:r w:rsidR="00EA2C86" w:rsidRPr="00927778">
              <w:rPr>
                <w:color w:val="333333"/>
                <w:lang w:val="fr-FR"/>
              </w:rPr>
              <w:t>’</w:t>
            </w:r>
            <w:r w:rsidRPr="00927778">
              <w:rPr>
                <w:color w:val="333333"/>
                <w:lang w:val="fr-FR"/>
              </w:rPr>
              <w:t>hui, le tourisme se caractérise de plus en plus par une demande personnalisée de produits et services différenciés qui apportent une valeur ajoutée.</w:t>
            </w:r>
          </w:p>
          <w:p w:rsidR="005E6718" w:rsidRPr="00927778" w:rsidRDefault="00EC684F" w:rsidP="00EC684F">
            <w:pPr>
              <w:rPr>
                <w:color w:val="333333"/>
                <w:lang w:val="fr-FR"/>
              </w:rPr>
            </w:pPr>
            <w:r w:rsidRPr="00927778">
              <w:rPr>
                <w:color w:val="333333"/>
                <w:lang w:val="fr-FR"/>
              </w:rPr>
              <w:t>Les parties prenantes du secteur touristique peuvent jouer un rôle essentiel dans la fourniture de produits et la prestation de services de qualité répondant aux intérêts et aux besoins spécifiques des visiteu</w:t>
            </w:r>
            <w:r w:rsidR="00306E74" w:rsidRPr="00927778">
              <w:rPr>
                <w:color w:val="333333"/>
                <w:lang w:val="fr-FR"/>
              </w:rPr>
              <w:t xml:space="preserve">rs.  À </w:t>
            </w:r>
            <w:r w:rsidRPr="00927778">
              <w:rPr>
                <w:color w:val="333333"/>
                <w:lang w:val="fr-FR"/>
              </w:rPr>
              <w:t>cet égard, elles peuvent tirer un énorme avantage de l</w:t>
            </w:r>
            <w:r w:rsidR="00EA2C86" w:rsidRPr="00927778">
              <w:rPr>
                <w:color w:val="333333"/>
                <w:lang w:val="fr-FR"/>
              </w:rPr>
              <w:t>’</w:t>
            </w:r>
            <w:r w:rsidRPr="00927778">
              <w:rPr>
                <w:color w:val="333333"/>
                <w:lang w:val="fr-FR"/>
              </w:rPr>
              <w:t>utilisation stratégique du système de propriété intellectuelle.</w:t>
            </w:r>
          </w:p>
          <w:p w:rsidR="005E6718" w:rsidRPr="00927778" w:rsidRDefault="00EC684F" w:rsidP="00EC684F">
            <w:pPr>
              <w:rPr>
                <w:color w:val="333333"/>
                <w:lang w:val="fr-FR"/>
              </w:rPr>
            </w:pPr>
            <w:r w:rsidRPr="00927778">
              <w:rPr>
                <w:color w:val="333333"/>
                <w:lang w:val="fr-FR"/>
              </w:rPr>
              <w:t>Le projet vise donc à analyser, faciliter et promouvoir la connaissance du rôle du système de propriété intellectuelle dans l</w:t>
            </w:r>
            <w:r w:rsidR="00EA2C86" w:rsidRPr="00927778">
              <w:rPr>
                <w:color w:val="333333"/>
                <w:lang w:val="fr-FR"/>
              </w:rPr>
              <w:t>’</w:t>
            </w:r>
            <w:r w:rsidRPr="00927778">
              <w:rPr>
                <w:color w:val="333333"/>
                <w:lang w:val="fr-FR"/>
              </w:rPr>
              <w:t>activité touristique, notamment en matière de promotion, par la propriété intellectuelle, des savoirs, des traditions et de la culture à l</w:t>
            </w:r>
            <w:r w:rsidR="00EA2C86" w:rsidRPr="00927778">
              <w:rPr>
                <w:color w:val="333333"/>
                <w:lang w:val="fr-FR"/>
              </w:rPr>
              <w:t>’</w:t>
            </w:r>
            <w:r w:rsidRPr="00927778">
              <w:rPr>
                <w:color w:val="333333"/>
                <w:lang w:val="fr-FR"/>
              </w:rPr>
              <w:t>échelle nationale ou loca</w:t>
            </w:r>
            <w:r w:rsidR="00306E74" w:rsidRPr="00927778">
              <w:rPr>
                <w:color w:val="333333"/>
                <w:lang w:val="fr-FR"/>
              </w:rPr>
              <w:t xml:space="preserve">le.  À </w:t>
            </w:r>
            <w:r w:rsidRPr="00927778">
              <w:rPr>
                <w:color w:val="333333"/>
                <w:lang w:val="fr-FR"/>
              </w:rPr>
              <w:t>cet effet, il s</w:t>
            </w:r>
            <w:r w:rsidR="00EA2C86" w:rsidRPr="00927778">
              <w:rPr>
                <w:color w:val="333333"/>
                <w:lang w:val="fr-FR"/>
              </w:rPr>
              <w:t>’</w:t>
            </w:r>
            <w:r w:rsidRPr="00927778">
              <w:rPr>
                <w:color w:val="333333"/>
                <w:lang w:val="fr-FR"/>
              </w:rPr>
              <w:t>intéresse aux expériences concrètes illustrant la manière dont certains instruments et certaines stratégies de propriété intellectuelle peuvent aider les opérateurs touristiques à devenir concurrentiels en prenant des mesures novatrices, en concluant des accords de coopération et de collaboration et en exploitant les synergies pour contribuer ainsi à l</w:t>
            </w:r>
            <w:r w:rsidR="00EA2C86" w:rsidRPr="00927778">
              <w:rPr>
                <w:color w:val="333333"/>
                <w:lang w:val="fr-FR"/>
              </w:rPr>
              <w:t>’</w:t>
            </w:r>
            <w:r w:rsidRPr="00927778">
              <w:rPr>
                <w:color w:val="333333"/>
                <w:lang w:val="fr-FR"/>
              </w:rPr>
              <w:t>amélioration générale de l</w:t>
            </w:r>
            <w:r w:rsidR="00EA2C86" w:rsidRPr="00927778">
              <w:rPr>
                <w:color w:val="333333"/>
                <w:lang w:val="fr-FR"/>
              </w:rPr>
              <w:t>’</w:t>
            </w:r>
            <w:r w:rsidRPr="00927778">
              <w:rPr>
                <w:color w:val="333333"/>
                <w:lang w:val="fr-FR"/>
              </w:rPr>
              <w:t>économie.</w:t>
            </w:r>
          </w:p>
          <w:p w:rsidR="005E6718" w:rsidRPr="00927778" w:rsidRDefault="00EC684F" w:rsidP="00EC684F">
            <w:pPr>
              <w:rPr>
                <w:color w:val="333333"/>
                <w:lang w:val="fr-FR"/>
              </w:rPr>
            </w:pPr>
            <w:r w:rsidRPr="00927778">
              <w:rPr>
                <w:color w:val="333333"/>
                <w:lang w:val="fr-FR"/>
              </w:rPr>
              <w:t>Le projet</w:t>
            </w:r>
            <w:r w:rsidRPr="00927778">
              <w:rPr>
                <w:rFonts w:eastAsia="SimSun"/>
                <w:color w:val="333333"/>
                <w:lang w:val="fr-FR" w:eastAsia="zh-CN"/>
              </w:rPr>
              <w:t xml:space="preserve"> est</w:t>
            </w:r>
            <w:r w:rsidRPr="00927778">
              <w:rPr>
                <w:color w:val="333333"/>
                <w:lang w:val="fr-FR"/>
              </w:rPr>
              <w:t xml:space="preserve"> mis en œuvre dans quatre</w:t>
            </w:r>
            <w:r w:rsidR="0057466D" w:rsidRPr="00927778">
              <w:rPr>
                <w:color w:val="333333"/>
                <w:lang w:val="fr-FR"/>
              </w:rPr>
              <w:t> </w:t>
            </w:r>
            <w:r w:rsidRPr="00927778">
              <w:rPr>
                <w:color w:val="333333"/>
                <w:lang w:val="fr-FR"/>
              </w:rPr>
              <w:t>pays pilotes, dont l</w:t>
            </w:r>
            <w:r w:rsidR="00EA2C86" w:rsidRPr="00927778">
              <w:rPr>
                <w:color w:val="333333"/>
                <w:lang w:val="fr-FR"/>
              </w:rPr>
              <w:t>’</w:t>
            </w:r>
            <w:r w:rsidRPr="00927778">
              <w:rPr>
                <w:color w:val="333333"/>
                <w:lang w:val="fr-FR"/>
              </w:rPr>
              <w:t>Égypte, où il vise à renforcer les capacités des principales parties prenantes et à promouvoir l</w:t>
            </w:r>
            <w:r w:rsidR="00EA2C86" w:rsidRPr="00927778">
              <w:rPr>
                <w:color w:val="333333"/>
                <w:lang w:val="fr-FR"/>
              </w:rPr>
              <w:t>’</w:t>
            </w:r>
            <w:r w:rsidRPr="00927778">
              <w:rPr>
                <w:color w:val="333333"/>
                <w:lang w:val="fr-FR"/>
              </w:rPr>
              <w:t>interface entre propriété intellectuelle et tourisme dans le cadre des politiques de croissance et de développement.</w:t>
            </w:r>
          </w:p>
          <w:p w:rsidR="005E6718" w:rsidRPr="00927778" w:rsidRDefault="00EC684F" w:rsidP="00EC684F">
            <w:pPr>
              <w:rPr>
                <w:color w:val="333333"/>
                <w:lang w:val="fr-FR"/>
              </w:rPr>
            </w:pPr>
            <w:r w:rsidRPr="00927778">
              <w:rPr>
                <w:color w:val="333333"/>
                <w:lang w:val="fr-FR"/>
              </w:rPr>
              <w:t>Les données d</w:t>
            </w:r>
            <w:r w:rsidR="00EA2C86" w:rsidRPr="00927778">
              <w:rPr>
                <w:color w:val="333333"/>
                <w:lang w:val="fr-FR"/>
              </w:rPr>
              <w:t>’</w:t>
            </w:r>
            <w:r w:rsidRPr="00927778">
              <w:rPr>
                <w:color w:val="333333"/>
                <w:lang w:val="fr-FR"/>
              </w:rPr>
              <w:t>expérience et les pratiques recommandées recueillies et les stratégies, instruments et guide pratique élaborés au cours du projet contribueront également à orienter les décisions de politique générale et à sensibiliser le public à l</w:t>
            </w:r>
            <w:r w:rsidR="00EA2C86" w:rsidRPr="00927778">
              <w:rPr>
                <w:color w:val="333333"/>
                <w:lang w:val="fr-FR"/>
              </w:rPr>
              <w:t>’</w:t>
            </w:r>
            <w:r w:rsidRPr="00927778">
              <w:rPr>
                <w:color w:val="333333"/>
                <w:lang w:val="fr-FR"/>
              </w:rPr>
              <w:t>utilisation de la propriété intellectuelle aux fins de la promotion du tourisme, des savoirs, des traditions et de la culture à l</w:t>
            </w:r>
            <w:r w:rsidR="00EA2C86" w:rsidRPr="00927778">
              <w:rPr>
                <w:color w:val="333333"/>
                <w:lang w:val="fr-FR"/>
              </w:rPr>
              <w:t>’</w:t>
            </w:r>
            <w:r w:rsidRPr="00927778">
              <w:rPr>
                <w:color w:val="333333"/>
                <w:lang w:val="fr-FR"/>
              </w:rPr>
              <w:t>échelle nationale ou locale, tout en renforçant les avantages économiques, sociaux et culturels au niveau national.</w:t>
            </w:r>
          </w:p>
          <w:p w:rsidR="002D4F83" w:rsidRPr="00927778" w:rsidRDefault="002D4F83" w:rsidP="002D4F83">
            <w:pPr>
              <w:rPr>
                <w:color w:val="333333"/>
                <w:lang w:val="fr-FR"/>
              </w:rPr>
            </w:pPr>
          </w:p>
        </w:tc>
      </w:tr>
    </w:tbl>
    <w:p w:rsidR="00D06EF3" w:rsidRPr="00927778" w:rsidRDefault="00D06EF3">
      <w:pPr>
        <w:rPr>
          <w:color w:val="333333"/>
          <w:lang w:val="fr-FR"/>
        </w:rPr>
      </w:pPr>
      <w:r w:rsidRPr="00927778">
        <w:rPr>
          <w:bCs/>
          <w:color w:val="333333"/>
          <w:lang w:val="fr-F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047C22" w:rsidRPr="00927778" w:rsidTr="00D527E8">
        <w:trPr>
          <w:trHeight w:val="484"/>
        </w:trPr>
        <w:tc>
          <w:tcPr>
            <w:tcW w:w="2376" w:type="dxa"/>
            <w:shd w:val="clear" w:color="auto" w:fill="auto"/>
          </w:tcPr>
          <w:p w:rsidR="004044B7" w:rsidRPr="00927778" w:rsidRDefault="00EC684F" w:rsidP="00EC684F">
            <w:pPr>
              <w:pStyle w:val="Heading3"/>
              <w:rPr>
                <w:color w:val="333333"/>
                <w:lang w:val="fr-FR"/>
              </w:rPr>
            </w:pPr>
            <w:r w:rsidRPr="00927778">
              <w:rPr>
                <w:color w:val="333333"/>
                <w:lang w:val="fr-FR"/>
              </w:rPr>
              <w:t>Chef de projet</w:t>
            </w:r>
          </w:p>
        </w:tc>
        <w:tc>
          <w:tcPr>
            <w:tcW w:w="6912" w:type="dxa"/>
            <w:vAlign w:val="center"/>
          </w:tcPr>
          <w:p w:rsidR="004044B7" w:rsidRPr="00927778" w:rsidRDefault="00EC684F" w:rsidP="00EC684F">
            <w:pPr>
              <w:rPr>
                <w:iCs/>
                <w:color w:val="333333"/>
                <w:lang w:val="fr-FR"/>
              </w:rPr>
            </w:pPr>
            <w:r w:rsidRPr="00927778">
              <w:rPr>
                <w:iCs/>
                <w:color w:val="333333"/>
                <w:lang w:val="fr-FR"/>
              </w:rPr>
              <w:t>Mme</w:t>
            </w:r>
            <w:r w:rsidR="0057466D" w:rsidRPr="00927778">
              <w:rPr>
                <w:iCs/>
                <w:color w:val="333333"/>
                <w:lang w:val="fr-FR"/>
              </w:rPr>
              <w:t> </w:t>
            </w:r>
            <w:r w:rsidRPr="00927778">
              <w:rPr>
                <w:iCs/>
                <w:color w:val="333333"/>
                <w:lang w:val="fr-FR"/>
              </w:rPr>
              <w:t>Francesca</w:t>
            </w:r>
            <w:r w:rsidR="00CB5AE0" w:rsidRPr="00927778">
              <w:rPr>
                <w:iCs/>
                <w:color w:val="333333"/>
                <w:lang w:val="fr-FR"/>
              </w:rPr>
              <w:t> </w:t>
            </w:r>
            <w:r w:rsidRPr="00927778">
              <w:rPr>
                <w:iCs/>
                <w:color w:val="333333"/>
                <w:lang w:val="fr-FR"/>
              </w:rPr>
              <w:t>Toso</w:t>
            </w:r>
          </w:p>
        </w:tc>
      </w:tr>
      <w:tr w:rsidR="00047C22" w:rsidRPr="00927778" w:rsidTr="00D527E8">
        <w:trPr>
          <w:trHeight w:val="1165"/>
        </w:trPr>
        <w:tc>
          <w:tcPr>
            <w:tcW w:w="2376" w:type="dxa"/>
            <w:shd w:val="clear" w:color="auto" w:fill="auto"/>
          </w:tcPr>
          <w:p w:rsidR="00EA2C86" w:rsidRPr="00927778" w:rsidRDefault="00EC684F" w:rsidP="00EC684F">
            <w:pPr>
              <w:pStyle w:val="Heading3"/>
              <w:rPr>
                <w:color w:val="333333"/>
                <w:lang w:val="fr-FR"/>
              </w:rPr>
            </w:pPr>
            <w:r w:rsidRPr="00927778">
              <w:rPr>
                <w:color w:val="333333"/>
                <w:lang w:val="fr-FR"/>
              </w:rPr>
              <w:t>Liens avec les résultats escomptés dans le programme et budget</w:t>
            </w:r>
          </w:p>
          <w:p w:rsidR="004044B7" w:rsidRPr="00927778" w:rsidDel="00196374" w:rsidRDefault="004044B7" w:rsidP="00D527E8">
            <w:pPr>
              <w:rPr>
                <w:color w:val="333333"/>
                <w:lang w:val="fr-FR"/>
              </w:rPr>
            </w:pPr>
          </w:p>
        </w:tc>
        <w:tc>
          <w:tcPr>
            <w:tcW w:w="6912" w:type="dxa"/>
          </w:tcPr>
          <w:p w:rsidR="005E6718" w:rsidRPr="00927778" w:rsidRDefault="005E6718" w:rsidP="00D527E8">
            <w:pPr>
              <w:rPr>
                <w:color w:val="333333"/>
                <w:lang w:val="fr-FR"/>
              </w:rPr>
            </w:pPr>
          </w:p>
          <w:p w:rsidR="005E6718" w:rsidRPr="00927778" w:rsidRDefault="00EC684F" w:rsidP="00EC684F">
            <w:pPr>
              <w:rPr>
                <w:color w:val="333333"/>
                <w:lang w:val="fr-FR"/>
              </w:rPr>
            </w:pPr>
            <w:r w:rsidRPr="00927778">
              <w:rPr>
                <w:i/>
                <w:color w:val="333333"/>
                <w:lang w:val="fr-FR"/>
              </w:rPr>
              <w:t>Résultat escompté</w:t>
            </w:r>
            <w:r w:rsidR="00CB5AE0" w:rsidRPr="00927778">
              <w:rPr>
                <w:i/>
                <w:color w:val="333333"/>
                <w:lang w:val="fr-FR"/>
              </w:rPr>
              <w:t> </w:t>
            </w:r>
            <w:r w:rsidRPr="00927778">
              <w:rPr>
                <w:i/>
                <w:color w:val="333333"/>
                <w:lang w:val="fr-FR"/>
              </w:rPr>
              <w:t>III.1</w:t>
            </w:r>
            <w:r w:rsidR="00EA2C86" w:rsidRPr="00927778">
              <w:rPr>
                <w:color w:val="333333"/>
                <w:lang w:val="fr-FR"/>
              </w:rPr>
              <w:t> :</w:t>
            </w:r>
            <w:r w:rsidRPr="00927778">
              <w:rPr>
                <w:color w:val="333333"/>
                <w:lang w:val="fr-FR"/>
              </w:rPr>
              <w:t xml:space="preserve"> Stratégies et plans nationaux en matière d</w:t>
            </w:r>
            <w:r w:rsidR="00EA2C86" w:rsidRPr="00927778">
              <w:rPr>
                <w:color w:val="333333"/>
                <w:lang w:val="fr-FR"/>
              </w:rPr>
              <w:t>’</w:t>
            </w:r>
            <w:r w:rsidRPr="00927778">
              <w:rPr>
                <w:color w:val="333333"/>
                <w:lang w:val="fr-FR"/>
              </w:rPr>
              <w:t>innovation et de propriété intellectuelle conformes aux objectifs de développement nationaux.</w:t>
            </w:r>
          </w:p>
          <w:p w:rsidR="005E6718" w:rsidRPr="00927778" w:rsidRDefault="005E6718" w:rsidP="00D527E8">
            <w:pPr>
              <w:rPr>
                <w:color w:val="333333"/>
                <w:lang w:val="fr-FR"/>
              </w:rPr>
            </w:pPr>
          </w:p>
          <w:p w:rsidR="004044B7" w:rsidRPr="00927778" w:rsidDel="00196374" w:rsidRDefault="00EC684F" w:rsidP="00EC684F">
            <w:pPr>
              <w:rPr>
                <w:iCs/>
                <w:color w:val="333333"/>
                <w:lang w:val="fr-FR"/>
              </w:rPr>
            </w:pPr>
            <w:r w:rsidRPr="00927778">
              <w:rPr>
                <w:i/>
                <w:iCs/>
                <w:color w:val="333333"/>
                <w:lang w:val="fr-FR"/>
              </w:rPr>
              <w:t>Résultat escompté</w:t>
            </w:r>
            <w:r w:rsidR="00CB5AE0" w:rsidRPr="00927778">
              <w:rPr>
                <w:i/>
                <w:iCs/>
                <w:color w:val="333333"/>
                <w:lang w:val="fr-FR"/>
              </w:rPr>
              <w:t> </w:t>
            </w:r>
            <w:r w:rsidRPr="00927778">
              <w:rPr>
                <w:i/>
                <w:iCs/>
                <w:color w:val="333333"/>
                <w:lang w:val="fr-FR"/>
              </w:rPr>
              <w:t>III.2</w:t>
            </w:r>
            <w:r w:rsidR="00EA2C86" w:rsidRPr="00927778">
              <w:rPr>
                <w:iCs/>
                <w:color w:val="333333"/>
                <w:lang w:val="fr-FR"/>
              </w:rPr>
              <w:t> :</w:t>
            </w:r>
            <w:r w:rsidRPr="00927778">
              <w:rPr>
                <w:iCs/>
                <w:color w:val="333333"/>
                <w:lang w:val="fr-FR"/>
              </w:rPr>
              <w:t xml:space="preserve"> Renforcement des capacités en matière de ressources humaines pour pouvoir répondre aux nombreuses exigences en ce qui concerne l</w:t>
            </w:r>
            <w:r w:rsidR="00EA2C86" w:rsidRPr="00927778">
              <w:rPr>
                <w:iCs/>
                <w:color w:val="333333"/>
                <w:lang w:val="fr-FR"/>
              </w:rPr>
              <w:t>’</w:t>
            </w:r>
            <w:r w:rsidRPr="00927778">
              <w:rPr>
                <w:iCs/>
                <w:color w:val="333333"/>
                <w:lang w:val="fr-FR"/>
              </w:rPr>
              <w:t>utilisation efficace de la propriété intellectuelle au service du développement dans les pays en développement,</w:t>
            </w:r>
            <w:r w:rsidR="00EA2C86" w:rsidRPr="00927778">
              <w:rPr>
                <w:iCs/>
                <w:color w:val="333333"/>
                <w:lang w:val="fr-FR"/>
              </w:rPr>
              <w:t xml:space="preserve"> les PMA</w:t>
            </w:r>
            <w:r w:rsidRPr="00927778">
              <w:rPr>
                <w:iCs/>
                <w:color w:val="333333"/>
                <w:lang w:val="fr-FR"/>
              </w:rPr>
              <w:t xml:space="preserve"> et les pays en transition.</w:t>
            </w:r>
          </w:p>
        </w:tc>
      </w:tr>
      <w:tr w:rsidR="00047C22" w:rsidRPr="00927778" w:rsidTr="00D527E8">
        <w:trPr>
          <w:trHeight w:val="1735"/>
        </w:trPr>
        <w:tc>
          <w:tcPr>
            <w:tcW w:w="2376" w:type="dxa"/>
            <w:shd w:val="clear" w:color="auto" w:fill="auto"/>
          </w:tcPr>
          <w:p w:rsidR="005E6718" w:rsidRPr="00927778" w:rsidRDefault="00EC684F" w:rsidP="00EC684F">
            <w:pPr>
              <w:pStyle w:val="Heading3"/>
              <w:rPr>
                <w:color w:val="333333"/>
                <w:lang w:val="fr-FR"/>
              </w:rPr>
            </w:pPr>
            <w:r w:rsidRPr="00927778">
              <w:rPr>
                <w:color w:val="333333"/>
                <w:lang w:val="fr-FR"/>
              </w:rPr>
              <w:t>État d</w:t>
            </w:r>
            <w:r w:rsidR="00EA2C86" w:rsidRPr="00927778">
              <w:rPr>
                <w:color w:val="333333"/>
                <w:lang w:val="fr-FR"/>
              </w:rPr>
              <w:t>’</w:t>
            </w:r>
            <w:r w:rsidRPr="00927778">
              <w:rPr>
                <w:color w:val="333333"/>
                <w:lang w:val="fr-FR"/>
              </w:rPr>
              <w:t>avancement du projet</w:t>
            </w:r>
          </w:p>
          <w:p w:rsidR="004044B7" w:rsidRPr="00927778" w:rsidRDefault="004044B7" w:rsidP="00D527E8">
            <w:pPr>
              <w:rPr>
                <w:color w:val="333333"/>
                <w:lang w:val="fr-FR"/>
              </w:rPr>
            </w:pPr>
          </w:p>
        </w:tc>
        <w:tc>
          <w:tcPr>
            <w:tcW w:w="6912" w:type="dxa"/>
          </w:tcPr>
          <w:p w:rsidR="005E6718" w:rsidRPr="00927778" w:rsidRDefault="005E6718" w:rsidP="00D527E8">
            <w:pPr>
              <w:rPr>
                <w:color w:val="333333"/>
                <w:sz w:val="20"/>
                <w:lang w:val="fr-FR"/>
              </w:rPr>
            </w:pPr>
          </w:p>
          <w:p w:rsidR="005E6718" w:rsidRPr="00927778" w:rsidRDefault="004044B7" w:rsidP="00D527E8">
            <w:pPr>
              <w:rPr>
                <w:color w:val="333333"/>
                <w:szCs w:val="22"/>
                <w:lang w:val="fr-FR"/>
              </w:rPr>
            </w:pPr>
            <w:r w:rsidRPr="00927778">
              <w:rPr>
                <w:color w:val="333333"/>
                <w:szCs w:val="22"/>
                <w:lang w:val="fr-FR"/>
              </w:rPr>
              <w:t xml:space="preserve">I. </w:t>
            </w:r>
            <w:r w:rsidR="006804B3" w:rsidRPr="00927778">
              <w:rPr>
                <w:color w:val="333333"/>
                <w:szCs w:val="22"/>
                <w:u w:val="single"/>
                <w:lang w:val="fr-FR"/>
              </w:rPr>
              <w:t xml:space="preserve">Mise en œuvre </w:t>
            </w:r>
            <w:r w:rsidR="00F15CD6" w:rsidRPr="00927778">
              <w:rPr>
                <w:color w:val="333333"/>
                <w:szCs w:val="22"/>
                <w:u w:val="single"/>
                <w:lang w:val="fr-FR"/>
              </w:rPr>
              <w:t xml:space="preserve">du projet </w:t>
            </w:r>
            <w:r w:rsidR="006804B3" w:rsidRPr="00927778">
              <w:rPr>
                <w:color w:val="333333"/>
                <w:szCs w:val="22"/>
                <w:u w:val="single"/>
                <w:lang w:val="fr-FR"/>
              </w:rPr>
              <w:t>au niveau national</w:t>
            </w:r>
          </w:p>
          <w:p w:rsidR="005E6718" w:rsidRPr="00927778" w:rsidRDefault="005E6718" w:rsidP="00D527E8">
            <w:pPr>
              <w:rPr>
                <w:color w:val="333333"/>
                <w:szCs w:val="22"/>
                <w:lang w:val="fr-FR"/>
              </w:rPr>
            </w:pPr>
          </w:p>
          <w:p w:rsidR="005E6718" w:rsidRPr="00927778" w:rsidRDefault="006804B3" w:rsidP="00D527E8">
            <w:pPr>
              <w:rPr>
                <w:color w:val="333333"/>
                <w:szCs w:val="22"/>
                <w:lang w:val="fr-FR"/>
              </w:rPr>
            </w:pPr>
            <w:r w:rsidRPr="00927778">
              <w:rPr>
                <w:color w:val="333333"/>
                <w:szCs w:val="22"/>
                <w:lang w:val="fr-FR"/>
              </w:rPr>
              <w:t xml:space="preserve">Au cours de la troisième et dernière année de mise en œuvre du projet dans les pays pilotes choisis, </w:t>
            </w:r>
            <w:r w:rsidR="00EA2C86" w:rsidRPr="00927778">
              <w:rPr>
                <w:color w:val="333333"/>
                <w:szCs w:val="22"/>
                <w:lang w:val="fr-FR"/>
              </w:rPr>
              <w:t>à savoir</w:t>
            </w:r>
            <w:r w:rsidRPr="00927778">
              <w:rPr>
                <w:color w:val="333333"/>
                <w:szCs w:val="22"/>
                <w:lang w:val="fr-FR"/>
              </w:rPr>
              <w:t xml:space="preserve"> l</w:t>
            </w:r>
            <w:r w:rsidR="00EA2C86" w:rsidRPr="00927778">
              <w:rPr>
                <w:color w:val="333333"/>
                <w:szCs w:val="22"/>
                <w:lang w:val="fr-FR"/>
              </w:rPr>
              <w:t>’</w:t>
            </w:r>
            <w:r w:rsidRPr="00927778">
              <w:rPr>
                <w:color w:val="333333"/>
                <w:szCs w:val="22"/>
                <w:lang w:val="fr-FR"/>
              </w:rPr>
              <w:t>Équateur, l</w:t>
            </w:r>
            <w:r w:rsidR="00EA2C86" w:rsidRPr="00927778">
              <w:rPr>
                <w:color w:val="333333"/>
                <w:szCs w:val="22"/>
                <w:lang w:val="fr-FR"/>
              </w:rPr>
              <w:t>’</w:t>
            </w:r>
            <w:r w:rsidRPr="00927778">
              <w:rPr>
                <w:color w:val="333333"/>
                <w:szCs w:val="22"/>
                <w:lang w:val="fr-FR"/>
              </w:rPr>
              <w:t>Égypte, la Namibie et Sri</w:t>
            </w:r>
            <w:r w:rsidR="0057466D" w:rsidRPr="00927778">
              <w:rPr>
                <w:color w:val="333333"/>
                <w:szCs w:val="22"/>
                <w:lang w:val="fr-FR"/>
              </w:rPr>
              <w:t> </w:t>
            </w:r>
            <w:r w:rsidRPr="00927778">
              <w:rPr>
                <w:color w:val="333333"/>
                <w:szCs w:val="22"/>
                <w:lang w:val="fr-FR"/>
              </w:rPr>
              <w:t xml:space="preserve">Lanka, le projet a enregistré des avancées différenciées en fonction de la diversité des </w:t>
            </w:r>
            <w:r w:rsidR="007B6186" w:rsidRPr="00927778">
              <w:rPr>
                <w:color w:val="333333"/>
                <w:szCs w:val="22"/>
                <w:lang w:val="fr-FR"/>
              </w:rPr>
              <w:t>situations des pays concern</w:t>
            </w:r>
            <w:r w:rsidR="00306E74" w:rsidRPr="00927778">
              <w:rPr>
                <w:color w:val="333333"/>
                <w:szCs w:val="22"/>
                <w:lang w:val="fr-FR"/>
              </w:rPr>
              <w:t>és.  Le</w:t>
            </w:r>
            <w:r w:rsidRPr="00927778">
              <w:rPr>
                <w:color w:val="333333"/>
                <w:szCs w:val="22"/>
                <w:lang w:val="fr-FR"/>
              </w:rPr>
              <w:t>s circonstances ont, dans certains cas, fait obstacle à la capa</w:t>
            </w:r>
            <w:r w:rsidR="00BC4E1D" w:rsidRPr="00927778">
              <w:rPr>
                <w:color w:val="333333"/>
                <w:szCs w:val="22"/>
                <w:lang w:val="fr-FR"/>
              </w:rPr>
              <w:t>c</w:t>
            </w:r>
            <w:r w:rsidRPr="00927778">
              <w:rPr>
                <w:color w:val="333333"/>
                <w:szCs w:val="22"/>
                <w:lang w:val="fr-FR"/>
              </w:rPr>
              <w:t xml:space="preserve">ité des pays à suivre et mettre en application des recommandations et engagements spécifiques issus de précédents échanges avec les </w:t>
            </w:r>
            <w:r w:rsidR="00C111BE" w:rsidRPr="00927778">
              <w:rPr>
                <w:color w:val="333333"/>
                <w:szCs w:val="22"/>
                <w:lang w:val="fr-FR"/>
              </w:rPr>
              <w:t>institutions</w:t>
            </w:r>
            <w:r w:rsidRPr="00927778">
              <w:rPr>
                <w:color w:val="333333"/>
                <w:szCs w:val="22"/>
                <w:lang w:val="fr-FR"/>
              </w:rPr>
              <w:t xml:space="preserve"> partenaires et les autres parties prenantes. </w:t>
            </w:r>
            <w:r w:rsidR="0057466D" w:rsidRPr="00927778">
              <w:rPr>
                <w:color w:val="333333"/>
                <w:szCs w:val="22"/>
                <w:lang w:val="fr-FR"/>
              </w:rPr>
              <w:t xml:space="preserve"> </w:t>
            </w:r>
          </w:p>
          <w:p w:rsidR="00306E74" w:rsidRPr="00927778" w:rsidRDefault="00306E74" w:rsidP="00D527E8">
            <w:pPr>
              <w:rPr>
                <w:color w:val="333333"/>
                <w:szCs w:val="22"/>
                <w:lang w:val="fr-FR"/>
              </w:rPr>
            </w:pPr>
          </w:p>
          <w:p w:rsidR="00EA2C86" w:rsidRPr="00927778" w:rsidRDefault="00022803" w:rsidP="00D527E8">
            <w:pPr>
              <w:rPr>
                <w:color w:val="333333"/>
                <w:szCs w:val="22"/>
                <w:lang w:val="fr-FR"/>
              </w:rPr>
            </w:pPr>
            <w:r w:rsidRPr="00927778">
              <w:rPr>
                <w:color w:val="333333"/>
                <w:szCs w:val="22"/>
                <w:lang w:val="fr-FR"/>
              </w:rPr>
              <w:t xml:space="preserve">Le recensement des agences pilotes et des principaux acteurs du tourisme au niveau national avait notamment favorisé la mise en œuvre du projet au </w:t>
            </w:r>
            <w:r w:rsidR="002C37A5" w:rsidRPr="00927778">
              <w:rPr>
                <w:color w:val="333333"/>
                <w:szCs w:val="22"/>
                <w:lang w:val="fr-FR"/>
              </w:rPr>
              <w:t>n</w:t>
            </w:r>
            <w:r w:rsidRPr="00927778">
              <w:rPr>
                <w:color w:val="333333"/>
                <w:szCs w:val="22"/>
                <w:lang w:val="fr-FR"/>
              </w:rPr>
              <w:t>iveau national pendant les deux</w:t>
            </w:r>
            <w:r w:rsidR="0057466D" w:rsidRPr="00927778">
              <w:rPr>
                <w:color w:val="333333"/>
                <w:szCs w:val="22"/>
                <w:lang w:val="fr-FR"/>
              </w:rPr>
              <w:t> </w:t>
            </w:r>
            <w:r w:rsidRPr="00927778">
              <w:rPr>
                <w:color w:val="333333"/>
                <w:szCs w:val="22"/>
                <w:lang w:val="fr-FR"/>
              </w:rPr>
              <w:t>premières anné</w:t>
            </w:r>
            <w:r w:rsidR="00306E74" w:rsidRPr="00927778">
              <w:rPr>
                <w:color w:val="333333"/>
                <w:szCs w:val="22"/>
                <w:lang w:val="fr-FR"/>
              </w:rPr>
              <w:t>es.  Ce</w:t>
            </w:r>
            <w:r w:rsidRPr="00927778">
              <w:rPr>
                <w:color w:val="333333"/>
                <w:szCs w:val="22"/>
                <w:lang w:val="fr-FR"/>
              </w:rPr>
              <w:t>pendant, au cours des 12</w:t>
            </w:r>
            <w:r w:rsidR="00002037" w:rsidRPr="00927778">
              <w:rPr>
                <w:color w:val="333333"/>
                <w:szCs w:val="22"/>
                <w:lang w:val="fr-FR"/>
              </w:rPr>
              <w:t> </w:t>
            </w:r>
            <w:r w:rsidRPr="00927778">
              <w:rPr>
                <w:color w:val="333333"/>
                <w:szCs w:val="22"/>
                <w:lang w:val="fr-FR"/>
              </w:rPr>
              <w:t>derniers mois, la composition et la direction de toutes les équipes natio</w:t>
            </w:r>
            <w:r w:rsidR="007B6186" w:rsidRPr="00927778">
              <w:rPr>
                <w:color w:val="333333"/>
                <w:szCs w:val="22"/>
                <w:lang w:val="fr-FR"/>
              </w:rPr>
              <w:t xml:space="preserve">nales chargées du projet ont subi des </w:t>
            </w:r>
            <w:r w:rsidR="0041334A" w:rsidRPr="00927778">
              <w:rPr>
                <w:color w:val="333333"/>
                <w:szCs w:val="22"/>
                <w:lang w:val="fr-FR"/>
              </w:rPr>
              <w:t>changement</w:t>
            </w:r>
            <w:r w:rsidR="007B6186" w:rsidRPr="00927778">
              <w:rPr>
                <w:color w:val="333333"/>
                <w:szCs w:val="22"/>
                <w:lang w:val="fr-FR"/>
              </w:rPr>
              <w:t>s</w:t>
            </w:r>
            <w:r w:rsidRPr="00927778">
              <w:rPr>
                <w:color w:val="333333"/>
                <w:szCs w:val="22"/>
                <w:lang w:val="fr-FR"/>
              </w:rPr>
              <w:t>, ce qui a emporté des conséquences soit positives</w:t>
            </w:r>
            <w:r w:rsidR="007B6186" w:rsidRPr="00927778">
              <w:rPr>
                <w:color w:val="333333"/>
                <w:szCs w:val="22"/>
                <w:lang w:val="fr-FR"/>
              </w:rPr>
              <w:t>,</w:t>
            </w:r>
            <w:r w:rsidRPr="00927778">
              <w:rPr>
                <w:color w:val="333333"/>
                <w:szCs w:val="22"/>
                <w:lang w:val="fr-FR"/>
              </w:rPr>
              <w:t xml:space="preserve"> soit négatives</w:t>
            </w:r>
            <w:r w:rsidR="007B6186" w:rsidRPr="00927778">
              <w:rPr>
                <w:color w:val="333333"/>
                <w:szCs w:val="22"/>
                <w:lang w:val="fr-FR"/>
              </w:rPr>
              <w:t>,</w:t>
            </w:r>
            <w:r w:rsidRPr="00927778">
              <w:rPr>
                <w:color w:val="333333"/>
                <w:szCs w:val="22"/>
                <w:lang w:val="fr-FR"/>
              </w:rPr>
              <w:t xml:space="preserve"> pour la mise en œuvre du projet.</w:t>
            </w:r>
          </w:p>
          <w:p w:rsidR="000E3BF3" w:rsidRPr="00927778" w:rsidRDefault="000E3BF3" w:rsidP="00D527E8">
            <w:pPr>
              <w:rPr>
                <w:color w:val="333333"/>
                <w:szCs w:val="22"/>
                <w:lang w:val="fr-FR"/>
              </w:rPr>
            </w:pPr>
          </w:p>
          <w:p w:rsidR="005E6718" w:rsidRPr="00927778" w:rsidRDefault="00EC684F" w:rsidP="00EC684F">
            <w:pPr>
              <w:rPr>
                <w:rFonts w:eastAsia="SimSun"/>
                <w:bCs/>
                <w:color w:val="333333"/>
                <w:szCs w:val="26"/>
                <w:u w:val="single"/>
                <w:lang w:val="fr-FR"/>
              </w:rPr>
            </w:pPr>
            <w:r w:rsidRPr="00927778">
              <w:rPr>
                <w:rFonts w:eastAsia="SimSun"/>
                <w:bCs/>
                <w:color w:val="333333"/>
                <w:szCs w:val="26"/>
                <w:u w:val="single"/>
                <w:lang w:val="fr-FR"/>
              </w:rPr>
              <w:t>Équateur</w:t>
            </w:r>
          </w:p>
          <w:p w:rsidR="005E6718" w:rsidRPr="00927778" w:rsidRDefault="00022803" w:rsidP="00D527E8">
            <w:pPr>
              <w:rPr>
                <w:i/>
                <w:color w:val="333333"/>
                <w:szCs w:val="22"/>
                <w:lang w:val="fr-FR"/>
              </w:rPr>
            </w:pPr>
            <w:r w:rsidRPr="00927778">
              <w:rPr>
                <w:color w:val="333333"/>
                <w:szCs w:val="22"/>
                <w:lang w:val="fr-FR"/>
              </w:rPr>
              <w:t>L</w:t>
            </w:r>
            <w:r w:rsidR="00EA2C86" w:rsidRPr="00927778">
              <w:rPr>
                <w:color w:val="333333"/>
                <w:szCs w:val="22"/>
                <w:lang w:val="fr-FR"/>
              </w:rPr>
              <w:t>’</w:t>
            </w:r>
            <w:r w:rsidRPr="00927778">
              <w:rPr>
                <w:color w:val="333333"/>
                <w:szCs w:val="22"/>
                <w:lang w:val="fr-FR"/>
              </w:rPr>
              <w:t>agence pilote (</w:t>
            </w:r>
            <w:r w:rsidR="002C37A5" w:rsidRPr="00927778">
              <w:rPr>
                <w:color w:val="333333"/>
                <w:szCs w:val="22"/>
                <w:lang w:val="fr-FR"/>
              </w:rPr>
              <w:t xml:space="preserve">le Service national </w:t>
            </w:r>
            <w:r w:rsidR="008B75B7" w:rsidRPr="00927778">
              <w:rPr>
                <w:color w:val="333333"/>
                <w:szCs w:val="22"/>
                <w:lang w:val="fr-FR"/>
              </w:rPr>
              <w:t>d</w:t>
            </w:r>
            <w:r w:rsidR="002C37A5" w:rsidRPr="00927778">
              <w:rPr>
                <w:color w:val="333333"/>
                <w:szCs w:val="22"/>
                <w:lang w:val="fr-FR"/>
              </w:rPr>
              <w:t>es droits intellectuel</w:t>
            </w:r>
            <w:r w:rsidR="008B75B7" w:rsidRPr="00927778">
              <w:rPr>
                <w:color w:val="333333"/>
                <w:szCs w:val="22"/>
                <w:lang w:val="fr-FR"/>
              </w:rPr>
              <w:t>s</w:t>
            </w:r>
            <w:r w:rsidR="002C37A5" w:rsidRPr="00927778">
              <w:rPr>
                <w:color w:val="333333"/>
                <w:szCs w:val="22"/>
                <w:lang w:val="fr-FR"/>
              </w:rPr>
              <w:t>, SENADI) a enregistré des progrès notabl</w:t>
            </w:r>
            <w:r w:rsidR="008D118B" w:rsidRPr="00927778">
              <w:rPr>
                <w:color w:val="333333"/>
                <w:szCs w:val="22"/>
                <w:lang w:val="fr-FR"/>
              </w:rPr>
              <w:t>es</w:t>
            </w:r>
            <w:r w:rsidR="002C37A5" w:rsidRPr="00927778">
              <w:rPr>
                <w:color w:val="333333"/>
                <w:szCs w:val="22"/>
                <w:lang w:val="fr-FR"/>
              </w:rPr>
              <w:t xml:space="preserve"> en établissant des partenariats avec des organisations des secteurs privé et public et le milieu universitai</w:t>
            </w:r>
            <w:r w:rsidR="00306E74" w:rsidRPr="00927778">
              <w:rPr>
                <w:color w:val="333333"/>
                <w:szCs w:val="22"/>
                <w:lang w:val="fr-FR"/>
              </w:rPr>
              <w:t>re.  La</w:t>
            </w:r>
            <w:r w:rsidR="002C37A5" w:rsidRPr="00927778">
              <w:rPr>
                <w:color w:val="333333"/>
                <w:szCs w:val="22"/>
                <w:lang w:val="fr-FR"/>
              </w:rPr>
              <w:t xml:space="preserve"> mise en œuvre du projet comporte actuellement trois</w:t>
            </w:r>
            <w:r w:rsidR="0057466D" w:rsidRPr="00927778">
              <w:rPr>
                <w:color w:val="333333"/>
                <w:szCs w:val="22"/>
                <w:lang w:val="fr-FR"/>
              </w:rPr>
              <w:t> </w:t>
            </w:r>
            <w:r w:rsidR="002C37A5" w:rsidRPr="00927778">
              <w:rPr>
                <w:color w:val="333333"/>
                <w:szCs w:val="22"/>
                <w:lang w:val="fr-FR"/>
              </w:rPr>
              <w:t>facettes principales</w:t>
            </w:r>
            <w:r w:rsidR="00EA2C86" w:rsidRPr="00927778">
              <w:rPr>
                <w:color w:val="333333"/>
                <w:szCs w:val="22"/>
                <w:lang w:val="fr-FR"/>
              </w:rPr>
              <w:t> :</w:t>
            </w:r>
            <w:r w:rsidR="002C37A5" w:rsidRPr="00927778">
              <w:rPr>
                <w:color w:val="333333"/>
                <w:szCs w:val="22"/>
                <w:lang w:val="fr-FR"/>
              </w:rPr>
              <w:t xml:space="preserve"> </w:t>
            </w:r>
            <w:r w:rsidR="004044B7" w:rsidRPr="00927778">
              <w:rPr>
                <w:color w:val="333333"/>
                <w:szCs w:val="22"/>
                <w:lang w:val="fr-FR"/>
              </w:rPr>
              <w:br/>
            </w:r>
            <w:r w:rsidR="004044B7" w:rsidRPr="00927778">
              <w:rPr>
                <w:color w:val="333333"/>
                <w:szCs w:val="22"/>
                <w:lang w:val="fr-FR"/>
              </w:rPr>
              <w:br/>
              <w:t xml:space="preserve">a) </w:t>
            </w:r>
            <w:r w:rsidR="002C37A5" w:rsidRPr="00927778">
              <w:rPr>
                <w:color w:val="333333"/>
                <w:szCs w:val="22"/>
                <w:lang w:val="fr-FR"/>
              </w:rPr>
              <w:t xml:space="preserve">la </w:t>
            </w:r>
            <w:r w:rsidR="004044B7" w:rsidRPr="00927778">
              <w:rPr>
                <w:color w:val="333333"/>
                <w:szCs w:val="22"/>
                <w:lang w:val="fr-FR"/>
              </w:rPr>
              <w:t>coop</w:t>
            </w:r>
            <w:r w:rsidR="002C37A5" w:rsidRPr="00927778">
              <w:rPr>
                <w:color w:val="333333"/>
                <w:szCs w:val="22"/>
                <w:lang w:val="fr-FR"/>
              </w:rPr>
              <w:t>é</w:t>
            </w:r>
            <w:r w:rsidR="004044B7" w:rsidRPr="00927778">
              <w:rPr>
                <w:color w:val="333333"/>
                <w:szCs w:val="22"/>
                <w:lang w:val="fr-FR"/>
              </w:rPr>
              <w:t>ration</w:t>
            </w:r>
            <w:r w:rsidR="00CD2CCB" w:rsidRPr="00927778">
              <w:rPr>
                <w:color w:val="333333"/>
                <w:szCs w:val="22"/>
                <w:lang w:val="fr-FR"/>
              </w:rPr>
              <w:t xml:space="preserve"> </w:t>
            </w:r>
            <w:r w:rsidR="002C37A5" w:rsidRPr="00927778">
              <w:rPr>
                <w:color w:val="333333"/>
                <w:szCs w:val="22"/>
                <w:lang w:val="fr-FR"/>
              </w:rPr>
              <w:t>avec le Ministère du t</w:t>
            </w:r>
            <w:r w:rsidR="004044B7" w:rsidRPr="00927778">
              <w:rPr>
                <w:color w:val="333333"/>
                <w:szCs w:val="22"/>
                <w:lang w:val="fr-FR"/>
              </w:rPr>
              <w:t>ourism</w:t>
            </w:r>
            <w:r w:rsidR="002C37A5" w:rsidRPr="00927778">
              <w:rPr>
                <w:color w:val="333333"/>
                <w:szCs w:val="22"/>
                <w:lang w:val="fr-FR"/>
              </w:rPr>
              <w:t>e</w:t>
            </w:r>
            <w:r w:rsidR="004044B7" w:rsidRPr="00927778">
              <w:rPr>
                <w:color w:val="333333"/>
                <w:szCs w:val="22"/>
                <w:lang w:val="fr-FR"/>
              </w:rPr>
              <w:t xml:space="preserve"> (</w:t>
            </w:r>
            <w:r w:rsidR="00CD2CCB" w:rsidRPr="00927778">
              <w:rPr>
                <w:color w:val="333333"/>
                <w:szCs w:val="22"/>
                <w:lang w:val="fr-FR"/>
              </w:rPr>
              <w:t xml:space="preserve">visant </w:t>
            </w:r>
            <w:r w:rsidR="008D118B" w:rsidRPr="00927778">
              <w:rPr>
                <w:color w:val="333333"/>
                <w:szCs w:val="22"/>
                <w:lang w:val="fr-FR"/>
              </w:rPr>
              <w:t>à renforcer les</w:t>
            </w:r>
            <w:r w:rsidR="00CD2CCB" w:rsidRPr="00927778">
              <w:rPr>
                <w:color w:val="333333"/>
                <w:szCs w:val="22"/>
                <w:lang w:val="fr-FR"/>
              </w:rPr>
              <w:t xml:space="preserve"> capacités des autorités touristiques </w:t>
            </w:r>
            <w:r w:rsidR="00E333B1" w:rsidRPr="00927778">
              <w:rPr>
                <w:color w:val="333333"/>
                <w:szCs w:val="22"/>
                <w:lang w:val="fr-FR"/>
              </w:rPr>
              <w:t>en matière d</w:t>
            </w:r>
            <w:r w:rsidR="00EA2C86" w:rsidRPr="00927778">
              <w:rPr>
                <w:color w:val="333333"/>
                <w:szCs w:val="22"/>
                <w:lang w:val="fr-FR"/>
              </w:rPr>
              <w:t>’</w:t>
            </w:r>
            <w:r w:rsidR="00E333B1" w:rsidRPr="00927778">
              <w:rPr>
                <w:color w:val="333333"/>
                <w:szCs w:val="22"/>
                <w:lang w:val="fr-FR"/>
              </w:rPr>
              <w:t>utilisation des instruments de propriété intellectuelle pour promouvoir le tourisme)</w:t>
            </w:r>
            <w:r w:rsidR="0057466D" w:rsidRPr="00927778">
              <w:rPr>
                <w:color w:val="333333"/>
                <w:szCs w:val="22"/>
                <w:lang w:val="fr-FR"/>
              </w:rPr>
              <w:t xml:space="preserve">; </w:t>
            </w:r>
            <w:r w:rsidR="00E333B1" w:rsidRPr="00927778">
              <w:rPr>
                <w:color w:val="333333"/>
                <w:szCs w:val="22"/>
                <w:lang w:val="fr-FR"/>
              </w:rPr>
              <w:t xml:space="preserve"> </w:t>
            </w:r>
            <w:r w:rsidR="004044B7" w:rsidRPr="00927778">
              <w:rPr>
                <w:color w:val="333333"/>
                <w:szCs w:val="22"/>
                <w:lang w:val="fr-FR"/>
              </w:rPr>
              <w:br/>
            </w:r>
            <w:r w:rsidR="004044B7" w:rsidRPr="00927778">
              <w:rPr>
                <w:color w:val="333333"/>
                <w:szCs w:val="22"/>
                <w:lang w:val="fr-FR"/>
              </w:rPr>
              <w:br/>
              <w:t xml:space="preserve">b) </w:t>
            </w:r>
            <w:r w:rsidR="00E333B1" w:rsidRPr="00927778">
              <w:rPr>
                <w:color w:val="333333"/>
                <w:szCs w:val="22"/>
                <w:lang w:val="fr-FR"/>
              </w:rPr>
              <w:t>la coopé</w:t>
            </w:r>
            <w:r w:rsidR="004044B7" w:rsidRPr="00927778">
              <w:rPr>
                <w:color w:val="333333"/>
                <w:szCs w:val="22"/>
                <w:lang w:val="fr-FR"/>
              </w:rPr>
              <w:t xml:space="preserve">ration </w:t>
            </w:r>
            <w:r w:rsidR="00E333B1" w:rsidRPr="00927778">
              <w:rPr>
                <w:color w:val="333333"/>
                <w:szCs w:val="22"/>
                <w:lang w:val="fr-FR"/>
              </w:rPr>
              <w:t>avec les universités</w:t>
            </w:r>
            <w:r w:rsidR="004044B7" w:rsidRPr="00927778">
              <w:rPr>
                <w:color w:val="333333"/>
                <w:szCs w:val="22"/>
                <w:lang w:val="fr-FR"/>
              </w:rPr>
              <w:t xml:space="preserve"> (</w:t>
            </w:r>
            <w:r w:rsidR="00E333B1" w:rsidRPr="00927778">
              <w:rPr>
                <w:color w:val="333333"/>
                <w:szCs w:val="22"/>
                <w:lang w:val="fr-FR"/>
              </w:rPr>
              <w:t xml:space="preserve">visant à intégrer </w:t>
            </w:r>
            <w:r w:rsidR="00CB3330" w:rsidRPr="00927778">
              <w:rPr>
                <w:color w:val="333333"/>
                <w:szCs w:val="22"/>
                <w:lang w:val="fr-FR"/>
              </w:rPr>
              <w:t xml:space="preserve">dans les cursus universitaires </w:t>
            </w:r>
            <w:r w:rsidR="00E333B1" w:rsidRPr="00927778">
              <w:rPr>
                <w:color w:val="333333"/>
                <w:szCs w:val="22"/>
                <w:lang w:val="fr-FR"/>
              </w:rPr>
              <w:t>des cours portant sur la propriété intellectuelle dans le domaine du tourisme et de la protection du patrimoine culturel)</w:t>
            </w:r>
            <w:r w:rsidR="0057466D" w:rsidRPr="00927778">
              <w:rPr>
                <w:color w:val="333333"/>
                <w:szCs w:val="22"/>
                <w:lang w:val="fr-FR"/>
              </w:rPr>
              <w:t xml:space="preserve">; </w:t>
            </w:r>
            <w:r w:rsidR="00E333B1" w:rsidRPr="00927778">
              <w:rPr>
                <w:color w:val="333333"/>
                <w:szCs w:val="22"/>
                <w:lang w:val="fr-FR"/>
              </w:rPr>
              <w:t xml:space="preserve"> </w:t>
            </w:r>
            <w:r w:rsidR="004044B7" w:rsidRPr="00927778">
              <w:rPr>
                <w:color w:val="333333"/>
                <w:szCs w:val="22"/>
                <w:lang w:val="fr-FR"/>
              </w:rPr>
              <w:br/>
            </w:r>
          </w:p>
          <w:p w:rsidR="005E6718" w:rsidRPr="00927778" w:rsidRDefault="004044B7" w:rsidP="00D527E8">
            <w:pPr>
              <w:rPr>
                <w:color w:val="333333"/>
                <w:szCs w:val="22"/>
                <w:lang w:val="fr-FR"/>
              </w:rPr>
            </w:pPr>
            <w:r w:rsidRPr="00927778">
              <w:rPr>
                <w:color w:val="333333"/>
                <w:szCs w:val="22"/>
                <w:lang w:val="fr-FR"/>
              </w:rPr>
              <w:t xml:space="preserve">c) </w:t>
            </w:r>
            <w:r w:rsidR="00CB3330" w:rsidRPr="00927778">
              <w:rPr>
                <w:color w:val="333333"/>
                <w:szCs w:val="22"/>
                <w:lang w:val="fr-FR"/>
              </w:rPr>
              <w:t xml:space="preserve">et </w:t>
            </w:r>
            <w:r w:rsidR="00E333B1" w:rsidRPr="00927778">
              <w:rPr>
                <w:color w:val="333333"/>
                <w:szCs w:val="22"/>
                <w:lang w:val="fr-FR"/>
              </w:rPr>
              <w:t>la coopé</w:t>
            </w:r>
            <w:r w:rsidRPr="00927778">
              <w:rPr>
                <w:color w:val="333333"/>
                <w:szCs w:val="22"/>
                <w:lang w:val="fr-FR"/>
              </w:rPr>
              <w:t>ration</w:t>
            </w:r>
            <w:r w:rsidR="00E333B1" w:rsidRPr="00927778">
              <w:rPr>
                <w:color w:val="333333"/>
                <w:szCs w:val="22"/>
                <w:lang w:val="fr-FR"/>
              </w:rPr>
              <w:t xml:space="preserve"> avec le projet</w:t>
            </w:r>
            <w:r w:rsidRPr="00927778">
              <w:rPr>
                <w:color w:val="333333"/>
                <w:szCs w:val="22"/>
                <w:lang w:val="fr-FR"/>
              </w:rPr>
              <w:t xml:space="preserve"> </w:t>
            </w:r>
            <w:r w:rsidR="00E333B1" w:rsidRPr="00927778">
              <w:rPr>
                <w:color w:val="333333"/>
                <w:szCs w:val="22"/>
                <w:lang w:val="fr-FR"/>
              </w:rPr>
              <w:t xml:space="preserve">de </w:t>
            </w:r>
            <w:r w:rsidR="008B75B7" w:rsidRPr="00927778">
              <w:rPr>
                <w:color w:val="333333"/>
                <w:szCs w:val="22"/>
                <w:lang w:val="fr-FR"/>
              </w:rPr>
              <w:t>G</w:t>
            </w:r>
            <w:r w:rsidR="00E333B1" w:rsidRPr="00927778">
              <w:rPr>
                <w:color w:val="333333"/>
                <w:szCs w:val="22"/>
                <w:lang w:val="fr-FR"/>
              </w:rPr>
              <w:t xml:space="preserve">éoparc </w:t>
            </w:r>
            <w:r w:rsidRPr="00927778">
              <w:rPr>
                <w:color w:val="333333"/>
                <w:szCs w:val="22"/>
                <w:lang w:val="fr-FR"/>
              </w:rPr>
              <w:t>(</w:t>
            </w:r>
            <w:r w:rsidR="00E333B1" w:rsidRPr="00927778">
              <w:rPr>
                <w:color w:val="333333"/>
                <w:szCs w:val="22"/>
                <w:lang w:val="fr-FR"/>
              </w:rPr>
              <w:t>visant</w:t>
            </w:r>
            <w:r w:rsidR="008B75B7" w:rsidRPr="00927778">
              <w:rPr>
                <w:color w:val="333333"/>
                <w:szCs w:val="22"/>
                <w:lang w:val="fr-FR"/>
              </w:rPr>
              <w:t xml:space="preserve"> à promouvoir, au niveau provincial, l</w:t>
            </w:r>
            <w:r w:rsidR="00EA2C86" w:rsidRPr="00927778">
              <w:rPr>
                <w:color w:val="333333"/>
                <w:szCs w:val="22"/>
                <w:lang w:val="fr-FR"/>
              </w:rPr>
              <w:t>’</w:t>
            </w:r>
            <w:r w:rsidR="008B75B7" w:rsidRPr="00927778">
              <w:rPr>
                <w:color w:val="333333"/>
                <w:szCs w:val="22"/>
                <w:lang w:val="fr-FR"/>
              </w:rPr>
              <w:t>utilisation d</w:t>
            </w:r>
            <w:r w:rsidR="00EA2C86" w:rsidRPr="00927778">
              <w:rPr>
                <w:color w:val="333333"/>
                <w:szCs w:val="22"/>
                <w:lang w:val="fr-FR"/>
              </w:rPr>
              <w:t>’</w:t>
            </w:r>
            <w:r w:rsidR="008B75B7" w:rsidRPr="00927778">
              <w:rPr>
                <w:color w:val="333333"/>
                <w:szCs w:val="22"/>
                <w:lang w:val="fr-FR"/>
              </w:rPr>
              <w:t>instruments de propriété intellectuelle par les entreprises liées au tourisme dans le cadre du projet Géoparc mené par l</w:t>
            </w:r>
            <w:r w:rsidR="00EA2C86" w:rsidRPr="00927778">
              <w:rPr>
                <w:color w:val="333333"/>
                <w:szCs w:val="22"/>
                <w:lang w:val="fr-FR"/>
              </w:rPr>
              <w:t>’</w:t>
            </w:r>
            <w:r w:rsidR="008B75B7" w:rsidRPr="00927778">
              <w:rPr>
                <w:color w:val="333333"/>
                <w:szCs w:val="22"/>
                <w:lang w:val="fr-FR"/>
              </w:rPr>
              <w:t xml:space="preserve">UNESCO). </w:t>
            </w:r>
            <w:r w:rsidR="0057466D" w:rsidRPr="00927778">
              <w:rPr>
                <w:color w:val="333333"/>
                <w:szCs w:val="22"/>
                <w:lang w:val="fr-FR"/>
              </w:rPr>
              <w:t xml:space="preserve"> </w:t>
            </w:r>
          </w:p>
          <w:p w:rsidR="00306E74" w:rsidRPr="00927778" w:rsidRDefault="00306E74" w:rsidP="00D527E8">
            <w:pPr>
              <w:rPr>
                <w:color w:val="333333"/>
                <w:szCs w:val="22"/>
                <w:lang w:val="fr-FR"/>
              </w:rPr>
            </w:pPr>
          </w:p>
          <w:p w:rsidR="00EA2C86" w:rsidRPr="00927778" w:rsidRDefault="00520666" w:rsidP="00D527E8">
            <w:pPr>
              <w:rPr>
                <w:color w:val="333333"/>
                <w:szCs w:val="22"/>
                <w:lang w:val="fr-FR"/>
              </w:rPr>
            </w:pPr>
            <w:r w:rsidRPr="00927778">
              <w:rPr>
                <w:color w:val="333333"/>
                <w:szCs w:val="22"/>
                <w:lang w:val="fr-FR"/>
              </w:rPr>
              <w:t>L</w:t>
            </w:r>
            <w:r w:rsidR="00EA2C86" w:rsidRPr="00927778">
              <w:rPr>
                <w:color w:val="333333"/>
                <w:szCs w:val="22"/>
                <w:lang w:val="fr-FR"/>
              </w:rPr>
              <w:t>’</w:t>
            </w:r>
            <w:r w:rsidRPr="00927778">
              <w:rPr>
                <w:color w:val="333333"/>
                <w:szCs w:val="22"/>
                <w:lang w:val="fr-FR"/>
              </w:rPr>
              <w:t>OMPI,</w:t>
            </w:r>
            <w:r w:rsidR="00EA2C86" w:rsidRPr="00927778">
              <w:rPr>
                <w:color w:val="333333"/>
                <w:szCs w:val="22"/>
                <w:lang w:val="fr-FR"/>
              </w:rPr>
              <w:t xml:space="preserve"> le SEN</w:t>
            </w:r>
            <w:r w:rsidRPr="00927778">
              <w:rPr>
                <w:color w:val="333333"/>
                <w:szCs w:val="22"/>
                <w:lang w:val="fr-FR"/>
              </w:rPr>
              <w:t>ADI et les parties prenantes aux niveaux national et régional ont co</w:t>
            </w:r>
            <w:r w:rsidR="00E31428" w:rsidRPr="00927778">
              <w:rPr>
                <w:color w:val="333333"/>
                <w:szCs w:val="22"/>
                <w:lang w:val="fr-FR"/>
              </w:rPr>
              <w:t xml:space="preserve">njointement </w:t>
            </w:r>
            <w:r w:rsidR="00C111BE" w:rsidRPr="00927778">
              <w:rPr>
                <w:color w:val="333333"/>
                <w:szCs w:val="22"/>
                <w:lang w:val="fr-FR"/>
              </w:rPr>
              <w:t>organisé</w:t>
            </w:r>
            <w:r w:rsidR="00E31428" w:rsidRPr="00927778">
              <w:rPr>
                <w:color w:val="333333"/>
                <w:szCs w:val="22"/>
                <w:lang w:val="fr-FR"/>
              </w:rPr>
              <w:t xml:space="preserve"> trois</w:t>
            </w:r>
            <w:r w:rsidR="0057466D" w:rsidRPr="00927778">
              <w:rPr>
                <w:color w:val="333333"/>
                <w:szCs w:val="22"/>
                <w:lang w:val="fr-FR"/>
              </w:rPr>
              <w:t> </w:t>
            </w:r>
            <w:r w:rsidR="00E31428" w:rsidRPr="00927778">
              <w:rPr>
                <w:color w:val="333333"/>
                <w:szCs w:val="22"/>
                <w:lang w:val="fr-FR"/>
              </w:rPr>
              <w:t>atel</w:t>
            </w:r>
            <w:r w:rsidRPr="00927778">
              <w:rPr>
                <w:color w:val="333333"/>
                <w:szCs w:val="22"/>
                <w:lang w:val="fr-FR"/>
              </w:rPr>
              <w:t>i</w:t>
            </w:r>
            <w:r w:rsidR="00E31428" w:rsidRPr="00927778">
              <w:rPr>
                <w:color w:val="333333"/>
                <w:szCs w:val="22"/>
                <w:lang w:val="fr-FR"/>
              </w:rPr>
              <w:t>e</w:t>
            </w:r>
            <w:r w:rsidRPr="00927778">
              <w:rPr>
                <w:color w:val="333333"/>
                <w:szCs w:val="22"/>
                <w:lang w:val="fr-FR"/>
              </w:rPr>
              <w:t>rs de sensibilisati</w:t>
            </w:r>
            <w:r w:rsidR="00306E74" w:rsidRPr="00927778">
              <w:rPr>
                <w:color w:val="333333"/>
                <w:szCs w:val="22"/>
                <w:lang w:val="fr-FR"/>
              </w:rPr>
              <w:t>on.  En</w:t>
            </w:r>
            <w:r w:rsidRPr="00927778">
              <w:rPr>
                <w:color w:val="333333"/>
                <w:szCs w:val="22"/>
                <w:lang w:val="fr-FR"/>
              </w:rPr>
              <w:t xml:space="preserve"> outre,</w:t>
            </w:r>
            <w:r w:rsidR="00EA2C86" w:rsidRPr="00927778">
              <w:rPr>
                <w:color w:val="333333"/>
                <w:szCs w:val="22"/>
                <w:lang w:val="fr-FR"/>
              </w:rPr>
              <w:t xml:space="preserve"> le SEN</w:t>
            </w:r>
            <w:r w:rsidRPr="00927778">
              <w:rPr>
                <w:color w:val="333333"/>
                <w:szCs w:val="22"/>
                <w:lang w:val="fr-FR"/>
              </w:rPr>
              <w:t xml:space="preserve">ADI a mandaté des agents pour conseiller les petites et moyennes entreprises du secteur du tourisme sur </w:t>
            </w:r>
            <w:r w:rsidR="00AD2865" w:rsidRPr="00927778">
              <w:rPr>
                <w:color w:val="333333"/>
                <w:szCs w:val="22"/>
                <w:lang w:val="fr-FR"/>
              </w:rPr>
              <w:t>les services de propriété intellectuelle.</w:t>
            </w:r>
          </w:p>
          <w:p w:rsidR="005E6718" w:rsidRPr="00927778" w:rsidRDefault="005E6718" w:rsidP="00D527E8">
            <w:pPr>
              <w:rPr>
                <w:color w:val="333333"/>
                <w:szCs w:val="22"/>
                <w:u w:val="single"/>
                <w:lang w:val="fr-FR"/>
              </w:rPr>
            </w:pPr>
          </w:p>
          <w:p w:rsidR="005E6718" w:rsidRPr="00927778" w:rsidRDefault="002762E8" w:rsidP="00D527E8">
            <w:pPr>
              <w:ind w:left="34"/>
              <w:rPr>
                <w:color w:val="333333"/>
                <w:szCs w:val="22"/>
                <w:lang w:val="fr-FR"/>
              </w:rPr>
            </w:pPr>
            <w:r w:rsidRPr="00927778">
              <w:rPr>
                <w:color w:val="333333"/>
                <w:szCs w:val="22"/>
                <w:u w:val="single"/>
                <w:lang w:val="fr-FR"/>
              </w:rPr>
              <w:t>É</w:t>
            </w:r>
            <w:r w:rsidR="004044B7" w:rsidRPr="00927778">
              <w:rPr>
                <w:color w:val="333333"/>
                <w:szCs w:val="22"/>
                <w:u w:val="single"/>
                <w:lang w:val="fr-FR"/>
              </w:rPr>
              <w:t>gypt</w:t>
            </w:r>
            <w:r w:rsidRPr="00927778">
              <w:rPr>
                <w:color w:val="333333"/>
                <w:szCs w:val="22"/>
                <w:u w:val="single"/>
                <w:lang w:val="fr-FR"/>
              </w:rPr>
              <w:t>e</w:t>
            </w:r>
            <w:r w:rsidR="004044B7" w:rsidRPr="00927778">
              <w:rPr>
                <w:color w:val="333333"/>
                <w:szCs w:val="22"/>
                <w:u w:val="single"/>
                <w:lang w:val="fr-FR"/>
              </w:rPr>
              <w:br/>
            </w:r>
            <w:r w:rsidR="00F60C91" w:rsidRPr="00927778">
              <w:rPr>
                <w:color w:val="333333"/>
                <w:szCs w:val="22"/>
                <w:lang w:val="fr-FR"/>
              </w:rPr>
              <w:t>L</w:t>
            </w:r>
            <w:r w:rsidR="00EA2C86" w:rsidRPr="00927778">
              <w:rPr>
                <w:color w:val="333333"/>
                <w:szCs w:val="22"/>
                <w:lang w:val="fr-FR"/>
              </w:rPr>
              <w:t>’</w:t>
            </w:r>
            <w:r w:rsidR="00F60C91" w:rsidRPr="00927778">
              <w:rPr>
                <w:color w:val="333333"/>
                <w:szCs w:val="22"/>
                <w:lang w:val="fr-FR"/>
              </w:rPr>
              <w:t xml:space="preserve">étude nationale a été finalisée en </w:t>
            </w:r>
            <w:r w:rsidR="00EA2C86" w:rsidRPr="00927778">
              <w:rPr>
                <w:color w:val="333333"/>
                <w:szCs w:val="22"/>
                <w:lang w:val="fr-FR"/>
              </w:rPr>
              <w:t>avril 20</w:t>
            </w:r>
            <w:r w:rsidR="00F60C91" w:rsidRPr="00927778">
              <w:rPr>
                <w:color w:val="333333"/>
                <w:szCs w:val="22"/>
                <w:lang w:val="fr-FR"/>
              </w:rPr>
              <w:t xml:space="preserve">18 et son lancement officiel était prévu pour le dernier trimestre </w:t>
            </w:r>
            <w:r w:rsidR="00EA2C86" w:rsidRPr="00927778">
              <w:rPr>
                <w:color w:val="333333"/>
                <w:szCs w:val="22"/>
                <w:lang w:val="fr-FR"/>
              </w:rPr>
              <w:t>de 2018</w:t>
            </w:r>
            <w:r w:rsidR="00F60C91" w:rsidRPr="00927778">
              <w:rPr>
                <w:color w:val="333333"/>
                <w:szCs w:val="22"/>
                <w:lang w:val="fr-FR"/>
              </w:rPr>
              <w:t xml:space="preserve">. </w:t>
            </w:r>
            <w:r w:rsidR="0057466D" w:rsidRPr="00927778">
              <w:rPr>
                <w:color w:val="333333"/>
                <w:szCs w:val="22"/>
                <w:lang w:val="fr-FR"/>
              </w:rPr>
              <w:t xml:space="preserve"> </w:t>
            </w:r>
            <w:r w:rsidR="00F60C91" w:rsidRPr="00927778">
              <w:rPr>
                <w:color w:val="333333"/>
                <w:szCs w:val="22"/>
                <w:lang w:val="fr-FR"/>
              </w:rPr>
              <w:t xml:space="preserve">Un atelier a été organisé en </w:t>
            </w:r>
            <w:r w:rsidR="00EA2C86" w:rsidRPr="00927778">
              <w:rPr>
                <w:color w:val="333333"/>
                <w:szCs w:val="22"/>
                <w:lang w:val="fr-FR"/>
              </w:rPr>
              <w:t>mars 20</w:t>
            </w:r>
            <w:r w:rsidR="00F60C91" w:rsidRPr="00927778">
              <w:rPr>
                <w:color w:val="333333"/>
                <w:szCs w:val="22"/>
                <w:lang w:val="fr-FR"/>
              </w:rPr>
              <w:t xml:space="preserve">18 afin </w:t>
            </w:r>
            <w:r w:rsidR="00940B8C" w:rsidRPr="00927778">
              <w:rPr>
                <w:color w:val="333333"/>
                <w:szCs w:val="22"/>
                <w:lang w:val="fr-FR"/>
              </w:rPr>
              <w:t xml:space="preserve">de </w:t>
            </w:r>
            <w:r w:rsidR="00F60C91" w:rsidRPr="00927778">
              <w:rPr>
                <w:color w:val="333333"/>
                <w:szCs w:val="22"/>
                <w:lang w:val="fr-FR"/>
              </w:rPr>
              <w:t>porter à la connaissance des membres du Comité directeur les conclusions et recommandations issues de l</w:t>
            </w:r>
            <w:r w:rsidR="00EA2C86" w:rsidRPr="00927778">
              <w:rPr>
                <w:color w:val="333333"/>
                <w:szCs w:val="22"/>
                <w:lang w:val="fr-FR"/>
              </w:rPr>
              <w:t>’</w:t>
            </w:r>
            <w:r w:rsidR="00F60C91" w:rsidRPr="00927778">
              <w:rPr>
                <w:color w:val="333333"/>
                <w:szCs w:val="22"/>
                <w:lang w:val="fr-FR"/>
              </w:rPr>
              <w:t>étude nationa</w:t>
            </w:r>
            <w:r w:rsidR="00306E74" w:rsidRPr="00927778">
              <w:rPr>
                <w:color w:val="333333"/>
                <w:szCs w:val="22"/>
                <w:lang w:val="fr-FR"/>
              </w:rPr>
              <w:t>le.  La</w:t>
            </w:r>
            <w:r w:rsidR="00F60C91" w:rsidRPr="00927778">
              <w:rPr>
                <w:color w:val="333333"/>
                <w:szCs w:val="22"/>
                <w:lang w:val="fr-FR"/>
              </w:rPr>
              <w:t xml:space="preserve"> mobilisation des parties prenantes sélectionnées a été renforcée grâce à des visites ad</w:t>
            </w:r>
            <w:r w:rsidR="0057466D" w:rsidRPr="00927778">
              <w:rPr>
                <w:color w:val="333333"/>
                <w:szCs w:val="22"/>
                <w:lang w:val="fr-FR"/>
              </w:rPr>
              <w:t> </w:t>
            </w:r>
            <w:r w:rsidR="00F60C91" w:rsidRPr="00927778">
              <w:rPr>
                <w:color w:val="333333"/>
                <w:szCs w:val="22"/>
                <w:lang w:val="fr-FR"/>
              </w:rPr>
              <w:t>hoc sur le terrain</w:t>
            </w:r>
            <w:r w:rsidR="004044B7" w:rsidRPr="00927778">
              <w:rPr>
                <w:color w:val="333333"/>
                <w:szCs w:val="22"/>
                <w:lang w:val="fr-FR"/>
              </w:rPr>
              <w:t>.</w:t>
            </w:r>
          </w:p>
          <w:p w:rsidR="00306E74" w:rsidRPr="00927778" w:rsidRDefault="00306E74" w:rsidP="00D527E8">
            <w:pPr>
              <w:ind w:left="34"/>
              <w:rPr>
                <w:color w:val="333333"/>
                <w:szCs w:val="22"/>
                <w:lang w:val="fr-FR"/>
              </w:rPr>
            </w:pPr>
          </w:p>
          <w:p w:rsidR="005E6718" w:rsidRPr="00927778" w:rsidRDefault="00792641" w:rsidP="00D527E8">
            <w:pPr>
              <w:rPr>
                <w:color w:val="333333"/>
                <w:szCs w:val="22"/>
                <w:lang w:val="fr-FR"/>
              </w:rPr>
            </w:pPr>
            <w:r w:rsidRPr="00927778">
              <w:rPr>
                <w:color w:val="333333"/>
                <w:szCs w:val="22"/>
                <w:u w:val="single"/>
                <w:lang w:val="fr-FR"/>
              </w:rPr>
              <w:t>Namibie</w:t>
            </w:r>
            <w:r w:rsidR="004044B7" w:rsidRPr="00927778">
              <w:rPr>
                <w:color w:val="333333"/>
                <w:szCs w:val="22"/>
                <w:u w:val="single"/>
                <w:lang w:val="fr-FR"/>
              </w:rPr>
              <w:br/>
            </w:r>
            <w:r w:rsidRPr="00927778">
              <w:rPr>
                <w:color w:val="333333"/>
                <w:szCs w:val="22"/>
                <w:lang w:val="fr-FR"/>
              </w:rPr>
              <w:t>L</w:t>
            </w:r>
            <w:r w:rsidR="00EA2C86" w:rsidRPr="00927778">
              <w:rPr>
                <w:color w:val="333333"/>
                <w:szCs w:val="22"/>
                <w:lang w:val="fr-FR"/>
              </w:rPr>
              <w:t>’</w:t>
            </w:r>
            <w:r w:rsidRPr="00927778">
              <w:rPr>
                <w:color w:val="333333"/>
                <w:szCs w:val="22"/>
                <w:lang w:val="fr-FR"/>
              </w:rPr>
              <w:t>étude nationale a été officiellement lancée au cours d</w:t>
            </w:r>
            <w:r w:rsidR="00EA2C86" w:rsidRPr="00927778">
              <w:rPr>
                <w:color w:val="333333"/>
                <w:szCs w:val="22"/>
                <w:lang w:val="fr-FR"/>
              </w:rPr>
              <w:t>’</w:t>
            </w:r>
            <w:r w:rsidRPr="00927778">
              <w:rPr>
                <w:color w:val="333333"/>
                <w:szCs w:val="22"/>
                <w:lang w:val="fr-FR"/>
              </w:rPr>
              <w:t>un atelier</w:t>
            </w:r>
            <w:r w:rsidR="00245D46" w:rsidRPr="00927778">
              <w:rPr>
                <w:color w:val="333333"/>
                <w:szCs w:val="22"/>
                <w:lang w:val="fr-FR"/>
              </w:rPr>
              <w:t xml:space="preserve"> national </w:t>
            </w:r>
            <w:r w:rsidR="00940B8C" w:rsidRPr="00927778">
              <w:rPr>
                <w:color w:val="333333"/>
                <w:szCs w:val="22"/>
                <w:lang w:val="fr-FR"/>
              </w:rPr>
              <w:t>réunissant les</w:t>
            </w:r>
            <w:r w:rsidR="00245D46" w:rsidRPr="00927778">
              <w:rPr>
                <w:color w:val="333333"/>
                <w:szCs w:val="22"/>
                <w:lang w:val="fr-FR"/>
              </w:rPr>
              <w:t xml:space="preserve"> décideurs politiques en </w:t>
            </w:r>
            <w:r w:rsidR="00EA2C86" w:rsidRPr="00927778">
              <w:rPr>
                <w:color w:val="333333"/>
                <w:szCs w:val="22"/>
                <w:lang w:val="fr-FR"/>
              </w:rPr>
              <w:t>février 20</w:t>
            </w:r>
            <w:r w:rsidR="00245D46" w:rsidRPr="00927778">
              <w:rPr>
                <w:color w:val="333333"/>
                <w:szCs w:val="22"/>
                <w:lang w:val="fr-FR"/>
              </w:rPr>
              <w:t>18 qui a donné lieu à une série de recommandations pratiqu</w:t>
            </w:r>
            <w:r w:rsidR="00306E74" w:rsidRPr="00927778">
              <w:rPr>
                <w:color w:val="333333"/>
                <w:szCs w:val="22"/>
                <w:lang w:val="fr-FR"/>
              </w:rPr>
              <w:t>es.  En</w:t>
            </w:r>
            <w:r w:rsidR="00245D46" w:rsidRPr="00927778">
              <w:rPr>
                <w:color w:val="333333"/>
                <w:szCs w:val="22"/>
                <w:lang w:val="fr-FR"/>
              </w:rPr>
              <w:t xml:space="preserve"> raison de </w:t>
            </w:r>
            <w:r w:rsidR="0041334A" w:rsidRPr="00927778">
              <w:rPr>
                <w:color w:val="333333"/>
                <w:szCs w:val="22"/>
                <w:lang w:val="fr-FR"/>
              </w:rPr>
              <w:t>changements</w:t>
            </w:r>
            <w:r w:rsidR="00245D46" w:rsidRPr="00927778">
              <w:rPr>
                <w:color w:val="333333"/>
                <w:szCs w:val="22"/>
                <w:lang w:val="fr-FR"/>
              </w:rPr>
              <w:t xml:space="preserve"> internes </w:t>
            </w:r>
            <w:r w:rsidR="00940B8C" w:rsidRPr="00927778">
              <w:rPr>
                <w:color w:val="333333"/>
                <w:szCs w:val="22"/>
                <w:lang w:val="fr-FR"/>
              </w:rPr>
              <w:t>d</w:t>
            </w:r>
            <w:r w:rsidR="00C74B8B" w:rsidRPr="00927778">
              <w:rPr>
                <w:color w:val="333333"/>
                <w:szCs w:val="22"/>
                <w:lang w:val="fr-FR"/>
              </w:rPr>
              <w:t>ans</w:t>
            </w:r>
            <w:r w:rsidR="00245D46" w:rsidRPr="00927778">
              <w:rPr>
                <w:color w:val="333333"/>
                <w:szCs w:val="22"/>
                <w:lang w:val="fr-FR"/>
              </w:rPr>
              <w:t xml:space="preserve"> l</w:t>
            </w:r>
            <w:r w:rsidR="00EA2C86" w:rsidRPr="00927778">
              <w:rPr>
                <w:color w:val="333333"/>
                <w:szCs w:val="22"/>
                <w:lang w:val="fr-FR"/>
              </w:rPr>
              <w:t>’</w:t>
            </w:r>
            <w:r w:rsidR="00245D46" w:rsidRPr="00927778">
              <w:rPr>
                <w:color w:val="333333"/>
                <w:szCs w:val="22"/>
                <w:lang w:val="fr-FR"/>
              </w:rPr>
              <w:t>agence pilote, l</w:t>
            </w:r>
            <w:r w:rsidR="00EA2C86" w:rsidRPr="00927778">
              <w:rPr>
                <w:color w:val="333333"/>
                <w:szCs w:val="22"/>
                <w:lang w:val="fr-FR"/>
              </w:rPr>
              <w:t>’</w:t>
            </w:r>
            <w:r w:rsidR="00245D46" w:rsidRPr="00927778">
              <w:rPr>
                <w:color w:val="333333"/>
                <w:szCs w:val="22"/>
                <w:lang w:val="fr-FR"/>
              </w:rPr>
              <w:t xml:space="preserve">application de ces </w:t>
            </w:r>
            <w:r w:rsidR="00C111BE" w:rsidRPr="00927778">
              <w:rPr>
                <w:color w:val="333333"/>
                <w:szCs w:val="22"/>
                <w:lang w:val="fr-FR"/>
              </w:rPr>
              <w:t>recommandations</w:t>
            </w:r>
            <w:r w:rsidR="00245D46" w:rsidRPr="00927778">
              <w:rPr>
                <w:color w:val="333333"/>
                <w:szCs w:val="22"/>
                <w:lang w:val="fr-FR"/>
              </w:rPr>
              <w:t xml:space="preserve"> doit encore être abordée avec la nouvelle direction</w:t>
            </w:r>
            <w:r w:rsidR="00940B8C" w:rsidRPr="00927778">
              <w:rPr>
                <w:color w:val="333333"/>
                <w:szCs w:val="22"/>
                <w:lang w:val="fr-FR"/>
              </w:rPr>
              <w:t xml:space="preserve"> en charge</w:t>
            </w:r>
            <w:r w:rsidR="00245D46" w:rsidRPr="00927778">
              <w:rPr>
                <w:color w:val="333333"/>
                <w:szCs w:val="22"/>
                <w:lang w:val="fr-FR"/>
              </w:rPr>
              <w:t xml:space="preserve"> du projet au cours du dernier trimestre </w:t>
            </w:r>
            <w:r w:rsidR="00EA2C86" w:rsidRPr="00927778">
              <w:rPr>
                <w:color w:val="333333"/>
                <w:szCs w:val="22"/>
                <w:lang w:val="fr-FR"/>
              </w:rPr>
              <w:t>de 2018</w:t>
            </w:r>
            <w:r w:rsidR="004044B7" w:rsidRPr="00927778">
              <w:rPr>
                <w:color w:val="333333"/>
                <w:szCs w:val="22"/>
                <w:lang w:val="fr-FR"/>
              </w:rPr>
              <w:t>.</w:t>
            </w:r>
            <w:r w:rsidR="004044B7" w:rsidRPr="00927778">
              <w:rPr>
                <w:color w:val="333333"/>
                <w:szCs w:val="22"/>
                <w:lang w:val="fr-FR"/>
              </w:rPr>
              <w:br/>
            </w:r>
          </w:p>
          <w:p w:rsidR="005E6718" w:rsidRPr="00927778" w:rsidRDefault="00EC684F" w:rsidP="00EC684F">
            <w:pPr>
              <w:rPr>
                <w:rFonts w:eastAsia="SimSun"/>
                <w:bCs/>
                <w:color w:val="333333"/>
                <w:szCs w:val="26"/>
                <w:u w:val="single"/>
                <w:lang w:val="fr-FR"/>
              </w:rPr>
            </w:pPr>
            <w:r w:rsidRPr="00927778">
              <w:rPr>
                <w:rFonts w:eastAsia="SimSun"/>
                <w:bCs/>
                <w:color w:val="333333"/>
                <w:szCs w:val="26"/>
                <w:u w:val="single"/>
                <w:lang w:val="fr-FR"/>
              </w:rPr>
              <w:t>Sri</w:t>
            </w:r>
            <w:r w:rsidR="0057466D" w:rsidRPr="00927778">
              <w:rPr>
                <w:rFonts w:eastAsia="SimSun"/>
                <w:bCs/>
                <w:color w:val="333333"/>
                <w:szCs w:val="26"/>
                <w:u w:val="single"/>
                <w:lang w:val="fr-FR"/>
              </w:rPr>
              <w:t> </w:t>
            </w:r>
            <w:r w:rsidRPr="00927778">
              <w:rPr>
                <w:rFonts w:eastAsia="SimSun"/>
                <w:bCs/>
                <w:color w:val="333333"/>
                <w:szCs w:val="26"/>
                <w:u w:val="single"/>
                <w:lang w:val="fr-FR"/>
              </w:rPr>
              <w:t>Lanka</w:t>
            </w:r>
          </w:p>
          <w:p w:rsidR="00EA2C86" w:rsidRPr="00927778" w:rsidRDefault="005D78FB" w:rsidP="00D527E8">
            <w:pPr>
              <w:rPr>
                <w:color w:val="333333"/>
                <w:szCs w:val="22"/>
                <w:lang w:val="fr-FR"/>
              </w:rPr>
            </w:pPr>
            <w:r w:rsidRPr="00927778">
              <w:rPr>
                <w:color w:val="333333"/>
                <w:szCs w:val="22"/>
                <w:lang w:val="fr-FR"/>
              </w:rPr>
              <w:t>L</w:t>
            </w:r>
            <w:r w:rsidR="00EA2C86" w:rsidRPr="00927778">
              <w:rPr>
                <w:color w:val="333333"/>
                <w:szCs w:val="22"/>
                <w:lang w:val="fr-FR"/>
              </w:rPr>
              <w:t>’</w:t>
            </w:r>
            <w:r w:rsidRPr="00927778">
              <w:rPr>
                <w:color w:val="333333"/>
                <w:szCs w:val="22"/>
                <w:lang w:val="fr-FR"/>
              </w:rPr>
              <w:t xml:space="preserve">étude nationale a été publiée et lancée officiellement en </w:t>
            </w:r>
            <w:r w:rsidR="00EA2C86" w:rsidRPr="00927778">
              <w:rPr>
                <w:color w:val="333333"/>
                <w:szCs w:val="22"/>
                <w:lang w:val="fr-FR"/>
              </w:rPr>
              <w:t>novembre 20</w:t>
            </w:r>
            <w:r w:rsidRPr="00927778">
              <w:rPr>
                <w:color w:val="333333"/>
                <w:szCs w:val="22"/>
                <w:lang w:val="fr-FR"/>
              </w:rPr>
              <w:t>17 lors d</w:t>
            </w:r>
            <w:r w:rsidR="00EA2C86" w:rsidRPr="00927778">
              <w:rPr>
                <w:color w:val="333333"/>
                <w:szCs w:val="22"/>
                <w:lang w:val="fr-FR"/>
              </w:rPr>
              <w:t>’</w:t>
            </w:r>
            <w:r w:rsidRPr="00927778">
              <w:rPr>
                <w:color w:val="333333"/>
                <w:szCs w:val="22"/>
                <w:lang w:val="fr-FR"/>
              </w:rPr>
              <w:t xml:space="preserve">un séminaire national </w:t>
            </w:r>
            <w:r w:rsidR="004C2728" w:rsidRPr="00927778">
              <w:rPr>
                <w:color w:val="333333"/>
                <w:szCs w:val="22"/>
                <w:lang w:val="fr-FR"/>
              </w:rPr>
              <w:t>rassemblant</w:t>
            </w:r>
            <w:r w:rsidRPr="00927778">
              <w:rPr>
                <w:color w:val="333333"/>
                <w:szCs w:val="22"/>
                <w:lang w:val="fr-FR"/>
              </w:rPr>
              <w:t xml:space="preserve"> des acteurs du tourisme et des décideurs politiqu</w:t>
            </w:r>
            <w:r w:rsidR="00306E74" w:rsidRPr="00927778">
              <w:rPr>
                <w:color w:val="333333"/>
                <w:szCs w:val="22"/>
                <w:lang w:val="fr-FR"/>
              </w:rPr>
              <w:t>es.  En</w:t>
            </w:r>
            <w:r w:rsidRPr="00927778">
              <w:rPr>
                <w:color w:val="333333"/>
                <w:szCs w:val="22"/>
                <w:lang w:val="fr-FR"/>
              </w:rPr>
              <w:t xml:space="preserve"> raison de </w:t>
            </w:r>
            <w:r w:rsidR="0041334A" w:rsidRPr="00927778">
              <w:rPr>
                <w:color w:val="333333"/>
                <w:szCs w:val="22"/>
                <w:lang w:val="fr-FR"/>
              </w:rPr>
              <w:t>changements</w:t>
            </w:r>
            <w:r w:rsidR="00714BF4" w:rsidRPr="00927778">
              <w:rPr>
                <w:color w:val="333333"/>
                <w:szCs w:val="22"/>
                <w:lang w:val="fr-FR"/>
              </w:rPr>
              <w:t xml:space="preserve"> internes d</w:t>
            </w:r>
            <w:r w:rsidR="00C74B8B" w:rsidRPr="00927778">
              <w:rPr>
                <w:color w:val="333333"/>
                <w:szCs w:val="22"/>
                <w:lang w:val="fr-FR"/>
              </w:rPr>
              <w:t>ans</w:t>
            </w:r>
            <w:r w:rsidRPr="00927778">
              <w:rPr>
                <w:color w:val="333333"/>
                <w:szCs w:val="22"/>
                <w:lang w:val="fr-FR"/>
              </w:rPr>
              <w:t xml:space="preserve"> l</w:t>
            </w:r>
            <w:r w:rsidR="00EA2C86" w:rsidRPr="00927778">
              <w:rPr>
                <w:color w:val="333333"/>
                <w:szCs w:val="22"/>
                <w:lang w:val="fr-FR"/>
              </w:rPr>
              <w:t>’</w:t>
            </w:r>
            <w:r w:rsidRPr="00927778">
              <w:rPr>
                <w:color w:val="333333"/>
                <w:szCs w:val="22"/>
                <w:lang w:val="fr-FR"/>
              </w:rPr>
              <w:t>agence pilote, l</w:t>
            </w:r>
            <w:r w:rsidR="00EA2C86" w:rsidRPr="00927778">
              <w:rPr>
                <w:color w:val="333333"/>
                <w:szCs w:val="22"/>
                <w:lang w:val="fr-FR"/>
              </w:rPr>
              <w:t>’</w:t>
            </w:r>
            <w:r w:rsidRPr="00927778">
              <w:rPr>
                <w:color w:val="333333"/>
                <w:szCs w:val="22"/>
                <w:lang w:val="fr-FR"/>
              </w:rPr>
              <w:t xml:space="preserve">application des recommandations issues de ce séminaire a été repoussée et doit encore être abordée avec la nouvelle direction </w:t>
            </w:r>
            <w:r w:rsidR="004C2728" w:rsidRPr="00927778">
              <w:rPr>
                <w:color w:val="333333"/>
                <w:szCs w:val="22"/>
                <w:lang w:val="fr-FR"/>
              </w:rPr>
              <w:t xml:space="preserve">en charge </w:t>
            </w:r>
            <w:r w:rsidRPr="00927778">
              <w:rPr>
                <w:color w:val="333333"/>
                <w:szCs w:val="22"/>
                <w:lang w:val="fr-FR"/>
              </w:rPr>
              <w:t xml:space="preserve">du projet au cours du dernier trimestre </w:t>
            </w:r>
            <w:r w:rsidR="00EA2C86" w:rsidRPr="00927778">
              <w:rPr>
                <w:color w:val="333333"/>
                <w:szCs w:val="22"/>
                <w:lang w:val="fr-FR"/>
              </w:rPr>
              <w:t>de 2018</w:t>
            </w:r>
            <w:r w:rsidRPr="00927778">
              <w:rPr>
                <w:color w:val="333333"/>
                <w:szCs w:val="22"/>
                <w:lang w:val="fr-FR"/>
              </w:rPr>
              <w:t>.</w:t>
            </w:r>
          </w:p>
          <w:p w:rsidR="005E6718" w:rsidRPr="00927778" w:rsidRDefault="005E6718" w:rsidP="00D527E8">
            <w:pPr>
              <w:rPr>
                <w:color w:val="333333"/>
                <w:szCs w:val="22"/>
                <w:lang w:val="fr-FR"/>
              </w:rPr>
            </w:pPr>
          </w:p>
          <w:p w:rsidR="00EA2C86" w:rsidRPr="00927778" w:rsidRDefault="00FF3FC8" w:rsidP="004040CE">
            <w:pPr>
              <w:rPr>
                <w:color w:val="333333"/>
                <w:szCs w:val="22"/>
                <w:lang w:val="fr-FR"/>
              </w:rPr>
            </w:pPr>
            <w:r w:rsidRPr="00927778">
              <w:rPr>
                <w:color w:val="333333"/>
                <w:szCs w:val="22"/>
                <w:lang w:val="fr-FR"/>
              </w:rPr>
              <w:t>En outre, au cours de la période considérée</w:t>
            </w:r>
            <w:r w:rsidR="00CF7344" w:rsidRPr="00927778">
              <w:rPr>
                <w:color w:val="333333"/>
                <w:szCs w:val="22"/>
                <w:lang w:val="fr-FR"/>
              </w:rPr>
              <w:t xml:space="preserve"> dans le présent rapport</w:t>
            </w:r>
            <w:r w:rsidRPr="00927778">
              <w:rPr>
                <w:color w:val="333333"/>
                <w:szCs w:val="22"/>
                <w:lang w:val="fr-FR"/>
              </w:rPr>
              <w:t>, des efforts spécifiques ont été menés afin de favoriser l</w:t>
            </w:r>
            <w:r w:rsidR="00EA2C86" w:rsidRPr="00927778">
              <w:rPr>
                <w:color w:val="333333"/>
                <w:szCs w:val="22"/>
                <w:lang w:val="fr-FR"/>
              </w:rPr>
              <w:t>’</w:t>
            </w:r>
            <w:r w:rsidRPr="00927778">
              <w:rPr>
                <w:color w:val="333333"/>
                <w:szCs w:val="22"/>
                <w:lang w:val="fr-FR"/>
              </w:rPr>
              <w:t xml:space="preserve">élaboration de </w:t>
            </w:r>
            <w:r w:rsidR="00032742" w:rsidRPr="00927778">
              <w:rPr>
                <w:color w:val="333333"/>
                <w:szCs w:val="22"/>
                <w:lang w:val="fr-FR"/>
              </w:rPr>
              <w:t>supports d</w:t>
            </w:r>
            <w:r w:rsidR="00EA2C86" w:rsidRPr="00927778">
              <w:rPr>
                <w:color w:val="333333"/>
                <w:szCs w:val="22"/>
                <w:lang w:val="fr-FR"/>
              </w:rPr>
              <w:t>’</w:t>
            </w:r>
            <w:r w:rsidR="00032742" w:rsidRPr="00927778">
              <w:rPr>
                <w:color w:val="333333"/>
                <w:szCs w:val="22"/>
                <w:lang w:val="fr-FR"/>
              </w:rPr>
              <w:t>enseignement devant être adoptés dans une sélection d</w:t>
            </w:r>
            <w:r w:rsidR="00EA2C86" w:rsidRPr="00927778">
              <w:rPr>
                <w:color w:val="333333"/>
                <w:szCs w:val="22"/>
                <w:lang w:val="fr-FR"/>
              </w:rPr>
              <w:t>’</w:t>
            </w:r>
            <w:r w:rsidR="00032742" w:rsidRPr="00927778">
              <w:rPr>
                <w:color w:val="333333"/>
                <w:szCs w:val="22"/>
                <w:lang w:val="fr-FR"/>
              </w:rPr>
              <w:t>écoles de tourisme national</w:t>
            </w:r>
            <w:r w:rsidR="00306E74" w:rsidRPr="00927778">
              <w:rPr>
                <w:color w:val="333333"/>
                <w:szCs w:val="22"/>
                <w:lang w:val="fr-FR"/>
              </w:rPr>
              <w:t>es.  Tr</w:t>
            </w:r>
            <w:r w:rsidR="007D394C" w:rsidRPr="00927778">
              <w:rPr>
                <w:color w:val="333333"/>
                <w:szCs w:val="22"/>
                <w:lang w:val="fr-FR"/>
              </w:rPr>
              <w:t>ois</w:t>
            </w:r>
            <w:r w:rsidR="0057466D" w:rsidRPr="00927778">
              <w:rPr>
                <w:color w:val="333333"/>
                <w:szCs w:val="22"/>
                <w:lang w:val="fr-FR"/>
              </w:rPr>
              <w:t> </w:t>
            </w:r>
            <w:r w:rsidR="00CF7344" w:rsidRPr="00927778">
              <w:rPr>
                <w:color w:val="333333"/>
                <w:szCs w:val="22"/>
                <w:lang w:val="fr-FR"/>
              </w:rPr>
              <w:t>séries différentes</w:t>
            </w:r>
            <w:r w:rsidR="007D394C" w:rsidRPr="00927778">
              <w:rPr>
                <w:color w:val="333333"/>
                <w:szCs w:val="22"/>
                <w:lang w:val="fr-FR"/>
              </w:rPr>
              <w:t xml:space="preserve"> de supports d</w:t>
            </w:r>
            <w:r w:rsidR="00EA2C86" w:rsidRPr="00927778">
              <w:rPr>
                <w:color w:val="333333"/>
                <w:szCs w:val="22"/>
                <w:lang w:val="fr-FR"/>
              </w:rPr>
              <w:t>’</w:t>
            </w:r>
            <w:r w:rsidR="007D394C" w:rsidRPr="00927778">
              <w:rPr>
                <w:color w:val="333333"/>
                <w:szCs w:val="22"/>
                <w:lang w:val="fr-FR"/>
              </w:rPr>
              <w:t>enseignement sont actuellement élaboré</w:t>
            </w:r>
            <w:r w:rsidR="00CF7344" w:rsidRPr="00927778">
              <w:rPr>
                <w:color w:val="333333"/>
                <w:szCs w:val="22"/>
                <w:lang w:val="fr-FR"/>
              </w:rPr>
              <w:t>e</w:t>
            </w:r>
            <w:r w:rsidR="007D394C" w:rsidRPr="00927778">
              <w:rPr>
                <w:color w:val="333333"/>
                <w:szCs w:val="22"/>
                <w:lang w:val="fr-FR"/>
              </w:rPr>
              <w:t>s par des consultants nationaux en Équateur, en Namibie et à Sri</w:t>
            </w:r>
            <w:r w:rsidR="0057466D" w:rsidRPr="00927778">
              <w:rPr>
                <w:color w:val="333333"/>
                <w:szCs w:val="22"/>
                <w:lang w:val="fr-FR"/>
              </w:rPr>
              <w:t> </w:t>
            </w:r>
            <w:r w:rsidR="007D394C" w:rsidRPr="00927778">
              <w:rPr>
                <w:color w:val="333333"/>
                <w:szCs w:val="22"/>
                <w:lang w:val="fr-FR"/>
              </w:rPr>
              <w:t xml:space="preserve">Lanka et des négociations </w:t>
            </w:r>
            <w:r w:rsidR="00577B98" w:rsidRPr="00927778">
              <w:rPr>
                <w:color w:val="333333"/>
                <w:szCs w:val="22"/>
                <w:lang w:val="fr-FR"/>
              </w:rPr>
              <w:t>se poursuivent</w:t>
            </w:r>
            <w:r w:rsidR="004044B7" w:rsidRPr="00927778">
              <w:rPr>
                <w:color w:val="333333"/>
                <w:szCs w:val="22"/>
                <w:lang w:val="fr-FR"/>
              </w:rPr>
              <w:t xml:space="preserve"> </w:t>
            </w:r>
            <w:r w:rsidR="007D394C" w:rsidRPr="00927778">
              <w:rPr>
                <w:color w:val="333333"/>
                <w:szCs w:val="22"/>
                <w:lang w:val="fr-FR"/>
              </w:rPr>
              <w:t>afin d</w:t>
            </w:r>
            <w:r w:rsidR="00EA2C86" w:rsidRPr="00927778">
              <w:rPr>
                <w:color w:val="333333"/>
                <w:szCs w:val="22"/>
                <w:lang w:val="fr-FR"/>
              </w:rPr>
              <w:t>’</w:t>
            </w:r>
            <w:r w:rsidR="007D394C" w:rsidRPr="00927778">
              <w:rPr>
                <w:color w:val="333333"/>
                <w:szCs w:val="22"/>
                <w:lang w:val="fr-FR"/>
              </w:rPr>
              <w:t>intégrer des cours</w:t>
            </w:r>
            <w:r w:rsidR="004044B7" w:rsidRPr="00927778">
              <w:rPr>
                <w:color w:val="333333"/>
                <w:szCs w:val="22"/>
                <w:lang w:val="fr-FR"/>
              </w:rPr>
              <w:t xml:space="preserve"> </w:t>
            </w:r>
            <w:r w:rsidR="007D394C" w:rsidRPr="00927778">
              <w:rPr>
                <w:color w:val="333333"/>
                <w:szCs w:val="22"/>
                <w:lang w:val="fr-FR"/>
              </w:rPr>
              <w:t xml:space="preserve">sur la propriété intellectuelle et le tourisme dans les cursus respectifs de </w:t>
            </w:r>
            <w:r w:rsidR="00134CB2" w:rsidRPr="00927778">
              <w:rPr>
                <w:color w:val="333333"/>
                <w:szCs w:val="22"/>
                <w:lang w:val="fr-FR"/>
              </w:rPr>
              <w:t>l</w:t>
            </w:r>
            <w:r w:rsidR="00EA2C86" w:rsidRPr="00927778">
              <w:rPr>
                <w:color w:val="333333"/>
                <w:szCs w:val="22"/>
                <w:lang w:val="fr-FR"/>
              </w:rPr>
              <w:t>’</w:t>
            </w:r>
            <w:r w:rsidR="004044B7" w:rsidRPr="00927778">
              <w:rPr>
                <w:i/>
                <w:color w:val="333333"/>
                <w:szCs w:val="22"/>
                <w:lang w:val="fr-FR"/>
              </w:rPr>
              <w:t xml:space="preserve">Universidad de las Fuerzas Armadas (ESPE, </w:t>
            </w:r>
            <w:r w:rsidR="00134CB2" w:rsidRPr="00927778">
              <w:rPr>
                <w:color w:val="333333"/>
                <w:szCs w:val="22"/>
                <w:lang w:val="fr-FR"/>
              </w:rPr>
              <w:t>Équateur</w:t>
            </w:r>
            <w:r w:rsidR="004044B7" w:rsidRPr="00927778">
              <w:rPr>
                <w:color w:val="333333"/>
                <w:szCs w:val="22"/>
                <w:lang w:val="fr-FR"/>
              </w:rPr>
              <w:t>)</w:t>
            </w:r>
            <w:r w:rsidR="00CA71D6" w:rsidRPr="00927778">
              <w:rPr>
                <w:color w:val="333333"/>
                <w:szCs w:val="22"/>
                <w:lang w:val="fr-FR"/>
              </w:rPr>
              <w:t>,</w:t>
            </w:r>
            <w:r w:rsidR="004044B7" w:rsidRPr="00927778">
              <w:rPr>
                <w:color w:val="333333"/>
                <w:szCs w:val="22"/>
                <w:lang w:val="fr-FR"/>
              </w:rPr>
              <w:t xml:space="preserve"> </w:t>
            </w:r>
            <w:r w:rsidR="004040CE" w:rsidRPr="00927778">
              <w:rPr>
                <w:color w:val="333333"/>
                <w:szCs w:val="22"/>
                <w:lang w:val="fr-FR"/>
              </w:rPr>
              <w:t xml:space="preserve">de la </w:t>
            </w:r>
            <w:r w:rsidR="004044B7" w:rsidRPr="00927778">
              <w:rPr>
                <w:i/>
                <w:color w:val="333333"/>
                <w:szCs w:val="22"/>
                <w:lang w:val="fr-FR"/>
              </w:rPr>
              <w:t>Namibia University of Science and Technology/School of Tourism Management</w:t>
            </w:r>
            <w:r w:rsidR="004040CE" w:rsidRPr="00927778">
              <w:rPr>
                <w:color w:val="333333"/>
                <w:szCs w:val="22"/>
                <w:lang w:val="fr-FR"/>
              </w:rPr>
              <w:t xml:space="preserve"> (Namibie</w:t>
            </w:r>
            <w:r w:rsidR="00CA71D6" w:rsidRPr="00927778">
              <w:rPr>
                <w:color w:val="333333"/>
                <w:szCs w:val="22"/>
                <w:lang w:val="fr-FR"/>
              </w:rPr>
              <w:t xml:space="preserve">), </w:t>
            </w:r>
            <w:r w:rsidR="004040CE" w:rsidRPr="00927778">
              <w:rPr>
                <w:color w:val="333333"/>
                <w:szCs w:val="22"/>
                <w:lang w:val="fr-FR"/>
              </w:rPr>
              <w:t>de l</w:t>
            </w:r>
            <w:r w:rsidR="00EA2C86" w:rsidRPr="00927778">
              <w:rPr>
                <w:color w:val="333333"/>
                <w:szCs w:val="22"/>
                <w:lang w:val="fr-FR"/>
              </w:rPr>
              <w:t>’</w:t>
            </w:r>
            <w:r w:rsidR="004040CE" w:rsidRPr="00927778">
              <w:rPr>
                <w:color w:val="333333"/>
                <w:szCs w:val="22"/>
                <w:lang w:val="fr-FR"/>
              </w:rPr>
              <w:t>Université de</w:t>
            </w:r>
            <w:r w:rsidR="004044B7" w:rsidRPr="00927778">
              <w:rPr>
                <w:color w:val="333333"/>
                <w:szCs w:val="22"/>
                <w:lang w:val="fr-FR"/>
              </w:rPr>
              <w:t xml:space="preserve"> Colombo </w:t>
            </w:r>
            <w:r w:rsidR="004040CE" w:rsidRPr="00927778">
              <w:rPr>
                <w:color w:val="333333"/>
                <w:szCs w:val="22"/>
                <w:lang w:val="fr-FR"/>
              </w:rPr>
              <w:t>et</w:t>
            </w:r>
            <w:r w:rsidR="00CA71D6" w:rsidRPr="00927778">
              <w:rPr>
                <w:color w:val="333333"/>
                <w:szCs w:val="22"/>
                <w:lang w:val="fr-FR"/>
              </w:rPr>
              <w:t xml:space="preserve"> de</w:t>
            </w:r>
            <w:r w:rsidR="004040CE" w:rsidRPr="00927778">
              <w:rPr>
                <w:color w:val="333333"/>
                <w:szCs w:val="22"/>
                <w:lang w:val="fr-FR"/>
              </w:rPr>
              <w:t xml:space="preserve"> </w:t>
            </w:r>
            <w:r w:rsidR="00D6721F" w:rsidRPr="00927778">
              <w:rPr>
                <w:color w:val="333333"/>
                <w:szCs w:val="22"/>
                <w:lang w:val="fr-FR"/>
              </w:rPr>
              <w:t>l</w:t>
            </w:r>
            <w:r w:rsidR="00EA2C86" w:rsidRPr="00927778">
              <w:rPr>
                <w:color w:val="333333"/>
                <w:szCs w:val="22"/>
                <w:lang w:val="fr-FR"/>
              </w:rPr>
              <w:t>’</w:t>
            </w:r>
            <w:r w:rsidR="004040CE" w:rsidRPr="00927778">
              <w:rPr>
                <w:color w:val="333333"/>
                <w:szCs w:val="22"/>
                <w:lang w:val="fr-FR"/>
              </w:rPr>
              <w:t>Institut de Sri</w:t>
            </w:r>
            <w:r w:rsidR="0057466D" w:rsidRPr="00927778">
              <w:rPr>
                <w:color w:val="333333"/>
                <w:szCs w:val="22"/>
                <w:lang w:val="fr-FR"/>
              </w:rPr>
              <w:t> </w:t>
            </w:r>
            <w:r w:rsidR="004040CE" w:rsidRPr="00927778">
              <w:rPr>
                <w:color w:val="333333"/>
                <w:szCs w:val="22"/>
                <w:lang w:val="fr-FR"/>
              </w:rPr>
              <w:t xml:space="preserve">Lanka pour la gestion du tourisme et des hôtels </w:t>
            </w:r>
            <w:r w:rsidR="004044B7" w:rsidRPr="00927778">
              <w:rPr>
                <w:color w:val="333333"/>
                <w:szCs w:val="22"/>
                <w:lang w:val="fr-FR"/>
              </w:rPr>
              <w:t>(SLITHM, Sri</w:t>
            </w:r>
            <w:r w:rsidR="0057466D" w:rsidRPr="00927778">
              <w:rPr>
                <w:color w:val="333333"/>
                <w:szCs w:val="22"/>
                <w:lang w:val="fr-FR"/>
              </w:rPr>
              <w:t> </w:t>
            </w:r>
            <w:r w:rsidR="004044B7" w:rsidRPr="00927778">
              <w:rPr>
                <w:color w:val="333333"/>
                <w:szCs w:val="22"/>
                <w:lang w:val="fr-FR"/>
              </w:rPr>
              <w:t>Lanka).</w:t>
            </w:r>
          </w:p>
          <w:p w:rsidR="005E6718" w:rsidRPr="00927778" w:rsidRDefault="005E6718" w:rsidP="00D527E8">
            <w:pPr>
              <w:rPr>
                <w:color w:val="333333"/>
                <w:szCs w:val="22"/>
                <w:lang w:val="fr-FR"/>
              </w:rPr>
            </w:pPr>
          </w:p>
          <w:p w:rsidR="00EA2C86" w:rsidRPr="00927778" w:rsidRDefault="00C111BE" w:rsidP="00D527E8">
            <w:pPr>
              <w:rPr>
                <w:color w:val="333333"/>
                <w:szCs w:val="22"/>
                <w:lang w:val="fr-FR"/>
              </w:rPr>
            </w:pPr>
            <w:r w:rsidRPr="00927778">
              <w:rPr>
                <w:color w:val="333333"/>
                <w:szCs w:val="22"/>
                <w:lang w:val="fr-FR"/>
              </w:rPr>
              <w:t>II.</w:t>
            </w:r>
            <w:r w:rsidR="00063DA0" w:rsidRPr="00927778">
              <w:rPr>
                <w:color w:val="333333"/>
                <w:szCs w:val="22"/>
                <w:lang w:val="fr-FR"/>
              </w:rPr>
              <w:t xml:space="preserve"> </w:t>
            </w:r>
            <w:r w:rsidRPr="00927778">
              <w:rPr>
                <w:color w:val="333333"/>
                <w:szCs w:val="22"/>
                <w:u w:val="single"/>
                <w:lang w:val="fr-FR"/>
              </w:rPr>
              <w:t>Mise en œuvre du projet au niveau du Secrétariat</w:t>
            </w:r>
            <w:r w:rsidRPr="00927778">
              <w:rPr>
                <w:color w:val="333333"/>
                <w:szCs w:val="22"/>
                <w:u w:val="single"/>
                <w:lang w:val="fr-FR"/>
              </w:rPr>
              <w:br/>
            </w:r>
            <w:r w:rsidRPr="00927778">
              <w:rPr>
                <w:color w:val="333333"/>
                <w:szCs w:val="22"/>
                <w:lang w:val="fr-FR"/>
              </w:rPr>
              <w:br/>
              <w:t>Le guide pratique concernant la propriété intellectuelle et le tourisme a été remanié à plusieurs reprises dans l</w:t>
            </w:r>
            <w:r w:rsidR="00EA2C86" w:rsidRPr="00927778">
              <w:rPr>
                <w:color w:val="333333"/>
                <w:szCs w:val="22"/>
                <w:lang w:val="fr-FR"/>
              </w:rPr>
              <w:t>’</w:t>
            </w:r>
            <w:r w:rsidRPr="00927778">
              <w:rPr>
                <w:color w:val="333333"/>
                <w:szCs w:val="22"/>
                <w:lang w:val="fr-FR"/>
              </w:rPr>
              <w:t xml:space="preserve">objectif de </w:t>
            </w:r>
            <w:r w:rsidR="00897B35" w:rsidRPr="00927778">
              <w:rPr>
                <w:color w:val="333333"/>
                <w:szCs w:val="22"/>
                <w:lang w:val="fr-FR"/>
              </w:rPr>
              <w:t>véhiculer</w:t>
            </w:r>
            <w:r w:rsidRPr="00927778">
              <w:rPr>
                <w:color w:val="333333"/>
                <w:szCs w:val="22"/>
                <w:lang w:val="fr-FR"/>
              </w:rPr>
              <w:t xml:space="preserve"> les messages essentiels issus des recherches initiales </w:t>
            </w:r>
            <w:r w:rsidR="00897B35" w:rsidRPr="00927778">
              <w:rPr>
                <w:color w:val="333333"/>
                <w:szCs w:val="22"/>
                <w:lang w:val="fr-FR"/>
              </w:rPr>
              <w:t xml:space="preserve">menées </w:t>
            </w:r>
            <w:r w:rsidRPr="00927778">
              <w:rPr>
                <w:color w:val="333333"/>
                <w:szCs w:val="22"/>
                <w:lang w:val="fr-FR"/>
              </w:rPr>
              <w:t>dans les quatre</w:t>
            </w:r>
            <w:r w:rsidR="0057466D" w:rsidRPr="00927778">
              <w:rPr>
                <w:color w:val="333333"/>
                <w:szCs w:val="22"/>
                <w:lang w:val="fr-FR"/>
              </w:rPr>
              <w:t> </w:t>
            </w:r>
            <w:r w:rsidRPr="00927778">
              <w:rPr>
                <w:color w:val="333333"/>
                <w:szCs w:val="22"/>
                <w:lang w:val="fr-FR"/>
              </w:rPr>
              <w:t xml:space="preserve">pays pilotes ainsi que les meilleures pratiques internationales en matière de </w:t>
            </w:r>
            <w:r w:rsidR="009F21D7" w:rsidRPr="00927778">
              <w:rPr>
                <w:color w:val="333333"/>
                <w:szCs w:val="22"/>
                <w:lang w:val="fr-FR"/>
              </w:rPr>
              <w:t>promotion du tourisme durab</w:t>
            </w:r>
            <w:r w:rsidR="00306E74" w:rsidRPr="00927778">
              <w:rPr>
                <w:color w:val="333333"/>
                <w:szCs w:val="22"/>
                <w:lang w:val="fr-FR"/>
              </w:rPr>
              <w:t>le.  Da</w:t>
            </w:r>
            <w:r w:rsidR="00927727" w:rsidRPr="00927778">
              <w:rPr>
                <w:color w:val="333333"/>
                <w:szCs w:val="22"/>
                <w:lang w:val="fr-FR"/>
              </w:rPr>
              <w:t>ns cette perspective</w:t>
            </w:r>
            <w:r w:rsidR="009F21D7" w:rsidRPr="00927778">
              <w:rPr>
                <w:color w:val="333333"/>
                <w:szCs w:val="22"/>
                <w:lang w:val="fr-FR"/>
              </w:rPr>
              <w:t>, l</w:t>
            </w:r>
            <w:r w:rsidR="00F15CD6" w:rsidRPr="00927778">
              <w:rPr>
                <w:color w:val="333333"/>
                <w:szCs w:val="22"/>
                <w:lang w:val="fr-FR"/>
              </w:rPr>
              <w:t xml:space="preserve">es </w:t>
            </w:r>
            <w:r w:rsidRPr="00927778">
              <w:rPr>
                <w:color w:val="333333"/>
                <w:szCs w:val="22"/>
                <w:lang w:val="fr-FR"/>
              </w:rPr>
              <w:t>négociations</w:t>
            </w:r>
            <w:r w:rsidR="00F15CD6" w:rsidRPr="00927778">
              <w:rPr>
                <w:color w:val="333333"/>
                <w:szCs w:val="22"/>
                <w:lang w:val="fr-FR"/>
              </w:rPr>
              <w:t xml:space="preserve"> engagées avec l</w:t>
            </w:r>
            <w:r w:rsidR="00EA2C86" w:rsidRPr="00927778">
              <w:rPr>
                <w:color w:val="333333"/>
                <w:szCs w:val="22"/>
                <w:lang w:val="fr-FR"/>
              </w:rPr>
              <w:t>’</w:t>
            </w:r>
            <w:r w:rsidR="00F15CD6" w:rsidRPr="00927778">
              <w:rPr>
                <w:color w:val="333333"/>
                <w:szCs w:val="22"/>
                <w:lang w:val="fr-FR"/>
              </w:rPr>
              <w:t>Organisati</w:t>
            </w:r>
            <w:r w:rsidR="00EE5725" w:rsidRPr="00927778">
              <w:rPr>
                <w:color w:val="333333"/>
                <w:szCs w:val="22"/>
                <w:lang w:val="fr-FR"/>
              </w:rPr>
              <w:t>on mondiale du tourisme (OMT)</w:t>
            </w:r>
            <w:r w:rsidR="00F15CD6" w:rsidRPr="00927778">
              <w:rPr>
                <w:color w:val="333333"/>
                <w:szCs w:val="22"/>
                <w:lang w:val="fr-FR"/>
              </w:rPr>
              <w:t xml:space="preserve"> se poursuivent afin de produire et</w:t>
            </w:r>
            <w:r w:rsidR="00EE5725" w:rsidRPr="00927778">
              <w:rPr>
                <w:color w:val="333333"/>
                <w:szCs w:val="22"/>
                <w:lang w:val="fr-FR"/>
              </w:rPr>
              <w:t xml:space="preserve"> de</w:t>
            </w:r>
            <w:r w:rsidR="00F15CD6" w:rsidRPr="00927778">
              <w:rPr>
                <w:color w:val="333333"/>
                <w:szCs w:val="22"/>
                <w:lang w:val="fr-FR"/>
              </w:rPr>
              <w:t xml:space="preserve"> distribuer conjointement ledit gui</w:t>
            </w:r>
            <w:r w:rsidR="00306E74" w:rsidRPr="00927778">
              <w:rPr>
                <w:color w:val="333333"/>
                <w:szCs w:val="22"/>
                <w:lang w:val="fr-FR"/>
              </w:rPr>
              <w:t>de.  Un</w:t>
            </w:r>
            <w:r w:rsidR="00927727" w:rsidRPr="00927778">
              <w:rPr>
                <w:color w:val="333333"/>
                <w:szCs w:val="22"/>
                <w:lang w:val="fr-FR"/>
              </w:rPr>
              <w:t>e éventuelle coopération avec l</w:t>
            </w:r>
            <w:r w:rsidR="00EA2C86" w:rsidRPr="00927778">
              <w:rPr>
                <w:color w:val="333333"/>
                <w:szCs w:val="22"/>
                <w:lang w:val="fr-FR"/>
              </w:rPr>
              <w:t>’</w:t>
            </w:r>
            <w:r w:rsidR="00927727" w:rsidRPr="00927778">
              <w:rPr>
                <w:color w:val="333333"/>
                <w:szCs w:val="22"/>
                <w:lang w:val="fr-FR"/>
              </w:rPr>
              <w:t>OMT à cet égard est considérée comme fortement souhaitable et fait actuellement l</w:t>
            </w:r>
            <w:r w:rsidR="00EA2C86" w:rsidRPr="00927778">
              <w:rPr>
                <w:color w:val="333333"/>
                <w:szCs w:val="22"/>
                <w:lang w:val="fr-FR"/>
              </w:rPr>
              <w:t>’</w:t>
            </w:r>
            <w:r w:rsidR="00927727" w:rsidRPr="00927778">
              <w:rPr>
                <w:color w:val="333333"/>
                <w:szCs w:val="22"/>
                <w:lang w:val="fr-FR"/>
              </w:rPr>
              <w:t>objet de négociations activ</w:t>
            </w:r>
            <w:r w:rsidR="00306E74" w:rsidRPr="00927778">
              <w:rPr>
                <w:color w:val="333333"/>
                <w:szCs w:val="22"/>
                <w:lang w:val="fr-FR"/>
              </w:rPr>
              <w:t>es.  En</w:t>
            </w:r>
            <w:r w:rsidR="0001042C" w:rsidRPr="00927778">
              <w:rPr>
                <w:color w:val="333333"/>
                <w:szCs w:val="22"/>
                <w:lang w:val="fr-FR"/>
              </w:rPr>
              <w:t>tre</w:t>
            </w:r>
            <w:r w:rsidR="00CB5AE0" w:rsidRPr="00927778">
              <w:rPr>
                <w:color w:val="333333"/>
                <w:szCs w:val="22"/>
                <w:lang w:val="fr-FR"/>
              </w:rPr>
              <w:noBreakHyphen/>
            </w:r>
            <w:r w:rsidR="0001042C" w:rsidRPr="00927778">
              <w:rPr>
                <w:color w:val="333333"/>
                <w:szCs w:val="22"/>
                <w:lang w:val="fr-FR"/>
              </w:rPr>
              <w:t>temps</w:t>
            </w:r>
            <w:r w:rsidR="00927727" w:rsidRPr="00927778">
              <w:rPr>
                <w:color w:val="333333"/>
                <w:szCs w:val="22"/>
                <w:lang w:val="fr-FR"/>
              </w:rPr>
              <w:t xml:space="preserve">, </w:t>
            </w:r>
            <w:r w:rsidR="00356BB4" w:rsidRPr="00927778">
              <w:rPr>
                <w:color w:val="333333"/>
                <w:szCs w:val="22"/>
                <w:lang w:val="fr-FR"/>
              </w:rPr>
              <w:t>toutes les dispositions sont prises pour réorganiser le contenu de l</w:t>
            </w:r>
            <w:r w:rsidR="00EA2C86" w:rsidRPr="00927778">
              <w:rPr>
                <w:color w:val="333333"/>
                <w:szCs w:val="22"/>
                <w:lang w:val="fr-FR"/>
              </w:rPr>
              <w:t>’</w:t>
            </w:r>
            <w:r w:rsidR="00356BB4" w:rsidRPr="00927778">
              <w:rPr>
                <w:color w:val="333333"/>
                <w:szCs w:val="22"/>
                <w:lang w:val="fr-FR"/>
              </w:rPr>
              <w:t xml:space="preserve">actuelle version du guide </w:t>
            </w:r>
            <w:r w:rsidR="0001042C" w:rsidRPr="00927778">
              <w:rPr>
                <w:color w:val="333333"/>
                <w:szCs w:val="22"/>
                <w:lang w:val="fr-FR"/>
              </w:rPr>
              <w:t>afin</w:t>
            </w:r>
            <w:r w:rsidR="00356BB4" w:rsidRPr="00927778">
              <w:rPr>
                <w:color w:val="333333"/>
                <w:szCs w:val="22"/>
                <w:lang w:val="fr-FR"/>
              </w:rPr>
              <w:t xml:space="preserve"> de le finaliser au cas où la collaboration avec l</w:t>
            </w:r>
            <w:r w:rsidR="00EA2C86" w:rsidRPr="00927778">
              <w:rPr>
                <w:color w:val="333333"/>
                <w:szCs w:val="22"/>
                <w:lang w:val="fr-FR"/>
              </w:rPr>
              <w:t>’</w:t>
            </w:r>
            <w:r w:rsidR="00356BB4" w:rsidRPr="00927778">
              <w:rPr>
                <w:color w:val="333333"/>
                <w:szCs w:val="22"/>
                <w:lang w:val="fr-FR"/>
              </w:rPr>
              <w:t>OMT ne se concrétiserait pas.</w:t>
            </w:r>
          </w:p>
          <w:p w:rsidR="004044B7" w:rsidRPr="00927778" w:rsidRDefault="004044B7" w:rsidP="00D527E8">
            <w:pPr>
              <w:rPr>
                <w:color w:val="333333"/>
                <w:lang w:val="fr-FR"/>
              </w:rPr>
            </w:pPr>
          </w:p>
        </w:tc>
      </w:tr>
      <w:tr w:rsidR="00047C22" w:rsidRPr="00927778" w:rsidTr="00D527E8">
        <w:trPr>
          <w:trHeight w:val="1212"/>
        </w:trPr>
        <w:tc>
          <w:tcPr>
            <w:tcW w:w="2376" w:type="dxa"/>
            <w:shd w:val="clear" w:color="auto" w:fill="auto"/>
          </w:tcPr>
          <w:p w:rsidR="004044B7" w:rsidRPr="00927778" w:rsidRDefault="00EC684F" w:rsidP="00EC684F">
            <w:pPr>
              <w:pStyle w:val="Heading3"/>
              <w:rPr>
                <w:color w:val="333333"/>
                <w:lang w:val="fr-FR"/>
              </w:rPr>
            </w:pPr>
            <w:r w:rsidRPr="00927778">
              <w:rPr>
                <w:color w:val="333333"/>
                <w:lang w:val="fr-FR"/>
              </w:rPr>
              <w:t>Exemples de succès ou d</w:t>
            </w:r>
            <w:r w:rsidR="00EA2C86" w:rsidRPr="00927778">
              <w:rPr>
                <w:color w:val="333333"/>
                <w:lang w:val="fr-FR"/>
              </w:rPr>
              <w:t>’</w:t>
            </w:r>
            <w:r w:rsidRPr="00927778">
              <w:rPr>
                <w:color w:val="333333"/>
                <w:lang w:val="fr-FR"/>
              </w:rPr>
              <w:t>effets positifs et principaux enseignements</w:t>
            </w:r>
          </w:p>
        </w:tc>
        <w:tc>
          <w:tcPr>
            <w:tcW w:w="6912" w:type="dxa"/>
            <w:vAlign w:val="center"/>
          </w:tcPr>
          <w:p w:rsidR="005E6718" w:rsidRPr="00927778" w:rsidRDefault="005E6718" w:rsidP="00D527E8">
            <w:pPr>
              <w:rPr>
                <w:iCs/>
                <w:color w:val="333333"/>
                <w:lang w:val="fr-FR"/>
              </w:rPr>
            </w:pPr>
          </w:p>
          <w:p w:rsidR="00EA2C86" w:rsidRPr="00927778" w:rsidRDefault="0018063C" w:rsidP="00D527E8">
            <w:pPr>
              <w:rPr>
                <w:iCs/>
                <w:color w:val="333333"/>
                <w:lang w:val="fr-FR"/>
              </w:rPr>
            </w:pPr>
            <w:r w:rsidRPr="00927778">
              <w:rPr>
                <w:iCs/>
                <w:color w:val="333333"/>
                <w:lang w:val="fr-FR"/>
              </w:rPr>
              <w:t>La participation active des équipes chargées du projet au niveau national sous l</w:t>
            </w:r>
            <w:r w:rsidR="00EA2C86" w:rsidRPr="00927778">
              <w:rPr>
                <w:iCs/>
                <w:color w:val="333333"/>
                <w:lang w:val="fr-FR"/>
              </w:rPr>
              <w:t>’</w:t>
            </w:r>
            <w:r w:rsidRPr="00927778">
              <w:rPr>
                <w:iCs/>
                <w:color w:val="333333"/>
                <w:lang w:val="fr-FR"/>
              </w:rPr>
              <w:t>égide des agences pilotes désignées s</w:t>
            </w:r>
            <w:r w:rsidR="00EA2C86" w:rsidRPr="00927778">
              <w:rPr>
                <w:iCs/>
                <w:color w:val="333333"/>
                <w:lang w:val="fr-FR"/>
              </w:rPr>
              <w:t>’</w:t>
            </w:r>
            <w:r w:rsidRPr="00927778">
              <w:rPr>
                <w:iCs/>
                <w:color w:val="333333"/>
                <w:lang w:val="fr-FR"/>
              </w:rPr>
              <w:t xml:space="preserve">est révélée la première cause </w:t>
            </w:r>
            <w:r w:rsidR="00C162F5" w:rsidRPr="00927778">
              <w:rPr>
                <w:iCs/>
                <w:color w:val="333333"/>
                <w:lang w:val="fr-FR"/>
              </w:rPr>
              <w:t xml:space="preserve">du succès </w:t>
            </w:r>
            <w:r w:rsidRPr="00927778">
              <w:rPr>
                <w:iCs/>
                <w:color w:val="333333"/>
                <w:lang w:val="fr-FR"/>
              </w:rPr>
              <w:t>de la mise en œuvre du projet au niveau nation</w:t>
            </w:r>
            <w:r w:rsidR="00306E74" w:rsidRPr="00927778">
              <w:rPr>
                <w:iCs/>
                <w:color w:val="333333"/>
                <w:lang w:val="fr-FR"/>
              </w:rPr>
              <w:t>al.  Il</w:t>
            </w:r>
            <w:r w:rsidRPr="00927778">
              <w:rPr>
                <w:iCs/>
                <w:color w:val="333333"/>
                <w:lang w:val="fr-FR"/>
              </w:rPr>
              <w:t xml:space="preserve"> s</w:t>
            </w:r>
            <w:r w:rsidR="00EA2C86" w:rsidRPr="00927778">
              <w:rPr>
                <w:iCs/>
                <w:color w:val="333333"/>
                <w:lang w:val="fr-FR"/>
              </w:rPr>
              <w:t>’</w:t>
            </w:r>
            <w:r w:rsidRPr="00927778">
              <w:rPr>
                <w:iCs/>
                <w:color w:val="333333"/>
                <w:lang w:val="fr-FR"/>
              </w:rPr>
              <w:t xml:space="preserve">est </w:t>
            </w:r>
            <w:r w:rsidR="0001042C" w:rsidRPr="00927778">
              <w:rPr>
                <w:iCs/>
                <w:color w:val="333333"/>
                <w:lang w:val="fr-FR"/>
              </w:rPr>
              <w:t>manifestement</w:t>
            </w:r>
            <w:r w:rsidRPr="00927778">
              <w:rPr>
                <w:iCs/>
                <w:color w:val="333333"/>
                <w:lang w:val="fr-FR"/>
              </w:rPr>
              <w:t xml:space="preserve"> avéré que quand les agences pilotes </w:t>
            </w:r>
            <w:r w:rsidR="00C162F5" w:rsidRPr="00927778">
              <w:rPr>
                <w:iCs/>
                <w:color w:val="333333"/>
                <w:lang w:val="fr-FR"/>
              </w:rPr>
              <w:t xml:space="preserve">ont </w:t>
            </w:r>
            <w:r w:rsidRPr="00927778">
              <w:rPr>
                <w:iCs/>
                <w:color w:val="333333"/>
                <w:lang w:val="fr-FR"/>
              </w:rPr>
              <w:t>consac</w:t>
            </w:r>
            <w:r w:rsidR="00C162F5" w:rsidRPr="00927778">
              <w:rPr>
                <w:iCs/>
                <w:color w:val="333333"/>
                <w:lang w:val="fr-FR"/>
              </w:rPr>
              <w:t>ré</w:t>
            </w:r>
            <w:r w:rsidRPr="00927778">
              <w:rPr>
                <w:iCs/>
                <w:color w:val="333333"/>
                <w:lang w:val="fr-FR"/>
              </w:rPr>
              <w:t xml:space="preserve"> du temps et des ressources à la constitution d</w:t>
            </w:r>
            <w:r w:rsidR="00EA2C86" w:rsidRPr="00927778">
              <w:rPr>
                <w:iCs/>
                <w:color w:val="333333"/>
                <w:lang w:val="fr-FR"/>
              </w:rPr>
              <w:t>’</w:t>
            </w:r>
            <w:r w:rsidRPr="00927778">
              <w:rPr>
                <w:iCs/>
                <w:color w:val="333333"/>
                <w:lang w:val="fr-FR"/>
              </w:rPr>
              <w:t xml:space="preserve">équipes nationales chargées du projet, leur donnant ainsi la possibilité de travailler </w:t>
            </w:r>
            <w:r w:rsidR="00C162F5" w:rsidRPr="00927778">
              <w:rPr>
                <w:iCs/>
                <w:color w:val="333333"/>
                <w:lang w:val="fr-FR"/>
              </w:rPr>
              <w:t xml:space="preserve">efficacement </w:t>
            </w:r>
            <w:r w:rsidRPr="00927778">
              <w:rPr>
                <w:iCs/>
                <w:color w:val="333333"/>
                <w:lang w:val="fr-FR"/>
              </w:rPr>
              <w:t>avec les acteurs nationaux et locaux du</w:t>
            </w:r>
            <w:r w:rsidR="0091341D" w:rsidRPr="00927778">
              <w:rPr>
                <w:iCs/>
                <w:color w:val="333333"/>
                <w:lang w:val="fr-FR"/>
              </w:rPr>
              <w:t xml:space="preserve"> </w:t>
            </w:r>
            <w:r w:rsidRPr="00927778">
              <w:rPr>
                <w:iCs/>
                <w:color w:val="333333"/>
                <w:lang w:val="fr-FR"/>
              </w:rPr>
              <w:t>secte</w:t>
            </w:r>
            <w:r w:rsidR="0091341D" w:rsidRPr="00927778">
              <w:rPr>
                <w:iCs/>
                <w:color w:val="333333"/>
                <w:lang w:val="fr-FR"/>
              </w:rPr>
              <w:t>u</w:t>
            </w:r>
            <w:r w:rsidRPr="00927778">
              <w:rPr>
                <w:iCs/>
                <w:color w:val="333333"/>
                <w:lang w:val="fr-FR"/>
              </w:rPr>
              <w:t>r du tourisme, le projet</w:t>
            </w:r>
            <w:r w:rsidR="0091341D" w:rsidRPr="00927778">
              <w:rPr>
                <w:iCs/>
                <w:color w:val="333333"/>
                <w:lang w:val="fr-FR"/>
              </w:rPr>
              <w:t xml:space="preserve"> </w:t>
            </w:r>
            <w:r w:rsidR="00C162F5" w:rsidRPr="00927778">
              <w:rPr>
                <w:iCs/>
                <w:color w:val="333333"/>
                <w:lang w:val="fr-FR"/>
              </w:rPr>
              <w:t>a pris</w:t>
            </w:r>
            <w:r w:rsidR="0091341D" w:rsidRPr="00927778">
              <w:rPr>
                <w:iCs/>
                <w:color w:val="333333"/>
                <w:lang w:val="fr-FR"/>
              </w:rPr>
              <w:t xml:space="preserve"> une tournure nouvelle et </w:t>
            </w:r>
            <w:r w:rsidR="00C162F5" w:rsidRPr="00927778">
              <w:rPr>
                <w:iCs/>
                <w:color w:val="333333"/>
                <w:lang w:val="fr-FR"/>
              </w:rPr>
              <w:t>a donné</w:t>
            </w:r>
            <w:r w:rsidR="0091341D" w:rsidRPr="00927778">
              <w:rPr>
                <w:iCs/>
                <w:color w:val="333333"/>
                <w:lang w:val="fr-FR"/>
              </w:rPr>
              <w:t xml:space="preserve"> lieu à l</w:t>
            </w:r>
            <w:r w:rsidR="00EA2C86" w:rsidRPr="00927778">
              <w:rPr>
                <w:iCs/>
                <w:color w:val="333333"/>
                <w:lang w:val="fr-FR"/>
              </w:rPr>
              <w:t>’</w:t>
            </w:r>
            <w:r w:rsidR="0091341D" w:rsidRPr="00927778">
              <w:rPr>
                <w:iCs/>
                <w:color w:val="333333"/>
                <w:lang w:val="fr-FR"/>
              </w:rPr>
              <w:t>établissement de partenariats prometteurs</w:t>
            </w:r>
            <w:r w:rsidR="00FA0C60" w:rsidRPr="00927778">
              <w:rPr>
                <w:iCs/>
                <w:color w:val="333333"/>
                <w:lang w:val="fr-FR"/>
              </w:rPr>
              <w:t xml:space="preserve"> au fort potentiel de sensibilisation et de renforcement des capacit</w:t>
            </w:r>
            <w:r w:rsidR="00306E74" w:rsidRPr="00927778">
              <w:rPr>
                <w:iCs/>
                <w:color w:val="333333"/>
                <w:lang w:val="fr-FR"/>
              </w:rPr>
              <w:t xml:space="preserve">és.  À </w:t>
            </w:r>
            <w:r w:rsidR="00C162F5" w:rsidRPr="00927778">
              <w:rPr>
                <w:iCs/>
                <w:color w:val="333333"/>
                <w:lang w:val="fr-FR"/>
              </w:rPr>
              <w:t>l</w:t>
            </w:r>
            <w:r w:rsidR="00EA2C86" w:rsidRPr="00927778">
              <w:rPr>
                <w:iCs/>
                <w:color w:val="333333"/>
                <w:lang w:val="fr-FR"/>
              </w:rPr>
              <w:t>’</w:t>
            </w:r>
            <w:r w:rsidR="00C162F5" w:rsidRPr="00927778">
              <w:rPr>
                <w:iCs/>
                <w:color w:val="333333"/>
                <w:lang w:val="fr-FR"/>
              </w:rPr>
              <w:t xml:space="preserve">inverse, dans les cas où </w:t>
            </w:r>
            <w:r w:rsidR="00FA0C60" w:rsidRPr="00927778">
              <w:rPr>
                <w:iCs/>
                <w:color w:val="333333"/>
                <w:lang w:val="fr-FR"/>
              </w:rPr>
              <w:t>le t</w:t>
            </w:r>
            <w:r w:rsidR="00C162F5" w:rsidRPr="00927778">
              <w:rPr>
                <w:iCs/>
                <w:color w:val="333333"/>
                <w:lang w:val="fr-FR"/>
              </w:rPr>
              <w:t>emps et les ressources consacré</w:t>
            </w:r>
            <w:r w:rsidR="00FA0C60" w:rsidRPr="00927778">
              <w:rPr>
                <w:iCs/>
                <w:color w:val="333333"/>
                <w:lang w:val="fr-FR"/>
              </w:rPr>
              <w:t>s au niveau nati</w:t>
            </w:r>
            <w:r w:rsidR="00721566" w:rsidRPr="00927778">
              <w:rPr>
                <w:iCs/>
                <w:color w:val="333333"/>
                <w:lang w:val="fr-FR"/>
              </w:rPr>
              <w:t>onal ont été insuffisant</w:t>
            </w:r>
            <w:r w:rsidR="00FA0C60" w:rsidRPr="00927778">
              <w:rPr>
                <w:iCs/>
                <w:color w:val="333333"/>
                <w:lang w:val="fr-FR"/>
              </w:rPr>
              <w:t xml:space="preserve">s, </w:t>
            </w:r>
            <w:r w:rsidR="00C162F5" w:rsidRPr="00927778">
              <w:rPr>
                <w:iCs/>
                <w:color w:val="333333"/>
                <w:lang w:val="fr-FR"/>
              </w:rPr>
              <w:t xml:space="preserve">il semble que </w:t>
            </w:r>
            <w:r w:rsidR="00FA0C60" w:rsidRPr="00927778">
              <w:rPr>
                <w:iCs/>
                <w:color w:val="333333"/>
                <w:lang w:val="fr-FR"/>
              </w:rPr>
              <w:t xml:space="preserve">les mesures </w:t>
            </w:r>
            <w:r w:rsidR="009272E5" w:rsidRPr="00927778">
              <w:rPr>
                <w:iCs/>
                <w:color w:val="333333"/>
                <w:lang w:val="fr-FR"/>
              </w:rPr>
              <w:t>prises dans le cadre du projet n</w:t>
            </w:r>
            <w:r w:rsidR="00EA2C86" w:rsidRPr="00927778">
              <w:rPr>
                <w:iCs/>
                <w:color w:val="333333"/>
                <w:lang w:val="fr-FR"/>
              </w:rPr>
              <w:t>’</w:t>
            </w:r>
            <w:r w:rsidR="009272E5" w:rsidRPr="00927778">
              <w:rPr>
                <w:iCs/>
                <w:color w:val="333333"/>
                <w:lang w:val="fr-FR"/>
              </w:rPr>
              <w:t>aient eu qu</w:t>
            </w:r>
            <w:r w:rsidR="00EA2C86" w:rsidRPr="00927778">
              <w:rPr>
                <w:iCs/>
                <w:color w:val="333333"/>
                <w:lang w:val="fr-FR"/>
              </w:rPr>
              <w:t>’</w:t>
            </w:r>
            <w:r w:rsidR="009272E5" w:rsidRPr="00927778">
              <w:rPr>
                <w:iCs/>
                <w:color w:val="333333"/>
                <w:lang w:val="fr-FR"/>
              </w:rPr>
              <w:t>un effet superficiel qui n</w:t>
            </w:r>
            <w:r w:rsidR="00EA2C86" w:rsidRPr="00927778">
              <w:rPr>
                <w:iCs/>
                <w:color w:val="333333"/>
                <w:lang w:val="fr-FR"/>
              </w:rPr>
              <w:t>’</w:t>
            </w:r>
            <w:r w:rsidR="009272E5" w:rsidRPr="00927778">
              <w:rPr>
                <w:iCs/>
                <w:color w:val="333333"/>
                <w:lang w:val="fr-FR"/>
              </w:rPr>
              <w:t xml:space="preserve">a pas </w:t>
            </w:r>
            <w:r w:rsidR="00721566" w:rsidRPr="00927778">
              <w:rPr>
                <w:iCs/>
                <w:color w:val="333333"/>
                <w:lang w:val="fr-FR"/>
              </w:rPr>
              <w:t>perduré</w:t>
            </w:r>
            <w:r w:rsidR="009272E5" w:rsidRPr="00927778">
              <w:rPr>
                <w:iCs/>
                <w:color w:val="333333"/>
                <w:lang w:val="fr-FR"/>
              </w:rPr>
              <w:t>.</w:t>
            </w:r>
          </w:p>
          <w:p w:rsidR="005E6718" w:rsidRPr="00927778" w:rsidRDefault="005E6718" w:rsidP="00D527E8">
            <w:pPr>
              <w:rPr>
                <w:iCs/>
                <w:color w:val="333333"/>
                <w:lang w:val="fr-FR"/>
              </w:rPr>
            </w:pPr>
          </w:p>
          <w:p w:rsidR="00EA2C86" w:rsidRPr="00927778" w:rsidRDefault="00C87C6D" w:rsidP="00D527E8">
            <w:pPr>
              <w:rPr>
                <w:iCs/>
                <w:color w:val="333333"/>
                <w:lang w:val="fr-FR"/>
              </w:rPr>
            </w:pPr>
            <w:r w:rsidRPr="00927778">
              <w:rPr>
                <w:iCs/>
                <w:color w:val="333333"/>
                <w:lang w:val="fr-FR"/>
              </w:rPr>
              <w:t>Il s</w:t>
            </w:r>
            <w:r w:rsidR="00EA2C86" w:rsidRPr="00927778">
              <w:rPr>
                <w:iCs/>
                <w:color w:val="333333"/>
                <w:lang w:val="fr-FR"/>
              </w:rPr>
              <w:t>’</w:t>
            </w:r>
            <w:r w:rsidR="005954B4" w:rsidRPr="00927778">
              <w:rPr>
                <w:iCs/>
                <w:color w:val="333333"/>
                <w:lang w:val="fr-FR"/>
              </w:rPr>
              <w:t>est également avéré que d</w:t>
            </w:r>
            <w:r w:rsidRPr="00927778">
              <w:rPr>
                <w:iCs/>
                <w:color w:val="333333"/>
                <w:lang w:val="fr-FR"/>
              </w:rPr>
              <w:t xml:space="preserve">es initiatives de sensibilisation </w:t>
            </w:r>
            <w:r w:rsidR="005954B4" w:rsidRPr="00927778">
              <w:rPr>
                <w:iCs/>
                <w:color w:val="333333"/>
                <w:lang w:val="fr-FR"/>
              </w:rPr>
              <w:t xml:space="preserve">adéquates </w:t>
            </w:r>
            <w:r w:rsidRPr="00927778">
              <w:rPr>
                <w:iCs/>
                <w:color w:val="333333"/>
                <w:lang w:val="fr-FR"/>
              </w:rPr>
              <w:t xml:space="preserve">menées </w:t>
            </w:r>
            <w:r w:rsidR="005954B4" w:rsidRPr="00927778">
              <w:rPr>
                <w:iCs/>
                <w:color w:val="333333"/>
                <w:lang w:val="fr-FR"/>
              </w:rPr>
              <w:t xml:space="preserve">de façon répétée </w:t>
            </w:r>
            <w:r w:rsidRPr="00927778">
              <w:rPr>
                <w:iCs/>
                <w:color w:val="333333"/>
                <w:lang w:val="fr-FR"/>
              </w:rPr>
              <w:t>par les équipes nationales chargées du projet pourraient permettre aux acteurs du tourisme de prendre conscience des avantages de l</w:t>
            </w:r>
            <w:r w:rsidR="00EA2C86" w:rsidRPr="00927778">
              <w:rPr>
                <w:iCs/>
                <w:color w:val="333333"/>
                <w:lang w:val="fr-FR"/>
              </w:rPr>
              <w:t>’</w:t>
            </w:r>
            <w:r w:rsidRPr="00927778">
              <w:rPr>
                <w:iCs/>
                <w:color w:val="333333"/>
                <w:lang w:val="fr-FR"/>
              </w:rPr>
              <w:t>utilisation efficace de la propriété intellectuelle pour les entreprises liées au touris</w:t>
            </w:r>
            <w:r w:rsidR="00306E74" w:rsidRPr="00927778">
              <w:rPr>
                <w:iCs/>
                <w:color w:val="333333"/>
                <w:lang w:val="fr-FR"/>
              </w:rPr>
              <w:t>me.  Il</w:t>
            </w:r>
            <w:r w:rsidR="00C62A16" w:rsidRPr="00927778">
              <w:rPr>
                <w:iCs/>
                <w:color w:val="333333"/>
                <w:lang w:val="fr-FR"/>
              </w:rPr>
              <w:t xml:space="preserve"> est même arrivé que </w:t>
            </w:r>
            <w:r w:rsidR="00C55238" w:rsidRPr="00927778">
              <w:rPr>
                <w:iCs/>
                <w:color w:val="333333"/>
                <w:lang w:val="fr-FR"/>
              </w:rPr>
              <w:t xml:space="preserve">certains acteurs </w:t>
            </w:r>
            <w:r w:rsidR="00C62A16" w:rsidRPr="00927778">
              <w:rPr>
                <w:iCs/>
                <w:color w:val="333333"/>
                <w:lang w:val="fr-FR"/>
              </w:rPr>
              <w:t>militent eux</w:t>
            </w:r>
            <w:r w:rsidR="00CB5AE0" w:rsidRPr="00927778">
              <w:rPr>
                <w:iCs/>
                <w:color w:val="333333"/>
                <w:lang w:val="fr-FR"/>
              </w:rPr>
              <w:noBreakHyphen/>
            </w:r>
            <w:r w:rsidR="00C62A16" w:rsidRPr="00927778">
              <w:rPr>
                <w:iCs/>
                <w:color w:val="333333"/>
                <w:lang w:val="fr-FR"/>
              </w:rPr>
              <w:t>mêmes pour</w:t>
            </w:r>
            <w:r w:rsidR="00C55238" w:rsidRPr="00927778">
              <w:rPr>
                <w:iCs/>
                <w:color w:val="333333"/>
                <w:lang w:val="fr-FR"/>
              </w:rPr>
              <w:t xml:space="preserve"> l</w:t>
            </w:r>
            <w:r w:rsidR="00EA2C86" w:rsidRPr="00927778">
              <w:rPr>
                <w:iCs/>
                <w:color w:val="333333"/>
                <w:lang w:val="fr-FR"/>
              </w:rPr>
              <w:t>’</w:t>
            </w:r>
            <w:r w:rsidR="00C55238" w:rsidRPr="00927778">
              <w:rPr>
                <w:iCs/>
                <w:color w:val="333333"/>
                <w:lang w:val="fr-FR"/>
              </w:rPr>
              <w:t>utilisation d</w:t>
            </w:r>
            <w:r w:rsidR="00EA2C86" w:rsidRPr="00927778">
              <w:rPr>
                <w:iCs/>
                <w:color w:val="333333"/>
                <w:lang w:val="fr-FR"/>
              </w:rPr>
              <w:t>’</w:t>
            </w:r>
            <w:r w:rsidR="00C55238" w:rsidRPr="00927778">
              <w:rPr>
                <w:iCs/>
                <w:color w:val="333333"/>
                <w:lang w:val="fr-FR"/>
              </w:rPr>
              <w:t xml:space="preserve">instruments pertinents de propriété intellectuelle et de stratégies faisant la </w:t>
            </w:r>
            <w:r w:rsidR="00D75A1B" w:rsidRPr="00927778">
              <w:rPr>
                <w:iCs/>
                <w:color w:val="333333"/>
                <w:lang w:val="fr-FR"/>
              </w:rPr>
              <w:t>promotion</w:t>
            </w:r>
            <w:r w:rsidR="00C55238" w:rsidRPr="00927778">
              <w:rPr>
                <w:iCs/>
                <w:color w:val="333333"/>
                <w:lang w:val="fr-FR"/>
              </w:rPr>
              <w:t xml:space="preserve"> de régions, villes ou destinations </w:t>
            </w:r>
            <w:r w:rsidR="00D75A1B" w:rsidRPr="00927778">
              <w:rPr>
                <w:iCs/>
                <w:color w:val="333333"/>
                <w:lang w:val="fr-FR"/>
              </w:rPr>
              <w:t>dotées d</w:t>
            </w:r>
            <w:r w:rsidR="00EA2C86" w:rsidRPr="00927778">
              <w:rPr>
                <w:iCs/>
                <w:color w:val="333333"/>
                <w:lang w:val="fr-FR"/>
              </w:rPr>
              <w:t>’</w:t>
            </w:r>
            <w:r w:rsidR="00D75A1B" w:rsidRPr="00927778">
              <w:rPr>
                <w:iCs/>
                <w:color w:val="333333"/>
                <w:lang w:val="fr-FR"/>
              </w:rPr>
              <w:t>un intérêt touristique</w:t>
            </w:r>
            <w:r w:rsidR="00EC1E93" w:rsidRPr="00927778">
              <w:rPr>
                <w:iCs/>
                <w:color w:val="333333"/>
                <w:lang w:val="fr-FR"/>
              </w:rPr>
              <w:t>, du patrimoine culturel ou</w:t>
            </w:r>
            <w:r w:rsidR="00D75A1B" w:rsidRPr="00927778">
              <w:rPr>
                <w:iCs/>
                <w:color w:val="333333"/>
                <w:lang w:val="fr-FR"/>
              </w:rPr>
              <w:t xml:space="preserve"> des traditions et savoirs locaux et nationaux, </w:t>
            </w:r>
            <w:r w:rsidR="00C62A16" w:rsidRPr="00927778">
              <w:rPr>
                <w:iCs/>
                <w:color w:val="333333"/>
                <w:lang w:val="fr-FR"/>
              </w:rPr>
              <w:t xml:space="preserve">ce qui a </w:t>
            </w:r>
            <w:r w:rsidR="00A765B4" w:rsidRPr="00927778">
              <w:rPr>
                <w:iCs/>
                <w:color w:val="333333"/>
                <w:lang w:val="fr-FR"/>
              </w:rPr>
              <w:t xml:space="preserve">ainsi </w:t>
            </w:r>
            <w:r w:rsidR="00D75A1B" w:rsidRPr="00927778">
              <w:rPr>
                <w:iCs/>
                <w:color w:val="333333"/>
                <w:lang w:val="fr-FR"/>
              </w:rPr>
              <w:t>stimul</w:t>
            </w:r>
            <w:r w:rsidR="00C62A16" w:rsidRPr="00927778">
              <w:rPr>
                <w:iCs/>
                <w:color w:val="333333"/>
                <w:lang w:val="fr-FR"/>
              </w:rPr>
              <w:t>é</w:t>
            </w:r>
            <w:r w:rsidR="00D75A1B" w:rsidRPr="00927778">
              <w:rPr>
                <w:iCs/>
                <w:color w:val="333333"/>
                <w:lang w:val="fr-FR"/>
              </w:rPr>
              <w:t xml:space="preserve"> le développement social et économique de destinations du tourisme durable.</w:t>
            </w:r>
          </w:p>
          <w:p w:rsidR="005E6718" w:rsidRPr="00927778" w:rsidRDefault="005E6718" w:rsidP="00D527E8">
            <w:pPr>
              <w:rPr>
                <w:iCs/>
                <w:color w:val="333333"/>
                <w:lang w:val="fr-FR"/>
              </w:rPr>
            </w:pPr>
          </w:p>
          <w:p w:rsidR="00EA2C86" w:rsidRPr="00927778" w:rsidRDefault="0037796F" w:rsidP="00D527E8">
            <w:pPr>
              <w:rPr>
                <w:iCs/>
                <w:color w:val="333333"/>
                <w:lang w:val="fr-FR"/>
              </w:rPr>
            </w:pPr>
            <w:r w:rsidRPr="00927778">
              <w:rPr>
                <w:iCs/>
                <w:color w:val="333333"/>
                <w:lang w:val="fr-FR"/>
              </w:rPr>
              <w:t>Ces principaux enseignements ont été essentiellement tirés de l</w:t>
            </w:r>
            <w:r w:rsidR="00EA2C86" w:rsidRPr="00927778">
              <w:rPr>
                <w:iCs/>
                <w:color w:val="333333"/>
                <w:lang w:val="fr-FR"/>
              </w:rPr>
              <w:t>’</w:t>
            </w:r>
            <w:r w:rsidRPr="00927778">
              <w:rPr>
                <w:iCs/>
                <w:color w:val="333333"/>
                <w:lang w:val="fr-FR"/>
              </w:rPr>
              <w:t>expérience de l</w:t>
            </w:r>
            <w:r w:rsidR="00EA2C86" w:rsidRPr="00927778">
              <w:rPr>
                <w:iCs/>
                <w:color w:val="333333"/>
                <w:lang w:val="fr-FR"/>
              </w:rPr>
              <w:t>’</w:t>
            </w:r>
            <w:r w:rsidRPr="00927778">
              <w:rPr>
                <w:iCs/>
                <w:color w:val="333333"/>
                <w:lang w:val="fr-FR"/>
              </w:rPr>
              <w:t>Équateur</w:t>
            </w:r>
            <w:r w:rsidR="00C62A16" w:rsidRPr="00927778">
              <w:rPr>
                <w:iCs/>
                <w:color w:val="333333"/>
                <w:lang w:val="fr-FR"/>
              </w:rPr>
              <w:t>, où l</w:t>
            </w:r>
            <w:r w:rsidR="00EA2C86" w:rsidRPr="00927778">
              <w:rPr>
                <w:iCs/>
                <w:color w:val="333333"/>
                <w:lang w:val="fr-FR"/>
              </w:rPr>
              <w:t>’</w:t>
            </w:r>
            <w:r w:rsidRPr="00927778">
              <w:rPr>
                <w:iCs/>
                <w:color w:val="333333"/>
                <w:lang w:val="fr-FR"/>
              </w:rPr>
              <w:t>équipe</w:t>
            </w:r>
            <w:r w:rsidR="00C62A16" w:rsidRPr="00927778">
              <w:rPr>
                <w:iCs/>
                <w:color w:val="333333"/>
                <w:lang w:val="fr-FR"/>
              </w:rPr>
              <w:t xml:space="preserve"> dynamique</w:t>
            </w:r>
            <w:r w:rsidRPr="00927778">
              <w:rPr>
                <w:iCs/>
                <w:color w:val="333333"/>
                <w:lang w:val="fr-FR"/>
              </w:rPr>
              <w:t xml:space="preserve"> chargée du projet n</w:t>
            </w:r>
            <w:r w:rsidR="00EA2C86" w:rsidRPr="00927778">
              <w:rPr>
                <w:iCs/>
                <w:color w:val="333333"/>
                <w:lang w:val="fr-FR"/>
              </w:rPr>
              <w:t>’</w:t>
            </w:r>
            <w:r w:rsidRPr="00927778">
              <w:rPr>
                <w:iCs/>
                <w:color w:val="333333"/>
                <w:lang w:val="fr-FR"/>
              </w:rPr>
              <w:t>a eu de cesse</w:t>
            </w:r>
            <w:r w:rsidR="00C62A16" w:rsidRPr="00927778">
              <w:rPr>
                <w:iCs/>
                <w:color w:val="333333"/>
                <w:lang w:val="fr-FR"/>
              </w:rPr>
              <w:t>,</w:t>
            </w:r>
            <w:r w:rsidRPr="00927778">
              <w:rPr>
                <w:iCs/>
                <w:color w:val="333333"/>
                <w:lang w:val="fr-FR"/>
              </w:rPr>
              <w:t xml:space="preserve"> au cours des 12</w:t>
            </w:r>
            <w:r w:rsidR="00002037" w:rsidRPr="00927778">
              <w:rPr>
                <w:iCs/>
                <w:color w:val="333333"/>
                <w:lang w:val="fr-FR"/>
              </w:rPr>
              <w:t> </w:t>
            </w:r>
            <w:r w:rsidRPr="00927778">
              <w:rPr>
                <w:iCs/>
                <w:color w:val="333333"/>
                <w:lang w:val="fr-FR"/>
              </w:rPr>
              <w:t>derniers mois</w:t>
            </w:r>
            <w:r w:rsidR="00C62A16" w:rsidRPr="00927778">
              <w:rPr>
                <w:iCs/>
                <w:color w:val="333333"/>
                <w:lang w:val="fr-FR"/>
              </w:rPr>
              <w:t>,</w:t>
            </w:r>
            <w:r w:rsidRPr="00927778">
              <w:rPr>
                <w:iCs/>
                <w:color w:val="333333"/>
                <w:lang w:val="fr-FR"/>
              </w:rPr>
              <w:t xml:space="preserve"> de s</w:t>
            </w:r>
            <w:r w:rsidR="00EA2C86" w:rsidRPr="00927778">
              <w:rPr>
                <w:iCs/>
                <w:color w:val="333333"/>
                <w:lang w:val="fr-FR"/>
              </w:rPr>
              <w:t>’</w:t>
            </w:r>
            <w:r w:rsidRPr="00927778">
              <w:rPr>
                <w:iCs/>
                <w:color w:val="333333"/>
                <w:lang w:val="fr-FR"/>
              </w:rPr>
              <w:t>employer à faire connaître le projet auprès des institutions gouvernementales (en particulier le Ministère du tourisme), des autorités provinciales (dans le cas du projet Géoparc) et des écoles de tourisme et des universités nationales sélectionnées.</w:t>
            </w:r>
          </w:p>
          <w:p w:rsidR="004044B7" w:rsidRPr="00927778" w:rsidRDefault="004044B7" w:rsidP="00D527E8">
            <w:pPr>
              <w:rPr>
                <w:iCs/>
                <w:color w:val="333333"/>
                <w:lang w:val="fr-FR"/>
              </w:rPr>
            </w:pPr>
          </w:p>
        </w:tc>
      </w:tr>
      <w:tr w:rsidR="00047C22" w:rsidRPr="00927778" w:rsidTr="00D527E8">
        <w:trPr>
          <w:trHeight w:val="713"/>
        </w:trPr>
        <w:tc>
          <w:tcPr>
            <w:tcW w:w="2376" w:type="dxa"/>
            <w:shd w:val="clear" w:color="auto" w:fill="auto"/>
          </w:tcPr>
          <w:p w:rsidR="004044B7" w:rsidRPr="00927778" w:rsidRDefault="00EC684F" w:rsidP="00EC684F">
            <w:pPr>
              <w:pStyle w:val="Heading3"/>
              <w:rPr>
                <w:color w:val="333333"/>
                <w:lang w:val="fr-FR"/>
              </w:rPr>
            </w:pPr>
            <w:r w:rsidRPr="00927778">
              <w:rPr>
                <w:color w:val="333333"/>
                <w:lang w:val="fr-FR"/>
              </w:rPr>
              <w:t>Risques et mesures de prévention</w:t>
            </w:r>
          </w:p>
        </w:tc>
        <w:tc>
          <w:tcPr>
            <w:tcW w:w="6912" w:type="dxa"/>
          </w:tcPr>
          <w:p w:rsidR="005E6718" w:rsidRPr="00927778" w:rsidRDefault="005E6718" w:rsidP="00D527E8">
            <w:pPr>
              <w:rPr>
                <w:iCs/>
                <w:color w:val="333333"/>
                <w:lang w:val="fr-FR"/>
              </w:rPr>
            </w:pPr>
          </w:p>
          <w:p w:rsidR="00EA2C86" w:rsidRPr="00927778" w:rsidRDefault="00BC4E1D" w:rsidP="00762B20">
            <w:pPr>
              <w:rPr>
                <w:iCs/>
                <w:color w:val="333333"/>
                <w:lang w:val="fr-FR"/>
              </w:rPr>
            </w:pPr>
            <w:r w:rsidRPr="00927778">
              <w:rPr>
                <w:iCs/>
                <w:color w:val="333333"/>
                <w:lang w:val="fr-FR"/>
              </w:rPr>
              <w:t>Des risques de retard lors de la mise en œuvre du projet au niveau</w:t>
            </w:r>
            <w:r w:rsidR="00CD7317" w:rsidRPr="00927778">
              <w:rPr>
                <w:iCs/>
                <w:color w:val="333333"/>
                <w:lang w:val="fr-FR"/>
              </w:rPr>
              <w:t xml:space="preserve"> n</w:t>
            </w:r>
            <w:r w:rsidRPr="00927778">
              <w:rPr>
                <w:iCs/>
                <w:color w:val="333333"/>
                <w:lang w:val="fr-FR"/>
              </w:rPr>
              <w:t>ational avaient été signalés dans le précédent rapport sur l</w:t>
            </w:r>
            <w:r w:rsidR="00EA2C86" w:rsidRPr="00927778">
              <w:rPr>
                <w:iCs/>
                <w:color w:val="333333"/>
                <w:lang w:val="fr-FR"/>
              </w:rPr>
              <w:t>’</w:t>
            </w:r>
            <w:r w:rsidRPr="00927778">
              <w:rPr>
                <w:iCs/>
                <w:color w:val="333333"/>
                <w:lang w:val="fr-FR"/>
              </w:rPr>
              <w:t>état d</w:t>
            </w:r>
            <w:r w:rsidR="00EA2C86" w:rsidRPr="00927778">
              <w:rPr>
                <w:iCs/>
                <w:color w:val="333333"/>
                <w:lang w:val="fr-FR"/>
              </w:rPr>
              <w:t>’</w:t>
            </w:r>
            <w:r w:rsidRPr="00927778">
              <w:rPr>
                <w:iCs/>
                <w:color w:val="333333"/>
                <w:lang w:val="fr-FR"/>
              </w:rPr>
              <w:t xml:space="preserve">avancement </w:t>
            </w:r>
            <w:r w:rsidR="004044B7" w:rsidRPr="00927778">
              <w:rPr>
                <w:iCs/>
                <w:color w:val="333333"/>
                <w:lang w:val="fr-FR"/>
              </w:rPr>
              <w:t>(CDIP</w:t>
            </w:r>
            <w:r w:rsidR="00002037" w:rsidRPr="00927778">
              <w:rPr>
                <w:iCs/>
                <w:color w:val="333333"/>
                <w:lang w:val="fr-FR"/>
              </w:rPr>
              <w:t> </w:t>
            </w:r>
            <w:r w:rsidR="004044B7" w:rsidRPr="00927778">
              <w:rPr>
                <w:iCs/>
                <w:color w:val="333333"/>
                <w:lang w:val="fr-FR"/>
              </w:rPr>
              <w:t>20/2),</w:t>
            </w:r>
            <w:r w:rsidR="00A6751C" w:rsidRPr="00927778">
              <w:rPr>
                <w:iCs/>
                <w:color w:val="333333"/>
                <w:lang w:val="fr-FR"/>
              </w:rPr>
              <w:t xml:space="preserve"> concernant notamment</w:t>
            </w:r>
            <w:r w:rsidR="004044B7" w:rsidRPr="00927778">
              <w:rPr>
                <w:iCs/>
                <w:color w:val="333333"/>
                <w:lang w:val="fr-FR"/>
              </w:rPr>
              <w:t xml:space="preserve"> (a) </w:t>
            </w:r>
            <w:r w:rsidR="00A6751C" w:rsidRPr="00927778">
              <w:rPr>
                <w:iCs/>
                <w:color w:val="333333"/>
                <w:lang w:val="fr-FR"/>
              </w:rPr>
              <w:t>la réponse peu rapide des agences ou institutions pilotes désignées</w:t>
            </w:r>
            <w:r w:rsidR="0057466D" w:rsidRPr="00927778">
              <w:rPr>
                <w:iCs/>
                <w:color w:val="333333"/>
                <w:lang w:val="fr-FR"/>
              </w:rPr>
              <w:t xml:space="preserve">; </w:t>
            </w:r>
            <w:r w:rsidR="004044B7" w:rsidRPr="00927778">
              <w:rPr>
                <w:iCs/>
                <w:color w:val="333333"/>
                <w:lang w:val="fr-FR"/>
              </w:rPr>
              <w:t xml:space="preserve"> </w:t>
            </w:r>
            <w:r w:rsidR="00A6751C" w:rsidRPr="00927778">
              <w:rPr>
                <w:iCs/>
                <w:color w:val="333333"/>
                <w:lang w:val="fr-FR"/>
              </w:rPr>
              <w:t>et</w:t>
            </w:r>
            <w:r w:rsidR="004044B7" w:rsidRPr="00927778">
              <w:rPr>
                <w:iCs/>
                <w:color w:val="333333"/>
                <w:lang w:val="fr-FR"/>
              </w:rPr>
              <w:t xml:space="preserve"> (b) </w:t>
            </w:r>
            <w:r w:rsidR="00762B20" w:rsidRPr="00927778">
              <w:rPr>
                <w:iCs/>
                <w:color w:val="333333"/>
                <w:lang w:val="fr-FR"/>
              </w:rPr>
              <w:t>le changement de gouvernement et des autorités désignées chargées de la coordination nationale des activités liées au projet</w:t>
            </w:r>
            <w:r w:rsidR="004044B7" w:rsidRPr="00927778">
              <w:rPr>
                <w:iCs/>
                <w:color w:val="333333"/>
                <w:lang w:val="fr-FR"/>
              </w:rPr>
              <w:t>.</w:t>
            </w:r>
          </w:p>
          <w:p w:rsidR="005E6718" w:rsidRPr="00927778" w:rsidRDefault="005E6718" w:rsidP="00D527E8">
            <w:pPr>
              <w:rPr>
                <w:iCs/>
                <w:color w:val="333333"/>
                <w:lang w:val="fr-FR"/>
              </w:rPr>
            </w:pPr>
          </w:p>
          <w:p w:rsidR="00EA2C86" w:rsidRPr="00927778" w:rsidRDefault="00175572" w:rsidP="00D527E8">
            <w:pPr>
              <w:rPr>
                <w:iCs/>
                <w:color w:val="333333"/>
                <w:lang w:val="fr-FR"/>
              </w:rPr>
            </w:pPr>
            <w:r w:rsidRPr="00927778">
              <w:rPr>
                <w:iCs/>
                <w:color w:val="333333"/>
                <w:lang w:val="fr-FR"/>
              </w:rPr>
              <w:t>Au cours de la période considérée dans le présent rapport, certains de ces risques se sont concrétisés, en particulier à la suite de changements internes dans les agences pilotes responsabl</w:t>
            </w:r>
            <w:r w:rsidR="00306E74" w:rsidRPr="00927778">
              <w:rPr>
                <w:iCs/>
                <w:color w:val="333333"/>
                <w:lang w:val="fr-FR"/>
              </w:rPr>
              <w:t>es.  Da</w:t>
            </w:r>
            <w:r w:rsidRPr="00927778">
              <w:rPr>
                <w:iCs/>
                <w:color w:val="333333"/>
                <w:lang w:val="fr-FR"/>
              </w:rPr>
              <w:t xml:space="preserve">ns certains cas </w:t>
            </w:r>
            <w:r w:rsidR="004044B7" w:rsidRPr="00927778">
              <w:rPr>
                <w:iCs/>
                <w:color w:val="333333"/>
                <w:lang w:val="fr-FR"/>
              </w:rPr>
              <w:t>(</w:t>
            </w:r>
            <w:r w:rsidRPr="00927778">
              <w:rPr>
                <w:iCs/>
                <w:color w:val="333333"/>
                <w:lang w:val="fr-FR"/>
              </w:rPr>
              <w:t>É</w:t>
            </w:r>
            <w:r w:rsidR="004044B7" w:rsidRPr="00927778">
              <w:rPr>
                <w:iCs/>
                <w:color w:val="333333"/>
                <w:lang w:val="fr-FR"/>
              </w:rPr>
              <w:t>gypt</w:t>
            </w:r>
            <w:r w:rsidRPr="00927778">
              <w:rPr>
                <w:iCs/>
                <w:color w:val="333333"/>
                <w:lang w:val="fr-FR"/>
              </w:rPr>
              <w:t>e</w:t>
            </w:r>
            <w:r w:rsidR="004044B7" w:rsidRPr="00927778">
              <w:rPr>
                <w:iCs/>
                <w:color w:val="333333"/>
                <w:lang w:val="fr-FR"/>
              </w:rPr>
              <w:t>, Namibi</w:t>
            </w:r>
            <w:r w:rsidRPr="00927778">
              <w:rPr>
                <w:iCs/>
                <w:color w:val="333333"/>
                <w:lang w:val="fr-FR"/>
              </w:rPr>
              <w:t>e, Sri</w:t>
            </w:r>
            <w:r w:rsidR="0057466D" w:rsidRPr="00927778">
              <w:rPr>
                <w:iCs/>
                <w:color w:val="333333"/>
                <w:lang w:val="fr-FR"/>
              </w:rPr>
              <w:t> </w:t>
            </w:r>
            <w:r w:rsidRPr="00927778">
              <w:rPr>
                <w:iCs/>
                <w:color w:val="333333"/>
                <w:lang w:val="fr-FR"/>
              </w:rPr>
              <w:t>Lanka), il a été ardu de maintenir une étroite coordination</w:t>
            </w:r>
            <w:r w:rsidR="004914FE" w:rsidRPr="00927778">
              <w:rPr>
                <w:iCs/>
                <w:color w:val="333333"/>
                <w:lang w:val="fr-FR"/>
              </w:rPr>
              <w:t xml:space="preserve"> </w:t>
            </w:r>
            <w:r w:rsidRPr="00927778">
              <w:rPr>
                <w:iCs/>
                <w:color w:val="333333"/>
                <w:lang w:val="fr-FR"/>
              </w:rPr>
              <w:t>en l</w:t>
            </w:r>
            <w:r w:rsidR="00EA2C86" w:rsidRPr="00927778">
              <w:rPr>
                <w:iCs/>
                <w:color w:val="333333"/>
                <w:lang w:val="fr-FR"/>
              </w:rPr>
              <w:t>’</w:t>
            </w:r>
            <w:r w:rsidRPr="00927778">
              <w:rPr>
                <w:iCs/>
                <w:color w:val="333333"/>
                <w:lang w:val="fr-FR"/>
              </w:rPr>
              <w:t xml:space="preserve">absence de </w:t>
            </w:r>
            <w:r w:rsidR="004914FE" w:rsidRPr="00927778">
              <w:rPr>
                <w:iCs/>
                <w:color w:val="333333"/>
                <w:lang w:val="fr-FR"/>
              </w:rPr>
              <w:t>coordinateurs désignés ou en l</w:t>
            </w:r>
            <w:r w:rsidR="00EA2C86" w:rsidRPr="00927778">
              <w:rPr>
                <w:iCs/>
                <w:color w:val="333333"/>
                <w:lang w:val="fr-FR"/>
              </w:rPr>
              <w:t>’</w:t>
            </w:r>
            <w:r w:rsidR="004914FE" w:rsidRPr="00927778">
              <w:rPr>
                <w:iCs/>
                <w:color w:val="333333"/>
                <w:lang w:val="fr-FR"/>
              </w:rPr>
              <w:t xml:space="preserve">absence </w:t>
            </w:r>
            <w:r w:rsidR="00CD7317" w:rsidRPr="00927778">
              <w:rPr>
                <w:iCs/>
                <w:color w:val="333333"/>
                <w:lang w:val="fr-FR"/>
              </w:rPr>
              <w:t xml:space="preserve">complète de </w:t>
            </w:r>
            <w:r w:rsidR="004914FE" w:rsidRPr="00927778">
              <w:rPr>
                <w:iCs/>
                <w:color w:val="333333"/>
                <w:lang w:val="fr-FR"/>
              </w:rPr>
              <w:t>direction nationale du projet.</w:t>
            </w:r>
          </w:p>
          <w:p w:rsidR="005E6718" w:rsidRPr="00927778" w:rsidRDefault="005E6718" w:rsidP="00D527E8">
            <w:pPr>
              <w:rPr>
                <w:iCs/>
                <w:color w:val="333333"/>
                <w:lang w:val="fr-FR"/>
              </w:rPr>
            </w:pPr>
          </w:p>
          <w:p w:rsidR="00EA2C86" w:rsidRPr="00927778" w:rsidRDefault="0001042C" w:rsidP="00D527E8">
            <w:pPr>
              <w:rPr>
                <w:iCs/>
                <w:color w:val="333333"/>
                <w:lang w:val="fr-FR"/>
              </w:rPr>
            </w:pPr>
            <w:r w:rsidRPr="00927778">
              <w:rPr>
                <w:iCs/>
                <w:color w:val="333333"/>
                <w:lang w:val="fr-FR"/>
              </w:rPr>
              <w:t xml:space="preserve">Dans ce contexte, il faudra surveiller de près, dans le reste du temps imparti à la mise en œuvre du projet, le respect par les États parties de leurs obligations en vertu des accords de coopération et des échanges de lettres visant </w:t>
            </w:r>
            <w:r w:rsidR="008F0718" w:rsidRPr="00927778">
              <w:rPr>
                <w:iCs/>
                <w:color w:val="333333"/>
                <w:lang w:val="fr-FR"/>
              </w:rPr>
              <w:t>à mettre</w:t>
            </w:r>
            <w:r w:rsidRPr="00927778">
              <w:rPr>
                <w:iCs/>
                <w:color w:val="333333"/>
                <w:lang w:val="fr-FR"/>
              </w:rPr>
              <w:t xml:space="preserve"> en œuvre </w:t>
            </w:r>
            <w:r w:rsidR="008F0718" w:rsidRPr="00927778">
              <w:rPr>
                <w:iCs/>
                <w:color w:val="333333"/>
                <w:lang w:val="fr-FR"/>
              </w:rPr>
              <w:t>le</w:t>
            </w:r>
            <w:r w:rsidRPr="00927778">
              <w:rPr>
                <w:iCs/>
                <w:color w:val="333333"/>
                <w:lang w:val="fr-FR"/>
              </w:rPr>
              <w:t xml:space="preserve"> projet.</w:t>
            </w:r>
          </w:p>
          <w:p w:rsidR="005E6718" w:rsidRPr="00927778" w:rsidRDefault="005E6718" w:rsidP="00D527E8">
            <w:pPr>
              <w:rPr>
                <w:iCs/>
                <w:color w:val="333333"/>
                <w:lang w:val="fr-FR"/>
              </w:rPr>
            </w:pPr>
          </w:p>
          <w:p w:rsidR="004044B7" w:rsidRPr="00927778" w:rsidRDefault="008B5507" w:rsidP="008B5507">
            <w:pPr>
              <w:rPr>
                <w:iCs/>
                <w:color w:val="333333"/>
                <w:lang w:val="fr-FR"/>
              </w:rPr>
            </w:pPr>
            <w:r w:rsidRPr="00927778">
              <w:rPr>
                <w:iCs/>
                <w:color w:val="333333"/>
                <w:lang w:val="fr-FR"/>
              </w:rPr>
              <w:t>Au vu des circonstances, u</w:t>
            </w:r>
            <w:r w:rsidR="00B54D48" w:rsidRPr="00927778">
              <w:rPr>
                <w:iCs/>
                <w:color w:val="333333"/>
                <w:lang w:val="fr-FR"/>
              </w:rPr>
              <w:t xml:space="preserve">ne prorogation du projet permettrait </w:t>
            </w:r>
            <w:r w:rsidR="002268C3" w:rsidRPr="00927778">
              <w:rPr>
                <w:iCs/>
                <w:color w:val="333333"/>
                <w:lang w:val="fr-FR"/>
              </w:rPr>
              <w:t>d</w:t>
            </w:r>
            <w:r w:rsidR="00EA2C86" w:rsidRPr="00927778">
              <w:rPr>
                <w:iCs/>
                <w:color w:val="333333"/>
                <w:lang w:val="fr-FR"/>
              </w:rPr>
              <w:t>’</w:t>
            </w:r>
            <w:r w:rsidR="002268C3" w:rsidRPr="00927778">
              <w:rPr>
                <w:iCs/>
                <w:color w:val="333333"/>
                <w:lang w:val="fr-FR"/>
              </w:rPr>
              <w:t>atteindre les</w:t>
            </w:r>
            <w:r w:rsidRPr="00927778">
              <w:rPr>
                <w:iCs/>
                <w:color w:val="333333"/>
                <w:lang w:val="fr-FR"/>
              </w:rPr>
              <w:t xml:space="preserve"> résultats</w:t>
            </w:r>
            <w:r w:rsidR="002268C3" w:rsidRPr="00927778">
              <w:rPr>
                <w:iCs/>
                <w:color w:val="333333"/>
                <w:lang w:val="fr-FR"/>
              </w:rPr>
              <w:t>.</w:t>
            </w:r>
            <w:r w:rsidR="00063DA0" w:rsidRPr="00927778">
              <w:rPr>
                <w:iCs/>
                <w:color w:val="333333"/>
                <w:lang w:val="fr-FR"/>
              </w:rPr>
              <w:t xml:space="preserve"> </w:t>
            </w:r>
            <w:r w:rsidR="0057466D" w:rsidRPr="00927778">
              <w:rPr>
                <w:iCs/>
                <w:color w:val="333333"/>
                <w:lang w:val="fr-FR"/>
              </w:rPr>
              <w:t xml:space="preserve"> </w:t>
            </w:r>
          </w:p>
        </w:tc>
      </w:tr>
      <w:tr w:rsidR="00047C22" w:rsidRPr="00927778" w:rsidTr="00D527E8">
        <w:trPr>
          <w:trHeight w:val="901"/>
        </w:trPr>
        <w:tc>
          <w:tcPr>
            <w:tcW w:w="2376" w:type="dxa"/>
            <w:shd w:val="clear" w:color="auto" w:fill="auto"/>
          </w:tcPr>
          <w:p w:rsidR="004044B7" w:rsidRPr="00927778" w:rsidRDefault="00EC684F" w:rsidP="00EC684F">
            <w:pPr>
              <w:pStyle w:val="Heading3"/>
              <w:rPr>
                <w:color w:val="333333"/>
                <w:lang w:val="fr-FR"/>
              </w:rPr>
            </w:pPr>
            <w:r w:rsidRPr="00927778">
              <w:rPr>
                <w:color w:val="333333"/>
                <w:lang w:val="fr-FR"/>
              </w:rPr>
              <w:t>Questions nécessitant un appui ou une attention immédiats</w:t>
            </w:r>
          </w:p>
        </w:tc>
        <w:tc>
          <w:tcPr>
            <w:tcW w:w="6912" w:type="dxa"/>
          </w:tcPr>
          <w:p w:rsidR="005E6718" w:rsidRPr="00927778" w:rsidRDefault="005E6718" w:rsidP="00D527E8">
            <w:pPr>
              <w:rPr>
                <w:iCs/>
                <w:color w:val="333333"/>
                <w:lang w:val="fr-FR"/>
              </w:rPr>
            </w:pPr>
          </w:p>
          <w:p w:rsidR="00EA2C86" w:rsidRPr="00927778" w:rsidRDefault="001950AA" w:rsidP="00D527E8">
            <w:pPr>
              <w:rPr>
                <w:iCs/>
                <w:color w:val="333333"/>
                <w:lang w:val="fr-FR"/>
              </w:rPr>
            </w:pPr>
            <w:r w:rsidRPr="00927778">
              <w:rPr>
                <w:iCs/>
                <w:color w:val="333333"/>
                <w:lang w:val="fr-FR"/>
              </w:rPr>
              <w:t>Au vu des circonstances susmentionnées, qui ont déjà nu</w:t>
            </w:r>
            <w:r w:rsidR="00687026" w:rsidRPr="00927778">
              <w:rPr>
                <w:iCs/>
                <w:color w:val="333333"/>
                <w:lang w:val="fr-FR"/>
              </w:rPr>
              <w:t>i à la mise en œuvre du projet au niveau national</w:t>
            </w:r>
            <w:r w:rsidRPr="00927778">
              <w:rPr>
                <w:iCs/>
                <w:color w:val="333333"/>
                <w:lang w:val="fr-FR"/>
              </w:rPr>
              <w:t xml:space="preserve"> dans trois</w:t>
            </w:r>
            <w:r w:rsidR="0057466D" w:rsidRPr="00927778">
              <w:rPr>
                <w:iCs/>
                <w:color w:val="333333"/>
                <w:lang w:val="fr-FR"/>
              </w:rPr>
              <w:t> </w:t>
            </w:r>
            <w:r w:rsidR="00687026" w:rsidRPr="00927778">
              <w:rPr>
                <w:iCs/>
                <w:color w:val="333333"/>
                <w:lang w:val="fr-FR"/>
              </w:rPr>
              <w:t xml:space="preserve">des </w:t>
            </w:r>
            <w:r w:rsidRPr="00927778">
              <w:rPr>
                <w:iCs/>
                <w:color w:val="333333"/>
                <w:lang w:val="fr-FR"/>
              </w:rPr>
              <w:t>quatre</w:t>
            </w:r>
            <w:r w:rsidR="0057466D" w:rsidRPr="00927778">
              <w:rPr>
                <w:iCs/>
                <w:color w:val="333333"/>
                <w:lang w:val="fr-FR"/>
              </w:rPr>
              <w:t> </w:t>
            </w:r>
            <w:r w:rsidR="00687026" w:rsidRPr="00927778">
              <w:rPr>
                <w:iCs/>
                <w:color w:val="333333"/>
                <w:lang w:val="fr-FR"/>
              </w:rPr>
              <w:t>pays</w:t>
            </w:r>
            <w:r w:rsidRPr="00927778">
              <w:rPr>
                <w:iCs/>
                <w:color w:val="333333"/>
                <w:lang w:val="fr-FR"/>
              </w:rPr>
              <w:t>, une prorogation de quatre</w:t>
            </w:r>
            <w:r w:rsidR="0057466D" w:rsidRPr="00927778">
              <w:rPr>
                <w:iCs/>
                <w:color w:val="333333"/>
                <w:lang w:val="fr-FR"/>
              </w:rPr>
              <w:t> </w:t>
            </w:r>
            <w:r w:rsidRPr="00927778">
              <w:rPr>
                <w:iCs/>
                <w:color w:val="333333"/>
                <w:lang w:val="fr-FR"/>
              </w:rPr>
              <w:t>mois du projet</w:t>
            </w:r>
            <w:r w:rsidR="007A5E26">
              <w:rPr>
                <w:iCs/>
                <w:color w:val="333333"/>
                <w:lang w:val="fr-FR"/>
              </w:rPr>
              <w:t>, jusqu’au 30 avril 2018,</w:t>
            </w:r>
            <w:r w:rsidRPr="00927778">
              <w:rPr>
                <w:iCs/>
                <w:color w:val="333333"/>
                <w:lang w:val="fr-FR"/>
              </w:rPr>
              <w:t xml:space="preserve"> est requise pour conclure les act</w:t>
            </w:r>
            <w:r w:rsidR="00687026" w:rsidRPr="00927778">
              <w:rPr>
                <w:iCs/>
                <w:color w:val="333333"/>
                <w:lang w:val="fr-FR"/>
              </w:rPr>
              <w:t xml:space="preserve">ivités restantes, conformément </w:t>
            </w:r>
            <w:r w:rsidRPr="00927778">
              <w:rPr>
                <w:iCs/>
                <w:color w:val="333333"/>
                <w:lang w:val="fr-FR"/>
              </w:rPr>
              <w:t>au tableau ci</w:t>
            </w:r>
            <w:r w:rsidR="00CB5AE0" w:rsidRPr="00927778">
              <w:rPr>
                <w:iCs/>
                <w:color w:val="333333"/>
                <w:lang w:val="fr-FR"/>
              </w:rPr>
              <w:noBreakHyphen/>
            </w:r>
            <w:r w:rsidRPr="00927778">
              <w:rPr>
                <w:iCs/>
                <w:color w:val="333333"/>
                <w:lang w:val="fr-FR"/>
              </w:rPr>
              <w:t>joint relatif à la mise en œuvre.</w:t>
            </w:r>
          </w:p>
          <w:p w:rsidR="00150213" w:rsidRPr="00927778" w:rsidRDefault="00150213" w:rsidP="00D527E8">
            <w:pPr>
              <w:rPr>
                <w:iCs/>
                <w:color w:val="333333"/>
                <w:lang w:val="fr-FR"/>
              </w:rPr>
            </w:pPr>
          </w:p>
        </w:tc>
      </w:tr>
      <w:tr w:rsidR="00047C22" w:rsidRPr="00927778" w:rsidTr="00D527E8">
        <w:trPr>
          <w:trHeight w:val="1081"/>
        </w:trPr>
        <w:tc>
          <w:tcPr>
            <w:tcW w:w="2376" w:type="dxa"/>
            <w:shd w:val="clear" w:color="auto" w:fill="auto"/>
          </w:tcPr>
          <w:p w:rsidR="004044B7" w:rsidRPr="00927778" w:rsidRDefault="00EC684F" w:rsidP="00EC684F">
            <w:pPr>
              <w:pStyle w:val="Heading3"/>
              <w:rPr>
                <w:color w:val="333333"/>
                <w:lang w:val="fr-FR"/>
              </w:rPr>
            </w:pPr>
            <w:r w:rsidRPr="00927778">
              <w:rPr>
                <w:color w:val="333333"/>
                <w:lang w:val="fr-FR"/>
              </w:rPr>
              <w:t>Mesures à prendre</w:t>
            </w:r>
          </w:p>
        </w:tc>
        <w:tc>
          <w:tcPr>
            <w:tcW w:w="6912" w:type="dxa"/>
          </w:tcPr>
          <w:p w:rsidR="005E6718" w:rsidRPr="00927778" w:rsidRDefault="005E6718" w:rsidP="00D527E8">
            <w:pPr>
              <w:rPr>
                <w:iCs/>
                <w:color w:val="333333"/>
                <w:lang w:val="fr-FR"/>
              </w:rPr>
            </w:pPr>
          </w:p>
          <w:p w:rsidR="00EA2C86" w:rsidRPr="00927778" w:rsidRDefault="000A7146" w:rsidP="00D527E8">
            <w:pPr>
              <w:rPr>
                <w:iCs/>
                <w:color w:val="333333"/>
                <w:lang w:val="fr-FR"/>
              </w:rPr>
            </w:pPr>
            <w:r w:rsidRPr="00927778">
              <w:rPr>
                <w:iCs/>
                <w:color w:val="333333"/>
                <w:lang w:val="fr-FR"/>
              </w:rPr>
              <w:t>Des d</w:t>
            </w:r>
            <w:r w:rsidR="004044B7" w:rsidRPr="00927778">
              <w:rPr>
                <w:iCs/>
                <w:color w:val="333333"/>
                <w:lang w:val="fr-FR"/>
              </w:rPr>
              <w:t xml:space="preserve">iscussions </w:t>
            </w:r>
            <w:r w:rsidRPr="00927778">
              <w:rPr>
                <w:iCs/>
                <w:color w:val="333333"/>
                <w:lang w:val="fr-FR"/>
              </w:rPr>
              <w:t>avec les agences pilotes en Égypte, en Namibie et à Sri</w:t>
            </w:r>
            <w:r w:rsidR="0057466D" w:rsidRPr="00927778">
              <w:rPr>
                <w:iCs/>
                <w:color w:val="333333"/>
                <w:lang w:val="fr-FR"/>
              </w:rPr>
              <w:t> </w:t>
            </w:r>
            <w:r w:rsidRPr="00927778">
              <w:rPr>
                <w:iCs/>
                <w:color w:val="333333"/>
                <w:lang w:val="fr-FR"/>
              </w:rPr>
              <w:t>Lanka sont en cours afin de constituer de nouvelles équipes chargées du projet et d</w:t>
            </w:r>
            <w:r w:rsidR="00EA2C86" w:rsidRPr="00927778">
              <w:rPr>
                <w:iCs/>
                <w:color w:val="333333"/>
                <w:lang w:val="fr-FR"/>
              </w:rPr>
              <w:t>’</w:t>
            </w:r>
            <w:r w:rsidRPr="00927778">
              <w:rPr>
                <w:iCs/>
                <w:color w:val="333333"/>
                <w:lang w:val="fr-FR"/>
              </w:rPr>
              <w:t>établir des plans de travail réalist</w:t>
            </w:r>
            <w:r w:rsidR="00306E74" w:rsidRPr="00927778">
              <w:rPr>
                <w:iCs/>
                <w:color w:val="333333"/>
                <w:lang w:val="fr-FR"/>
              </w:rPr>
              <w:t>es.  La</w:t>
            </w:r>
            <w:r w:rsidRPr="00927778">
              <w:rPr>
                <w:iCs/>
                <w:color w:val="333333"/>
                <w:lang w:val="fr-FR"/>
              </w:rPr>
              <w:t xml:space="preserve"> coordination se poursuivra également avec</w:t>
            </w:r>
            <w:r w:rsidR="00EA2C86" w:rsidRPr="00927778">
              <w:rPr>
                <w:iCs/>
                <w:color w:val="333333"/>
                <w:lang w:val="fr-FR"/>
              </w:rPr>
              <w:t xml:space="preserve"> le SEN</w:t>
            </w:r>
            <w:r w:rsidRPr="00927778">
              <w:rPr>
                <w:iCs/>
                <w:color w:val="333333"/>
                <w:lang w:val="fr-FR"/>
              </w:rPr>
              <w:t>ADI en Équateur dont l</w:t>
            </w:r>
            <w:r w:rsidR="00EA2C86" w:rsidRPr="00927778">
              <w:rPr>
                <w:iCs/>
                <w:color w:val="333333"/>
                <w:lang w:val="fr-FR"/>
              </w:rPr>
              <w:t>’</w:t>
            </w:r>
            <w:r w:rsidRPr="00927778">
              <w:rPr>
                <w:iCs/>
                <w:color w:val="333333"/>
                <w:lang w:val="fr-FR"/>
              </w:rPr>
              <w:t xml:space="preserve">équipe efficace </w:t>
            </w:r>
            <w:r w:rsidR="0090233F" w:rsidRPr="00927778">
              <w:rPr>
                <w:iCs/>
                <w:color w:val="333333"/>
                <w:lang w:val="fr-FR"/>
              </w:rPr>
              <w:t>et bien coordonnée est toujours en place, même si des changements de direction ont été annoncés.</w:t>
            </w:r>
          </w:p>
          <w:p w:rsidR="005E6718" w:rsidRPr="00927778" w:rsidRDefault="005E6718" w:rsidP="00D527E8">
            <w:pPr>
              <w:rPr>
                <w:iCs/>
                <w:color w:val="333333"/>
                <w:lang w:val="fr-FR"/>
              </w:rPr>
            </w:pPr>
          </w:p>
          <w:p w:rsidR="005E6718" w:rsidRPr="00927778" w:rsidRDefault="0090233F" w:rsidP="00D527E8">
            <w:pPr>
              <w:rPr>
                <w:iCs/>
                <w:color w:val="333333"/>
                <w:lang w:val="fr-FR"/>
              </w:rPr>
            </w:pPr>
            <w:r w:rsidRPr="00927778">
              <w:rPr>
                <w:iCs/>
                <w:color w:val="333333"/>
                <w:lang w:val="fr-FR"/>
              </w:rPr>
              <w:t xml:space="preserve">En Équateur, en Namibie, à </w:t>
            </w:r>
            <w:r w:rsidR="004044B7" w:rsidRPr="00927778">
              <w:rPr>
                <w:iCs/>
                <w:color w:val="333333"/>
                <w:lang w:val="fr-FR"/>
              </w:rPr>
              <w:t>Sri</w:t>
            </w:r>
            <w:r w:rsidR="0057466D" w:rsidRPr="00927778">
              <w:rPr>
                <w:iCs/>
                <w:color w:val="333333"/>
                <w:lang w:val="fr-FR"/>
              </w:rPr>
              <w:t> </w:t>
            </w:r>
            <w:r w:rsidR="004044B7" w:rsidRPr="00927778">
              <w:rPr>
                <w:iCs/>
                <w:color w:val="333333"/>
                <w:lang w:val="fr-FR"/>
              </w:rPr>
              <w:t>Lanka</w:t>
            </w:r>
            <w:r w:rsidRPr="00927778">
              <w:rPr>
                <w:iCs/>
                <w:color w:val="333333"/>
                <w:lang w:val="fr-FR"/>
              </w:rPr>
              <w:t>, la priorité sera donnée à la finalisation de la mission actuelle visant à élaborer des supports d</w:t>
            </w:r>
            <w:r w:rsidR="00EA2C86" w:rsidRPr="00927778">
              <w:rPr>
                <w:iCs/>
                <w:color w:val="333333"/>
                <w:lang w:val="fr-FR"/>
              </w:rPr>
              <w:t>’</w:t>
            </w:r>
            <w:r w:rsidRPr="00927778">
              <w:rPr>
                <w:iCs/>
                <w:color w:val="333333"/>
                <w:lang w:val="fr-FR"/>
              </w:rPr>
              <w:t xml:space="preserve">enseignement </w:t>
            </w:r>
            <w:r w:rsidR="00A343CA" w:rsidRPr="00927778">
              <w:rPr>
                <w:iCs/>
                <w:color w:val="333333"/>
                <w:lang w:val="fr-FR"/>
              </w:rPr>
              <w:t xml:space="preserve">portant </w:t>
            </w:r>
            <w:r w:rsidRPr="00927778">
              <w:rPr>
                <w:iCs/>
                <w:color w:val="333333"/>
                <w:lang w:val="fr-FR"/>
              </w:rPr>
              <w:t>sur l</w:t>
            </w:r>
            <w:r w:rsidR="00EA2C86" w:rsidRPr="00927778">
              <w:rPr>
                <w:iCs/>
                <w:color w:val="333333"/>
                <w:lang w:val="fr-FR"/>
              </w:rPr>
              <w:t>’</w:t>
            </w:r>
            <w:r w:rsidRPr="00927778">
              <w:rPr>
                <w:iCs/>
                <w:color w:val="333333"/>
                <w:lang w:val="fr-FR"/>
              </w:rPr>
              <w:t>utilisation de la propriété intellectuelle dans le secteur du touris</w:t>
            </w:r>
            <w:r w:rsidR="00306E74" w:rsidRPr="00927778">
              <w:rPr>
                <w:iCs/>
                <w:color w:val="333333"/>
                <w:lang w:val="fr-FR"/>
              </w:rPr>
              <w:t>me.  Pa</w:t>
            </w:r>
            <w:r w:rsidR="00A343CA" w:rsidRPr="00927778">
              <w:rPr>
                <w:iCs/>
                <w:color w:val="333333"/>
                <w:lang w:val="fr-FR"/>
              </w:rPr>
              <w:t>r ailleurs, l</w:t>
            </w:r>
            <w:r w:rsidR="00EA2C86" w:rsidRPr="00927778">
              <w:rPr>
                <w:iCs/>
                <w:color w:val="333333"/>
                <w:lang w:val="fr-FR"/>
              </w:rPr>
              <w:t>’</w:t>
            </w:r>
            <w:r w:rsidR="005A51DE" w:rsidRPr="00927778">
              <w:rPr>
                <w:iCs/>
                <w:color w:val="333333"/>
                <w:lang w:val="fr-FR"/>
              </w:rPr>
              <w:t>intégration de ces supports aux cursus universitaire</w:t>
            </w:r>
            <w:r w:rsidR="00306E74" w:rsidRPr="00927778">
              <w:rPr>
                <w:iCs/>
                <w:color w:val="333333"/>
                <w:lang w:val="fr-FR"/>
              </w:rPr>
              <w:t>s devra également être adoptée.</w:t>
            </w:r>
          </w:p>
          <w:p w:rsidR="00306E74" w:rsidRPr="00927778" w:rsidRDefault="00306E74" w:rsidP="00D527E8">
            <w:pPr>
              <w:rPr>
                <w:iCs/>
                <w:color w:val="333333"/>
                <w:lang w:val="fr-FR"/>
              </w:rPr>
            </w:pPr>
          </w:p>
          <w:p w:rsidR="005E6718" w:rsidRPr="00927778" w:rsidRDefault="00F8241C" w:rsidP="00D527E8">
            <w:pPr>
              <w:rPr>
                <w:iCs/>
                <w:color w:val="333333"/>
                <w:lang w:val="fr-FR"/>
              </w:rPr>
            </w:pPr>
            <w:r w:rsidRPr="00927778">
              <w:rPr>
                <w:iCs/>
                <w:color w:val="333333"/>
                <w:lang w:val="fr-FR"/>
              </w:rPr>
              <w:t>En É</w:t>
            </w:r>
            <w:r w:rsidR="004044B7" w:rsidRPr="00927778">
              <w:rPr>
                <w:iCs/>
                <w:color w:val="333333"/>
                <w:lang w:val="fr-FR"/>
              </w:rPr>
              <w:t>gypt</w:t>
            </w:r>
            <w:r w:rsidRPr="00927778">
              <w:rPr>
                <w:iCs/>
                <w:color w:val="333333"/>
                <w:lang w:val="fr-FR"/>
              </w:rPr>
              <w:t>e</w:t>
            </w:r>
            <w:r w:rsidR="004044B7" w:rsidRPr="00927778">
              <w:rPr>
                <w:iCs/>
                <w:color w:val="333333"/>
                <w:lang w:val="fr-FR"/>
              </w:rPr>
              <w:t xml:space="preserve">, </w:t>
            </w:r>
            <w:r w:rsidRPr="00927778">
              <w:rPr>
                <w:iCs/>
                <w:color w:val="333333"/>
                <w:lang w:val="fr-FR"/>
              </w:rPr>
              <w:t>la</w:t>
            </w:r>
            <w:r w:rsidR="004044B7" w:rsidRPr="00927778">
              <w:rPr>
                <w:iCs/>
                <w:color w:val="333333"/>
                <w:lang w:val="fr-FR"/>
              </w:rPr>
              <w:t xml:space="preserve"> priorit</w:t>
            </w:r>
            <w:r w:rsidRPr="00927778">
              <w:rPr>
                <w:iCs/>
                <w:color w:val="333333"/>
                <w:lang w:val="fr-FR"/>
              </w:rPr>
              <w:t xml:space="preserve">é consistera à </w:t>
            </w:r>
            <w:r w:rsidR="0001042C" w:rsidRPr="00927778">
              <w:rPr>
                <w:iCs/>
                <w:color w:val="333333"/>
                <w:lang w:val="fr-FR"/>
              </w:rPr>
              <w:t>obtenir</w:t>
            </w:r>
            <w:r w:rsidRPr="00927778">
              <w:rPr>
                <w:iCs/>
                <w:color w:val="333333"/>
                <w:lang w:val="fr-FR"/>
              </w:rPr>
              <w:t xml:space="preserve"> l</w:t>
            </w:r>
            <w:r w:rsidR="00EA2C86" w:rsidRPr="00927778">
              <w:rPr>
                <w:iCs/>
                <w:color w:val="333333"/>
                <w:lang w:val="fr-FR"/>
              </w:rPr>
              <w:t>’</w:t>
            </w:r>
            <w:r w:rsidRPr="00927778">
              <w:rPr>
                <w:iCs/>
                <w:color w:val="333333"/>
                <w:lang w:val="fr-FR"/>
              </w:rPr>
              <w:t xml:space="preserve">appui des décideurs politiques de haut niveau </w:t>
            </w:r>
            <w:r w:rsidR="001C7643" w:rsidRPr="00927778">
              <w:rPr>
                <w:iCs/>
                <w:color w:val="333333"/>
                <w:lang w:val="fr-FR"/>
              </w:rPr>
              <w:t>afin d</w:t>
            </w:r>
            <w:r w:rsidR="00EA2C86" w:rsidRPr="00927778">
              <w:rPr>
                <w:iCs/>
                <w:color w:val="333333"/>
                <w:lang w:val="fr-FR"/>
              </w:rPr>
              <w:t>’</w:t>
            </w:r>
            <w:r w:rsidRPr="00927778">
              <w:rPr>
                <w:iCs/>
                <w:color w:val="333333"/>
                <w:lang w:val="fr-FR"/>
              </w:rPr>
              <w:t>organis</w:t>
            </w:r>
            <w:r w:rsidR="001C7643" w:rsidRPr="00927778">
              <w:rPr>
                <w:iCs/>
                <w:color w:val="333333"/>
                <w:lang w:val="fr-FR"/>
              </w:rPr>
              <w:t xml:space="preserve">er </w:t>
            </w:r>
            <w:r w:rsidRPr="00927778">
              <w:rPr>
                <w:iCs/>
                <w:color w:val="333333"/>
                <w:lang w:val="fr-FR"/>
              </w:rPr>
              <w:t xml:space="preserve">une activité de sensibilisation </w:t>
            </w:r>
            <w:r w:rsidR="007C493F" w:rsidRPr="00927778">
              <w:rPr>
                <w:iCs/>
                <w:color w:val="333333"/>
                <w:lang w:val="fr-FR"/>
              </w:rPr>
              <w:t>jouissant de l</w:t>
            </w:r>
            <w:r w:rsidR="00EA2C86" w:rsidRPr="00927778">
              <w:rPr>
                <w:iCs/>
                <w:color w:val="333333"/>
                <w:lang w:val="fr-FR"/>
              </w:rPr>
              <w:t>’</w:t>
            </w:r>
            <w:r w:rsidR="007C493F" w:rsidRPr="00927778">
              <w:rPr>
                <w:iCs/>
                <w:color w:val="333333"/>
                <w:lang w:val="fr-FR"/>
              </w:rPr>
              <w:t xml:space="preserve">aval de tous les acteurs du tourisme et </w:t>
            </w:r>
            <w:r w:rsidR="001C7643" w:rsidRPr="00927778">
              <w:rPr>
                <w:iCs/>
                <w:color w:val="333333"/>
                <w:lang w:val="fr-FR"/>
              </w:rPr>
              <w:t>de la protection</w:t>
            </w:r>
            <w:r w:rsidR="00F75DC2" w:rsidRPr="00927778">
              <w:rPr>
                <w:iCs/>
                <w:color w:val="333333"/>
                <w:lang w:val="fr-FR"/>
              </w:rPr>
              <w:t xml:space="preserve"> </w:t>
            </w:r>
            <w:r w:rsidR="007C493F" w:rsidRPr="00927778">
              <w:rPr>
                <w:iCs/>
                <w:color w:val="333333"/>
                <w:lang w:val="fr-FR"/>
              </w:rPr>
              <w:t>du patrimoine culturel.</w:t>
            </w:r>
            <w:r w:rsidR="004044B7" w:rsidRPr="00927778">
              <w:rPr>
                <w:iCs/>
                <w:color w:val="333333"/>
                <w:lang w:val="fr-FR"/>
              </w:rPr>
              <w:br/>
            </w:r>
          </w:p>
          <w:p w:rsidR="005E6718" w:rsidRPr="00927778" w:rsidRDefault="00E82BC9" w:rsidP="00D527E8">
            <w:pPr>
              <w:rPr>
                <w:iCs/>
                <w:color w:val="333333"/>
                <w:lang w:val="fr-FR"/>
              </w:rPr>
            </w:pPr>
            <w:r w:rsidRPr="00927778">
              <w:rPr>
                <w:iCs/>
                <w:color w:val="333333"/>
                <w:lang w:val="fr-FR"/>
              </w:rPr>
              <w:t>Dans les quatre</w:t>
            </w:r>
            <w:r w:rsidR="0057466D" w:rsidRPr="00927778">
              <w:rPr>
                <w:iCs/>
                <w:color w:val="333333"/>
                <w:lang w:val="fr-FR"/>
              </w:rPr>
              <w:t> </w:t>
            </w:r>
            <w:r w:rsidRPr="00927778">
              <w:rPr>
                <w:iCs/>
                <w:color w:val="333333"/>
                <w:lang w:val="fr-FR"/>
              </w:rPr>
              <w:t xml:space="preserve">pays, les obligations contractées par </w:t>
            </w:r>
            <w:r w:rsidR="00742DFB" w:rsidRPr="00927778">
              <w:rPr>
                <w:iCs/>
                <w:color w:val="333333"/>
                <w:lang w:val="fr-FR"/>
              </w:rPr>
              <w:t xml:space="preserve">les </w:t>
            </w:r>
            <w:r w:rsidRPr="00927778">
              <w:rPr>
                <w:iCs/>
                <w:color w:val="333333"/>
                <w:lang w:val="fr-FR"/>
              </w:rPr>
              <w:t xml:space="preserve">États parties en vertu des accords de coopération actuels seront </w:t>
            </w:r>
            <w:r w:rsidR="009163A6" w:rsidRPr="00927778">
              <w:rPr>
                <w:iCs/>
                <w:color w:val="333333"/>
                <w:lang w:val="fr-FR"/>
              </w:rPr>
              <w:t>analysées en détail afin de réévaluer les cadres institutionnels susceptibles de garantir la durabilité du projet au</w:t>
            </w:r>
            <w:r w:rsidR="00CB5AE0" w:rsidRPr="00927778">
              <w:rPr>
                <w:iCs/>
                <w:color w:val="333333"/>
                <w:lang w:val="fr-FR"/>
              </w:rPr>
              <w:noBreakHyphen/>
            </w:r>
            <w:r w:rsidR="009163A6" w:rsidRPr="00927778">
              <w:rPr>
                <w:iCs/>
                <w:color w:val="333333"/>
                <w:lang w:val="fr-FR"/>
              </w:rPr>
              <w:t xml:space="preserve">delà du cycle </w:t>
            </w:r>
            <w:r w:rsidR="00CD704C" w:rsidRPr="00927778">
              <w:rPr>
                <w:iCs/>
                <w:color w:val="333333"/>
                <w:lang w:val="fr-FR"/>
              </w:rPr>
              <w:t>en cours</w:t>
            </w:r>
            <w:r w:rsidR="00306E74" w:rsidRPr="00927778">
              <w:rPr>
                <w:iCs/>
                <w:color w:val="333333"/>
                <w:lang w:val="fr-FR"/>
              </w:rPr>
              <w:t>.</w:t>
            </w:r>
          </w:p>
          <w:p w:rsidR="00306E74" w:rsidRPr="00927778" w:rsidRDefault="00306E74" w:rsidP="00D527E8">
            <w:pPr>
              <w:rPr>
                <w:iCs/>
                <w:color w:val="333333"/>
                <w:lang w:val="fr-FR"/>
              </w:rPr>
            </w:pPr>
          </w:p>
          <w:p w:rsidR="00EA2C86" w:rsidRPr="00927778" w:rsidRDefault="00631B4A" w:rsidP="005D4FA6">
            <w:pPr>
              <w:rPr>
                <w:iCs/>
                <w:color w:val="333333"/>
                <w:lang w:val="fr-FR"/>
              </w:rPr>
            </w:pPr>
            <w:r w:rsidRPr="00927778">
              <w:rPr>
                <w:iCs/>
                <w:color w:val="333333"/>
                <w:lang w:val="fr-FR"/>
              </w:rPr>
              <w:t>Enfin, il sera porté une attention accrue à la révision et la finalisation du guide pratique</w:t>
            </w:r>
            <w:r w:rsidRPr="00927778">
              <w:rPr>
                <w:color w:val="333333"/>
                <w:lang w:val="fr-FR"/>
              </w:rPr>
              <w:t xml:space="preserve"> </w:t>
            </w:r>
            <w:r w:rsidRPr="00927778">
              <w:rPr>
                <w:iCs/>
                <w:color w:val="333333"/>
                <w:lang w:val="fr-FR"/>
              </w:rPr>
              <w:t>concernant la propriét</w:t>
            </w:r>
            <w:r w:rsidR="008037FE" w:rsidRPr="00927778">
              <w:rPr>
                <w:iCs/>
                <w:color w:val="333333"/>
                <w:lang w:val="fr-FR"/>
              </w:rPr>
              <w:t>é intellectuelle et le tourisme, qui se sont avérées des tâches plus difficiles que prévu.</w:t>
            </w:r>
          </w:p>
          <w:p w:rsidR="00775FF2" w:rsidRPr="00927778" w:rsidRDefault="00775FF2" w:rsidP="005D4FA6">
            <w:pPr>
              <w:rPr>
                <w:color w:val="333333"/>
                <w:lang w:val="fr-FR"/>
              </w:rPr>
            </w:pPr>
          </w:p>
        </w:tc>
      </w:tr>
      <w:tr w:rsidR="00047C22" w:rsidRPr="00927778" w:rsidTr="00AB7EC2">
        <w:tc>
          <w:tcPr>
            <w:tcW w:w="2376" w:type="dxa"/>
            <w:shd w:val="clear" w:color="auto" w:fill="auto"/>
          </w:tcPr>
          <w:p w:rsidR="004044B7" w:rsidRPr="00927778" w:rsidRDefault="00E031C6" w:rsidP="00E031C6">
            <w:pPr>
              <w:pStyle w:val="Heading3"/>
              <w:keepNext w:val="0"/>
              <w:rPr>
                <w:color w:val="333333"/>
                <w:lang w:val="fr-FR"/>
              </w:rPr>
            </w:pPr>
            <w:r w:rsidRPr="00927778">
              <w:rPr>
                <w:color w:val="333333"/>
                <w:lang w:val="fr-FR"/>
              </w:rPr>
              <w:t>Calendrier de mise en œuvre</w:t>
            </w:r>
          </w:p>
        </w:tc>
        <w:tc>
          <w:tcPr>
            <w:tcW w:w="6912" w:type="dxa"/>
          </w:tcPr>
          <w:p w:rsidR="005E6718" w:rsidRPr="00927778" w:rsidRDefault="005E6718" w:rsidP="00AB7EC2">
            <w:pPr>
              <w:rPr>
                <w:iCs/>
                <w:color w:val="333333"/>
                <w:lang w:val="fr-FR"/>
              </w:rPr>
            </w:pPr>
          </w:p>
          <w:p w:rsidR="00EA2C86" w:rsidRPr="00927778" w:rsidRDefault="00DB0B35" w:rsidP="00AB7EC2">
            <w:pPr>
              <w:rPr>
                <w:iCs/>
                <w:color w:val="333333"/>
                <w:lang w:val="fr-FR"/>
              </w:rPr>
            </w:pPr>
            <w:r w:rsidRPr="00927778">
              <w:rPr>
                <w:iCs/>
                <w:color w:val="333333"/>
                <w:lang w:val="fr-FR"/>
              </w:rPr>
              <w:t>Voir tableau ci</w:t>
            </w:r>
            <w:r w:rsidR="00CB5AE0" w:rsidRPr="00927778">
              <w:rPr>
                <w:iCs/>
                <w:color w:val="333333"/>
                <w:lang w:val="fr-FR"/>
              </w:rPr>
              <w:noBreakHyphen/>
            </w:r>
            <w:r w:rsidRPr="00927778">
              <w:rPr>
                <w:iCs/>
                <w:color w:val="333333"/>
                <w:lang w:val="fr-FR"/>
              </w:rPr>
              <w:t>joint.</w:t>
            </w:r>
          </w:p>
          <w:p w:rsidR="00AB7EC2" w:rsidRPr="00927778" w:rsidRDefault="00AB7EC2" w:rsidP="00AB7EC2">
            <w:pPr>
              <w:rPr>
                <w:iCs/>
                <w:color w:val="333333"/>
                <w:lang w:val="fr-FR"/>
              </w:rPr>
            </w:pPr>
          </w:p>
        </w:tc>
      </w:tr>
      <w:tr w:rsidR="00047C22" w:rsidRPr="00927778" w:rsidTr="00D527E8">
        <w:trPr>
          <w:trHeight w:val="848"/>
        </w:trPr>
        <w:tc>
          <w:tcPr>
            <w:tcW w:w="2376" w:type="dxa"/>
            <w:shd w:val="clear" w:color="auto" w:fill="auto"/>
          </w:tcPr>
          <w:p w:rsidR="004044B7" w:rsidRPr="00927778" w:rsidRDefault="00E031C6" w:rsidP="00E031C6">
            <w:pPr>
              <w:pStyle w:val="Heading3"/>
              <w:rPr>
                <w:color w:val="333333"/>
                <w:lang w:val="fr-FR"/>
              </w:rPr>
            </w:pPr>
            <w:r w:rsidRPr="00927778">
              <w:rPr>
                <w:color w:val="333333"/>
                <w:lang w:val="fr-FR"/>
              </w:rPr>
              <w:t>Taux d</w:t>
            </w:r>
            <w:r w:rsidR="00EA2C86" w:rsidRPr="00927778">
              <w:rPr>
                <w:color w:val="333333"/>
                <w:lang w:val="fr-FR"/>
              </w:rPr>
              <w:t>’</w:t>
            </w:r>
            <w:r w:rsidRPr="00927778">
              <w:rPr>
                <w:color w:val="333333"/>
                <w:lang w:val="fr-FR"/>
              </w:rPr>
              <w:t>exécution du projet</w:t>
            </w:r>
            <w:r w:rsidR="004044B7" w:rsidRPr="00927778">
              <w:rPr>
                <w:color w:val="333333"/>
                <w:lang w:val="fr-FR"/>
              </w:rPr>
              <w:t xml:space="preserve"> </w:t>
            </w:r>
          </w:p>
        </w:tc>
        <w:tc>
          <w:tcPr>
            <w:tcW w:w="6912" w:type="dxa"/>
          </w:tcPr>
          <w:p w:rsidR="005E6718" w:rsidRPr="00927778" w:rsidRDefault="005E6718" w:rsidP="00D527E8">
            <w:pPr>
              <w:rPr>
                <w:color w:val="333333"/>
                <w:szCs w:val="22"/>
                <w:lang w:val="fr-FR"/>
              </w:rPr>
            </w:pPr>
          </w:p>
          <w:p w:rsidR="004044B7" w:rsidRPr="00927778" w:rsidRDefault="00F42A0E" w:rsidP="00F42A0E">
            <w:pPr>
              <w:rPr>
                <w:iCs/>
                <w:color w:val="333333"/>
                <w:lang w:val="fr-FR"/>
              </w:rPr>
            </w:pPr>
            <w:r w:rsidRPr="00927778">
              <w:rPr>
                <w:iCs/>
                <w:color w:val="333333"/>
                <w:lang w:val="fr-FR"/>
              </w:rPr>
              <w:t>Taux d</w:t>
            </w:r>
            <w:r w:rsidR="00EA2C86" w:rsidRPr="00927778">
              <w:rPr>
                <w:iCs/>
                <w:color w:val="333333"/>
                <w:lang w:val="fr-FR"/>
              </w:rPr>
              <w:t>’</w:t>
            </w:r>
            <w:r w:rsidRPr="00927778">
              <w:rPr>
                <w:iCs/>
                <w:color w:val="333333"/>
                <w:lang w:val="fr-FR"/>
              </w:rPr>
              <w:t>utilisation du budget à la fin du mois d</w:t>
            </w:r>
            <w:r w:rsidR="00EA2C86" w:rsidRPr="00927778">
              <w:rPr>
                <w:iCs/>
                <w:color w:val="333333"/>
                <w:lang w:val="fr-FR"/>
              </w:rPr>
              <w:t>’août 20</w:t>
            </w:r>
            <w:r w:rsidRPr="00927778">
              <w:rPr>
                <w:iCs/>
                <w:color w:val="333333"/>
                <w:lang w:val="fr-FR"/>
              </w:rPr>
              <w:t>18</w:t>
            </w:r>
            <w:r w:rsidR="00EA2C86" w:rsidRPr="00927778">
              <w:rPr>
                <w:iCs/>
                <w:color w:val="333333"/>
                <w:lang w:val="fr-FR"/>
              </w:rPr>
              <w:t> :</w:t>
            </w:r>
            <w:r w:rsidR="00EE410A" w:rsidRPr="00927778">
              <w:rPr>
                <w:iCs/>
                <w:color w:val="333333"/>
                <w:lang w:val="fr-FR"/>
              </w:rPr>
              <w:t xml:space="preserve"> 75%</w:t>
            </w:r>
          </w:p>
        </w:tc>
      </w:tr>
      <w:tr w:rsidR="00047C22" w:rsidRPr="00927778" w:rsidTr="00D527E8">
        <w:trPr>
          <w:trHeight w:val="848"/>
        </w:trPr>
        <w:tc>
          <w:tcPr>
            <w:tcW w:w="2376" w:type="dxa"/>
            <w:shd w:val="clear" w:color="auto" w:fill="auto"/>
          </w:tcPr>
          <w:p w:rsidR="004044B7" w:rsidRPr="00927778" w:rsidRDefault="00E031C6" w:rsidP="00E031C6">
            <w:pPr>
              <w:pStyle w:val="Heading3"/>
              <w:rPr>
                <w:color w:val="333333"/>
                <w:lang w:val="fr-FR"/>
              </w:rPr>
            </w:pPr>
            <w:r w:rsidRPr="00927778">
              <w:rPr>
                <w:color w:val="333333"/>
                <w:lang w:val="fr-FR"/>
              </w:rPr>
              <w:t>Rapports précédents</w:t>
            </w:r>
          </w:p>
        </w:tc>
        <w:tc>
          <w:tcPr>
            <w:tcW w:w="6912" w:type="dxa"/>
          </w:tcPr>
          <w:p w:rsidR="005E6718" w:rsidRPr="00927778" w:rsidRDefault="005E6718" w:rsidP="00D527E8">
            <w:pPr>
              <w:rPr>
                <w:iCs/>
                <w:color w:val="333333"/>
                <w:lang w:val="fr-FR"/>
              </w:rPr>
            </w:pPr>
          </w:p>
          <w:p w:rsidR="00EA2C86" w:rsidRPr="00927778" w:rsidRDefault="00E031C6" w:rsidP="00E031C6">
            <w:pPr>
              <w:rPr>
                <w:iCs/>
                <w:color w:val="333333"/>
                <w:lang w:val="fr-FR"/>
              </w:rPr>
            </w:pPr>
            <w:r w:rsidRPr="00927778">
              <w:rPr>
                <w:iCs/>
                <w:color w:val="333333"/>
                <w:lang w:val="fr-FR"/>
              </w:rPr>
              <w:t>Ceci est le troisième rapport présenté</w:t>
            </w:r>
            <w:r w:rsidR="00EA2C86" w:rsidRPr="00927778">
              <w:rPr>
                <w:iCs/>
                <w:color w:val="333333"/>
                <w:lang w:val="fr-FR"/>
              </w:rPr>
              <w:t xml:space="preserve"> au CDI</w:t>
            </w:r>
            <w:r w:rsidRPr="00927778">
              <w:rPr>
                <w:iCs/>
                <w:color w:val="333333"/>
                <w:lang w:val="fr-FR"/>
              </w:rPr>
              <w:t>P.</w:t>
            </w:r>
          </w:p>
          <w:p w:rsidR="005E6718" w:rsidRPr="00927778" w:rsidRDefault="005E6718" w:rsidP="00775FF2">
            <w:pPr>
              <w:rPr>
                <w:iCs/>
                <w:color w:val="333333"/>
                <w:lang w:val="fr-FR"/>
              </w:rPr>
            </w:pPr>
          </w:p>
          <w:p w:rsidR="00EA2C86" w:rsidRPr="00927778" w:rsidRDefault="00E3597B" w:rsidP="00E031C6">
            <w:pPr>
              <w:rPr>
                <w:iCs/>
                <w:color w:val="333333"/>
                <w:lang w:val="fr-FR"/>
              </w:rPr>
            </w:pPr>
            <w:r w:rsidRPr="00927778">
              <w:rPr>
                <w:iCs/>
                <w:color w:val="333333"/>
                <w:lang w:val="fr-FR"/>
              </w:rPr>
              <w:t>Le premier rapport, figurant à l</w:t>
            </w:r>
            <w:r w:rsidR="00EA2C86" w:rsidRPr="00927778">
              <w:rPr>
                <w:iCs/>
                <w:color w:val="333333"/>
                <w:lang w:val="fr-FR"/>
              </w:rPr>
              <w:t>’annexe I</w:t>
            </w:r>
            <w:r w:rsidRPr="00927778">
              <w:rPr>
                <w:iCs/>
                <w:color w:val="333333"/>
                <w:lang w:val="fr-FR"/>
              </w:rPr>
              <w:t xml:space="preserve"> du document</w:t>
            </w:r>
            <w:r w:rsidR="00CB5AE0" w:rsidRPr="00927778">
              <w:rPr>
                <w:iCs/>
                <w:color w:val="333333"/>
                <w:lang w:val="fr-FR"/>
              </w:rPr>
              <w:t> </w:t>
            </w:r>
            <w:r w:rsidRPr="00927778">
              <w:rPr>
                <w:iCs/>
                <w:color w:val="333333"/>
                <w:lang w:val="fr-FR"/>
              </w:rPr>
              <w:t>CDIP/18/2, a été présenté</w:t>
            </w:r>
            <w:r w:rsidR="00EA2C86" w:rsidRPr="00927778">
              <w:rPr>
                <w:iCs/>
                <w:color w:val="333333"/>
                <w:lang w:val="fr-FR"/>
              </w:rPr>
              <w:t xml:space="preserve"> au CDI</w:t>
            </w:r>
            <w:r w:rsidRPr="00927778">
              <w:rPr>
                <w:iCs/>
                <w:color w:val="333333"/>
                <w:lang w:val="fr-FR"/>
              </w:rPr>
              <w:t>P lors de sa dix</w:t>
            </w:r>
            <w:r w:rsidR="00CB5AE0" w:rsidRPr="00927778">
              <w:rPr>
                <w:iCs/>
                <w:color w:val="333333"/>
                <w:lang w:val="fr-FR"/>
              </w:rPr>
              <w:noBreakHyphen/>
            </w:r>
            <w:r w:rsidRPr="00927778">
              <w:rPr>
                <w:iCs/>
                <w:color w:val="333333"/>
                <w:lang w:val="fr-FR"/>
              </w:rPr>
              <w:t>huit</w:t>
            </w:r>
            <w:r w:rsidR="00EA2C86" w:rsidRPr="00927778">
              <w:rPr>
                <w:iCs/>
                <w:color w:val="333333"/>
                <w:lang w:val="fr-FR"/>
              </w:rPr>
              <w:t>ième sessi</w:t>
            </w:r>
            <w:r w:rsidR="00306E74" w:rsidRPr="00927778">
              <w:rPr>
                <w:iCs/>
                <w:color w:val="333333"/>
                <w:lang w:val="fr-FR"/>
              </w:rPr>
              <w:t>on.  Le</w:t>
            </w:r>
            <w:r w:rsidR="00E031C6" w:rsidRPr="00927778">
              <w:rPr>
                <w:iCs/>
                <w:color w:val="333333"/>
                <w:lang w:val="fr-FR"/>
              </w:rPr>
              <w:t xml:space="preserve"> deuxième rapport est présent à l</w:t>
            </w:r>
            <w:r w:rsidR="00EA2C86" w:rsidRPr="00927778">
              <w:rPr>
                <w:iCs/>
                <w:color w:val="333333"/>
                <w:lang w:val="fr-FR"/>
              </w:rPr>
              <w:t>’annexe I</w:t>
            </w:r>
            <w:r w:rsidR="00E031C6" w:rsidRPr="00927778">
              <w:rPr>
                <w:iCs/>
                <w:color w:val="333333"/>
                <w:lang w:val="fr-FR"/>
              </w:rPr>
              <w:t xml:space="preserve"> du document</w:t>
            </w:r>
            <w:r w:rsidR="00CB5AE0" w:rsidRPr="00927778">
              <w:rPr>
                <w:iCs/>
                <w:color w:val="333333"/>
                <w:lang w:val="fr-FR"/>
              </w:rPr>
              <w:t> </w:t>
            </w:r>
            <w:r w:rsidR="00E031C6" w:rsidRPr="00927778">
              <w:rPr>
                <w:iCs/>
                <w:color w:val="333333"/>
                <w:lang w:val="fr-FR"/>
              </w:rPr>
              <w:t>CDIP/20/2 et a été soumis</w:t>
            </w:r>
            <w:r w:rsidR="00EA2C86" w:rsidRPr="00927778">
              <w:rPr>
                <w:iCs/>
                <w:color w:val="333333"/>
                <w:lang w:val="fr-FR"/>
              </w:rPr>
              <w:t xml:space="preserve"> au CDI</w:t>
            </w:r>
            <w:r w:rsidR="00E031C6" w:rsidRPr="00927778">
              <w:rPr>
                <w:iCs/>
                <w:color w:val="333333"/>
                <w:lang w:val="fr-FR"/>
              </w:rPr>
              <w:t>P à sa vingt</w:t>
            </w:r>
            <w:r w:rsidR="00EA2C86" w:rsidRPr="00927778">
              <w:rPr>
                <w:iCs/>
                <w:color w:val="333333"/>
                <w:lang w:val="fr-FR"/>
              </w:rPr>
              <w:t>ième session</w:t>
            </w:r>
            <w:r w:rsidR="00E031C6" w:rsidRPr="00927778">
              <w:rPr>
                <w:iCs/>
                <w:color w:val="333333"/>
                <w:lang w:val="fr-FR"/>
              </w:rPr>
              <w:t>.</w:t>
            </w:r>
          </w:p>
          <w:p w:rsidR="00775FF2" w:rsidRPr="00927778" w:rsidRDefault="00775FF2" w:rsidP="00775FF2">
            <w:pPr>
              <w:rPr>
                <w:iCs/>
                <w:color w:val="333333"/>
                <w:lang w:val="fr-FR"/>
              </w:rPr>
            </w:pPr>
          </w:p>
        </w:tc>
      </w:tr>
    </w:tbl>
    <w:p w:rsidR="00D06EF3" w:rsidRPr="00927778" w:rsidRDefault="00D06EF3" w:rsidP="004044B7">
      <w:pPr>
        <w:rPr>
          <w:color w:val="333333"/>
          <w:lang w:val="fr-FR"/>
        </w:rPr>
      </w:pPr>
      <w:r w:rsidRPr="00927778">
        <w:rPr>
          <w:color w:val="333333"/>
          <w:lang w:val="fr-FR"/>
        </w:rPr>
        <w:br w:type="page"/>
      </w:r>
    </w:p>
    <w:tbl>
      <w:tblPr>
        <w:tblW w:w="0" w:type="auto"/>
        <w:tblLook w:val="01E0" w:firstRow="1" w:lastRow="1" w:firstColumn="1" w:lastColumn="1" w:noHBand="0" w:noVBand="0"/>
      </w:tblPr>
      <w:tblGrid>
        <w:gridCol w:w="9287"/>
      </w:tblGrid>
      <w:tr w:rsidR="004044B7" w:rsidRPr="00927778" w:rsidTr="00D527E8">
        <w:trPr>
          <w:trHeight w:val="494"/>
        </w:trPr>
        <w:tc>
          <w:tcPr>
            <w:tcW w:w="9287" w:type="dxa"/>
            <w:vAlign w:val="center"/>
          </w:tcPr>
          <w:p w:rsidR="004044B7" w:rsidRPr="00927778" w:rsidRDefault="004044B7" w:rsidP="00E031C6">
            <w:pPr>
              <w:rPr>
                <w:color w:val="333333"/>
                <w:lang w:val="fr-FR"/>
              </w:rPr>
            </w:pPr>
            <w:r w:rsidRPr="00927778">
              <w:rPr>
                <w:color w:val="333333"/>
                <w:lang w:val="fr-FR"/>
              </w:rPr>
              <w:br w:type="page"/>
            </w:r>
            <w:r w:rsidRPr="00927778">
              <w:rPr>
                <w:color w:val="333333"/>
                <w:lang w:val="fr-FR"/>
              </w:rPr>
              <w:br w:type="page"/>
            </w:r>
            <w:r w:rsidR="00E031C6" w:rsidRPr="00927778">
              <w:rPr>
                <w:color w:val="333333"/>
                <w:lang w:val="fr-FR"/>
              </w:rPr>
              <w:t>AUTO</w:t>
            </w:r>
            <w:r w:rsidR="00CB5AE0" w:rsidRPr="00927778">
              <w:rPr>
                <w:color w:val="333333"/>
                <w:lang w:val="fr-FR"/>
              </w:rPr>
              <w:noBreakHyphen/>
            </w:r>
            <w:r w:rsidR="00E031C6" w:rsidRPr="00927778">
              <w:rPr>
                <w:color w:val="333333"/>
                <w:lang w:val="fr-FR"/>
              </w:rPr>
              <w:t>ÉVALUATION DU PROJET</w:t>
            </w:r>
          </w:p>
        </w:tc>
      </w:tr>
    </w:tbl>
    <w:p w:rsidR="005E6718" w:rsidRPr="00927778" w:rsidRDefault="005E6718" w:rsidP="004044B7">
      <w:pPr>
        <w:rPr>
          <w:color w:val="333333"/>
          <w:lang w:val="fr-FR"/>
        </w:rPr>
      </w:pPr>
    </w:p>
    <w:p w:rsidR="005E6718" w:rsidRPr="00927778" w:rsidRDefault="00E031C6" w:rsidP="00E031C6">
      <w:pPr>
        <w:rPr>
          <w:color w:val="333333"/>
          <w:lang w:val="fr-FR"/>
        </w:rPr>
      </w:pPr>
      <w:r w:rsidRPr="00927778">
        <w:rPr>
          <w:color w:val="333333"/>
          <w:lang w:val="fr-FR"/>
        </w:rPr>
        <w:t>Code d</w:t>
      </w:r>
      <w:r w:rsidR="00EA2C86" w:rsidRPr="00927778">
        <w:rPr>
          <w:color w:val="333333"/>
          <w:lang w:val="fr-FR"/>
        </w:rPr>
        <w:t>’</w:t>
      </w:r>
      <w:r w:rsidRPr="00927778">
        <w:rPr>
          <w:color w:val="333333"/>
          <w:lang w:val="fr-FR"/>
        </w:rPr>
        <w:t>évaluation</w:t>
      </w:r>
    </w:p>
    <w:p w:rsidR="004044B7" w:rsidRPr="00927778" w:rsidRDefault="004044B7" w:rsidP="004044B7">
      <w:pPr>
        <w:rPr>
          <w:color w:val="333333"/>
          <w:lang w:val="fr-FR"/>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927778" w:rsidRPr="00927778" w:rsidTr="00D527E8">
        <w:trPr>
          <w:trHeight w:val="469"/>
        </w:trPr>
        <w:tc>
          <w:tcPr>
            <w:tcW w:w="1416" w:type="dxa"/>
            <w:shd w:val="clear" w:color="auto" w:fill="auto"/>
            <w:vAlign w:val="center"/>
          </w:tcPr>
          <w:p w:rsidR="004044B7" w:rsidRPr="00927778" w:rsidRDefault="004044B7" w:rsidP="00D527E8">
            <w:pPr>
              <w:rPr>
                <w:color w:val="333333"/>
                <w:lang w:val="fr-FR"/>
              </w:rPr>
            </w:pPr>
            <w:r w:rsidRPr="00927778">
              <w:rPr>
                <w:color w:val="333333"/>
                <w:lang w:val="fr-FR"/>
              </w:rPr>
              <w:t>****</w:t>
            </w:r>
          </w:p>
        </w:tc>
        <w:tc>
          <w:tcPr>
            <w:tcW w:w="1677" w:type="dxa"/>
            <w:shd w:val="clear" w:color="auto" w:fill="auto"/>
            <w:vAlign w:val="center"/>
          </w:tcPr>
          <w:p w:rsidR="004044B7" w:rsidRPr="00927778" w:rsidRDefault="004044B7" w:rsidP="00D527E8">
            <w:pPr>
              <w:rPr>
                <w:color w:val="333333"/>
                <w:lang w:val="fr-FR"/>
              </w:rPr>
            </w:pPr>
            <w:r w:rsidRPr="00927778">
              <w:rPr>
                <w:color w:val="333333"/>
                <w:lang w:val="fr-FR"/>
              </w:rPr>
              <w:t>***</w:t>
            </w:r>
          </w:p>
        </w:tc>
        <w:tc>
          <w:tcPr>
            <w:tcW w:w="1797" w:type="dxa"/>
            <w:shd w:val="clear" w:color="auto" w:fill="auto"/>
            <w:vAlign w:val="center"/>
          </w:tcPr>
          <w:p w:rsidR="004044B7" w:rsidRPr="00927778" w:rsidRDefault="004044B7" w:rsidP="00D527E8">
            <w:pPr>
              <w:rPr>
                <w:color w:val="333333"/>
                <w:lang w:val="fr-FR"/>
              </w:rPr>
            </w:pPr>
            <w:r w:rsidRPr="00927778">
              <w:rPr>
                <w:color w:val="333333"/>
                <w:lang w:val="fr-FR"/>
              </w:rPr>
              <w:t>**</w:t>
            </w:r>
          </w:p>
        </w:tc>
        <w:tc>
          <w:tcPr>
            <w:tcW w:w="1895" w:type="dxa"/>
            <w:shd w:val="clear" w:color="auto" w:fill="auto"/>
            <w:vAlign w:val="center"/>
          </w:tcPr>
          <w:p w:rsidR="004044B7" w:rsidRPr="00927778" w:rsidRDefault="00E031C6" w:rsidP="00E031C6">
            <w:pPr>
              <w:rPr>
                <w:color w:val="333333"/>
                <w:lang w:val="fr-FR"/>
              </w:rPr>
            </w:pPr>
            <w:r w:rsidRPr="00927778">
              <w:rPr>
                <w:color w:val="333333"/>
                <w:lang w:val="fr-FR"/>
              </w:rPr>
              <w:t>AP</w:t>
            </w:r>
          </w:p>
        </w:tc>
        <w:tc>
          <w:tcPr>
            <w:tcW w:w="2563" w:type="dxa"/>
            <w:shd w:val="clear" w:color="auto" w:fill="auto"/>
            <w:vAlign w:val="center"/>
          </w:tcPr>
          <w:p w:rsidR="004044B7" w:rsidRPr="00927778" w:rsidRDefault="00E031C6" w:rsidP="00E031C6">
            <w:pPr>
              <w:rPr>
                <w:color w:val="333333"/>
                <w:lang w:val="fr-FR"/>
              </w:rPr>
            </w:pPr>
            <w:r w:rsidRPr="00927778">
              <w:rPr>
                <w:color w:val="333333"/>
                <w:lang w:val="fr-FR"/>
              </w:rPr>
              <w:t>s.o.</w:t>
            </w:r>
          </w:p>
        </w:tc>
      </w:tr>
      <w:tr w:rsidR="004044B7" w:rsidRPr="00927778" w:rsidTr="00D527E8">
        <w:tc>
          <w:tcPr>
            <w:tcW w:w="1416" w:type="dxa"/>
            <w:shd w:val="clear" w:color="auto" w:fill="auto"/>
          </w:tcPr>
          <w:p w:rsidR="004044B7" w:rsidRPr="00927778" w:rsidRDefault="00E031C6" w:rsidP="00E031C6">
            <w:pPr>
              <w:rPr>
                <w:color w:val="333333"/>
                <w:lang w:val="fr-FR"/>
              </w:rPr>
            </w:pPr>
            <w:r w:rsidRPr="00927778">
              <w:rPr>
                <w:color w:val="333333"/>
                <w:lang w:val="fr-FR"/>
              </w:rPr>
              <w:t>Objectifs pleinement atteints</w:t>
            </w:r>
          </w:p>
        </w:tc>
        <w:tc>
          <w:tcPr>
            <w:tcW w:w="1677" w:type="dxa"/>
            <w:shd w:val="clear" w:color="auto" w:fill="auto"/>
          </w:tcPr>
          <w:p w:rsidR="004044B7" w:rsidRPr="00927778" w:rsidRDefault="00E031C6" w:rsidP="00E031C6">
            <w:pPr>
              <w:rPr>
                <w:color w:val="333333"/>
                <w:lang w:val="fr-FR"/>
              </w:rPr>
            </w:pPr>
            <w:r w:rsidRPr="00927778">
              <w:rPr>
                <w:color w:val="333333"/>
                <w:lang w:val="fr-FR"/>
              </w:rPr>
              <w:t>Progrès considérables</w:t>
            </w:r>
          </w:p>
        </w:tc>
        <w:tc>
          <w:tcPr>
            <w:tcW w:w="1797" w:type="dxa"/>
            <w:shd w:val="clear" w:color="auto" w:fill="auto"/>
          </w:tcPr>
          <w:p w:rsidR="004044B7" w:rsidRPr="00927778" w:rsidRDefault="00E031C6" w:rsidP="00E031C6">
            <w:pPr>
              <w:rPr>
                <w:color w:val="333333"/>
                <w:lang w:val="fr-FR"/>
              </w:rPr>
            </w:pPr>
            <w:r w:rsidRPr="00927778">
              <w:rPr>
                <w:color w:val="333333"/>
                <w:lang w:val="fr-FR"/>
              </w:rPr>
              <w:t>Quelques progrès</w:t>
            </w:r>
          </w:p>
        </w:tc>
        <w:tc>
          <w:tcPr>
            <w:tcW w:w="1895" w:type="dxa"/>
            <w:shd w:val="clear" w:color="auto" w:fill="auto"/>
          </w:tcPr>
          <w:p w:rsidR="004044B7" w:rsidRPr="00927778" w:rsidRDefault="00E031C6" w:rsidP="00E031C6">
            <w:pPr>
              <w:rPr>
                <w:color w:val="333333"/>
                <w:lang w:val="fr-FR"/>
              </w:rPr>
            </w:pPr>
            <w:r w:rsidRPr="00927778">
              <w:rPr>
                <w:color w:val="333333"/>
                <w:lang w:val="fr-FR"/>
              </w:rPr>
              <w:t>Aucun progrès</w:t>
            </w:r>
          </w:p>
        </w:tc>
        <w:tc>
          <w:tcPr>
            <w:tcW w:w="2563" w:type="dxa"/>
            <w:shd w:val="clear" w:color="auto" w:fill="auto"/>
          </w:tcPr>
          <w:p w:rsidR="004044B7" w:rsidRPr="00927778" w:rsidRDefault="00E031C6" w:rsidP="00E031C6">
            <w:pPr>
              <w:rPr>
                <w:color w:val="333333"/>
                <w:lang w:val="fr-FR"/>
              </w:rPr>
            </w:pPr>
            <w:r w:rsidRPr="00927778">
              <w:rPr>
                <w:color w:val="333333"/>
                <w:lang w:val="fr-FR"/>
              </w:rPr>
              <w:t>Non évalué/abandonné</w:t>
            </w:r>
          </w:p>
        </w:tc>
      </w:tr>
    </w:tbl>
    <w:p w:rsidR="004044B7" w:rsidRPr="00927778" w:rsidRDefault="004044B7" w:rsidP="004044B7">
      <w:pPr>
        <w:rPr>
          <w:color w:val="333333"/>
          <w:lang w:val="fr-FR"/>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977"/>
        <w:gridCol w:w="708"/>
      </w:tblGrid>
      <w:tr w:rsidR="00047C22" w:rsidRPr="00927778" w:rsidTr="00D527E8">
        <w:trPr>
          <w:trHeight w:val="616"/>
        </w:trPr>
        <w:tc>
          <w:tcPr>
            <w:tcW w:w="2518" w:type="dxa"/>
            <w:shd w:val="clear" w:color="auto" w:fill="auto"/>
          </w:tcPr>
          <w:p w:rsidR="005E6718" w:rsidRPr="00927778" w:rsidRDefault="005E6718" w:rsidP="00D527E8">
            <w:pPr>
              <w:rPr>
                <w:rStyle w:val="Heading3Char"/>
                <w:color w:val="333333"/>
                <w:lang w:val="fr-FR"/>
              </w:rPr>
            </w:pPr>
          </w:p>
          <w:p w:rsidR="004044B7" w:rsidRPr="00927778" w:rsidRDefault="00E031C6" w:rsidP="00E031C6">
            <w:pPr>
              <w:rPr>
                <w:color w:val="333333"/>
                <w:lang w:val="fr-FR"/>
              </w:rPr>
            </w:pPr>
            <w:r w:rsidRPr="00927778">
              <w:rPr>
                <w:color w:val="333333"/>
                <w:u w:val="single"/>
                <w:lang w:val="fr-FR"/>
              </w:rPr>
              <w:t>Résultats du projet</w:t>
            </w:r>
            <w:r w:rsidRPr="00927778">
              <w:rPr>
                <w:rStyle w:val="FootnoteReference"/>
                <w:color w:val="333333"/>
                <w:lang w:val="fr-FR"/>
              </w:rPr>
              <w:footnoteReference w:id="7"/>
            </w:r>
            <w:r w:rsidRPr="00927778">
              <w:rPr>
                <w:color w:val="333333"/>
                <w:lang w:val="fr-FR"/>
              </w:rPr>
              <w:t xml:space="preserve"> (résultat escompté)</w:t>
            </w:r>
          </w:p>
        </w:tc>
        <w:tc>
          <w:tcPr>
            <w:tcW w:w="2977" w:type="dxa"/>
            <w:shd w:val="clear" w:color="auto" w:fill="auto"/>
          </w:tcPr>
          <w:p w:rsidR="005E6718" w:rsidRPr="00927778" w:rsidRDefault="005E6718" w:rsidP="00D527E8">
            <w:pPr>
              <w:rPr>
                <w:rStyle w:val="Heading3Char"/>
                <w:color w:val="333333"/>
                <w:lang w:val="fr-FR"/>
              </w:rPr>
            </w:pPr>
          </w:p>
          <w:p w:rsidR="005E6718" w:rsidRPr="00927778" w:rsidRDefault="00E031C6" w:rsidP="00E031C6">
            <w:pPr>
              <w:rPr>
                <w:color w:val="333333"/>
                <w:lang w:val="fr-FR"/>
              </w:rPr>
            </w:pPr>
            <w:r w:rsidRPr="00927778">
              <w:rPr>
                <w:color w:val="333333"/>
                <w:u w:val="single"/>
                <w:lang w:val="fr-FR"/>
              </w:rPr>
              <w:t>Indicateurs d</w:t>
            </w:r>
            <w:r w:rsidR="00EA2C86" w:rsidRPr="00927778">
              <w:rPr>
                <w:color w:val="333333"/>
                <w:u w:val="single"/>
                <w:lang w:val="fr-FR"/>
              </w:rPr>
              <w:t>’</w:t>
            </w:r>
            <w:r w:rsidRPr="00927778">
              <w:rPr>
                <w:color w:val="333333"/>
                <w:u w:val="single"/>
                <w:lang w:val="fr-FR"/>
              </w:rPr>
              <w:t>exécution</w:t>
            </w:r>
            <w:r w:rsidRPr="00927778">
              <w:rPr>
                <w:color w:val="333333"/>
                <w:lang w:val="fr-FR"/>
              </w:rPr>
              <w:t xml:space="preserve"> (indicateurs de résultats)</w:t>
            </w:r>
          </w:p>
          <w:p w:rsidR="004044B7" w:rsidRPr="00927778" w:rsidRDefault="004044B7" w:rsidP="00D527E8">
            <w:pPr>
              <w:rPr>
                <w:color w:val="333333"/>
                <w:lang w:val="fr-FR"/>
              </w:rPr>
            </w:pPr>
          </w:p>
        </w:tc>
        <w:tc>
          <w:tcPr>
            <w:tcW w:w="2977" w:type="dxa"/>
            <w:shd w:val="clear" w:color="auto" w:fill="auto"/>
          </w:tcPr>
          <w:p w:rsidR="004044B7" w:rsidRPr="00927778" w:rsidRDefault="00E031C6" w:rsidP="00E031C6">
            <w:pPr>
              <w:pStyle w:val="Heading3"/>
              <w:rPr>
                <w:color w:val="333333"/>
                <w:lang w:val="fr-FR"/>
              </w:rPr>
            </w:pPr>
            <w:r w:rsidRPr="00927778">
              <w:rPr>
                <w:color w:val="333333"/>
                <w:lang w:val="fr-FR"/>
              </w:rPr>
              <w:t>Données relatives à l</w:t>
            </w:r>
            <w:r w:rsidR="00EA2C86" w:rsidRPr="00927778">
              <w:rPr>
                <w:color w:val="333333"/>
                <w:lang w:val="fr-FR"/>
              </w:rPr>
              <w:t>’</w:t>
            </w:r>
            <w:r w:rsidRPr="00927778">
              <w:rPr>
                <w:color w:val="333333"/>
                <w:lang w:val="fr-FR"/>
              </w:rPr>
              <w:t>exécution</w:t>
            </w:r>
          </w:p>
        </w:tc>
        <w:tc>
          <w:tcPr>
            <w:tcW w:w="708" w:type="dxa"/>
            <w:shd w:val="clear" w:color="auto" w:fill="auto"/>
          </w:tcPr>
          <w:p w:rsidR="004044B7" w:rsidRPr="00927778" w:rsidRDefault="00E031C6" w:rsidP="00E031C6">
            <w:pPr>
              <w:pStyle w:val="Heading3"/>
              <w:rPr>
                <w:color w:val="333333"/>
                <w:lang w:val="fr-FR"/>
              </w:rPr>
            </w:pPr>
            <w:r w:rsidRPr="00927778">
              <w:rPr>
                <w:color w:val="333333"/>
                <w:lang w:val="fr-FR"/>
              </w:rPr>
              <w:t>Code d</w:t>
            </w:r>
            <w:r w:rsidR="00EA2C86" w:rsidRPr="00927778">
              <w:rPr>
                <w:color w:val="333333"/>
                <w:lang w:val="fr-FR"/>
              </w:rPr>
              <w:t>’</w:t>
            </w:r>
            <w:r w:rsidRPr="00927778">
              <w:rPr>
                <w:color w:val="333333"/>
                <w:lang w:val="fr-FR"/>
              </w:rPr>
              <w:t>évaluation</w:t>
            </w:r>
          </w:p>
        </w:tc>
      </w:tr>
      <w:tr w:rsidR="00047C22" w:rsidRPr="00927778" w:rsidTr="00D527E8">
        <w:trPr>
          <w:trHeight w:val="509"/>
        </w:trPr>
        <w:tc>
          <w:tcPr>
            <w:tcW w:w="2518" w:type="dxa"/>
            <w:vMerge w:val="restart"/>
            <w:shd w:val="clear" w:color="auto" w:fill="auto"/>
          </w:tcPr>
          <w:p w:rsidR="005E6718" w:rsidRPr="00927778" w:rsidRDefault="005E6718" w:rsidP="00D527E8">
            <w:pPr>
              <w:rPr>
                <w:color w:val="333333"/>
                <w:lang w:val="fr-FR"/>
              </w:rPr>
            </w:pPr>
          </w:p>
          <w:p w:rsidR="00EA2C86" w:rsidRPr="00927778" w:rsidRDefault="00E031C6" w:rsidP="00E031C6">
            <w:pPr>
              <w:rPr>
                <w:color w:val="333333"/>
                <w:lang w:val="fr-FR"/>
              </w:rPr>
            </w:pPr>
            <w:r w:rsidRPr="00927778">
              <w:rPr>
                <w:color w:val="333333"/>
                <w:lang w:val="fr-FR"/>
              </w:rPr>
              <w:t>Établissement d</w:t>
            </w:r>
            <w:r w:rsidR="00EA2C86" w:rsidRPr="00927778">
              <w:rPr>
                <w:color w:val="333333"/>
                <w:lang w:val="fr-FR"/>
              </w:rPr>
              <w:t>’</w:t>
            </w:r>
            <w:r w:rsidRPr="00927778">
              <w:rPr>
                <w:color w:val="333333"/>
                <w:lang w:val="fr-FR"/>
              </w:rPr>
              <w:t>un guide pratique concernant la propriété intellectuelle et le tourisme et de quatre</w:t>
            </w:r>
            <w:r w:rsidR="0057466D" w:rsidRPr="00927778">
              <w:rPr>
                <w:color w:val="333333"/>
                <w:lang w:val="fr-FR"/>
              </w:rPr>
              <w:t> </w:t>
            </w:r>
            <w:r w:rsidRPr="00927778">
              <w:rPr>
                <w:color w:val="333333"/>
                <w:lang w:val="fr-FR"/>
              </w:rPr>
              <w:t>études de cas</w:t>
            </w:r>
          </w:p>
          <w:p w:rsidR="004044B7" w:rsidRPr="00927778" w:rsidRDefault="004044B7" w:rsidP="00D527E8">
            <w:pPr>
              <w:rPr>
                <w:bCs/>
                <w:color w:val="333333"/>
                <w:lang w:val="fr-FR"/>
              </w:rPr>
            </w:pPr>
          </w:p>
        </w:tc>
        <w:tc>
          <w:tcPr>
            <w:tcW w:w="2977" w:type="dxa"/>
            <w:shd w:val="clear" w:color="auto" w:fill="auto"/>
          </w:tcPr>
          <w:p w:rsidR="005E6718" w:rsidRPr="00927778" w:rsidRDefault="00E031C6" w:rsidP="00E031C6">
            <w:pPr>
              <w:rPr>
                <w:color w:val="333333"/>
                <w:lang w:val="fr-FR"/>
              </w:rPr>
            </w:pPr>
            <w:r w:rsidRPr="00927778">
              <w:rPr>
                <w:color w:val="333333"/>
                <w:lang w:val="fr-FR"/>
              </w:rPr>
              <w:t>a)</w:t>
            </w:r>
            <w:r w:rsidRPr="00927778">
              <w:rPr>
                <w:color w:val="333333"/>
                <w:lang w:val="fr-FR"/>
              </w:rPr>
              <w:tab/>
              <w:t>Le guide pratique concernant l</w:t>
            </w:r>
            <w:r w:rsidR="00EA2C86" w:rsidRPr="00927778">
              <w:rPr>
                <w:color w:val="333333"/>
                <w:lang w:val="fr-FR"/>
              </w:rPr>
              <w:t>’</w:t>
            </w:r>
            <w:r w:rsidRPr="00927778">
              <w:rPr>
                <w:color w:val="333333"/>
                <w:lang w:val="fr-FR"/>
              </w:rPr>
              <w:t xml:space="preserve">utilisation des systèmes et instruments de propriété intellectuelle aux fins de la promotion du tourisme, </w:t>
            </w:r>
            <w:r w:rsidR="00EA2C86" w:rsidRPr="00927778">
              <w:rPr>
                <w:color w:val="333333"/>
                <w:lang w:val="fr-FR"/>
              </w:rPr>
              <w:t>y compris</w:t>
            </w:r>
            <w:r w:rsidRPr="00927778">
              <w:rPr>
                <w:color w:val="333333"/>
                <w:lang w:val="fr-FR"/>
              </w:rPr>
              <w:t xml:space="preserve"> par la promotion des savoirs, des traditions et de la culture à l</w:t>
            </w:r>
            <w:r w:rsidR="00EA2C86" w:rsidRPr="00927778">
              <w:rPr>
                <w:color w:val="333333"/>
                <w:lang w:val="fr-FR"/>
              </w:rPr>
              <w:t>’</w:t>
            </w:r>
            <w:r w:rsidRPr="00927778">
              <w:rPr>
                <w:color w:val="333333"/>
                <w:lang w:val="fr-FR"/>
              </w:rPr>
              <w:t>échelle nationale;</w:t>
            </w:r>
            <w:r w:rsidR="00063DA0" w:rsidRPr="00927778">
              <w:rPr>
                <w:color w:val="333333"/>
                <w:lang w:val="fr-FR"/>
              </w:rPr>
              <w:t xml:space="preserve"> </w:t>
            </w:r>
            <w:r w:rsidR="0057466D" w:rsidRPr="00927778">
              <w:rPr>
                <w:color w:val="333333"/>
                <w:lang w:val="fr-FR"/>
              </w:rPr>
              <w:t xml:space="preserve"> </w:t>
            </w:r>
            <w:r w:rsidRPr="00927778">
              <w:rPr>
                <w:color w:val="333333"/>
                <w:lang w:val="fr-FR"/>
              </w:rPr>
              <w:t>et</w:t>
            </w:r>
          </w:p>
          <w:p w:rsidR="004044B7" w:rsidRPr="00927778" w:rsidRDefault="004044B7" w:rsidP="00D527E8">
            <w:pPr>
              <w:rPr>
                <w:color w:val="333333"/>
                <w:lang w:val="fr-FR"/>
              </w:rPr>
            </w:pPr>
          </w:p>
        </w:tc>
        <w:tc>
          <w:tcPr>
            <w:tcW w:w="2977" w:type="dxa"/>
            <w:shd w:val="clear" w:color="auto" w:fill="auto"/>
          </w:tcPr>
          <w:p w:rsidR="004044B7" w:rsidRPr="00927778" w:rsidRDefault="009D04E4" w:rsidP="00C96DE5">
            <w:pPr>
              <w:rPr>
                <w:color w:val="333333"/>
                <w:lang w:val="fr-FR"/>
              </w:rPr>
            </w:pPr>
            <w:r w:rsidRPr="00927778">
              <w:rPr>
                <w:color w:val="333333"/>
                <w:lang w:val="fr-FR"/>
              </w:rPr>
              <w:t xml:space="preserve">Le guide pratique </w:t>
            </w:r>
            <w:r w:rsidR="00C96DE5" w:rsidRPr="00927778">
              <w:rPr>
                <w:color w:val="333333"/>
                <w:lang w:val="fr-FR"/>
              </w:rPr>
              <w:t>fait l</w:t>
            </w:r>
            <w:r w:rsidR="00EA2C86" w:rsidRPr="00927778">
              <w:rPr>
                <w:color w:val="333333"/>
                <w:lang w:val="fr-FR"/>
              </w:rPr>
              <w:t>’</w:t>
            </w:r>
            <w:r w:rsidR="00C96DE5" w:rsidRPr="00927778">
              <w:rPr>
                <w:color w:val="333333"/>
                <w:lang w:val="fr-FR"/>
              </w:rPr>
              <w:t>objet d</w:t>
            </w:r>
            <w:r w:rsidR="00EA2C86" w:rsidRPr="00927778">
              <w:rPr>
                <w:color w:val="333333"/>
                <w:lang w:val="fr-FR"/>
              </w:rPr>
              <w:t>’</w:t>
            </w:r>
            <w:r w:rsidR="00C96DE5" w:rsidRPr="00927778">
              <w:rPr>
                <w:color w:val="333333"/>
                <w:lang w:val="fr-FR"/>
              </w:rPr>
              <w:t xml:space="preserve">une </w:t>
            </w:r>
            <w:r w:rsidRPr="00927778">
              <w:rPr>
                <w:color w:val="333333"/>
                <w:lang w:val="fr-FR"/>
              </w:rPr>
              <w:t>révis</w:t>
            </w:r>
            <w:r w:rsidR="00C96DE5" w:rsidRPr="00927778">
              <w:rPr>
                <w:color w:val="333333"/>
                <w:lang w:val="fr-FR"/>
              </w:rPr>
              <w:t>ion</w:t>
            </w:r>
            <w:r w:rsidRPr="00927778">
              <w:rPr>
                <w:color w:val="333333"/>
                <w:lang w:val="fr-FR"/>
              </w:rPr>
              <w:t xml:space="preserve"> se fondant sur de nombreux supports et sur les résultats des recherches continues menées tout au long de la mise en œuvre du projet. </w:t>
            </w:r>
            <w:r w:rsidR="0057466D" w:rsidRPr="00927778">
              <w:rPr>
                <w:color w:val="333333"/>
                <w:lang w:val="fr-FR"/>
              </w:rPr>
              <w:t xml:space="preserve"> </w:t>
            </w:r>
          </w:p>
        </w:tc>
        <w:tc>
          <w:tcPr>
            <w:tcW w:w="708" w:type="dxa"/>
            <w:shd w:val="clear" w:color="auto" w:fill="auto"/>
          </w:tcPr>
          <w:p w:rsidR="004044B7" w:rsidRPr="00927778" w:rsidRDefault="004044B7" w:rsidP="00D527E8">
            <w:pPr>
              <w:rPr>
                <w:color w:val="333333"/>
                <w:lang w:val="fr-FR"/>
              </w:rPr>
            </w:pPr>
            <w:r w:rsidRPr="00927778">
              <w:rPr>
                <w:color w:val="333333"/>
                <w:lang w:val="fr-FR"/>
              </w:rPr>
              <w:t>***</w:t>
            </w:r>
          </w:p>
        </w:tc>
      </w:tr>
      <w:tr w:rsidR="00047C22" w:rsidRPr="00927778" w:rsidTr="00D527E8">
        <w:trPr>
          <w:trHeight w:val="509"/>
        </w:trPr>
        <w:tc>
          <w:tcPr>
            <w:tcW w:w="2518" w:type="dxa"/>
            <w:vMerge/>
            <w:shd w:val="clear" w:color="auto" w:fill="auto"/>
          </w:tcPr>
          <w:p w:rsidR="004044B7" w:rsidRPr="00927778" w:rsidRDefault="004044B7" w:rsidP="00D527E8">
            <w:pPr>
              <w:rPr>
                <w:bCs/>
                <w:color w:val="333333"/>
                <w:lang w:val="fr-FR"/>
              </w:rPr>
            </w:pPr>
          </w:p>
        </w:tc>
        <w:tc>
          <w:tcPr>
            <w:tcW w:w="2977" w:type="dxa"/>
            <w:shd w:val="clear" w:color="auto" w:fill="auto"/>
          </w:tcPr>
          <w:p w:rsidR="005E6718" w:rsidRPr="00927778" w:rsidRDefault="00E031C6" w:rsidP="00E031C6">
            <w:pPr>
              <w:rPr>
                <w:color w:val="333333"/>
                <w:lang w:val="fr-FR"/>
              </w:rPr>
            </w:pPr>
            <w:r w:rsidRPr="00927778">
              <w:rPr>
                <w:color w:val="333333"/>
                <w:lang w:val="fr-FR"/>
              </w:rPr>
              <w:t>b)</w:t>
            </w:r>
            <w:r w:rsidRPr="00927778">
              <w:rPr>
                <w:color w:val="333333"/>
                <w:lang w:val="fr-FR"/>
              </w:rPr>
              <w:tab/>
              <w:t>Quatre études de cas (une par pays pilote) sont réalisées.</w:t>
            </w:r>
          </w:p>
          <w:p w:rsidR="004044B7" w:rsidRPr="00927778" w:rsidRDefault="004044B7" w:rsidP="00D527E8">
            <w:pPr>
              <w:rPr>
                <w:color w:val="333333"/>
                <w:lang w:val="fr-FR"/>
              </w:rPr>
            </w:pPr>
          </w:p>
        </w:tc>
        <w:tc>
          <w:tcPr>
            <w:tcW w:w="2977" w:type="dxa"/>
            <w:shd w:val="clear" w:color="auto" w:fill="auto"/>
          </w:tcPr>
          <w:p w:rsidR="004044B7" w:rsidRPr="00927778" w:rsidRDefault="00A649AA" w:rsidP="00C96DE5">
            <w:pPr>
              <w:rPr>
                <w:color w:val="333333"/>
                <w:lang w:val="fr-FR"/>
              </w:rPr>
            </w:pPr>
            <w:r w:rsidRPr="00927778">
              <w:rPr>
                <w:color w:val="333333"/>
                <w:lang w:val="fr-FR"/>
              </w:rPr>
              <w:t>Les quatre</w:t>
            </w:r>
            <w:r w:rsidR="0057466D" w:rsidRPr="00927778">
              <w:rPr>
                <w:color w:val="333333"/>
                <w:lang w:val="fr-FR"/>
              </w:rPr>
              <w:t> </w:t>
            </w:r>
            <w:r w:rsidRPr="00927778">
              <w:rPr>
                <w:color w:val="333333"/>
                <w:lang w:val="fr-FR"/>
              </w:rPr>
              <w:t xml:space="preserve">études de cas sont </w:t>
            </w:r>
            <w:r w:rsidR="00C96DE5" w:rsidRPr="00927778">
              <w:rPr>
                <w:color w:val="333333"/>
                <w:lang w:val="fr-FR"/>
              </w:rPr>
              <w:t>achevées</w:t>
            </w:r>
            <w:r w:rsidRPr="00927778">
              <w:rPr>
                <w:color w:val="333333"/>
                <w:lang w:val="fr-FR"/>
              </w:rPr>
              <w:t xml:space="preserve">. </w:t>
            </w:r>
            <w:r w:rsidR="0057466D" w:rsidRPr="00927778">
              <w:rPr>
                <w:color w:val="333333"/>
                <w:lang w:val="fr-FR"/>
              </w:rPr>
              <w:t xml:space="preserve"> </w:t>
            </w:r>
          </w:p>
        </w:tc>
        <w:tc>
          <w:tcPr>
            <w:tcW w:w="708" w:type="dxa"/>
            <w:shd w:val="clear" w:color="auto" w:fill="auto"/>
          </w:tcPr>
          <w:p w:rsidR="004044B7" w:rsidRPr="00927778" w:rsidRDefault="004044B7" w:rsidP="00D527E8">
            <w:pPr>
              <w:rPr>
                <w:color w:val="333333"/>
                <w:lang w:val="fr-FR"/>
              </w:rPr>
            </w:pPr>
            <w:r w:rsidRPr="00927778">
              <w:rPr>
                <w:color w:val="333333"/>
                <w:lang w:val="fr-FR"/>
              </w:rPr>
              <w:t>****</w:t>
            </w:r>
          </w:p>
        </w:tc>
      </w:tr>
      <w:tr w:rsidR="00047C22" w:rsidRPr="00927778" w:rsidTr="00D527E8">
        <w:tc>
          <w:tcPr>
            <w:tcW w:w="2518" w:type="dxa"/>
            <w:shd w:val="clear" w:color="auto" w:fill="auto"/>
          </w:tcPr>
          <w:p w:rsidR="004044B7" w:rsidRPr="00927778" w:rsidRDefault="00E031C6" w:rsidP="00E031C6">
            <w:pPr>
              <w:rPr>
                <w:color w:val="333333"/>
                <w:lang w:val="fr-FR"/>
              </w:rPr>
            </w:pPr>
            <w:r w:rsidRPr="00927778">
              <w:rPr>
                <w:color w:val="333333"/>
                <w:lang w:val="fr-FR"/>
              </w:rPr>
              <w:t>Sélection de trois</w:t>
            </w:r>
            <w:r w:rsidR="0057466D" w:rsidRPr="00927778">
              <w:rPr>
                <w:color w:val="333333"/>
                <w:lang w:val="fr-FR"/>
              </w:rPr>
              <w:t> </w:t>
            </w:r>
            <w:r w:rsidRPr="00927778">
              <w:rPr>
                <w:color w:val="333333"/>
                <w:lang w:val="fr-FR"/>
              </w:rPr>
              <w:t>pays pilotes (outre l</w:t>
            </w:r>
            <w:r w:rsidR="00EA2C86" w:rsidRPr="00927778">
              <w:rPr>
                <w:color w:val="333333"/>
                <w:lang w:val="fr-FR"/>
              </w:rPr>
              <w:t>’</w:t>
            </w:r>
            <w:r w:rsidRPr="00927778">
              <w:rPr>
                <w:color w:val="333333"/>
                <w:lang w:val="fr-FR"/>
              </w:rPr>
              <w:t>Égypte)</w:t>
            </w:r>
            <w:r w:rsidR="004044B7" w:rsidRPr="00927778">
              <w:rPr>
                <w:color w:val="333333"/>
                <w:lang w:val="fr-FR"/>
              </w:rPr>
              <w:t xml:space="preserve"> </w:t>
            </w:r>
          </w:p>
        </w:tc>
        <w:tc>
          <w:tcPr>
            <w:tcW w:w="2977" w:type="dxa"/>
            <w:shd w:val="clear" w:color="auto" w:fill="auto"/>
          </w:tcPr>
          <w:p w:rsidR="005E6718" w:rsidRPr="00927778" w:rsidRDefault="00E031C6" w:rsidP="00E031C6">
            <w:pPr>
              <w:rPr>
                <w:color w:val="333333"/>
                <w:lang w:val="fr-FR"/>
              </w:rPr>
            </w:pPr>
            <w:r w:rsidRPr="00927778">
              <w:rPr>
                <w:color w:val="333333"/>
                <w:lang w:val="fr-FR"/>
              </w:rPr>
              <w:t>a)</w:t>
            </w:r>
            <w:r w:rsidRPr="00927778">
              <w:rPr>
                <w:color w:val="333333"/>
                <w:lang w:val="fr-FR"/>
              </w:rPr>
              <w:tab/>
              <w:t>Trois pays sont sélectionnés (sur la base des critères de sélection convenus);</w:t>
            </w:r>
            <w:r w:rsidR="00063DA0" w:rsidRPr="00927778">
              <w:rPr>
                <w:color w:val="333333"/>
                <w:lang w:val="fr-FR"/>
              </w:rPr>
              <w:t xml:space="preserve"> </w:t>
            </w:r>
            <w:r w:rsidR="0057466D" w:rsidRPr="00927778">
              <w:rPr>
                <w:color w:val="333333"/>
                <w:lang w:val="fr-FR"/>
              </w:rPr>
              <w:t xml:space="preserve"> </w:t>
            </w:r>
            <w:r w:rsidRPr="00927778">
              <w:rPr>
                <w:color w:val="333333"/>
                <w:lang w:val="fr-FR"/>
              </w:rPr>
              <w:t>et</w:t>
            </w:r>
          </w:p>
          <w:p w:rsidR="005E6718" w:rsidRPr="00927778" w:rsidRDefault="005E6718" w:rsidP="00D527E8">
            <w:pPr>
              <w:rPr>
                <w:color w:val="333333"/>
                <w:lang w:val="fr-FR"/>
              </w:rPr>
            </w:pPr>
          </w:p>
          <w:p w:rsidR="005E6718" w:rsidRPr="00927778" w:rsidRDefault="005E6718" w:rsidP="00D527E8">
            <w:pPr>
              <w:rPr>
                <w:color w:val="333333"/>
                <w:lang w:val="fr-FR"/>
              </w:rPr>
            </w:pPr>
          </w:p>
          <w:p w:rsidR="005E6718" w:rsidRPr="00927778" w:rsidRDefault="00E031C6" w:rsidP="00E031C6">
            <w:pPr>
              <w:rPr>
                <w:color w:val="333333"/>
                <w:lang w:val="fr-FR"/>
              </w:rPr>
            </w:pPr>
            <w:r w:rsidRPr="00927778">
              <w:rPr>
                <w:color w:val="333333"/>
                <w:lang w:val="fr-FR"/>
              </w:rPr>
              <w:t>b)</w:t>
            </w:r>
            <w:r w:rsidRPr="00927778">
              <w:rPr>
                <w:color w:val="333333"/>
                <w:lang w:val="fr-FR"/>
              </w:rPr>
              <w:tab/>
              <w:t>Les agences ou institutions chargées de la mise en œuvre du projet dans les différents pays sont désignées.</w:t>
            </w:r>
          </w:p>
          <w:p w:rsidR="004044B7" w:rsidRPr="00927778" w:rsidRDefault="004044B7" w:rsidP="00D527E8">
            <w:pPr>
              <w:rPr>
                <w:color w:val="333333"/>
                <w:lang w:val="fr-FR"/>
              </w:rPr>
            </w:pPr>
          </w:p>
        </w:tc>
        <w:tc>
          <w:tcPr>
            <w:tcW w:w="2977" w:type="dxa"/>
            <w:shd w:val="clear" w:color="auto" w:fill="auto"/>
          </w:tcPr>
          <w:p w:rsidR="005E6718" w:rsidRPr="00927778" w:rsidRDefault="00E031C6" w:rsidP="00E031C6">
            <w:pPr>
              <w:rPr>
                <w:color w:val="333333"/>
                <w:lang w:val="fr-FR"/>
              </w:rPr>
            </w:pPr>
            <w:r w:rsidRPr="00927778">
              <w:rPr>
                <w:color w:val="333333"/>
                <w:lang w:val="fr-FR"/>
              </w:rPr>
              <w:t>a)</w:t>
            </w:r>
            <w:r w:rsidRPr="00927778">
              <w:rPr>
                <w:color w:val="333333"/>
                <w:lang w:val="fr-FR"/>
              </w:rPr>
              <w:tab/>
              <w:t>L</w:t>
            </w:r>
            <w:r w:rsidR="00EA2C86" w:rsidRPr="00927778">
              <w:rPr>
                <w:color w:val="333333"/>
                <w:lang w:val="fr-FR"/>
              </w:rPr>
              <w:t>’</w:t>
            </w:r>
            <w:r w:rsidRPr="00927778">
              <w:rPr>
                <w:color w:val="333333"/>
                <w:lang w:val="fr-FR"/>
              </w:rPr>
              <w:t>Équateur, la Namibie et Sri</w:t>
            </w:r>
            <w:r w:rsidR="0057466D" w:rsidRPr="00927778">
              <w:rPr>
                <w:color w:val="333333"/>
                <w:lang w:val="fr-FR"/>
              </w:rPr>
              <w:t> </w:t>
            </w:r>
            <w:r w:rsidRPr="00927778">
              <w:rPr>
                <w:color w:val="333333"/>
                <w:lang w:val="fr-FR"/>
              </w:rPr>
              <w:t>Lanka sont sélectionnés comme pays pilotes (en plus de l</w:t>
            </w:r>
            <w:r w:rsidR="00EA2C86" w:rsidRPr="00927778">
              <w:rPr>
                <w:color w:val="333333"/>
                <w:lang w:val="fr-FR"/>
              </w:rPr>
              <w:t>’</w:t>
            </w:r>
            <w:r w:rsidRPr="00927778">
              <w:rPr>
                <w:color w:val="333333"/>
                <w:lang w:val="fr-FR"/>
              </w:rPr>
              <w:t>Égypte)</w:t>
            </w:r>
          </w:p>
          <w:p w:rsidR="005E6718" w:rsidRPr="00927778" w:rsidRDefault="005E6718" w:rsidP="00D527E8">
            <w:pPr>
              <w:rPr>
                <w:color w:val="333333"/>
                <w:lang w:val="fr-FR"/>
              </w:rPr>
            </w:pPr>
          </w:p>
          <w:p w:rsidR="005E6718" w:rsidRPr="00927778" w:rsidRDefault="004044B7" w:rsidP="00D527E8">
            <w:pPr>
              <w:rPr>
                <w:color w:val="333333"/>
                <w:lang w:val="fr-FR"/>
              </w:rPr>
            </w:pPr>
            <w:r w:rsidRPr="00927778">
              <w:rPr>
                <w:color w:val="333333"/>
                <w:lang w:val="fr-FR"/>
              </w:rPr>
              <w:t>(b) SENADI (</w:t>
            </w:r>
            <w:r w:rsidR="00DD09E6" w:rsidRPr="00927778">
              <w:rPr>
                <w:color w:val="333333"/>
                <w:szCs w:val="22"/>
                <w:lang w:val="fr-FR"/>
              </w:rPr>
              <w:t>Service national des droits intellectuels</w:t>
            </w:r>
            <w:r w:rsidR="006141C2" w:rsidRPr="00927778">
              <w:rPr>
                <w:color w:val="333333"/>
                <w:lang w:val="fr-FR"/>
              </w:rPr>
              <w:t>,</w:t>
            </w:r>
            <w:r w:rsidRPr="00927778">
              <w:rPr>
                <w:i/>
                <w:color w:val="333333"/>
                <w:lang w:val="fr-FR"/>
              </w:rPr>
              <w:t xml:space="preserve"> </w:t>
            </w:r>
            <w:r w:rsidR="006B2342" w:rsidRPr="00927778">
              <w:rPr>
                <w:color w:val="333333"/>
                <w:lang w:val="fr-FR"/>
              </w:rPr>
              <w:t>Équateur</w:t>
            </w:r>
            <w:r w:rsidRPr="00927778">
              <w:rPr>
                <w:color w:val="333333"/>
                <w:lang w:val="fr-FR"/>
              </w:rPr>
              <w:t xml:space="preserve">); </w:t>
            </w:r>
            <w:r w:rsidR="0057466D" w:rsidRPr="00927778">
              <w:rPr>
                <w:color w:val="333333"/>
                <w:lang w:val="fr-FR"/>
              </w:rPr>
              <w:t xml:space="preserve"> </w:t>
            </w:r>
            <w:r w:rsidRPr="00927778">
              <w:rPr>
                <w:color w:val="333333"/>
                <w:lang w:val="fr-FR"/>
              </w:rPr>
              <w:t>BIPA (</w:t>
            </w:r>
            <w:r w:rsidR="006B2342" w:rsidRPr="00927778">
              <w:rPr>
                <w:color w:val="333333"/>
                <w:lang w:val="fr-FR"/>
              </w:rPr>
              <w:t>Autorité des affaires commerciales et de la propriété intellectuelle, Namibie</w:t>
            </w:r>
            <w:r w:rsidRPr="00927778">
              <w:rPr>
                <w:color w:val="333333"/>
                <w:lang w:val="fr-FR"/>
              </w:rPr>
              <w:t xml:space="preserve">); </w:t>
            </w:r>
            <w:r w:rsidR="0057466D" w:rsidRPr="00927778">
              <w:rPr>
                <w:color w:val="333333"/>
                <w:lang w:val="fr-FR"/>
              </w:rPr>
              <w:t xml:space="preserve"> </w:t>
            </w:r>
            <w:r w:rsidRPr="00927778">
              <w:rPr>
                <w:color w:val="333333"/>
                <w:lang w:val="fr-FR"/>
              </w:rPr>
              <w:t>SLTDA (</w:t>
            </w:r>
            <w:r w:rsidR="006B2342" w:rsidRPr="00927778">
              <w:rPr>
                <w:color w:val="333333"/>
                <w:lang w:val="fr-FR"/>
              </w:rPr>
              <w:t xml:space="preserve">Autorité du développement du tourisme à </w:t>
            </w:r>
            <w:r w:rsidRPr="00927778">
              <w:rPr>
                <w:color w:val="333333"/>
                <w:lang w:val="fr-FR"/>
              </w:rPr>
              <w:t>Sri</w:t>
            </w:r>
            <w:r w:rsidR="0057466D" w:rsidRPr="00927778">
              <w:rPr>
                <w:color w:val="333333"/>
                <w:lang w:val="fr-FR"/>
              </w:rPr>
              <w:t> </w:t>
            </w:r>
            <w:r w:rsidRPr="00927778">
              <w:rPr>
                <w:color w:val="333333"/>
                <w:lang w:val="fr-FR"/>
              </w:rPr>
              <w:t>Lanka, Sri</w:t>
            </w:r>
            <w:r w:rsidR="0057466D" w:rsidRPr="00927778">
              <w:rPr>
                <w:color w:val="333333"/>
                <w:lang w:val="fr-FR"/>
              </w:rPr>
              <w:t> </w:t>
            </w:r>
            <w:r w:rsidRPr="00927778">
              <w:rPr>
                <w:color w:val="333333"/>
                <w:lang w:val="fr-FR"/>
              </w:rPr>
              <w:t>Lanka);</w:t>
            </w:r>
            <w:r w:rsidR="0057466D" w:rsidRPr="00927778">
              <w:rPr>
                <w:color w:val="333333"/>
                <w:lang w:val="fr-FR"/>
              </w:rPr>
              <w:t xml:space="preserve"> </w:t>
            </w:r>
            <w:r w:rsidRPr="00927778">
              <w:rPr>
                <w:color w:val="333333"/>
                <w:lang w:val="fr-FR"/>
              </w:rPr>
              <w:t xml:space="preserve"> Minist</w:t>
            </w:r>
            <w:r w:rsidR="006B2342" w:rsidRPr="00927778">
              <w:rPr>
                <w:color w:val="333333"/>
                <w:lang w:val="fr-FR"/>
              </w:rPr>
              <w:t>ère des affaires étrangères (É</w:t>
            </w:r>
            <w:r w:rsidRPr="00927778">
              <w:rPr>
                <w:color w:val="333333"/>
                <w:lang w:val="fr-FR"/>
              </w:rPr>
              <w:t>gypt</w:t>
            </w:r>
            <w:r w:rsidR="006B2342" w:rsidRPr="00927778">
              <w:rPr>
                <w:color w:val="333333"/>
                <w:lang w:val="fr-FR"/>
              </w:rPr>
              <w:t>e</w:t>
            </w:r>
            <w:r w:rsidRPr="00927778">
              <w:rPr>
                <w:color w:val="333333"/>
                <w:lang w:val="fr-FR"/>
              </w:rPr>
              <w:t>)</w:t>
            </w:r>
            <w:r w:rsidRPr="00927778">
              <w:rPr>
                <w:rStyle w:val="FootnoteReference"/>
                <w:color w:val="333333"/>
                <w:lang w:val="fr-FR"/>
              </w:rPr>
              <w:footnoteReference w:id="8"/>
            </w:r>
          </w:p>
          <w:p w:rsidR="004044B7" w:rsidRPr="00927778" w:rsidRDefault="004044B7" w:rsidP="00D527E8">
            <w:pPr>
              <w:rPr>
                <w:color w:val="333333"/>
                <w:lang w:val="fr-FR"/>
              </w:rPr>
            </w:pPr>
          </w:p>
        </w:tc>
        <w:tc>
          <w:tcPr>
            <w:tcW w:w="708" w:type="dxa"/>
            <w:shd w:val="clear" w:color="auto" w:fill="auto"/>
          </w:tcPr>
          <w:p w:rsidR="005E6718" w:rsidRPr="00927778" w:rsidRDefault="004044B7" w:rsidP="00D527E8">
            <w:pPr>
              <w:rPr>
                <w:color w:val="333333"/>
                <w:lang w:val="fr-FR"/>
              </w:rPr>
            </w:pPr>
            <w:r w:rsidRPr="00927778">
              <w:rPr>
                <w:color w:val="333333"/>
                <w:lang w:val="fr-FR"/>
              </w:rPr>
              <w:t>****</w:t>
            </w:r>
          </w:p>
          <w:p w:rsidR="005E6718" w:rsidRPr="00927778" w:rsidRDefault="005E6718" w:rsidP="00D527E8">
            <w:pPr>
              <w:rPr>
                <w:color w:val="333333"/>
                <w:lang w:val="fr-FR"/>
              </w:rPr>
            </w:pPr>
          </w:p>
          <w:p w:rsidR="005E6718" w:rsidRPr="00927778" w:rsidRDefault="005E6718" w:rsidP="00D527E8">
            <w:pPr>
              <w:rPr>
                <w:color w:val="333333"/>
                <w:lang w:val="fr-FR"/>
              </w:rPr>
            </w:pPr>
          </w:p>
          <w:p w:rsidR="005E6718" w:rsidRPr="00927778" w:rsidRDefault="005E6718" w:rsidP="00D527E8">
            <w:pPr>
              <w:rPr>
                <w:color w:val="333333"/>
                <w:lang w:val="fr-FR"/>
              </w:rPr>
            </w:pPr>
          </w:p>
          <w:p w:rsidR="005E6718" w:rsidRPr="00927778" w:rsidRDefault="005E6718" w:rsidP="00D527E8">
            <w:pPr>
              <w:rPr>
                <w:color w:val="333333"/>
                <w:lang w:val="fr-FR"/>
              </w:rPr>
            </w:pPr>
          </w:p>
          <w:p w:rsidR="004044B7" w:rsidRPr="00927778" w:rsidRDefault="004044B7" w:rsidP="00D527E8">
            <w:pPr>
              <w:rPr>
                <w:color w:val="333333"/>
                <w:lang w:val="fr-FR"/>
              </w:rPr>
            </w:pPr>
            <w:r w:rsidRPr="00927778">
              <w:rPr>
                <w:color w:val="333333"/>
                <w:lang w:val="fr-FR"/>
              </w:rPr>
              <w:t>****</w:t>
            </w:r>
          </w:p>
        </w:tc>
      </w:tr>
      <w:tr w:rsidR="00047C22" w:rsidRPr="00927778" w:rsidTr="00D527E8">
        <w:tc>
          <w:tcPr>
            <w:tcW w:w="2518" w:type="dxa"/>
            <w:shd w:val="clear" w:color="auto" w:fill="auto"/>
          </w:tcPr>
          <w:p w:rsidR="005E6718" w:rsidRPr="00927778" w:rsidRDefault="005E6718" w:rsidP="00D527E8">
            <w:pPr>
              <w:rPr>
                <w:color w:val="333333"/>
                <w:lang w:val="fr-FR"/>
              </w:rPr>
            </w:pPr>
          </w:p>
          <w:p w:rsidR="005E6718" w:rsidRPr="00927778" w:rsidRDefault="00E031C6" w:rsidP="00E031C6">
            <w:pPr>
              <w:rPr>
                <w:color w:val="333333"/>
                <w:lang w:val="fr-FR"/>
              </w:rPr>
            </w:pPr>
            <w:r w:rsidRPr="00927778">
              <w:rPr>
                <w:color w:val="333333"/>
                <w:lang w:val="fr-FR"/>
              </w:rPr>
              <w:t>Recensement des parties prenantes et des autorités nationales</w:t>
            </w:r>
          </w:p>
          <w:p w:rsidR="005E6718" w:rsidRPr="00927778" w:rsidRDefault="005E6718" w:rsidP="00D527E8">
            <w:pPr>
              <w:rPr>
                <w:color w:val="333333"/>
                <w:lang w:val="fr-FR"/>
              </w:rPr>
            </w:pPr>
          </w:p>
          <w:p w:rsidR="004044B7" w:rsidRPr="00927778" w:rsidRDefault="004044B7" w:rsidP="00D527E8">
            <w:pPr>
              <w:rPr>
                <w:color w:val="333333"/>
                <w:lang w:val="fr-FR"/>
              </w:rPr>
            </w:pPr>
          </w:p>
        </w:tc>
        <w:tc>
          <w:tcPr>
            <w:tcW w:w="2977" w:type="dxa"/>
            <w:shd w:val="clear" w:color="auto" w:fill="auto"/>
          </w:tcPr>
          <w:p w:rsidR="005E6718" w:rsidRPr="00927778" w:rsidRDefault="005E6718" w:rsidP="00D527E8">
            <w:pPr>
              <w:rPr>
                <w:color w:val="333333"/>
                <w:lang w:val="fr-FR"/>
              </w:rPr>
            </w:pPr>
          </w:p>
          <w:p w:rsidR="005E6718" w:rsidRPr="00927778" w:rsidRDefault="00E031C6" w:rsidP="00E031C6">
            <w:pPr>
              <w:rPr>
                <w:color w:val="333333"/>
                <w:lang w:val="fr-FR"/>
              </w:rPr>
            </w:pPr>
            <w:r w:rsidRPr="00927778">
              <w:rPr>
                <w:color w:val="333333"/>
                <w:lang w:val="fr-FR"/>
              </w:rPr>
              <w:t>Dans chaque pays, les parties prenantes concernées sont recensées en concertation avec les institutions chargées de la coordination.</w:t>
            </w:r>
          </w:p>
          <w:p w:rsidR="004044B7" w:rsidRPr="00927778" w:rsidRDefault="004044B7" w:rsidP="00D527E8">
            <w:pPr>
              <w:rPr>
                <w:color w:val="333333"/>
                <w:lang w:val="fr-FR"/>
              </w:rPr>
            </w:pPr>
          </w:p>
        </w:tc>
        <w:tc>
          <w:tcPr>
            <w:tcW w:w="2977" w:type="dxa"/>
            <w:shd w:val="clear" w:color="auto" w:fill="auto"/>
          </w:tcPr>
          <w:p w:rsidR="005E6718" w:rsidRPr="00927778" w:rsidRDefault="005E6718" w:rsidP="00D527E8">
            <w:pPr>
              <w:rPr>
                <w:color w:val="333333"/>
                <w:lang w:val="fr-FR"/>
              </w:rPr>
            </w:pPr>
          </w:p>
          <w:p w:rsidR="004044B7" w:rsidRPr="00927778" w:rsidRDefault="00E031C6" w:rsidP="00E031C6">
            <w:pPr>
              <w:rPr>
                <w:color w:val="333333"/>
                <w:lang w:val="fr-FR"/>
              </w:rPr>
            </w:pPr>
            <w:r w:rsidRPr="00927778">
              <w:rPr>
                <w:color w:val="333333"/>
                <w:lang w:val="fr-FR"/>
              </w:rPr>
              <w:t>Les principales parties prenantes sont recensées et organisées en comités de pilotage dans quatre</w:t>
            </w:r>
            <w:r w:rsidR="0057466D" w:rsidRPr="00927778">
              <w:rPr>
                <w:color w:val="333333"/>
                <w:lang w:val="fr-FR"/>
              </w:rPr>
              <w:t> </w:t>
            </w:r>
            <w:r w:rsidRPr="00927778">
              <w:rPr>
                <w:color w:val="333333"/>
                <w:lang w:val="fr-FR"/>
              </w:rPr>
              <w:t>pays, sous la coordination des agences pilotes.</w:t>
            </w:r>
          </w:p>
        </w:tc>
        <w:tc>
          <w:tcPr>
            <w:tcW w:w="708" w:type="dxa"/>
            <w:shd w:val="clear" w:color="auto" w:fill="auto"/>
          </w:tcPr>
          <w:p w:rsidR="005E6718" w:rsidRPr="00927778" w:rsidRDefault="005E6718" w:rsidP="00D527E8">
            <w:pPr>
              <w:rPr>
                <w:color w:val="333333"/>
                <w:lang w:val="fr-FR"/>
              </w:rPr>
            </w:pPr>
          </w:p>
          <w:p w:rsidR="004044B7" w:rsidRPr="00927778" w:rsidRDefault="004044B7" w:rsidP="00D527E8">
            <w:pPr>
              <w:rPr>
                <w:color w:val="333333"/>
                <w:lang w:val="fr-FR"/>
              </w:rPr>
            </w:pPr>
            <w:r w:rsidRPr="00927778">
              <w:rPr>
                <w:color w:val="333333"/>
                <w:lang w:val="fr-FR"/>
              </w:rPr>
              <w:t>****</w:t>
            </w:r>
          </w:p>
        </w:tc>
      </w:tr>
      <w:tr w:rsidR="00047C22" w:rsidRPr="00927778" w:rsidTr="00D527E8">
        <w:tc>
          <w:tcPr>
            <w:tcW w:w="2518" w:type="dxa"/>
            <w:shd w:val="clear" w:color="auto" w:fill="auto"/>
          </w:tcPr>
          <w:p w:rsidR="005E6718" w:rsidRPr="00927778" w:rsidRDefault="00E031C6" w:rsidP="00E031C6">
            <w:pPr>
              <w:rPr>
                <w:color w:val="333333"/>
                <w:lang w:val="fr-FR"/>
              </w:rPr>
            </w:pPr>
            <w:r w:rsidRPr="00927778">
              <w:rPr>
                <w:color w:val="333333"/>
                <w:lang w:val="fr-FR"/>
              </w:rPr>
              <w:t>Approbation des plans de projet au niveau des pays</w:t>
            </w:r>
          </w:p>
          <w:p w:rsidR="004044B7" w:rsidRPr="00927778" w:rsidRDefault="004044B7" w:rsidP="00D527E8">
            <w:pPr>
              <w:rPr>
                <w:color w:val="333333"/>
                <w:lang w:val="fr-FR"/>
              </w:rPr>
            </w:pPr>
          </w:p>
        </w:tc>
        <w:tc>
          <w:tcPr>
            <w:tcW w:w="2977" w:type="dxa"/>
            <w:shd w:val="clear" w:color="auto" w:fill="auto"/>
          </w:tcPr>
          <w:p w:rsidR="004044B7" w:rsidRPr="00927778" w:rsidRDefault="00E031C6" w:rsidP="00E031C6">
            <w:pPr>
              <w:rPr>
                <w:color w:val="333333"/>
                <w:lang w:val="fr-FR"/>
              </w:rPr>
            </w:pPr>
            <w:r w:rsidRPr="00927778">
              <w:rPr>
                <w:color w:val="333333"/>
                <w:lang w:val="fr-FR"/>
              </w:rPr>
              <w:t>Des plans d</w:t>
            </w:r>
            <w:r w:rsidR="00EA2C86" w:rsidRPr="00927778">
              <w:rPr>
                <w:color w:val="333333"/>
                <w:lang w:val="fr-FR"/>
              </w:rPr>
              <w:t>’</w:t>
            </w:r>
            <w:r w:rsidRPr="00927778">
              <w:rPr>
                <w:color w:val="333333"/>
                <w:lang w:val="fr-FR"/>
              </w:rPr>
              <w:t>exécution de projet sont établis (un par pays).</w:t>
            </w:r>
          </w:p>
        </w:tc>
        <w:tc>
          <w:tcPr>
            <w:tcW w:w="2977" w:type="dxa"/>
            <w:shd w:val="clear" w:color="auto" w:fill="auto"/>
          </w:tcPr>
          <w:p w:rsidR="004044B7" w:rsidRPr="00927778" w:rsidRDefault="00257E55" w:rsidP="00257E55">
            <w:pPr>
              <w:rPr>
                <w:color w:val="333333"/>
                <w:lang w:val="fr-FR"/>
              </w:rPr>
            </w:pPr>
            <w:r w:rsidRPr="00927778">
              <w:rPr>
                <w:color w:val="333333"/>
                <w:lang w:val="fr-FR"/>
              </w:rPr>
              <w:t xml:space="preserve">Des accords </w:t>
            </w:r>
            <w:r w:rsidR="00A60431" w:rsidRPr="00927778">
              <w:rPr>
                <w:color w:val="333333"/>
                <w:lang w:val="fr-FR"/>
              </w:rPr>
              <w:t xml:space="preserve">de coopération </w:t>
            </w:r>
            <w:r w:rsidRPr="00927778">
              <w:rPr>
                <w:color w:val="333333"/>
                <w:lang w:val="fr-FR"/>
              </w:rPr>
              <w:t>ou des échanges de lettres ont été conclus entre l</w:t>
            </w:r>
            <w:r w:rsidR="00EA2C86" w:rsidRPr="00927778">
              <w:rPr>
                <w:color w:val="333333"/>
                <w:lang w:val="fr-FR"/>
              </w:rPr>
              <w:t>’</w:t>
            </w:r>
            <w:r w:rsidRPr="00927778">
              <w:rPr>
                <w:color w:val="333333"/>
                <w:lang w:val="fr-FR"/>
              </w:rPr>
              <w:t>OMPI et les agences pilotes des 4</w:t>
            </w:r>
            <w:r w:rsidR="00002037" w:rsidRPr="00927778">
              <w:rPr>
                <w:color w:val="333333"/>
                <w:lang w:val="fr-FR"/>
              </w:rPr>
              <w:t> </w:t>
            </w:r>
            <w:r w:rsidRPr="00927778">
              <w:rPr>
                <w:color w:val="333333"/>
                <w:lang w:val="fr-FR"/>
              </w:rPr>
              <w:t>pa</w:t>
            </w:r>
            <w:r w:rsidR="00306E74" w:rsidRPr="00927778">
              <w:rPr>
                <w:color w:val="333333"/>
                <w:lang w:val="fr-FR"/>
              </w:rPr>
              <w:t>ys.  Le</w:t>
            </w:r>
            <w:r w:rsidRPr="00927778">
              <w:rPr>
                <w:color w:val="333333"/>
                <w:lang w:val="fr-FR"/>
              </w:rPr>
              <w:t xml:space="preserve">s accords sont actuellement révisés et les cadres institutionnels sont finalisés aux fins de la durabilité du projet. </w:t>
            </w:r>
            <w:r w:rsidR="0057466D" w:rsidRPr="00927778">
              <w:rPr>
                <w:color w:val="333333"/>
                <w:lang w:val="fr-FR"/>
              </w:rPr>
              <w:t xml:space="preserve"> </w:t>
            </w:r>
          </w:p>
        </w:tc>
        <w:tc>
          <w:tcPr>
            <w:tcW w:w="708" w:type="dxa"/>
            <w:shd w:val="clear" w:color="auto" w:fill="auto"/>
          </w:tcPr>
          <w:p w:rsidR="004044B7" w:rsidRPr="00927778" w:rsidRDefault="004044B7" w:rsidP="00D527E8">
            <w:pPr>
              <w:rPr>
                <w:color w:val="333333"/>
                <w:lang w:val="fr-FR"/>
              </w:rPr>
            </w:pPr>
            <w:r w:rsidRPr="00927778">
              <w:rPr>
                <w:color w:val="333333"/>
                <w:lang w:val="fr-FR"/>
              </w:rPr>
              <w:t>***</w:t>
            </w:r>
          </w:p>
        </w:tc>
      </w:tr>
      <w:tr w:rsidR="00047C22" w:rsidRPr="00927778" w:rsidTr="00D527E8">
        <w:trPr>
          <w:trHeight w:val="3894"/>
        </w:trPr>
        <w:tc>
          <w:tcPr>
            <w:tcW w:w="2518" w:type="dxa"/>
            <w:shd w:val="clear" w:color="auto" w:fill="auto"/>
          </w:tcPr>
          <w:p w:rsidR="00EA2C86" w:rsidRPr="00927778" w:rsidRDefault="00E031C6" w:rsidP="00E031C6">
            <w:pPr>
              <w:rPr>
                <w:color w:val="333333"/>
                <w:lang w:val="fr-FR"/>
              </w:rPr>
            </w:pPr>
            <w:r w:rsidRPr="00927778">
              <w:rPr>
                <w:color w:val="333333"/>
                <w:lang w:val="fr-FR"/>
              </w:rPr>
              <w:t xml:space="preserve">Sensibilisation des parties prenantes et des autorités nationales, </w:t>
            </w:r>
            <w:r w:rsidR="00EA2C86" w:rsidRPr="00927778">
              <w:rPr>
                <w:color w:val="333333"/>
                <w:lang w:val="fr-FR"/>
              </w:rPr>
              <w:t>y compris</w:t>
            </w:r>
            <w:r w:rsidRPr="00927778">
              <w:rPr>
                <w:color w:val="333333"/>
                <w:lang w:val="fr-FR"/>
              </w:rPr>
              <w:t xml:space="preserve"> les offices de propriété intellectuelle</w:t>
            </w:r>
          </w:p>
          <w:p w:rsidR="005E6718" w:rsidRPr="00927778" w:rsidRDefault="005E6718" w:rsidP="00D527E8">
            <w:pPr>
              <w:rPr>
                <w:color w:val="333333"/>
                <w:lang w:val="fr-FR"/>
              </w:rPr>
            </w:pPr>
          </w:p>
          <w:p w:rsidR="004044B7" w:rsidRPr="00927778" w:rsidRDefault="004044B7" w:rsidP="00D527E8">
            <w:pPr>
              <w:rPr>
                <w:color w:val="333333"/>
                <w:lang w:val="fr-FR"/>
              </w:rPr>
            </w:pPr>
          </w:p>
        </w:tc>
        <w:tc>
          <w:tcPr>
            <w:tcW w:w="2977" w:type="dxa"/>
            <w:shd w:val="clear" w:color="auto" w:fill="auto"/>
          </w:tcPr>
          <w:p w:rsidR="00EA2C86" w:rsidRPr="00927778" w:rsidRDefault="00E031C6" w:rsidP="00E031C6">
            <w:pPr>
              <w:rPr>
                <w:color w:val="333333"/>
                <w:lang w:val="fr-FR"/>
              </w:rPr>
            </w:pPr>
            <w:r w:rsidRPr="00927778">
              <w:rPr>
                <w:color w:val="333333"/>
                <w:lang w:val="fr-FR"/>
              </w:rPr>
              <w:t>Dans chaque pays pilote, deux</w:t>
            </w:r>
            <w:r w:rsidR="0057466D" w:rsidRPr="00927778">
              <w:rPr>
                <w:color w:val="333333"/>
                <w:lang w:val="fr-FR"/>
              </w:rPr>
              <w:t> </w:t>
            </w:r>
            <w:r w:rsidRPr="00927778">
              <w:rPr>
                <w:color w:val="333333"/>
                <w:lang w:val="fr-FR"/>
              </w:rPr>
              <w:t>activités de renforcement des capacités sont organisées afin de sensibiliser les parties prenantes et de renforcer les capacités des autorités nationales en matière d</w:t>
            </w:r>
            <w:r w:rsidR="00EA2C86" w:rsidRPr="00927778">
              <w:rPr>
                <w:color w:val="333333"/>
                <w:lang w:val="fr-FR"/>
              </w:rPr>
              <w:t>’</w:t>
            </w:r>
            <w:r w:rsidRPr="00927778">
              <w:rPr>
                <w:color w:val="333333"/>
                <w:lang w:val="fr-FR"/>
              </w:rPr>
              <w:t>appui sectoriel spécifique à l</w:t>
            </w:r>
            <w:r w:rsidR="00EA2C86" w:rsidRPr="00927778">
              <w:rPr>
                <w:color w:val="333333"/>
                <w:lang w:val="fr-FR"/>
              </w:rPr>
              <w:t>’</w:t>
            </w:r>
            <w:r w:rsidRPr="00927778">
              <w:rPr>
                <w:color w:val="333333"/>
                <w:lang w:val="fr-FR"/>
              </w:rPr>
              <w:t>activité touristique grâce à l</w:t>
            </w:r>
            <w:r w:rsidR="00EA2C86" w:rsidRPr="00927778">
              <w:rPr>
                <w:color w:val="333333"/>
                <w:lang w:val="fr-FR"/>
              </w:rPr>
              <w:t>’</w:t>
            </w:r>
            <w:r w:rsidRPr="00927778">
              <w:rPr>
                <w:color w:val="333333"/>
                <w:lang w:val="fr-FR"/>
              </w:rPr>
              <w:t>utilisation de la propriété intellectuelle.</w:t>
            </w:r>
          </w:p>
          <w:p w:rsidR="004044B7" w:rsidRPr="00927778" w:rsidRDefault="004044B7" w:rsidP="00D527E8">
            <w:pPr>
              <w:rPr>
                <w:color w:val="333333"/>
                <w:lang w:val="fr-FR"/>
              </w:rPr>
            </w:pPr>
          </w:p>
        </w:tc>
        <w:tc>
          <w:tcPr>
            <w:tcW w:w="2977" w:type="dxa"/>
            <w:shd w:val="clear" w:color="auto" w:fill="auto"/>
          </w:tcPr>
          <w:p w:rsidR="00EA2C86" w:rsidRPr="00927778" w:rsidRDefault="00EA2C86" w:rsidP="00D527E8">
            <w:pPr>
              <w:rPr>
                <w:color w:val="333333"/>
                <w:lang w:val="fr-FR"/>
              </w:rPr>
            </w:pPr>
            <w:r w:rsidRPr="00927778">
              <w:rPr>
                <w:color w:val="333333"/>
                <w:lang w:val="fr-FR"/>
              </w:rPr>
              <w:t>-</w:t>
            </w:r>
            <w:r w:rsidR="000309D4" w:rsidRPr="00927778">
              <w:rPr>
                <w:color w:val="333333"/>
                <w:lang w:val="fr-FR"/>
              </w:rPr>
              <w:t xml:space="preserve"> Équateur</w:t>
            </w:r>
            <w:r w:rsidRPr="00927778">
              <w:rPr>
                <w:color w:val="333333"/>
                <w:lang w:val="fr-FR"/>
              </w:rPr>
              <w:t> :</w:t>
            </w:r>
            <w:r w:rsidR="0001042C" w:rsidRPr="00927778">
              <w:rPr>
                <w:color w:val="333333"/>
                <w:lang w:val="fr-FR"/>
              </w:rPr>
              <w:t xml:space="preserve"> 3</w:t>
            </w:r>
            <w:r w:rsidR="004044B7" w:rsidRPr="00927778">
              <w:rPr>
                <w:color w:val="333333"/>
                <w:lang w:val="fr-FR"/>
              </w:rPr>
              <w:t xml:space="preserve"> </w:t>
            </w:r>
            <w:r w:rsidR="006E03C5" w:rsidRPr="00927778">
              <w:rPr>
                <w:color w:val="333333"/>
                <w:lang w:val="fr-FR"/>
              </w:rPr>
              <w:t xml:space="preserve">ateliers </w:t>
            </w:r>
            <w:r w:rsidR="000C1173" w:rsidRPr="00927778">
              <w:rPr>
                <w:color w:val="333333"/>
                <w:lang w:val="fr-FR"/>
              </w:rPr>
              <w:t xml:space="preserve">réunissant </w:t>
            </w:r>
            <w:r w:rsidR="006E03C5" w:rsidRPr="00927778">
              <w:rPr>
                <w:color w:val="333333"/>
                <w:lang w:val="fr-FR"/>
              </w:rPr>
              <w:t>des parties prenantes et plus de 20</w:t>
            </w:r>
            <w:r w:rsidR="00002037" w:rsidRPr="00927778">
              <w:rPr>
                <w:color w:val="333333"/>
                <w:lang w:val="fr-FR"/>
              </w:rPr>
              <w:t> </w:t>
            </w:r>
            <w:r w:rsidR="006E03C5" w:rsidRPr="00927778">
              <w:rPr>
                <w:color w:val="333333"/>
                <w:lang w:val="fr-FR"/>
              </w:rPr>
              <w:t>initiatives de sensibilisation lancées par des autorités nationales de propriété intellectuelle;</w:t>
            </w:r>
          </w:p>
          <w:p w:rsidR="005E6718" w:rsidRPr="00927778" w:rsidRDefault="00EA2C86" w:rsidP="00D527E8">
            <w:pPr>
              <w:rPr>
                <w:color w:val="333333"/>
                <w:lang w:val="fr-FR"/>
              </w:rPr>
            </w:pPr>
            <w:r w:rsidRPr="00927778">
              <w:rPr>
                <w:color w:val="333333"/>
                <w:lang w:val="fr-FR"/>
              </w:rPr>
              <w:t>-</w:t>
            </w:r>
            <w:r w:rsidR="00383A33" w:rsidRPr="00927778">
              <w:rPr>
                <w:color w:val="333333"/>
                <w:lang w:val="fr-FR"/>
              </w:rPr>
              <w:t xml:space="preserve"> É</w:t>
            </w:r>
            <w:r w:rsidR="004044B7" w:rsidRPr="00927778">
              <w:rPr>
                <w:color w:val="333333"/>
                <w:lang w:val="fr-FR"/>
              </w:rPr>
              <w:t>gypt</w:t>
            </w:r>
            <w:r w:rsidR="00383A33" w:rsidRPr="00927778">
              <w:rPr>
                <w:color w:val="333333"/>
                <w:lang w:val="fr-FR"/>
              </w:rPr>
              <w:t>e</w:t>
            </w:r>
            <w:r w:rsidRPr="00927778">
              <w:rPr>
                <w:color w:val="333333"/>
                <w:lang w:val="fr-FR"/>
              </w:rPr>
              <w:t> :</w:t>
            </w:r>
            <w:r w:rsidR="004044B7" w:rsidRPr="00927778">
              <w:rPr>
                <w:color w:val="333333"/>
                <w:lang w:val="fr-FR"/>
              </w:rPr>
              <w:t xml:space="preserve"> 3</w:t>
            </w:r>
            <w:r w:rsidR="00383A33" w:rsidRPr="00927778">
              <w:rPr>
                <w:color w:val="333333"/>
                <w:lang w:val="fr-FR"/>
              </w:rPr>
              <w:t xml:space="preserve"> séminaires de sensibilisation avec la participation de membres du Comité directeur</w:t>
            </w:r>
            <w:r w:rsidR="004044B7" w:rsidRPr="00927778">
              <w:rPr>
                <w:color w:val="333333"/>
                <w:lang w:val="fr-FR"/>
              </w:rPr>
              <w:t>;</w:t>
            </w:r>
          </w:p>
          <w:p w:rsidR="005E6718" w:rsidRPr="00927778" w:rsidRDefault="00EA2C86" w:rsidP="00D527E8">
            <w:pPr>
              <w:rPr>
                <w:color w:val="333333"/>
                <w:lang w:val="fr-FR"/>
              </w:rPr>
            </w:pPr>
            <w:r w:rsidRPr="00927778">
              <w:rPr>
                <w:color w:val="333333"/>
                <w:lang w:val="fr-FR"/>
              </w:rPr>
              <w:t>-</w:t>
            </w:r>
            <w:r w:rsidR="00383A33" w:rsidRPr="00927778">
              <w:rPr>
                <w:color w:val="333333"/>
                <w:lang w:val="fr-FR"/>
              </w:rPr>
              <w:t xml:space="preserve"> Namibie</w:t>
            </w:r>
            <w:r w:rsidRPr="00927778">
              <w:rPr>
                <w:color w:val="333333"/>
                <w:lang w:val="fr-FR"/>
              </w:rPr>
              <w:t> :</w:t>
            </w:r>
            <w:r w:rsidR="004044B7" w:rsidRPr="00927778">
              <w:rPr>
                <w:color w:val="333333"/>
                <w:lang w:val="fr-FR"/>
              </w:rPr>
              <w:t xml:space="preserve"> 3 </w:t>
            </w:r>
            <w:r w:rsidR="00383A33" w:rsidRPr="00927778">
              <w:rPr>
                <w:color w:val="333333"/>
                <w:lang w:val="fr-FR"/>
              </w:rPr>
              <w:t>ateliers nationaux destinés aux acteurs du tourisme et aux décideurs politiques</w:t>
            </w:r>
            <w:r w:rsidR="004044B7" w:rsidRPr="00927778">
              <w:rPr>
                <w:color w:val="333333"/>
                <w:lang w:val="fr-FR"/>
              </w:rPr>
              <w:t>;</w:t>
            </w:r>
          </w:p>
          <w:p w:rsidR="004044B7" w:rsidRPr="00927778" w:rsidRDefault="00EA2C86" w:rsidP="00D527E8">
            <w:pPr>
              <w:rPr>
                <w:color w:val="333333"/>
                <w:lang w:val="fr-FR"/>
              </w:rPr>
            </w:pPr>
            <w:r w:rsidRPr="00927778">
              <w:rPr>
                <w:color w:val="333333"/>
                <w:lang w:val="fr-FR"/>
              </w:rPr>
              <w:t>-</w:t>
            </w:r>
            <w:r w:rsidR="004044B7" w:rsidRPr="00927778">
              <w:rPr>
                <w:color w:val="333333"/>
                <w:lang w:val="fr-FR"/>
              </w:rPr>
              <w:t xml:space="preserve"> Sri</w:t>
            </w:r>
            <w:r w:rsidR="0057466D" w:rsidRPr="00927778">
              <w:rPr>
                <w:color w:val="333333"/>
                <w:lang w:val="fr-FR"/>
              </w:rPr>
              <w:t> </w:t>
            </w:r>
            <w:r w:rsidR="004044B7" w:rsidRPr="00927778">
              <w:rPr>
                <w:color w:val="333333"/>
                <w:lang w:val="fr-FR"/>
              </w:rPr>
              <w:t>Lanka</w:t>
            </w:r>
            <w:r w:rsidRPr="00927778">
              <w:rPr>
                <w:color w:val="333333"/>
                <w:lang w:val="fr-FR"/>
              </w:rPr>
              <w:t> :</w:t>
            </w:r>
            <w:r w:rsidR="004044B7" w:rsidRPr="00927778">
              <w:rPr>
                <w:color w:val="333333"/>
                <w:lang w:val="fr-FR"/>
              </w:rPr>
              <w:t xml:space="preserve"> 3 </w:t>
            </w:r>
            <w:r w:rsidR="00383A33" w:rsidRPr="00927778">
              <w:rPr>
                <w:color w:val="333333"/>
                <w:lang w:val="fr-FR"/>
              </w:rPr>
              <w:t xml:space="preserve">ateliers </w:t>
            </w:r>
            <w:r w:rsidR="004044B7" w:rsidRPr="00927778">
              <w:rPr>
                <w:color w:val="333333"/>
                <w:lang w:val="fr-FR"/>
              </w:rPr>
              <w:t>nationa</w:t>
            </w:r>
            <w:r w:rsidR="00383A33" w:rsidRPr="00927778">
              <w:rPr>
                <w:color w:val="333333"/>
                <w:lang w:val="fr-FR"/>
              </w:rPr>
              <w:t>ux</w:t>
            </w:r>
            <w:r w:rsidR="004044B7" w:rsidRPr="00927778">
              <w:rPr>
                <w:color w:val="333333"/>
                <w:lang w:val="fr-FR"/>
              </w:rPr>
              <w:t xml:space="preserve"> </w:t>
            </w:r>
            <w:r w:rsidR="00383A33" w:rsidRPr="00927778">
              <w:rPr>
                <w:color w:val="333333"/>
                <w:lang w:val="fr-FR"/>
              </w:rPr>
              <w:t>destinés aux acteurs du tourisme et aux décideurs politiques</w:t>
            </w:r>
            <w:r w:rsidR="004044B7" w:rsidRPr="00927778">
              <w:rPr>
                <w:color w:val="333333"/>
                <w:lang w:val="fr-FR"/>
              </w:rPr>
              <w:t xml:space="preserve">. </w:t>
            </w:r>
            <w:r w:rsidR="0057466D" w:rsidRPr="00927778">
              <w:rPr>
                <w:color w:val="333333"/>
                <w:lang w:val="fr-FR"/>
              </w:rPr>
              <w:t xml:space="preserve"> </w:t>
            </w:r>
          </w:p>
        </w:tc>
        <w:tc>
          <w:tcPr>
            <w:tcW w:w="708" w:type="dxa"/>
            <w:shd w:val="clear" w:color="auto" w:fill="auto"/>
          </w:tcPr>
          <w:p w:rsidR="004044B7" w:rsidRPr="00927778" w:rsidRDefault="004044B7" w:rsidP="00D527E8">
            <w:pPr>
              <w:rPr>
                <w:color w:val="333333"/>
                <w:lang w:val="fr-FR"/>
              </w:rPr>
            </w:pPr>
            <w:r w:rsidRPr="00927778">
              <w:rPr>
                <w:color w:val="333333"/>
                <w:lang w:val="fr-FR"/>
              </w:rPr>
              <w:t>**</w:t>
            </w:r>
          </w:p>
        </w:tc>
      </w:tr>
      <w:tr w:rsidR="004044B7" w:rsidRPr="00927778" w:rsidTr="00D527E8">
        <w:tc>
          <w:tcPr>
            <w:tcW w:w="2518" w:type="dxa"/>
            <w:shd w:val="clear" w:color="auto" w:fill="auto"/>
          </w:tcPr>
          <w:p w:rsidR="005E6718" w:rsidRPr="00927778" w:rsidRDefault="00E031C6" w:rsidP="00E031C6">
            <w:pPr>
              <w:rPr>
                <w:color w:val="333333"/>
                <w:lang w:val="fr-FR"/>
              </w:rPr>
            </w:pPr>
            <w:r w:rsidRPr="00927778">
              <w:rPr>
                <w:color w:val="333333"/>
                <w:lang w:val="fr-FR"/>
              </w:rPr>
              <w:t>Familiarisation des milieux universitaires avec l</w:t>
            </w:r>
            <w:r w:rsidR="00EA2C86" w:rsidRPr="00927778">
              <w:rPr>
                <w:color w:val="333333"/>
                <w:lang w:val="fr-FR"/>
              </w:rPr>
              <w:t>’</w:t>
            </w:r>
            <w:r w:rsidRPr="00927778">
              <w:rPr>
                <w:color w:val="333333"/>
                <w:lang w:val="fr-FR"/>
              </w:rPr>
              <w:t>interface entre propriété intellectuelle, tourisme et protection des savoirs, des traditions et de la culture à l</w:t>
            </w:r>
            <w:r w:rsidR="00EA2C86" w:rsidRPr="00927778">
              <w:rPr>
                <w:color w:val="333333"/>
                <w:lang w:val="fr-FR"/>
              </w:rPr>
              <w:t>’</w:t>
            </w:r>
            <w:r w:rsidRPr="00927778">
              <w:rPr>
                <w:color w:val="333333"/>
                <w:lang w:val="fr-FR"/>
              </w:rPr>
              <w:t>échelle nationale aux fins du développement</w:t>
            </w:r>
          </w:p>
          <w:p w:rsidR="004044B7" w:rsidRPr="00927778" w:rsidRDefault="004044B7" w:rsidP="00D527E8">
            <w:pPr>
              <w:rPr>
                <w:color w:val="333333"/>
                <w:lang w:val="fr-FR"/>
              </w:rPr>
            </w:pPr>
          </w:p>
        </w:tc>
        <w:tc>
          <w:tcPr>
            <w:tcW w:w="2977" w:type="dxa"/>
            <w:shd w:val="clear" w:color="auto" w:fill="auto"/>
          </w:tcPr>
          <w:p w:rsidR="005E6718" w:rsidRPr="00927778" w:rsidRDefault="00E031C6" w:rsidP="00E031C6">
            <w:pPr>
              <w:rPr>
                <w:bCs/>
                <w:color w:val="333333"/>
                <w:lang w:val="fr-FR"/>
              </w:rPr>
            </w:pPr>
            <w:r w:rsidRPr="00927778">
              <w:rPr>
                <w:bCs/>
                <w:color w:val="333333"/>
                <w:lang w:val="fr-FR"/>
              </w:rPr>
              <w:t>a)</w:t>
            </w:r>
            <w:r w:rsidRPr="00927778">
              <w:rPr>
                <w:bCs/>
                <w:color w:val="333333"/>
                <w:lang w:val="fr-FR"/>
              </w:rPr>
              <w:tab/>
              <w:t>Le matériel d</w:t>
            </w:r>
            <w:r w:rsidR="00EA2C86" w:rsidRPr="00927778">
              <w:rPr>
                <w:bCs/>
                <w:color w:val="333333"/>
                <w:lang w:val="fr-FR"/>
              </w:rPr>
              <w:t>’</w:t>
            </w:r>
            <w:r w:rsidRPr="00927778">
              <w:rPr>
                <w:bCs/>
                <w:color w:val="333333"/>
                <w:lang w:val="fr-FR"/>
              </w:rPr>
              <w:t>information et de sensibilisation est produit (au moins un documentaire vidéo);</w:t>
            </w:r>
            <w:r w:rsidR="00063DA0" w:rsidRPr="00927778">
              <w:rPr>
                <w:bCs/>
                <w:color w:val="333333"/>
                <w:lang w:val="fr-FR"/>
              </w:rPr>
              <w:t xml:space="preserve"> </w:t>
            </w:r>
            <w:r w:rsidR="0057466D" w:rsidRPr="00927778">
              <w:rPr>
                <w:bCs/>
                <w:color w:val="333333"/>
                <w:lang w:val="fr-FR"/>
              </w:rPr>
              <w:t xml:space="preserve"> </w:t>
            </w:r>
            <w:r w:rsidRPr="00927778">
              <w:rPr>
                <w:bCs/>
                <w:color w:val="333333"/>
                <w:lang w:val="fr-FR"/>
              </w:rPr>
              <w:t>et</w:t>
            </w:r>
          </w:p>
          <w:p w:rsidR="005E6718" w:rsidRPr="00927778" w:rsidRDefault="005E6718" w:rsidP="00D527E8">
            <w:pPr>
              <w:rPr>
                <w:bCs/>
                <w:color w:val="333333"/>
                <w:lang w:val="fr-FR"/>
              </w:rPr>
            </w:pPr>
          </w:p>
          <w:p w:rsidR="004044B7" w:rsidRPr="00927778" w:rsidRDefault="00E031C6" w:rsidP="00E031C6">
            <w:pPr>
              <w:rPr>
                <w:color w:val="333333"/>
                <w:lang w:val="fr-FR"/>
              </w:rPr>
            </w:pPr>
            <w:r w:rsidRPr="00927778">
              <w:rPr>
                <w:color w:val="333333"/>
                <w:lang w:val="fr-FR"/>
              </w:rPr>
              <w:t>b)</w:t>
            </w:r>
            <w:r w:rsidRPr="00927778">
              <w:rPr>
                <w:color w:val="333333"/>
                <w:lang w:val="fr-FR"/>
              </w:rPr>
              <w:tab/>
              <w:t>Les supports d</w:t>
            </w:r>
            <w:r w:rsidR="00EA2C86" w:rsidRPr="00927778">
              <w:rPr>
                <w:color w:val="333333"/>
                <w:lang w:val="fr-FR"/>
              </w:rPr>
              <w:t>’</w:t>
            </w:r>
            <w:r w:rsidRPr="00927778">
              <w:rPr>
                <w:color w:val="333333"/>
                <w:lang w:val="fr-FR"/>
              </w:rPr>
              <w:t>enseignement et de formation mis au point (au moins une série de documents) et intégrés dans les programmes.</w:t>
            </w:r>
          </w:p>
        </w:tc>
        <w:tc>
          <w:tcPr>
            <w:tcW w:w="2977" w:type="dxa"/>
            <w:shd w:val="clear" w:color="auto" w:fill="auto"/>
          </w:tcPr>
          <w:p w:rsidR="005E6718" w:rsidRPr="00927778" w:rsidRDefault="004044B7" w:rsidP="00D527E8">
            <w:pPr>
              <w:rPr>
                <w:color w:val="333333"/>
                <w:lang w:val="fr-FR"/>
              </w:rPr>
            </w:pPr>
            <w:r w:rsidRPr="00927778">
              <w:rPr>
                <w:color w:val="333333"/>
                <w:lang w:val="fr-FR"/>
              </w:rPr>
              <w:t xml:space="preserve">(a) </w:t>
            </w:r>
            <w:r w:rsidR="00B235C1" w:rsidRPr="00927778">
              <w:rPr>
                <w:color w:val="333333"/>
                <w:lang w:val="fr-FR"/>
              </w:rPr>
              <w:t>A</w:t>
            </w:r>
            <w:r w:rsidR="0053266D" w:rsidRPr="00927778">
              <w:rPr>
                <w:color w:val="333333"/>
                <w:lang w:val="fr-FR"/>
              </w:rPr>
              <w:t xml:space="preserve">u moins un </w:t>
            </w:r>
            <w:r w:rsidR="0057466D" w:rsidRPr="00927778">
              <w:rPr>
                <w:color w:val="333333"/>
                <w:lang w:val="fr-FR"/>
              </w:rPr>
              <w:t>Web</w:t>
            </w:r>
            <w:r w:rsidR="0053266D" w:rsidRPr="00927778">
              <w:rPr>
                <w:color w:val="333333"/>
                <w:lang w:val="fr-FR"/>
              </w:rPr>
              <w:t>inaire sur la propriété intellectuelle, le tourisme et la culture au lieu du documentaire vidéo</w:t>
            </w:r>
            <w:r w:rsidR="007F4899" w:rsidRPr="00927778">
              <w:rPr>
                <w:color w:val="333333"/>
                <w:lang w:val="fr-FR"/>
              </w:rPr>
              <w:t>.</w:t>
            </w:r>
          </w:p>
          <w:p w:rsidR="00306E74" w:rsidRPr="00927778" w:rsidRDefault="00306E74" w:rsidP="00D527E8">
            <w:pPr>
              <w:rPr>
                <w:color w:val="333333"/>
                <w:lang w:val="fr-FR"/>
              </w:rPr>
            </w:pPr>
          </w:p>
          <w:p w:rsidR="004044B7" w:rsidRPr="00927778" w:rsidRDefault="004044B7" w:rsidP="009052D4">
            <w:pPr>
              <w:rPr>
                <w:color w:val="333333"/>
                <w:lang w:val="fr-FR"/>
              </w:rPr>
            </w:pPr>
            <w:r w:rsidRPr="00927778">
              <w:rPr>
                <w:color w:val="333333"/>
                <w:lang w:val="fr-FR"/>
              </w:rPr>
              <w:t xml:space="preserve">(b) </w:t>
            </w:r>
            <w:r w:rsidR="0053266D" w:rsidRPr="00927778">
              <w:rPr>
                <w:color w:val="333333"/>
                <w:lang w:val="fr-FR"/>
              </w:rPr>
              <w:t>Trois</w:t>
            </w:r>
            <w:r w:rsidR="0057466D" w:rsidRPr="00927778">
              <w:rPr>
                <w:color w:val="333333"/>
                <w:lang w:val="fr-FR"/>
              </w:rPr>
              <w:t> </w:t>
            </w:r>
            <w:r w:rsidR="009052D4" w:rsidRPr="00927778">
              <w:rPr>
                <w:color w:val="333333"/>
                <w:lang w:val="fr-FR"/>
              </w:rPr>
              <w:t>séries</w:t>
            </w:r>
            <w:r w:rsidR="0053266D" w:rsidRPr="00927778">
              <w:rPr>
                <w:color w:val="333333"/>
                <w:lang w:val="fr-FR"/>
              </w:rPr>
              <w:t xml:space="preserve"> de supports d</w:t>
            </w:r>
            <w:r w:rsidR="00EA2C86" w:rsidRPr="00927778">
              <w:rPr>
                <w:color w:val="333333"/>
                <w:lang w:val="fr-FR"/>
              </w:rPr>
              <w:t>’</w:t>
            </w:r>
            <w:r w:rsidR="0053266D" w:rsidRPr="00927778">
              <w:rPr>
                <w:color w:val="333333"/>
                <w:lang w:val="fr-FR"/>
              </w:rPr>
              <w:t>enseignement en cours d</w:t>
            </w:r>
            <w:r w:rsidR="00EA2C86" w:rsidRPr="00927778">
              <w:rPr>
                <w:color w:val="333333"/>
                <w:lang w:val="fr-FR"/>
              </w:rPr>
              <w:t>’</w:t>
            </w:r>
            <w:r w:rsidR="0053266D" w:rsidRPr="00927778">
              <w:rPr>
                <w:color w:val="333333"/>
                <w:lang w:val="fr-FR"/>
              </w:rPr>
              <w:t>élaboration (Équateur, Namibie</w:t>
            </w:r>
            <w:r w:rsidRPr="00927778">
              <w:rPr>
                <w:color w:val="333333"/>
                <w:lang w:val="fr-FR"/>
              </w:rPr>
              <w:t>, Sri</w:t>
            </w:r>
            <w:r w:rsidR="0057466D" w:rsidRPr="00927778">
              <w:rPr>
                <w:color w:val="333333"/>
                <w:lang w:val="fr-FR"/>
              </w:rPr>
              <w:t> </w:t>
            </w:r>
            <w:r w:rsidRPr="00927778">
              <w:rPr>
                <w:color w:val="333333"/>
                <w:lang w:val="fr-FR"/>
              </w:rPr>
              <w:t>Lanka)</w:t>
            </w:r>
            <w:r w:rsidR="007F4899" w:rsidRPr="00927778">
              <w:rPr>
                <w:color w:val="333333"/>
                <w:lang w:val="fr-FR"/>
              </w:rPr>
              <w:t>.</w:t>
            </w:r>
          </w:p>
        </w:tc>
        <w:tc>
          <w:tcPr>
            <w:tcW w:w="708" w:type="dxa"/>
            <w:shd w:val="clear" w:color="auto" w:fill="auto"/>
          </w:tcPr>
          <w:p w:rsidR="004044B7" w:rsidRPr="00927778" w:rsidRDefault="004044B7" w:rsidP="00D527E8">
            <w:pPr>
              <w:rPr>
                <w:color w:val="333333"/>
                <w:lang w:val="fr-FR"/>
              </w:rPr>
            </w:pPr>
            <w:r w:rsidRPr="00927778">
              <w:rPr>
                <w:color w:val="333333"/>
                <w:lang w:val="fr-FR"/>
              </w:rPr>
              <w:t>***</w:t>
            </w:r>
          </w:p>
        </w:tc>
      </w:tr>
    </w:tbl>
    <w:p w:rsidR="005E6718" w:rsidRPr="00927778" w:rsidRDefault="005E6718" w:rsidP="004044B7">
      <w:pPr>
        <w:rPr>
          <w:color w:val="333333"/>
          <w:lang w:val="fr-FR"/>
        </w:rPr>
      </w:pPr>
    </w:p>
    <w:p w:rsidR="005E6718" w:rsidRPr="00927778" w:rsidRDefault="005E6718" w:rsidP="004044B7">
      <w:pPr>
        <w:rPr>
          <w:color w:val="333333"/>
          <w:lang w:val="fr-FR"/>
        </w:rPr>
      </w:pPr>
    </w:p>
    <w:p w:rsidR="005E6718" w:rsidRPr="00927778" w:rsidRDefault="005E6718" w:rsidP="004044B7">
      <w:pPr>
        <w:rPr>
          <w:color w:val="333333"/>
          <w:lang w:val="fr-FR"/>
        </w:rPr>
      </w:pPr>
    </w:p>
    <w:p w:rsidR="004044B7" w:rsidRPr="00927778" w:rsidRDefault="004044B7" w:rsidP="004044B7">
      <w:pPr>
        <w:rPr>
          <w:color w:val="333333"/>
          <w:lang w:val="fr-FR"/>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977"/>
        <w:gridCol w:w="3011"/>
        <w:gridCol w:w="850"/>
      </w:tblGrid>
      <w:tr w:rsidR="00047C22" w:rsidRPr="00927778" w:rsidTr="00D527E8">
        <w:trPr>
          <w:trHeight w:val="616"/>
        </w:trPr>
        <w:tc>
          <w:tcPr>
            <w:tcW w:w="2518" w:type="dxa"/>
            <w:shd w:val="clear" w:color="auto" w:fill="auto"/>
          </w:tcPr>
          <w:p w:rsidR="004044B7" w:rsidRPr="00927778" w:rsidRDefault="00E031C6" w:rsidP="00E031C6">
            <w:pPr>
              <w:pStyle w:val="Heading3"/>
              <w:rPr>
                <w:color w:val="333333"/>
                <w:lang w:val="fr-FR"/>
              </w:rPr>
            </w:pPr>
            <w:r w:rsidRPr="00927778">
              <w:rPr>
                <w:color w:val="333333"/>
                <w:lang w:val="fr-FR"/>
              </w:rPr>
              <w:t>Objectifs du projet</w:t>
            </w:r>
          </w:p>
        </w:tc>
        <w:tc>
          <w:tcPr>
            <w:tcW w:w="2977" w:type="dxa"/>
            <w:shd w:val="clear" w:color="auto" w:fill="auto"/>
          </w:tcPr>
          <w:p w:rsidR="005E6718" w:rsidRPr="00927778" w:rsidRDefault="00E031C6" w:rsidP="00E031C6">
            <w:pPr>
              <w:autoSpaceDE w:val="0"/>
              <w:autoSpaceDN w:val="0"/>
              <w:adjustRightInd w:val="0"/>
              <w:rPr>
                <w:bCs/>
                <w:color w:val="333333"/>
                <w:szCs w:val="22"/>
                <w:u w:val="single"/>
                <w:lang w:val="fr-FR"/>
              </w:rPr>
            </w:pPr>
            <w:r w:rsidRPr="00927778">
              <w:rPr>
                <w:bCs/>
                <w:color w:val="333333"/>
                <w:szCs w:val="22"/>
                <w:u w:val="single"/>
                <w:lang w:val="fr-FR"/>
              </w:rPr>
              <w:t>Indicateur(s) de réussite dans la réalisation de l</w:t>
            </w:r>
            <w:r w:rsidR="00EA2C86" w:rsidRPr="00927778">
              <w:rPr>
                <w:bCs/>
                <w:color w:val="333333"/>
                <w:szCs w:val="22"/>
                <w:u w:val="single"/>
                <w:lang w:val="fr-FR"/>
              </w:rPr>
              <w:t>’</w:t>
            </w:r>
            <w:r w:rsidRPr="00927778">
              <w:rPr>
                <w:bCs/>
                <w:color w:val="333333"/>
                <w:szCs w:val="22"/>
                <w:u w:val="single"/>
                <w:lang w:val="fr-FR"/>
              </w:rPr>
              <w:t>objectif du projet</w:t>
            </w:r>
          </w:p>
          <w:p w:rsidR="004044B7" w:rsidRDefault="00E031C6" w:rsidP="00144EAC">
            <w:pPr>
              <w:autoSpaceDE w:val="0"/>
              <w:autoSpaceDN w:val="0"/>
              <w:adjustRightInd w:val="0"/>
              <w:rPr>
                <w:bCs/>
                <w:color w:val="333333"/>
                <w:szCs w:val="22"/>
                <w:u w:val="single"/>
                <w:lang w:val="fr-FR"/>
              </w:rPr>
            </w:pPr>
            <w:r w:rsidRPr="00927778">
              <w:rPr>
                <w:bCs/>
                <w:color w:val="333333"/>
                <w:szCs w:val="22"/>
                <w:u w:val="single"/>
                <w:lang w:val="fr-FR"/>
              </w:rPr>
              <w:t>(indicateurs de réussite)</w:t>
            </w:r>
          </w:p>
          <w:p w:rsidR="00144EAC" w:rsidRPr="00144EAC" w:rsidRDefault="00144EAC" w:rsidP="00144EAC">
            <w:pPr>
              <w:autoSpaceDE w:val="0"/>
              <w:autoSpaceDN w:val="0"/>
              <w:adjustRightInd w:val="0"/>
              <w:rPr>
                <w:bCs/>
                <w:color w:val="333333"/>
                <w:sz w:val="12"/>
                <w:szCs w:val="22"/>
                <w:u w:val="single"/>
                <w:lang w:val="fr-FR"/>
              </w:rPr>
            </w:pPr>
          </w:p>
        </w:tc>
        <w:tc>
          <w:tcPr>
            <w:tcW w:w="3011" w:type="dxa"/>
            <w:shd w:val="clear" w:color="auto" w:fill="auto"/>
          </w:tcPr>
          <w:p w:rsidR="004044B7" w:rsidRPr="00927778" w:rsidRDefault="00E031C6" w:rsidP="00E031C6">
            <w:pPr>
              <w:pStyle w:val="Heading3"/>
              <w:rPr>
                <w:color w:val="333333"/>
                <w:lang w:val="fr-FR"/>
              </w:rPr>
            </w:pPr>
            <w:r w:rsidRPr="00927778">
              <w:rPr>
                <w:color w:val="333333"/>
                <w:lang w:val="fr-FR"/>
              </w:rPr>
              <w:t>Données relatives à l</w:t>
            </w:r>
            <w:r w:rsidR="00EA2C86" w:rsidRPr="00927778">
              <w:rPr>
                <w:color w:val="333333"/>
                <w:lang w:val="fr-FR"/>
              </w:rPr>
              <w:t>’</w:t>
            </w:r>
            <w:r w:rsidRPr="00927778">
              <w:rPr>
                <w:color w:val="333333"/>
                <w:lang w:val="fr-FR"/>
              </w:rPr>
              <w:t>exécution</w:t>
            </w:r>
          </w:p>
        </w:tc>
        <w:tc>
          <w:tcPr>
            <w:tcW w:w="850" w:type="dxa"/>
            <w:shd w:val="clear" w:color="auto" w:fill="auto"/>
          </w:tcPr>
          <w:p w:rsidR="004044B7" w:rsidRPr="00927778" w:rsidRDefault="00E031C6" w:rsidP="00E031C6">
            <w:pPr>
              <w:pStyle w:val="Heading3"/>
              <w:rPr>
                <w:color w:val="333333"/>
                <w:lang w:val="fr-FR"/>
              </w:rPr>
            </w:pPr>
            <w:r w:rsidRPr="00927778">
              <w:rPr>
                <w:color w:val="333333"/>
                <w:lang w:val="fr-FR"/>
              </w:rPr>
              <w:t>Code d</w:t>
            </w:r>
            <w:r w:rsidR="00EA2C86" w:rsidRPr="00927778">
              <w:rPr>
                <w:color w:val="333333"/>
                <w:lang w:val="fr-FR"/>
              </w:rPr>
              <w:t>’</w:t>
            </w:r>
            <w:r w:rsidRPr="00927778">
              <w:rPr>
                <w:color w:val="333333"/>
                <w:lang w:val="fr-FR"/>
              </w:rPr>
              <w:t>évaluation</w:t>
            </w:r>
          </w:p>
        </w:tc>
      </w:tr>
      <w:tr w:rsidR="00047C22" w:rsidRPr="00927778" w:rsidTr="00D527E8">
        <w:trPr>
          <w:trHeight w:val="509"/>
        </w:trPr>
        <w:tc>
          <w:tcPr>
            <w:tcW w:w="2518" w:type="dxa"/>
            <w:vMerge w:val="restart"/>
            <w:shd w:val="clear" w:color="auto" w:fill="auto"/>
          </w:tcPr>
          <w:p w:rsidR="004044B7" w:rsidRPr="00927778" w:rsidRDefault="00E031C6" w:rsidP="00E031C6">
            <w:pPr>
              <w:rPr>
                <w:bCs/>
                <w:color w:val="333333"/>
                <w:lang w:val="fr-FR"/>
              </w:rPr>
            </w:pPr>
            <w:r w:rsidRPr="00927778">
              <w:rPr>
                <w:bCs/>
                <w:color w:val="333333"/>
                <w:lang w:val="fr-FR"/>
              </w:rPr>
              <w:t xml:space="preserve">Renforcement des capacités des principales parties prenantes et des autorités nationales, </w:t>
            </w:r>
            <w:r w:rsidR="00EA2C86" w:rsidRPr="00927778">
              <w:rPr>
                <w:bCs/>
                <w:color w:val="333333"/>
                <w:lang w:val="fr-FR"/>
              </w:rPr>
              <w:t>y compris</w:t>
            </w:r>
            <w:r w:rsidRPr="00927778">
              <w:rPr>
                <w:bCs/>
                <w:color w:val="333333"/>
                <w:lang w:val="fr-FR"/>
              </w:rPr>
              <w:t xml:space="preserve"> les offices de propriété intellectuelle, en matière d</w:t>
            </w:r>
            <w:r w:rsidR="00EA2C86" w:rsidRPr="00927778">
              <w:rPr>
                <w:bCs/>
                <w:color w:val="333333"/>
                <w:lang w:val="fr-FR"/>
              </w:rPr>
              <w:t>’</w:t>
            </w:r>
            <w:r w:rsidRPr="00927778">
              <w:rPr>
                <w:bCs/>
                <w:color w:val="333333"/>
                <w:lang w:val="fr-FR"/>
              </w:rPr>
              <w:t>utilisation des instruments et stratégies de propriété intellectuelle aux fins de la création de valeur ajoutée et de diversification de l</w:t>
            </w:r>
            <w:r w:rsidR="00EA2C86" w:rsidRPr="00927778">
              <w:rPr>
                <w:bCs/>
                <w:color w:val="333333"/>
                <w:lang w:val="fr-FR"/>
              </w:rPr>
              <w:t>’</w:t>
            </w:r>
            <w:r w:rsidRPr="00927778">
              <w:rPr>
                <w:bCs/>
                <w:color w:val="333333"/>
                <w:lang w:val="fr-FR"/>
              </w:rPr>
              <w:t>activité touristique, en particulier sous l</w:t>
            </w:r>
            <w:r w:rsidR="00EA2C86" w:rsidRPr="00927778">
              <w:rPr>
                <w:bCs/>
                <w:color w:val="333333"/>
                <w:lang w:val="fr-FR"/>
              </w:rPr>
              <w:t>’</w:t>
            </w:r>
            <w:r w:rsidRPr="00927778">
              <w:rPr>
                <w:bCs/>
                <w:color w:val="333333"/>
                <w:lang w:val="fr-FR"/>
              </w:rPr>
              <w:t>angle de la promotion du tourisme et des savoirs, des traditions et de la culture à l</w:t>
            </w:r>
            <w:r w:rsidR="00EA2C86" w:rsidRPr="00927778">
              <w:rPr>
                <w:bCs/>
                <w:color w:val="333333"/>
                <w:lang w:val="fr-FR"/>
              </w:rPr>
              <w:t>’</w:t>
            </w:r>
            <w:r w:rsidRPr="00927778">
              <w:rPr>
                <w:bCs/>
                <w:color w:val="333333"/>
                <w:lang w:val="fr-FR"/>
              </w:rPr>
              <w:t>échelle nationale ou locale.</w:t>
            </w:r>
          </w:p>
        </w:tc>
        <w:tc>
          <w:tcPr>
            <w:tcW w:w="2977" w:type="dxa"/>
            <w:shd w:val="clear" w:color="auto" w:fill="auto"/>
          </w:tcPr>
          <w:p w:rsidR="004044B7" w:rsidRPr="00927778" w:rsidRDefault="00E031C6" w:rsidP="00E031C6">
            <w:pPr>
              <w:rPr>
                <w:color w:val="333333"/>
                <w:lang w:val="fr-FR"/>
              </w:rPr>
            </w:pPr>
            <w:r w:rsidRPr="00927778">
              <w:rPr>
                <w:color w:val="333333"/>
                <w:lang w:val="fr-FR"/>
              </w:rPr>
              <w:t>Les autorités nationales des quatre</w:t>
            </w:r>
            <w:r w:rsidR="0057466D" w:rsidRPr="00927778">
              <w:rPr>
                <w:color w:val="333333"/>
                <w:lang w:val="fr-FR"/>
              </w:rPr>
              <w:t> </w:t>
            </w:r>
            <w:r w:rsidRPr="00927778">
              <w:rPr>
                <w:color w:val="333333"/>
                <w:lang w:val="fr-FR"/>
              </w:rPr>
              <w:t>pays pilotes ont élaboré des structures chargées de fournir des services consultatifs sur la propriété intellectuelle et le tourisme aux fins de la croissance et du développement national.</w:t>
            </w:r>
          </w:p>
        </w:tc>
        <w:tc>
          <w:tcPr>
            <w:tcW w:w="3011" w:type="dxa"/>
            <w:shd w:val="clear" w:color="auto" w:fill="auto"/>
          </w:tcPr>
          <w:p w:rsidR="005E6718" w:rsidRPr="00927778" w:rsidRDefault="00E031C6" w:rsidP="00E031C6">
            <w:pPr>
              <w:rPr>
                <w:color w:val="333333"/>
                <w:lang w:val="fr-FR"/>
              </w:rPr>
            </w:pPr>
            <w:r w:rsidRPr="00927778">
              <w:rPr>
                <w:color w:val="333333"/>
                <w:lang w:val="fr-FR"/>
              </w:rPr>
              <w:t>Les comités de pilotage en matière de propriété intellectuelle et de tourisme ont été créés dans les quatre</w:t>
            </w:r>
            <w:r w:rsidR="0057466D" w:rsidRPr="00927778">
              <w:rPr>
                <w:color w:val="333333"/>
                <w:lang w:val="fr-FR"/>
              </w:rPr>
              <w:t> </w:t>
            </w:r>
            <w:r w:rsidRPr="00927778">
              <w:rPr>
                <w:color w:val="333333"/>
                <w:lang w:val="fr-FR"/>
              </w:rPr>
              <w:t>pa</w:t>
            </w:r>
            <w:r w:rsidR="00306E74" w:rsidRPr="00927778">
              <w:rPr>
                <w:color w:val="333333"/>
                <w:lang w:val="fr-FR"/>
              </w:rPr>
              <w:t>ys.  L’é</w:t>
            </w:r>
            <w:r w:rsidRPr="00927778">
              <w:rPr>
                <w:color w:val="333333"/>
                <w:lang w:val="fr-FR"/>
              </w:rPr>
              <w:t>volution desdits comités et la création de nouvelles structures permanentes à la fin du projet restent à la discrétion des autorités nationales.</w:t>
            </w:r>
            <w:r w:rsidR="00063DA0" w:rsidRPr="00927778">
              <w:rPr>
                <w:color w:val="333333"/>
                <w:lang w:val="fr-FR"/>
              </w:rPr>
              <w:t xml:space="preserve"> </w:t>
            </w:r>
            <w:r w:rsidR="0057466D" w:rsidRPr="00927778">
              <w:rPr>
                <w:color w:val="333333"/>
                <w:lang w:val="fr-FR"/>
              </w:rPr>
              <w:t xml:space="preserve"> </w:t>
            </w:r>
            <w:r w:rsidRPr="00927778">
              <w:rPr>
                <w:color w:val="333333"/>
                <w:lang w:val="fr-FR"/>
              </w:rPr>
              <w:t>L</w:t>
            </w:r>
            <w:r w:rsidR="00EA2C86" w:rsidRPr="00927778">
              <w:rPr>
                <w:color w:val="333333"/>
                <w:lang w:val="fr-FR"/>
              </w:rPr>
              <w:t>’</w:t>
            </w:r>
            <w:r w:rsidRPr="00927778">
              <w:rPr>
                <w:color w:val="333333"/>
                <w:lang w:val="fr-FR"/>
              </w:rPr>
              <w:t>OMPI recommandera les mesures nécessaires pour garantir la pérennité du projet.</w:t>
            </w:r>
          </w:p>
          <w:p w:rsidR="004044B7" w:rsidRPr="00927778" w:rsidRDefault="004044B7" w:rsidP="00144EAC">
            <w:pPr>
              <w:rPr>
                <w:color w:val="333333"/>
                <w:lang w:val="fr-FR"/>
              </w:rPr>
            </w:pPr>
          </w:p>
        </w:tc>
        <w:tc>
          <w:tcPr>
            <w:tcW w:w="850" w:type="dxa"/>
            <w:shd w:val="clear" w:color="auto" w:fill="auto"/>
          </w:tcPr>
          <w:p w:rsidR="004044B7" w:rsidRPr="00927778" w:rsidRDefault="004044B7" w:rsidP="00D527E8">
            <w:pPr>
              <w:rPr>
                <w:color w:val="333333"/>
                <w:lang w:val="fr-FR"/>
              </w:rPr>
            </w:pPr>
            <w:r w:rsidRPr="00927778">
              <w:rPr>
                <w:color w:val="333333"/>
                <w:lang w:val="fr-FR"/>
              </w:rPr>
              <w:t>**</w:t>
            </w:r>
          </w:p>
        </w:tc>
      </w:tr>
      <w:tr w:rsidR="00047C22" w:rsidRPr="00927778" w:rsidTr="00D527E8">
        <w:trPr>
          <w:trHeight w:val="509"/>
        </w:trPr>
        <w:tc>
          <w:tcPr>
            <w:tcW w:w="2518" w:type="dxa"/>
            <w:vMerge/>
            <w:shd w:val="clear" w:color="auto" w:fill="auto"/>
          </w:tcPr>
          <w:p w:rsidR="004044B7" w:rsidRPr="00927778" w:rsidRDefault="004044B7" w:rsidP="00D527E8">
            <w:pPr>
              <w:rPr>
                <w:bCs/>
                <w:color w:val="333333"/>
                <w:lang w:val="fr-FR"/>
              </w:rPr>
            </w:pPr>
          </w:p>
        </w:tc>
        <w:tc>
          <w:tcPr>
            <w:tcW w:w="2977" w:type="dxa"/>
            <w:shd w:val="clear" w:color="auto" w:fill="auto"/>
          </w:tcPr>
          <w:p w:rsidR="004044B7" w:rsidRPr="00927778" w:rsidRDefault="00E031C6" w:rsidP="00E031C6">
            <w:pPr>
              <w:rPr>
                <w:color w:val="333333"/>
                <w:lang w:val="fr-FR"/>
              </w:rPr>
            </w:pPr>
            <w:r w:rsidRPr="00927778">
              <w:rPr>
                <w:color w:val="333333"/>
                <w:lang w:val="fr-FR"/>
              </w:rPr>
              <w:t>Les parties prenantes de deux</w:t>
            </w:r>
            <w:r w:rsidR="0057466D" w:rsidRPr="00927778">
              <w:rPr>
                <w:color w:val="333333"/>
                <w:lang w:val="fr-FR"/>
              </w:rPr>
              <w:t> </w:t>
            </w:r>
            <w:r w:rsidRPr="00927778">
              <w:rPr>
                <w:color w:val="333333"/>
                <w:lang w:val="fr-FR"/>
              </w:rPr>
              <w:t>pays au moins ont initié ou élaboré des plans pour mettre les instruments et stratégies de propriété intellectuelle au service du renforcement de la compétitivité, de la promotion du tourisme et des savoirs, des traditions et de la culture à l</w:t>
            </w:r>
            <w:r w:rsidR="00EA2C86" w:rsidRPr="00927778">
              <w:rPr>
                <w:color w:val="333333"/>
                <w:lang w:val="fr-FR"/>
              </w:rPr>
              <w:t>’</w:t>
            </w:r>
            <w:r w:rsidRPr="00927778">
              <w:rPr>
                <w:color w:val="333333"/>
                <w:lang w:val="fr-FR"/>
              </w:rPr>
              <w:t>échelle nationale ou locale.</w:t>
            </w:r>
          </w:p>
        </w:tc>
        <w:tc>
          <w:tcPr>
            <w:tcW w:w="3011" w:type="dxa"/>
            <w:shd w:val="clear" w:color="auto" w:fill="auto"/>
          </w:tcPr>
          <w:p w:rsidR="004044B7" w:rsidRPr="00144EAC" w:rsidRDefault="00EA2C86" w:rsidP="00630F14">
            <w:pPr>
              <w:rPr>
                <w:color w:val="333333"/>
                <w:sz w:val="8"/>
                <w:lang w:val="fr-FR"/>
              </w:rPr>
            </w:pPr>
            <w:r w:rsidRPr="00927778">
              <w:rPr>
                <w:color w:val="333333"/>
                <w:lang w:val="fr-FR"/>
              </w:rPr>
              <w:t>-</w:t>
            </w:r>
            <w:r w:rsidR="00630F14" w:rsidRPr="00927778">
              <w:rPr>
                <w:color w:val="333333"/>
                <w:lang w:val="fr-FR"/>
              </w:rPr>
              <w:t xml:space="preserve"> Équateur</w:t>
            </w:r>
            <w:r w:rsidRPr="00927778">
              <w:rPr>
                <w:color w:val="333333"/>
                <w:lang w:val="fr-FR"/>
              </w:rPr>
              <w:t> : le SEN</w:t>
            </w:r>
            <w:r w:rsidR="00392D42" w:rsidRPr="00927778">
              <w:rPr>
                <w:color w:val="333333"/>
                <w:lang w:val="fr-FR"/>
              </w:rPr>
              <w:t xml:space="preserve">ADI, le Ministère du tourisme et le projet Géoparc ont conjointement élaboré des </w:t>
            </w:r>
            <w:r w:rsidR="00163AA8" w:rsidRPr="00927778">
              <w:rPr>
                <w:color w:val="333333"/>
                <w:lang w:val="fr-FR"/>
              </w:rPr>
              <w:t xml:space="preserve">plans </w:t>
            </w:r>
            <w:r w:rsidR="00392D42" w:rsidRPr="00927778">
              <w:rPr>
                <w:color w:val="333333"/>
                <w:lang w:val="fr-FR"/>
              </w:rPr>
              <w:t>pour mettre les instruments et stratégies de propriété intellectuelle au service du renforcement de la compétitivité, de la promotion du tourisme et des savoirs, des traditions et de la culture à l</w:t>
            </w:r>
            <w:r w:rsidRPr="00927778">
              <w:rPr>
                <w:color w:val="333333"/>
                <w:lang w:val="fr-FR"/>
              </w:rPr>
              <w:t>’</w:t>
            </w:r>
            <w:r w:rsidR="00392D42" w:rsidRPr="00927778">
              <w:rPr>
                <w:color w:val="333333"/>
                <w:lang w:val="fr-FR"/>
              </w:rPr>
              <w:t>échelle nationale ou locale.</w:t>
            </w:r>
            <w:r w:rsidR="004044B7" w:rsidRPr="00927778">
              <w:rPr>
                <w:bCs/>
                <w:color w:val="333333"/>
                <w:lang w:val="fr-FR"/>
              </w:rPr>
              <w:br/>
            </w:r>
          </w:p>
        </w:tc>
        <w:tc>
          <w:tcPr>
            <w:tcW w:w="850" w:type="dxa"/>
            <w:shd w:val="clear" w:color="auto" w:fill="auto"/>
          </w:tcPr>
          <w:p w:rsidR="004044B7" w:rsidRPr="00927778" w:rsidRDefault="004044B7" w:rsidP="00D527E8">
            <w:pPr>
              <w:rPr>
                <w:color w:val="333333"/>
                <w:lang w:val="fr-FR"/>
              </w:rPr>
            </w:pPr>
            <w:r w:rsidRPr="00927778">
              <w:rPr>
                <w:color w:val="333333"/>
                <w:lang w:val="fr-FR"/>
              </w:rPr>
              <w:t>**</w:t>
            </w:r>
          </w:p>
        </w:tc>
      </w:tr>
      <w:tr w:rsidR="00047C22" w:rsidRPr="00927778" w:rsidTr="00D527E8">
        <w:trPr>
          <w:trHeight w:val="509"/>
        </w:trPr>
        <w:tc>
          <w:tcPr>
            <w:tcW w:w="2518" w:type="dxa"/>
            <w:shd w:val="clear" w:color="auto" w:fill="auto"/>
          </w:tcPr>
          <w:p w:rsidR="004044B7" w:rsidRPr="00927778" w:rsidRDefault="00E031C6" w:rsidP="00E031C6">
            <w:pPr>
              <w:rPr>
                <w:bCs/>
                <w:color w:val="333333"/>
                <w:lang w:val="fr-FR"/>
              </w:rPr>
            </w:pPr>
            <w:r w:rsidRPr="00927778">
              <w:rPr>
                <w:bCs/>
                <w:color w:val="333333"/>
                <w:lang w:val="fr-FR"/>
              </w:rPr>
              <w:t>Sensibilisation des milieux universitaires à l</w:t>
            </w:r>
            <w:r w:rsidR="00EA2C86" w:rsidRPr="00927778">
              <w:rPr>
                <w:bCs/>
                <w:color w:val="333333"/>
                <w:lang w:val="fr-FR"/>
              </w:rPr>
              <w:t>’</w:t>
            </w:r>
            <w:r w:rsidRPr="00927778">
              <w:rPr>
                <w:bCs/>
                <w:color w:val="333333"/>
                <w:lang w:val="fr-FR"/>
              </w:rPr>
              <w:t>interface entre propriété intellectuelle et tourisme dans le cadre des politiques en matière de développement et de croissance, en vue d</w:t>
            </w:r>
            <w:r w:rsidR="00EA2C86" w:rsidRPr="00927778">
              <w:rPr>
                <w:bCs/>
                <w:color w:val="333333"/>
                <w:lang w:val="fr-FR"/>
              </w:rPr>
              <w:t>’</w:t>
            </w:r>
            <w:r w:rsidRPr="00927778">
              <w:rPr>
                <w:bCs/>
                <w:color w:val="333333"/>
                <w:lang w:val="fr-FR"/>
              </w:rPr>
              <w:t>élaborer du matériel didactique et de promouvoir l</w:t>
            </w:r>
            <w:r w:rsidR="00EA2C86" w:rsidRPr="00927778">
              <w:rPr>
                <w:bCs/>
                <w:color w:val="333333"/>
                <w:lang w:val="fr-FR"/>
              </w:rPr>
              <w:t>’</w:t>
            </w:r>
            <w:r w:rsidRPr="00927778">
              <w:rPr>
                <w:bCs/>
                <w:color w:val="333333"/>
                <w:lang w:val="fr-FR"/>
              </w:rPr>
              <w:t>inclusion de programmes spécialisés dans les écoles de tourisme et les académies nationales de propriété intellectuelle.</w:t>
            </w:r>
          </w:p>
        </w:tc>
        <w:tc>
          <w:tcPr>
            <w:tcW w:w="2977" w:type="dxa"/>
            <w:shd w:val="clear" w:color="auto" w:fill="auto"/>
          </w:tcPr>
          <w:p w:rsidR="004044B7" w:rsidRPr="00927778" w:rsidRDefault="00E031C6" w:rsidP="00E031C6">
            <w:pPr>
              <w:rPr>
                <w:color w:val="333333"/>
                <w:lang w:val="fr-FR"/>
              </w:rPr>
            </w:pPr>
            <w:r w:rsidRPr="00927778">
              <w:rPr>
                <w:color w:val="333333"/>
                <w:lang w:val="fr-FR"/>
              </w:rPr>
              <w:t>Jusqu</w:t>
            </w:r>
            <w:r w:rsidR="00EA2C86" w:rsidRPr="00927778">
              <w:rPr>
                <w:color w:val="333333"/>
                <w:lang w:val="fr-FR"/>
              </w:rPr>
              <w:t>’</w:t>
            </w:r>
            <w:r w:rsidRPr="00927778">
              <w:rPr>
                <w:color w:val="333333"/>
                <w:lang w:val="fr-FR"/>
              </w:rPr>
              <w:t>à deux</w:t>
            </w:r>
            <w:r w:rsidR="0057466D" w:rsidRPr="00927778">
              <w:rPr>
                <w:color w:val="333333"/>
                <w:lang w:val="fr-FR"/>
              </w:rPr>
              <w:t> </w:t>
            </w:r>
            <w:r w:rsidRPr="00927778">
              <w:rPr>
                <w:color w:val="333333"/>
                <w:lang w:val="fr-FR"/>
              </w:rPr>
              <w:t>écoles de tourisme et au moins une académie nationale de propriété intellectuelle ont adopté des programmes et des supports d</w:t>
            </w:r>
            <w:r w:rsidR="00EA2C86" w:rsidRPr="00927778">
              <w:rPr>
                <w:color w:val="333333"/>
                <w:lang w:val="fr-FR"/>
              </w:rPr>
              <w:t>’</w:t>
            </w:r>
            <w:r w:rsidRPr="00927778">
              <w:rPr>
                <w:color w:val="333333"/>
                <w:lang w:val="fr-FR"/>
              </w:rPr>
              <w:t>enseignement et de formation élaborés dans le cadre du projet.</w:t>
            </w:r>
          </w:p>
        </w:tc>
        <w:tc>
          <w:tcPr>
            <w:tcW w:w="3011" w:type="dxa"/>
            <w:shd w:val="clear" w:color="auto" w:fill="auto"/>
          </w:tcPr>
          <w:p w:rsidR="00306E74" w:rsidRPr="00927778" w:rsidRDefault="00EA2C86" w:rsidP="00306E74">
            <w:pPr>
              <w:rPr>
                <w:color w:val="333333"/>
                <w:lang w:val="fr-FR"/>
              </w:rPr>
            </w:pPr>
            <w:r w:rsidRPr="00927778">
              <w:rPr>
                <w:color w:val="333333"/>
                <w:lang w:val="fr-FR"/>
              </w:rPr>
              <w:t>-</w:t>
            </w:r>
            <w:r w:rsidR="00334A96" w:rsidRPr="00927778">
              <w:rPr>
                <w:color w:val="333333"/>
                <w:lang w:val="fr-FR"/>
              </w:rPr>
              <w:t xml:space="preserve"> </w:t>
            </w:r>
            <w:r w:rsidR="00630F14" w:rsidRPr="00927778">
              <w:rPr>
                <w:color w:val="333333"/>
                <w:u w:val="single"/>
                <w:lang w:val="fr-FR"/>
              </w:rPr>
              <w:t>Équateur</w:t>
            </w:r>
            <w:r w:rsidRPr="00927778">
              <w:rPr>
                <w:color w:val="333333"/>
                <w:u w:val="single"/>
                <w:lang w:val="fr-FR"/>
              </w:rPr>
              <w:t> :</w:t>
            </w:r>
            <w:r w:rsidR="004044B7" w:rsidRPr="00927778">
              <w:rPr>
                <w:color w:val="333333"/>
                <w:lang w:val="fr-FR"/>
              </w:rPr>
              <w:t xml:space="preserve"> </w:t>
            </w:r>
            <w:r w:rsidR="001B0654" w:rsidRPr="00927778">
              <w:rPr>
                <w:color w:val="333333"/>
                <w:lang w:val="fr-FR"/>
              </w:rPr>
              <w:t xml:space="preserve">40 heures de formation portant sur la propriété intellectuelle, le tourisme et le développement local </w:t>
            </w:r>
            <w:r w:rsidR="00E42807" w:rsidRPr="00927778">
              <w:rPr>
                <w:color w:val="333333"/>
                <w:lang w:val="fr-FR"/>
              </w:rPr>
              <w:t>ont été finalisées</w:t>
            </w:r>
            <w:r w:rsidR="001118FA" w:rsidRPr="00927778">
              <w:rPr>
                <w:color w:val="333333"/>
                <w:lang w:val="fr-FR"/>
              </w:rPr>
              <w:t xml:space="preserve"> à l</w:t>
            </w:r>
            <w:r w:rsidRPr="00927778">
              <w:rPr>
                <w:color w:val="333333"/>
                <w:lang w:val="fr-FR"/>
              </w:rPr>
              <w:t>’</w:t>
            </w:r>
            <w:r w:rsidR="001118FA" w:rsidRPr="00927778">
              <w:rPr>
                <w:color w:val="333333"/>
                <w:lang w:val="fr-FR"/>
              </w:rPr>
              <w:t>intention des formateurs</w:t>
            </w:r>
            <w:r w:rsidR="00E42807" w:rsidRPr="00927778">
              <w:rPr>
                <w:color w:val="333333"/>
                <w:lang w:val="fr-FR"/>
              </w:rPr>
              <w:t xml:space="preserve"> </w:t>
            </w:r>
            <w:r w:rsidR="004044B7" w:rsidRPr="00927778">
              <w:rPr>
                <w:color w:val="333333"/>
                <w:lang w:val="fr-FR"/>
              </w:rPr>
              <w:t>(</w:t>
            </w:r>
            <w:r w:rsidR="001B0654" w:rsidRPr="00927778">
              <w:rPr>
                <w:color w:val="333333"/>
                <w:lang w:val="fr-FR"/>
              </w:rPr>
              <w:t xml:space="preserve">lancement prévu en </w:t>
            </w:r>
            <w:r w:rsidRPr="00927778">
              <w:rPr>
                <w:color w:val="333333"/>
                <w:lang w:val="fr-FR"/>
              </w:rPr>
              <w:t>septembre 20</w:t>
            </w:r>
            <w:r w:rsidR="004044B7" w:rsidRPr="00927778">
              <w:rPr>
                <w:color w:val="333333"/>
                <w:lang w:val="fr-FR"/>
              </w:rPr>
              <w:t>18)</w:t>
            </w:r>
            <w:r w:rsidR="0057466D" w:rsidRPr="00927778">
              <w:rPr>
                <w:color w:val="333333"/>
                <w:lang w:val="fr-FR"/>
              </w:rPr>
              <w:t xml:space="preserve">; </w:t>
            </w:r>
            <w:r w:rsidR="004044B7" w:rsidRPr="00927778">
              <w:rPr>
                <w:color w:val="333333"/>
                <w:lang w:val="fr-FR"/>
              </w:rPr>
              <w:t xml:space="preserve"> </w:t>
            </w:r>
          </w:p>
          <w:p w:rsidR="00306E74" w:rsidRPr="00927778" w:rsidRDefault="00EA2C86" w:rsidP="00306E74">
            <w:pPr>
              <w:rPr>
                <w:color w:val="333333"/>
                <w:lang w:val="fr-FR"/>
              </w:rPr>
            </w:pPr>
            <w:r w:rsidRPr="00927778">
              <w:rPr>
                <w:color w:val="333333"/>
                <w:lang w:val="fr-FR"/>
              </w:rPr>
              <w:t>-</w:t>
            </w:r>
            <w:r w:rsidR="004044B7" w:rsidRPr="00927778">
              <w:rPr>
                <w:color w:val="333333"/>
                <w:lang w:val="fr-FR"/>
              </w:rPr>
              <w:t xml:space="preserve"> </w:t>
            </w:r>
            <w:r w:rsidR="004044B7" w:rsidRPr="00927778">
              <w:rPr>
                <w:color w:val="333333"/>
                <w:u w:val="single"/>
                <w:lang w:val="fr-FR"/>
              </w:rPr>
              <w:t>Namibi</w:t>
            </w:r>
            <w:r w:rsidR="00630F14" w:rsidRPr="00927778">
              <w:rPr>
                <w:color w:val="333333"/>
                <w:u w:val="single"/>
                <w:lang w:val="fr-FR"/>
              </w:rPr>
              <w:t>e</w:t>
            </w:r>
            <w:r w:rsidRPr="00927778">
              <w:rPr>
                <w:color w:val="333333"/>
                <w:u w:val="single"/>
                <w:lang w:val="fr-FR"/>
              </w:rPr>
              <w:t> :</w:t>
            </w:r>
            <w:r w:rsidR="004044B7" w:rsidRPr="00927778">
              <w:rPr>
                <w:color w:val="333333"/>
                <w:lang w:val="fr-FR"/>
              </w:rPr>
              <w:t xml:space="preserve"> </w:t>
            </w:r>
            <w:r w:rsidR="00E42807" w:rsidRPr="00927778">
              <w:rPr>
                <w:color w:val="333333"/>
                <w:lang w:val="fr-FR"/>
              </w:rPr>
              <w:t xml:space="preserve">la </w:t>
            </w:r>
            <w:r w:rsidR="004044B7" w:rsidRPr="00927778">
              <w:rPr>
                <w:color w:val="333333"/>
                <w:lang w:val="fr-FR"/>
              </w:rPr>
              <w:t>N</w:t>
            </w:r>
            <w:r w:rsidR="000645E5" w:rsidRPr="00927778">
              <w:rPr>
                <w:color w:val="333333"/>
                <w:lang w:val="fr-FR"/>
              </w:rPr>
              <w:t xml:space="preserve">amibia </w:t>
            </w:r>
            <w:r w:rsidR="004044B7" w:rsidRPr="00927778">
              <w:rPr>
                <w:color w:val="333333"/>
                <w:lang w:val="fr-FR"/>
              </w:rPr>
              <w:t>U</w:t>
            </w:r>
            <w:r w:rsidR="000645E5" w:rsidRPr="00927778">
              <w:rPr>
                <w:color w:val="333333"/>
                <w:lang w:val="fr-FR"/>
              </w:rPr>
              <w:t>n</w:t>
            </w:r>
            <w:r w:rsidR="00D85DAA" w:rsidRPr="00927778">
              <w:rPr>
                <w:color w:val="333333"/>
                <w:lang w:val="fr-FR"/>
              </w:rPr>
              <w:t>i</w:t>
            </w:r>
            <w:r w:rsidR="000645E5" w:rsidRPr="00927778">
              <w:rPr>
                <w:color w:val="333333"/>
                <w:lang w:val="fr-FR"/>
              </w:rPr>
              <w:t xml:space="preserve">versity of </w:t>
            </w:r>
            <w:r w:rsidR="004044B7" w:rsidRPr="00927778">
              <w:rPr>
                <w:color w:val="333333"/>
                <w:lang w:val="fr-FR"/>
              </w:rPr>
              <w:t>S</w:t>
            </w:r>
            <w:r w:rsidR="000645E5" w:rsidRPr="00927778">
              <w:rPr>
                <w:color w:val="333333"/>
                <w:lang w:val="fr-FR"/>
              </w:rPr>
              <w:t xml:space="preserve">cience and </w:t>
            </w:r>
            <w:r w:rsidR="004044B7" w:rsidRPr="00927778">
              <w:rPr>
                <w:color w:val="333333"/>
                <w:lang w:val="fr-FR"/>
              </w:rPr>
              <w:t>T</w:t>
            </w:r>
            <w:r w:rsidR="000645E5" w:rsidRPr="00927778">
              <w:rPr>
                <w:color w:val="333333"/>
                <w:lang w:val="fr-FR"/>
              </w:rPr>
              <w:t>e</w:t>
            </w:r>
            <w:r w:rsidR="00D85DAA" w:rsidRPr="00927778">
              <w:rPr>
                <w:color w:val="333333"/>
                <w:lang w:val="fr-FR"/>
              </w:rPr>
              <w:t>c</w:t>
            </w:r>
            <w:r w:rsidR="000645E5" w:rsidRPr="00927778">
              <w:rPr>
                <w:color w:val="333333"/>
                <w:lang w:val="fr-FR"/>
              </w:rPr>
              <w:t>hnology/</w:t>
            </w:r>
            <w:r w:rsidR="004044B7" w:rsidRPr="00927778">
              <w:rPr>
                <w:color w:val="333333"/>
                <w:lang w:val="fr-FR"/>
              </w:rPr>
              <w:t xml:space="preserve"> School of Hotel Management </w:t>
            </w:r>
            <w:r w:rsidR="00E42807" w:rsidRPr="00927778">
              <w:rPr>
                <w:color w:val="333333"/>
                <w:lang w:val="fr-FR"/>
              </w:rPr>
              <w:t>a accepté d</w:t>
            </w:r>
            <w:r w:rsidRPr="00927778">
              <w:rPr>
                <w:color w:val="333333"/>
                <w:lang w:val="fr-FR"/>
              </w:rPr>
              <w:t>’</w:t>
            </w:r>
            <w:r w:rsidR="00E42807" w:rsidRPr="00927778">
              <w:rPr>
                <w:color w:val="333333"/>
                <w:lang w:val="fr-FR"/>
              </w:rPr>
              <w:t>intégrer un cours sur la propriété intellectuelle et la gestion du tourisme</w:t>
            </w:r>
            <w:r w:rsidR="0057466D" w:rsidRPr="00927778">
              <w:rPr>
                <w:color w:val="333333"/>
                <w:lang w:val="fr-FR"/>
              </w:rPr>
              <w:t xml:space="preserve">; </w:t>
            </w:r>
            <w:r w:rsidR="00E42807" w:rsidRPr="00927778">
              <w:rPr>
                <w:color w:val="333333"/>
                <w:lang w:val="fr-FR"/>
              </w:rPr>
              <w:t xml:space="preserve"> </w:t>
            </w:r>
          </w:p>
          <w:p w:rsidR="004044B7" w:rsidRPr="00927778" w:rsidRDefault="00EA2C86" w:rsidP="00306E74">
            <w:pPr>
              <w:rPr>
                <w:color w:val="333333"/>
                <w:lang w:val="fr-FR"/>
              </w:rPr>
            </w:pPr>
            <w:r w:rsidRPr="00927778">
              <w:rPr>
                <w:color w:val="333333"/>
                <w:lang w:val="fr-FR"/>
              </w:rPr>
              <w:t>-</w:t>
            </w:r>
            <w:r w:rsidR="004044B7" w:rsidRPr="00927778">
              <w:rPr>
                <w:color w:val="333333"/>
                <w:lang w:val="fr-FR"/>
              </w:rPr>
              <w:t xml:space="preserve"> </w:t>
            </w:r>
            <w:r w:rsidR="004044B7" w:rsidRPr="00927778">
              <w:rPr>
                <w:color w:val="333333"/>
                <w:u w:val="single"/>
                <w:lang w:val="fr-FR"/>
              </w:rPr>
              <w:t>Sri</w:t>
            </w:r>
            <w:r w:rsidR="0057466D" w:rsidRPr="00927778">
              <w:rPr>
                <w:color w:val="333333"/>
                <w:u w:val="single"/>
                <w:lang w:val="fr-FR"/>
              </w:rPr>
              <w:t> </w:t>
            </w:r>
            <w:r w:rsidR="004044B7" w:rsidRPr="00927778">
              <w:rPr>
                <w:color w:val="333333"/>
                <w:u w:val="single"/>
                <w:lang w:val="fr-FR"/>
              </w:rPr>
              <w:t>Lanka</w:t>
            </w:r>
            <w:r w:rsidRPr="00927778">
              <w:rPr>
                <w:color w:val="333333"/>
                <w:u w:val="single"/>
                <w:lang w:val="fr-FR"/>
              </w:rPr>
              <w:t> :</w:t>
            </w:r>
            <w:r w:rsidR="004044B7" w:rsidRPr="00927778">
              <w:rPr>
                <w:color w:val="333333"/>
                <w:lang w:val="fr-FR"/>
              </w:rPr>
              <w:t xml:space="preserve"> </w:t>
            </w:r>
            <w:r w:rsidR="00630F14" w:rsidRPr="00927778">
              <w:rPr>
                <w:color w:val="333333"/>
                <w:lang w:val="fr-FR"/>
              </w:rPr>
              <w:t>négoc</w:t>
            </w:r>
            <w:r w:rsidR="004044B7" w:rsidRPr="00927778">
              <w:rPr>
                <w:color w:val="333333"/>
                <w:lang w:val="fr-FR"/>
              </w:rPr>
              <w:t>iations</w:t>
            </w:r>
            <w:r w:rsidR="00630F14" w:rsidRPr="00927778">
              <w:rPr>
                <w:color w:val="333333"/>
                <w:lang w:val="fr-FR"/>
              </w:rPr>
              <w:t xml:space="preserve"> en cours pour l</w:t>
            </w:r>
            <w:r w:rsidRPr="00927778">
              <w:rPr>
                <w:color w:val="333333"/>
                <w:lang w:val="fr-FR"/>
              </w:rPr>
              <w:t>’</w:t>
            </w:r>
            <w:r w:rsidR="00630F14" w:rsidRPr="00927778">
              <w:rPr>
                <w:color w:val="333333"/>
                <w:lang w:val="fr-FR"/>
              </w:rPr>
              <w:t>introduction de cours portant sur la propriété intellectuelle et le tourisme à l</w:t>
            </w:r>
            <w:r w:rsidRPr="00927778">
              <w:rPr>
                <w:color w:val="333333"/>
                <w:lang w:val="fr-FR"/>
              </w:rPr>
              <w:t>’</w:t>
            </w:r>
            <w:r w:rsidR="00E42807" w:rsidRPr="00927778">
              <w:rPr>
                <w:color w:val="333333"/>
                <w:lang w:val="fr-FR"/>
              </w:rPr>
              <w:t>U</w:t>
            </w:r>
            <w:r w:rsidR="00630F14" w:rsidRPr="00927778">
              <w:rPr>
                <w:color w:val="333333"/>
                <w:lang w:val="fr-FR"/>
              </w:rPr>
              <w:t>niversité de Colombo</w:t>
            </w:r>
            <w:r w:rsidR="004044B7" w:rsidRPr="00927778">
              <w:rPr>
                <w:color w:val="333333"/>
                <w:lang w:val="fr-FR"/>
              </w:rPr>
              <w:t xml:space="preserve">. </w:t>
            </w:r>
            <w:r w:rsidR="0057466D" w:rsidRPr="00927778">
              <w:rPr>
                <w:color w:val="333333"/>
                <w:lang w:val="fr-FR"/>
              </w:rPr>
              <w:t xml:space="preserve"> </w:t>
            </w:r>
          </w:p>
        </w:tc>
        <w:tc>
          <w:tcPr>
            <w:tcW w:w="850" w:type="dxa"/>
            <w:shd w:val="clear" w:color="auto" w:fill="auto"/>
          </w:tcPr>
          <w:p w:rsidR="004044B7" w:rsidRPr="00927778" w:rsidRDefault="004044B7" w:rsidP="00D527E8">
            <w:pPr>
              <w:rPr>
                <w:color w:val="333333"/>
                <w:lang w:val="fr-FR"/>
              </w:rPr>
            </w:pPr>
            <w:r w:rsidRPr="00927778">
              <w:rPr>
                <w:color w:val="333333"/>
                <w:lang w:val="fr-FR"/>
              </w:rPr>
              <w:t>***</w:t>
            </w:r>
          </w:p>
        </w:tc>
      </w:tr>
    </w:tbl>
    <w:p w:rsidR="00EA2C86" w:rsidRPr="00927778" w:rsidRDefault="00A07998" w:rsidP="00770ED1">
      <w:pPr>
        <w:rPr>
          <w:rFonts w:eastAsia="SimSun"/>
          <w:b/>
          <w:color w:val="333333"/>
          <w:lang w:val="fr-FR" w:eastAsia="zh-CN"/>
        </w:rPr>
      </w:pPr>
      <w:r w:rsidRPr="00927778">
        <w:rPr>
          <w:rFonts w:eastAsia="SimSun"/>
          <w:b/>
          <w:color w:val="333333"/>
          <w:lang w:val="fr-FR" w:eastAsia="zh-CN"/>
        </w:rPr>
        <w:t>CALENDRIER DE MISE EN ŒUVRE</w:t>
      </w:r>
    </w:p>
    <w:p w:rsidR="00770ED1" w:rsidRPr="00144EAC" w:rsidRDefault="00770ED1" w:rsidP="00770ED1">
      <w:pPr>
        <w:rPr>
          <w:rFonts w:eastAsia="SimSun"/>
          <w:color w:val="333333"/>
          <w:sz w:val="8"/>
          <w:lang w:val="fr-FR" w:eastAsia="zh-C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423"/>
        <w:gridCol w:w="476"/>
        <w:gridCol w:w="546"/>
        <w:gridCol w:w="499"/>
        <w:gridCol w:w="487"/>
        <w:gridCol w:w="476"/>
        <w:gridCol w:w="546"/>
        <w:gridCol w:w="499"/>
        <w:gridCol w:w="487"/>
        <w:gridCol w:w="476"/>
        <w:gridCol w:w="546"/>
        <w:gridCol w:w="499"/>
        <w:gridCol w:w="489"/>
        <w:gridCol w:w="554"/>
        <w:gridCol w:w="516"/>
      </w:tblGrid>
      <w:tr w:rsidR="00927778" w:rsidRPr="00927778" w:rsidTr="00202267">
        <w:trPr>
          <w:trHeight w:val="284"/>
        </w:trPr>
        <w:tc>
          <w:tcPr>
            <w:tcW w:w="1272" w:type="pct"/>
            <w:tcBorders>
              <w:top w:val="single" w:sz="12" w:space="0" w:color="auto"/>
            </w:tcBorders>
            <w:tcMar>
              <w:left w:w="57" w:type="dxa"/>
              <w:right w:w="57" w:type="dxa"/>
            </w:tcMar>
          </w:tcPr>
          <w:p w:rsidR="00770ED1" w:rsidRPr="00927778" w:rsidRDefault="00E031C6" w:rsidP="00E031C6">
            <w:pPr>
              <w:rPr>
                <w:rFonts w:eastAsia="SimSun"/>
                <w:color w:val="333333"/>
                <w:lang w:val="fr-FR" w:eastAsia="zh-CN"/>
              </w:rPr>
            </w:pPr>
            <w:r w:rsidRPr="00927778">
              <w:rPr>
                <w:rFonts w:eastAsia="SimSun"/>
                <w:color w:val="333333"/>
                <w:lang w:val="fr-FR" w:eastAsia="zh-CN"/>
              </w:rPr>
              <w:t>Activité</w:t>
            </w:r>
          </w:p>
        </w:tc>
        <w:tc>
          <w:tcPr>
            <w:tcW w:w="3728" w:type="pct"/>
            <w:gridSpan w:val="14"/>
            <w:tcBorders>
              <w:top w:val="single" w:sz="12" w:space="0" w:color="auto"/>
            </w:tcBorders>
          </w:tcPr>
          <w:p w:rsidR="00770ED1" w:rsidRPr="00927778" w:rsidRDefault="00E031C6" w:rsidP="009534B2">
            <w:pPr>
              <w:rPr>
                <w:rFonts w:eastAsia="SimSun"/>
                <w:color w:val="333333"/>
                <w:lang w:val="fr-FR" w:eastAsia="zh-CN"/>
              </w:rPr>
            </w:pPr>
            <w:r w:rsidRPr="00927778">
              <w:rPr>
                <w:rFonts w:eastAsia="SimSun"/>
                <w:color w:val="333333"/>
                <w:lang w:val="fr-FR" w:eastAsia="zh-CN"/>
              </w:rPr>
              <w:t>Trimestres</w:t>
            </w:r>
          </w:p>
        </w:tc>
      </w:tr>
      <w:tr w:rsidR="00927778" w:rsidRPr="00927778" w:rsidTr="00202267">
        <w:trPr>
          <w:trHeight w:val="283"/>
        </w:trPr>
        <w:tc>
          <w:tcPr>
            <w:tcW w:w="1272" w:type="pct"/>
            <w:tcMar>
              <w:left w:w="57" w:type="dxa"/>
              <w:right w:w="57" w:type="dxa"/>
            </w:tcMar>
          </w:tcPr>
          <w:p w:rsidR="00770ED1" w:rsidRPr="00927778" w:rsidRDefault="00770ED1" w:rsidP="009534B2">
            <w:pPr>
              <w:rPr>
                <w:rFonts w:eastAsia="SimSun"/>
                <w:color w:val="333333"/>
                <w:lang w:val="fr-FR" w:eastAsia="zh-CN"/>
              </w:rPr>
            </w:pPr>
          </w:p>
        </w:tc>
        <w:tc>
          <w:tcPr>
            <w:tcW w:w="250" w:type="pct"/>
            <w:shd w:val="clear" w:color="auto" w:fill="BFBFBF"/>
          </w:tcPr>
          <w:p w:rsidR="00770ED1" w:rsidRPr="00927778" w:rsidRDefault="00E031C6" w:rsidP="00E031C6">
            <w:pPr>
              <w:rPr>
                <w:rFonts w:eastAsia="SimSun"/>
                <w:color w:val="333333"/>
                <w:lang w:val="fr-FR" w:eastAsia="zh-CN"/>
              </w:rPr>
            </w:pPr>
            <w:r w:rsidRPr="00927778">
              <w:rPr>
                <w:rFonts w:eastAsia="SimSun"/>
                <w:color w:val="333333"/>
                <w:lang w:val="fr-FR" w:eastAsia="zh-CN"/>
              </w:rPr>
              <w:t>1</w:t>
            </w:r>
            <w:r w:rsidRPr="00202267">
              <w:rPr>
                <w:rFonts w:eastAsia="SimSun"/>
                <w:color w:val="333333"/>
                <w:vertAlign w:val="superscript"/>
                <w:lang w:val="fr-FR" w:eastAsia="zh-CN"/>
              </w:rPr>
              <w:t>er</w:t>
            </w:r>
          </w:p>
        </w:tc>
        <w:tc>
          <w:tcPr>
            <w:tcW w:w="287" w:type="pct"/>
            <w:shd w:val="clear" w:color="auto" w:fill="BFBFBF"/>
          </w:tcPr>
          <w:p w:rsidR="00770ED1" w:rsidRPr="00927778" w:rsidRDefault="00E031C6" w:rsidP="00E031C6">
            <w:pPr>
              <w:rPr>
                <w:rFonts w:eastAsia="SimSun"/>
                <w:color w:val="333333"/>
                <w:lang w:val="fr-FR" w:eastAsia="zh-CN"/>
              </w:rPr>
            </w:pPr>
            <w:r w:rsidRPr="00927778">
              <w:rPr>
                <w:rFonts w:eastAsia="SimSun"/>
                <w:color w:val="333333"/>
                <w:lang w:val="fr-FR" w:eastAsia="zh-CN"/>
              </w:rPr>
              <w:t>2</w:t>
            </w:r>
            <w:r w:rsidRPr="00202267">
              <w:rPr>
                <w:rFonts w:eastAsia="SimSun"/>
                <w:color w:val="333333"/>
                <w:vertAlign w:val="superscript"/>
                <w:lang w:val="fr-FR" w:eastAsia="zh-CN"/>
              </w:rPr>
              <w:t>e</w:t>
            </w:r>
          </w:p>
        </w:tc>
        <w:tc>
          <w:tcPr>
            <w:tcW w:w="262" w:type="pct"/>
            <w:shd w:val="clear" w:color="auto" w:fill="BFBFBF"/>
          </w:tcPr>
          <w:p w:rsidR="00770ED1" w:rsidRPr="00927778" w:rsidRDefault="00E031C6" w:rsidP="00E031C6">
            <w:pPr>
              <w:rPr>
                <w:rFonts w:eastAsia="SimSun"/>
                <w:color w:val="333333"/>
                <w:lang w:val="fr-FR" w:eastAsia="zh-CN"/>
              </w:rPr>
            </w:pPr>
            <w:r w:rsidRPr="00927778">
              <w:rPr>
                <w:rFonts w:eastAsia="SimSun"/>
                <w:color w:val="333333"/>
                <w:lang w:val="fr-FR" w:eastAsia="zh-CN"/>
              </w:rPr>
              <w:t>3</w:t>
            </w:r>
            <w:r w:rsidRPr="00202267">
              <w:rPr>
                <w:rFonts w:eastAsia="SimSun"/>
                <w:color w:val="333333"/>
                <w:vertAlign w:val="superscript"/>
                <w:lang w:val="fr-FR" w:eastAsia="zh-CN"/>
              </w:rPr>
              <w:t>e</w:t>
            </w:r>
          </w:p>
        </w:tc>
        <w:tc>
          <w:tcPr>
            <w:tcW w:w="256" w:type="pct"/>
            <w:shd w:val="clear" w:color="auto" w:fill="BFBFBF"/>
          </w:tcPr>
          <w:p w:rsidR="00770ED1" w:rsidRPr="00927778" w:rsidRDefault="00E031C6" w:rsidP="00E031C6">
            <w:pPr>
              <w:rPr>
                <w:rFonts w:eastAsia="SimSun"/>
                <w:color w:val="333333"/>
                <w:lang w:val="fr-FR" w:eastAsia="zh-CN"/>
              </w:rPr>
            </w:pPr>
            <w:r w:rsidRPr="00927778">
              <w:rPr>
                <w:rFonts w:eastAsia="SimSun"/>
                <w:color w:val="333333"/>
                <w:lang w:val="fr-FR" w:eastAsia="zh-CN"/>
              </w:rPr>
              <w:t>4</w:t>
            </w:r>
            <w:r w:rsidRPr="00202267">
              <w:rPr>
                <w:rFonts w:eastAsia="SimSun"/>
                <w:color w:val="333333"/>
                <w:vertAlign w:val="superscript"/>
                <w:lang w:val="fr-FR" w:eastAsia="zh-CN"/>
              </w:rPr>
              <w:t>e</w:t>
            </w:r>
          </w:p>
        </w:tc>
        <w:tc>
          <w:tcPr>
            <w:tcW w:w="250" w:type="pct"/>
          </w:tcPr>
          <w:p w:rsidR="00770ED1" w:rsidRPr="00927778" w:rsidRDefault="00E031C6" w:rsidP="00E031C6">
            <w:pPr>
              <w:rPr>
                <w:rFonts w:eastAsia="SimSun"/>
                <w:color w:val="333333"/>
                <w:lang w:val="fr-FR" w:eastAsia="zh-CN"/>
              </w:rPr>
            </w:pPr>
            <w:r w:rsidRPr="00927778">
              <w:rPr>
                <w:rFonts w:eastAsia="SimSun"/>
                <w:color w:val="333333"/>
                <w:lang w:val="fr-FR" w:eastAsia="zh-CN"/>
              </w:rPr>
              <w:t>1</w:t>
            </w:r>
            <w:r w:rsidRPr="00202267">
              <w:rPr>
                <w:rFonts w:eastAsia="SimSun"/>
                <w:color w:val="333333"/>
                <w:vertAlign w:val="superscript"/>
                <w:lang w:val="fr-FR" w:eastAsia="zh-CN"/>
              </w:rPr>
              <w:t>er</w:t>
            </w:r>
          </w:p>
        </w:tc>
        <w:tc>
          <w:tcPr>
            <w:tcW w:w="287" w:type="pct"/>
          </w:tcPr>
          <w:p w:rsidR="00770ED1" w:rsidRPr="00927778" w:rsidRDefault="00E031C6" w:rsidP="00E031C6">
            <w:pPr>
              <w:rPr>
                <w:rFonts w:eastAsia="SimSun"/>
                <w:color w:val="333333"/>
                <w:lang w:val="fr-FR" w:eastAsia="zh-CN"/>
              </w:rPr>
            </w:pPr>
            <w:r w:rsidRPr="00927778">
              <w:rPr>
                <w:rFonts w:eastAsia="SimSun"/>
                <w:color w:val="333333"/>
                <w:lang w:val="fr-FR" w:eastAsia="zh-CN"/>
              </w:rPr>
              <w:t>2</w:t>
            </w:r>
            <w:r w:rsidRPr="00202267">
              <w:rPr>
                <w:rFonts w:eastAsia="SimSun"/>
                <w:color w:val="333333"/>
                <w:vertAlign w:val="superscript"/>
                <w:lang w:val="fr-FR" w:eastAsia="zh-CN"/>
              </w:rPr>
              <w:t>e</w:t>
            </w:r>
          </w:p>
        </w:tc>
        <w:tc>
          <w:tcPr>
            <w:tcW w:w="262" w:type="pct"/>
          </w:tcPr>
          <w:p w:rsidR="00770ED1" w:rsidRPr="00927778" w:rsidRDefault="00E031C6" w:rsidP="00E031C6">
            <w:pPr>
              <w:rPr>
                <w:rFonts w:eastAsia="SimSun"/>
                <w:color w:val="333333"/>
                <w:lang w:val="fr-FR" w:eastAsia="zh-CN"/>
              </w:rPr>
            </w:pPr>
            <w:r w:rsidRPr="00927778">
              <w:rPr>
                <w:rFonts w:eastAsia="SimSun"/>
                <w:color w:val="333333"/>
                <w:lang w:val="fr-FR" w:eastAsia="zh-CN"/>
              </w:rPr>
              <w:t>3</w:t>
            </w:r>
            <w:r w:rsidRPr="00202267">
              <w:rPr>
                <w:rFonts w:eastAsia="SimSun"/>
                <w:color w:val="333333"/>
                <w:vertAlign w:val="superscript"/>
                <w:lang w:val="fr-FR" w:eastAsia="zh-CN"/>
              </w:rPr>
              <w:t>e</w:t>
            </w:r>
          </w:p>
        </w:tc>
        <w:tc>
          <w:tcPr>
            <w:tcW w:w="256" w:type="pct"/>
          </w:tcPr>
          <w:p w:rsidR="00770ED1" w:rsidRPr="00927778" w:rsidRDefault="00E031C6" w:rsidP="00E031C6">
            <w:pPr>
              <w:rPr>
                <w:rFonts w:eastAsia="SimSun"/>
                <w:color w:val="333333"/>
                <w:lang w:val="fr-FR" w:eastAsia="zh-CN"/>
              </w:rPr>
            </w:pPr>
            <w:r w:rsidRPr="00927778">
              <w:rPr>
                <w:rFonts w:eastAsia="SimSun"/>
                <w:color w:val="333333"/>
                <w:lang w:val="fr-FR" w:eastAsia="zh-CN"/>
              </w:rPr>
              <w:t>4</w:t>
            </w:r>
            <w:r w:rsidRPr="00202267">
              <w:rPr>
                <w:rFonts w:eastAsia="SimSun"/>
                <w:color w:val="333333"/>
                <w:vertAlign w:val="superscript"/>
                <w:lang w:val="fr-FR" w:eastAsia="zh-CN"/>
              </w:rPr>
              <w:t>e</w:t>
            </w:r>
          </w:p>
        </w:tc>
        <w:tc>
          <w:tcPr>
            <w:tcW w:w="250" w:type="pct"/>
            <w:shd w:val="clear" w:color="auto" w:fill="BFBFBF"/>
          </w:tcPr>
          <w:p w:rsidR="00770ED1" w:rsidRPr="00927778" w:rsidRDefault="00E031C6" w:rsidP="00E031C6">
            <w:pPr>
              <w:rPr>
                <w:rFonts w:eastAsia="SimSun"/>
                <w:color w:val="333333"/>
                <w:lang w:val="fr-FR" w:eastAsia="zh-CN"/>
              </w:rPr>
            </w:pPr>
            <w:r w:rsidRPr="00927778">
              <w:rPr>
                <w:rFonts w:eastAsia="SimSun"/>
                <w:color w:val="333333"/>
                <w:lang w:val="fr-FR" w:eastAsia="zh-CN"/>
              </w:rPr>
              <w:t>1</w:t>
            </w:r>
            <w:r w:rsidRPr="00202267">
              <w:rPr>
                <w:rFonts w:eastAsia="SimSun"/>
                <w:color w:val="333333"/>
                <w:vertAlign w:val="superscript"/>
                <w:lang w:val="fr-FR" w:eastAsia="zh-CN"/>
              </w:rPr>
              <w:t>er</w:t>
            </w:r>
          </w:p>
        </w:tc>
        <w:tc>
          <w:tcPr>
            <w:tcW w:w="287" w:type="pct"/>
            <w:shd w:val="clear" w:color="auto" w:fill="BFBFBF"/>
          </w:tcPr>
          <w:p w:rsidR="00770ED1" w:rsidRPr="00927778" w:rsidRDefault="00E031C6" w:rsidP="00E031C6">
            <w:pPr>
              <w:rPr>
                <w:rFonts w:eastAsia="SimSun"/>
                <w:color w:val="333333"/>
                <w:lang w:val="fr-FR" w:eastAsia="zh-CN"/>
              </w:rPr>
            </w:pPr>
            <w:r w:rsidRPr="00927778">
              <w:rPr>
                <w:rFonts w:eastAsia="SimSun"/>
                <w:color w:val="333333"/>
                <w:lang w:val="fr-FR" w:eastAsia="zh-CN"/>
              </w:rPr>
              <w:t>2</w:t>
            </w:r>
            <w:r w:rsidRPr="00202267">
              <w:rPr>
                <w:rFonts w:eastAsia="SimSun"/>
                <w:color w:val="333333"/>
                <w:vertAlign w:val="superscript"/>
                <w:lang w:val="fr-FR" w:eastAsia="zh-CN"/>
              </w:rPr>
              <w:t>e</w:t>
            </w:r>
          </w:p>
        </w:tc>
        <w:tc>
          <w:tcPr>
            <w:tcW w:w="262" w:type="pct"/>
            <w:shd w:val="clear" w:color="auto" w:fill="BFBFBF"/>
          </w:tcPr>
          <w:p w:rsidR="00770ED1" w:rsidRPr="00927778" w:rsidRDefault="00E031C6" w:rsidP="00E031C6">
            <w:pPr>
              <w:rPr>
                <w:rFonts w:eastAsia="SimSun"/>
                <w:color w:val="333333"/>
                <w:lang w:val="fr-FR" w:eastAsia="zh-CN"/>
              </w:rPr>
            </w:pPr>
            <w:r w:rsidRPr="00927778">
              <w:rPr>
                <w:rFonts w:eastAsia="SimSun"/>
                <w:color w:val="333333"/>
                <w:lang w:val="fr-FR" w:eastAsia="zh-CN"/>
              </w:rPr>
              <w:t>3</w:t>
            </w:r>
            <w:r w:rsidRPr="00202267">
              <w:rPr>
                <w:rFonts w:eastAsia="SimSun"/>
                <w:color w:val="333333"/>
                <w:vertAlign w:val="superscript"/>
                <w:lang w:val="fr-FR" w:eastAsia="zh-CN"/>
              </w:rPr>
              <w:t>e</w:t>
            </w:r>
          </w:p>
        </w:tc>
        <w:tc>
          <w:tcPr>
            <w:tcW w:w="257" w:type="pct"/>
            <w:shd w:val="clear" w:color="auto" w:fill="BFBFBF"/>
          </w:tcPr>
          <w:p w:rsidR="00770ED1" w:rsidRPr="00927778" w:rsidRDefault="00E031C6" w:rsidP="00E031C6">
            <w:pPr>
              <w:rPr>
                <w:rFonts w:eastAsia="SimSun"/>
                <w:color w:val="333333"/>
                <w:lang w:val="fr-FR" w:eastAsia="zh-CN"/>
              </w:rPr>
            </w:pPr>
            <w:r w:rsidRPr="00927778">
              <w:rPr>
                <w:rFonts w:eastAsia="SimSun"/>
                <w:color w:val="333333"/>
                <w:lang w:val="fr-FR" w:eastAsia="zh-CN"/>
              </w:rPr>
              <w:t>4</w:t>
            </w:r>
            <w:r w:rsidRPr="00202267">
              <w:rPr>
                <w:rFonts w:eastAsia="SimSun"/>
                <w:color w:val="333333"/>
                <w:vertAlign w:val="superscript"/>
                <w:lang w:val="fr-FR" w:eastAsia="zh-CN"/>
              </w:rPr>
              <w:t>e</w:t>
            </w:r>
          </w:p>
        </w:tc>
        <w:tc>
          <w:tcPr>
            <w:tcW w:w="291" w:type="pct"/>
            <w:tcBorders>
              <w:top w:val="single" w:sz="6" w:space="0" w:color="auto"/>
              <w:bottom w:val="single" w:sz="6" w:space="0" w:color="auto"/>
            </w:tcBorders>
            <w:shd w:val="clear" w:color="auto" w:fill="FFFFFF"/>
          </w:tcPr>
          <w:p w:rsidR="00770ED1" w:rsidRPr="00927778" w:rsidRDefault="00E031C6" w:rsidP="00E031C6">
            <w:pPr>
              <w:rPr>
                <w:rFonts w:eastAsia="SimSun"/>
                <w:color w:val="333333"/>
                <w:lang w:val="fr-FR" w:eastAsia="zh-CN"/>
              </w:rPr>
            </w:pPr>
            <w:r w:rsidRPr="00927778">
              <w:rPr>
                <w:rFonts w:eastAsia="SimSun"/>
                <w:color w:val="333333"/>
                <w:lang w:val="fr-FR" w:eastAsia="zh-CN"/>
              </w:rPr>
              <w:t>1</w:t>
            </w:r>
            <w:r w:rsidRPr="00202267">
              <w:rPr>
                <w:rFonts w:eastAsia="SimSun"/>
                <w:color w:val="333333"/>
                <w:vertAlign w:val="superscript"/>
                <w:lang w:val="fr-FR" w:eastAsia="zh-CN"/>
              </w:rPr>
              <w:t>er</w:t>
            </w:r>
          </w:p>
        </w:tc>
        <w:tc>
          <w:tcPr>
            <w:tcW w:w="271" w:type="pct"/>
            <w:tcBorders>
              <w:top w:val="single" w:sz="6" w:space="0" w:color="auto"/>
              <w:bottom w:val="single" w:sz="6" w:space="0" w:color="auto"/>
            </w:tcBorders>
            <w:shd w:val="clear" w:color="auto" w:fill="FFFFFF"/>
          </w:tcPr>
          <w:p w:rsidR="00770ED1" w:rsidRPr="00927778" w:rsidRDefault="00E031C6" w:rsidP="00E031C6">
            <w:pPr>
              <w:rPr>
                <w:rFonts w:eastAsia="SimSun"/>
                <w:color w:val="333333"/>
                <w:lang w:val="fr-FR" w:eastAsia="zh-CN"/>
              </w:rPr>
            </w:pPr>
            <w:r w:rsidRPr="00927778">
              <w:rPr>
                <w:rFonts w:eastAsia="SimSun"/>
                <w:color w:val="333333"/>
                <w:lang w:val="fr-FR" w:eastAsia="zh-CN"/>
              </w:rPr>
              <w:t>2</w:t>
            </w:r>
            <w:r w:rsidRPr="00202267">
              <w:rPr>
                <w:rFonts w:eastAsia="SimSun"/>
                <w:color w:val="333333"/>
                <w:vertAlign w:val="superscript"/>
                <w:lang w:val="fr-FR" w:eastAsia="zh-CN"/>
              </w:rPr>
              <w:t>e</w:t>
            </w:r>
          </w:p>
        </w:tc>
      </w:tr>
      <w:tr w:rsidR="00927778" w:rsidRPr="00927778" w:rsidTr="00202267">
        <w:trPr>
          <w:trHeight w:val="259"/>
        </w:trPr>
        <w:tc>
          <w:tcPr>
            <w:tcW w:w="1272" w:type="pct"/>
            <w:tcMar>
              <w:left w:w="57" w:type="dxa"/>
              <w:right w:w="57" w:type="dxa"/>
            </w:tcMar>
          </w:tcPr>
          <w:p w:rsidR="00EA2C86" w:rsidRPr="00272D18" w:rsidRDefault="00E031C6" w:rsidP="00202267">
            <w:pPr>
              <w:spacing w:before="20"/>
              <w:rPr>
                <w:rFonts w:eastAsia="SimSun"/>
                <w:color w:val="333333"/>
                <w:spacing w:val="-4"/>
                <w:lang w:val="fr-FR" w:eastAsia="zh-CN"/>
              </w:rPr>
            </w:pPr>
            <w:r w:rsidRPr="00272D18">
              <w:rPr>
                <w:rFonts w:eastAsia="SimSun"/>
                <w:color w:val="333333"/>
                <w:spacing w:val="-4"/>
                <w:lang w:val="fr-FR" w:eastAsia="zh-CN"/>
              </w:rPr>
              <w:t>Rédaction d</w:t>
            </w:r>
            <w:r w:rsidR="00EA2C86" w:rsidRPr="00272D18">
              <w:rPr>
                <w:rFonts w:eastAsia="SimSun"/>
                <w:color w:val="333333"/>
                <w:spacing w:val="-4"/>
                <w:lang w:val="fr-FR" w:eastAsia="zh-CN"/>
              </w:rPr>
              <w:t>’</w:t>
            </w:r>
            <w:r w:rsidRPr="00272D18">
              <w:rPr>
                <w:rFonts w:eastAsia="SimSun"/>
                <w:color w:val="333333"/>
                <w:spacing w:val="-4"/>
                <w:lang w:val="fr-FR" w:eastAsia="zh-CN"/>
              </w:rPr>
              <w:t>un guide pratique et des études de cas sur la propriété intellectuelle et le tourisme</w:t>
            </w:r>
          </w:p>
          <w:p w:rsidR="005E6718" w:rsidRPr="00202267" w:rsidRDefault="005E6718" w:rsidP="009534B2">
            <w:pPr>
              <w:rPr>
                <w:rFonts w:eastAsia="SimSun"/>
                <w:color w:val="333333"/>
                <w:spacing w:val="-4"/>
                <w:sz w:val="12"/>
                <w:lang w:val="fr-FR" w:eastAsia="zh-CN"/>
              </w:rPr>
            </w:pPr>
          </w:p>
          <w:p w:rsidR="005E6718" w:rsidRPr="00272D18" w:rsidRDefault="00EA2C86" w:rsidP="00E031C6">
            <w:pPr>
              <w:rPr>
                <w:rFonts w:eastAsia="SimSun"/>
                <w:color w:val="333333"/>
                <w:spacing w:val="-4"/>
                <w:lang w:val="fr-FR" w:eastAsia="zh-CN"/>
              </w:rPr>
            </w:pPr>
            <w:r w:rsidRPr="00272D18">
              <w:rPr>
                <w:rFonts w:eastAsia="SimSun"/>
                <w:color w:val="333333"/>
                <w:spacing w:val="-4"/>
                <w:lang w:val="fr-FR" w:eastAsia="zh-CN"/>
              </w:rPr>
              <w:t>-</w:t>
            </w:r>
            <w:r w:rsidR="00E031C6" w:rsidRPr="00272D18">
              <w:rPr>
                <w:rFonts w:eastAsia="SimSun"/>
                <w:color w:val="333333"/>
                <w:spacing w:val="-4"/>
                <w:lang w:val="fr-FR" w:eastAsia="zh-CN"/>
              </w:rPr>
              <w:t xml:space="preserve"> Constitution d</w:t>
            </w:r>
            <w:r w:rsidRPr="00272D18">
              <w:rPr>
                <w:rFonts w:eastAsia="SimSun"/>
                <w:color w:val="333333"/>
                <w:spacing w:val="-4"/>
                <w:lang w:val="fr-FR" w:eastAsia="zh-CN"/>
              </w:rPr>
              <w:t>’</w:t>
            </w:r>
            <w:r w:rsidR="00E031C6" w:rsidRPr="00272D18">
              <w:rPr>
                <w:rFonts w:eastAsia="SimSun"/>
                <w:color w:val="333333"/>
                <w:spacing w:val="-4"/>
                <w:lang w:val="fr-FR" w:eastAsia="zh-CN"/>
              </w:rPr>
              <w:t>un groupe d</w:t>
            </w:r>
            <w:r w:rsidRPr="00272D18">
              <w:rPr>
                <w:rFonts w:eastAsia="SimSun"/>
                <w:color w:val="333333"/>
                <w:spacing w:val="-4"/>
                <w:lang w:val="fr-FR" w:eastAsia="zh-CN"/>
              </w:rPr>
              <w:t>’</w:t>
            </w:r>
            <w:r w:rsidR="00E031C6" w:rsidRPr="00272D18">
              <w:rPr>
                <w:rFonts w:eastAsia="SimSun"/>
                <w:color w:val="333333"/>
                <w:spacing w:val="-4"/>
                <w:lang w:val="fr-FR" w:eastAsia="zh-CN"/>
              </w:rPr>
              <w:t>étude (OMPI et experts externes)</w:t>
            </w:r>
          </w:p>
          <w:p w:rsidR="005E6718" w:rsidRPr="00272D18" w:rsidRDefault="00EA2C86" w:rsidP="00E031C6">
            <w:pPr>
              <w:rPr>
                <w:rFonts w:eastAsia="SimSun"/>
                <w:color w:val="333333"/>
                <w:spacing w:val="-4"/>
                <w:lang w:val="fr-FR" w:eastAsia="zh-CN"/>
              </w:rPr>
            </w:pPr>
            <w:r w:rsidRPr="00272D18">
              <w:rPr>
                <w:rFonts w:eastAsia="SimSun"/>
                <w:color w:val="333333"/>
                <w:spacing w:val="-4"/>
                <w:lang w:val="fr-FR" w:eastAsia="zh-CN"/>
              </w:rPr>
              <w:t>-</w:t>
            </w:r>
            <w:r w:rsidR="00E031C6" w:rsidRPr="00272D18">
              <w:rPr>
                <w:rFonts w:eastAsia="SimSun"/>
                <w:color w:val="333333"/>
                <w:spacing w:val="-4"/>
                <w:lang w:val="fr-FR" w:eastAsia="zh-CN"/>
              </w:rPr>
              <w:t xml:space="preserve"> Sélection des experts</w:t>
            </w:r>
          </w:p>
          <w:p w:rsidR="005E6718" w:rsidRPr="00272D18" w:rsidRDefault="00EA2C86" w:rsidP="00E031C6">
            <w:pPr>
              <w:rPr>
                <w:rFonts w:eastAsia="SimSun"/>
                <w:color w:val="333333"/>
                <w:spacing w:val="-4"/>
                <w:lang w:val="fr-FR" w:eastAsia="zh-CN"/>
              </w:rPr>
            </w:pPr>
            <w:r w:rsidRPr="00272D18">
              <w:rPr>
                <w:rFonts w:eastAsia="SimSun"/>
                <w:color w:val="333333"/>
                <w:spacing w:val="-4"/>
                <w:lang w:val="fr-FR" w:eastAsia="zh-CN"/>
              </w:rPr>
              <w:t>-</w:t>
            </w:r>
            <w:r w:rsidR="00E031C6" w:rsidRPr="00272D18">
              <w:rPr>
                <w:rFonts w:eastAsia="SimSun"/>
                <w:color w:val="333333"/>
                <w:spacing w:val="-4"/>
                <w:lang w:val="fr-FR" w:eastAsia="zh-CN"/>
              </w:rPr>
              <w:t xml:space="preserve"> Sélection des études de cas</w:t>
            </w:r>
          </w:p>
          <w:p w:rsidR="00770ED1" w:rsidRPr="00272D18" w:rsidRDefault="00EA2C86" w:rsidP="00202267">
            <w:pPr>
              <w:spacing w:after="20"/>
              <w:rPr>
                <w:rFonts w:eastAsia="SimSun"/>
                <w:color w:val="333333"/>
                <w:spacing w:val="-4"/>
                <w:lang w:val="fr-FR" w:eastAsia="zh-CN"/>
              </w:rPr>
            </w:pPr>
            <w:r w:rsidRPr="00272D18">
              <w:rPr>
                <w:rFonts w:eastAsia="SimSun"/>
                <w:color w:val="333333"/>
                <w:spacing w:val="-4"/>
                <w:lang w:val="fr-FR" w:eastAsia="zh-CN"/>
              </w:rPr>
              <w:t>-</w:t>
            </w:r>
            <w:r w:rsidR="00E031C6" w:rsidRPr="00272D18">
              <w:rPr>
                <w:rFonts w:eastAsia="SimSun"/>
                <w:color w:val="333333"/>
                <w:spacing w:val="-4"/>
                <w:lang w:val="fr-FR" w:eastAsia="zh-CN"/>
              </w:rPr>
              <w:t xml:space="preserve"> Rédaction du guide et des études de cas</w:t>
            </w:r>
          </w:p>
        </w:tc>
        <w:tc>
          <w:tcPr>
            <w:tcW w:w="250" w:type="pct"/>
            <w:shd w:val="clear" w:color="auto" w:fill="BFBFBF"/>
          </w:tcPr>
          <w:p w:rsidR="005E6718" w:rsidRPr="00927778" w:rsidRDefault="005E6718" w:rsidP="009534B2">
            <w:pPr>
              <w:rPr>
                <w:rFonts w:eastAsia="SimSun"/>
                <w:color w:val="333333"/>
                <w:lang w:val="fr-FR" w:eastAsia="zh-CN"/>
              </w:rPr>
            </w:pPr>
          </w:p>
          <w:p w:rsidR="005E6718" w:rsidRPr="00927778" w:rsidRDefault="005E6718" w:rsidP="009534B2">
            <w:pPr>
              <w:rPr>
                <w:rFonts w:eastAsia="SimSun"/>
                <w:color w:val="333333"/>
                <w:lang w:val="fr-FR" w:eastAsia="zh-CN"/>
              </w:rPr>
            </w:pPr>
          </w:p>
          <w:p w:rsidR="005E6718" w:rsidRPr="00202267" w:rsidRDefault="005E6718" w:rsidP="009534B2">
            <w:pPr>
              <w:rPr>
                <w:rFonts w:eastAsia="SimSun"/>
                <w:color w:val="333333"/>
                <w:sz w:val="14"/>
                <w:lang w:val="fr-FR" w:eastAsia="zh-CN"/>
              </w:rPr>
            </w:pPr>
          </w:p>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87" w:type="pct"/>
            <w:shd w:val="clear" w:color="auto" w:fill="BFBFBF"/>
          </w:tcPr>
          <w:p w:rsidR="005E6718" w:rsidRPr="00927778" w:rsidRDefault="005E6718" w:rsidP="009534B2">
            <w:pPr>
              <w:rPr>
                <w:rFonts w:eastAsia="SimSun"/>
                <w:color w:val="333333"/>
                <w:lang w:val="fr-FR" w:eastAsia="zh-CN"/>
              </w:rPr>
            </w:pPr>
          </w:p>
          <w:p w:rsidR="005E6718" w:rsidRPr="00927778" w:rsidRDefault="005E6718" w:rsidP="009534B2">
            <w:pPr>
              <w:rPr>
                <w:rFonts w:eastAsia="SimSun"/>
                <w:color w:val="333333"/>
                <w:lang w:val="fr-FR" w:eastAsia="zh-CN"/>
              </w:rPr>
            </w:pPr>
          </w:p>
          <w:p w:rsidR="005E6718" w:rsidRPr="00202267" w:rsidRDefault="005E6718" w:rsidP="009534B2">
            <w:pPr>
              <w:rPr>
                <w:rFonts w:eastAsia="SimSun"/>
                <w:color w:val="333333"/>
                <w:sz w:val="14"/>
                <w:lang w:val="fr-FR" w:eastAsia="zh-CN"/>
              </w:rPr>
            </w:pPr>
          </w:p>
          <w:p w:rsidR="005E6718" w:rsidRPr="00927778" w:rsidRDefault="005E6718" w:rsidP="009534B2">
            <w:pPr>
              <w:rPr>
                <w:rFonts w:eastAsia="SimSun"/>
                <w:color w:val="333333"/>
                <w:lang w:val="fr-FR" w:eastAsia="zh-CN"/>
              </w:rPr>
            </w:pPr>
          </w:p>
          <w:p w:rsidR="005E6718" w:rsidRPr="00927778" w:rsidRDefault="00770ED1" w:rsidP="009534B2">
            <w:pPr>
              <w:rPr>
                <w:rFonts w:eastAsia="SimSun"/>
                <w:color w:val="333333"/>
                <w:lang w:val="fr-FR" w:eastAsia="zh-CN"/>
              </w:rPr>
            </w:pPr>
            <w:r w:rsidRPr="00927778">
              <w:rPr>
                <w:rFonts w:eastAsia="SimSun"/>
                <w:color w:val="333333"/>
                <w:lang w:val="fr-FR" w:eastAsia="zh-CN"/>
              </w:rPr>
              <w:t>x</w:t>
            </w:r>
          </w:p>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62" w:type="pct"/>
            <w:shd w:val="clear" w:color="auto" w:fill="BFBFBF"/>
          </w:tcPr>
          <w:p w:rsidR="005E6718" w:rsidRPr="00927778" w:rsidRDefault="005E6718" w:rsidP="009534B2">
            <w:pPr>
              <w:rPr>
                <w:rFonts w:eastAsia="SimSun"/>
                <w:color w:val="333333"/>
                <w:lang w:val="fr-FR" w:eastAsia="zh-CN"/>
              </w:rPr>
            </w:pPr>
          </w:p>
          <w:p w:rsidR="005E6718" w:rsidRPr="00927778" w:rsidRDefault="005E6718" w:rsidP="009534B2">
            <w:pPr>
              <w:rPr>
                <w:rFonts w:eastAsia="SimSun"/>
                <w:color w:val="333333"/>
                <w:lang w:val="fr-FR" w:eastAsia="zh-CN"/>
              </w:rPr>
            </w:pPr>
          </w:p>
          <w:p w:rsidR="005E6718" w:rsidRPr="00202267" w:rsidRDefault="005E6718" w:rsidP="009534B2">
            <w:pPr>
              <w:rPr>
                <w:rFonts w:eastAsia="SimSun"/>
                <w:color w:val="333333"/>
                <w:sz w:val="14"/>
                <w:lang w:val="fr-FR" w:eastAsia="zh-CN"/>
              </w:rPr>
            </w:pPr>
          </w:p>
          <w:p w:rsidR="005E6718" w:rsidRPr="00927778" w:rsidRDefault="005E6718" w:rsidP="009534B2">
            <w:pPr>
              <w:rPr>
                <w:rFonts w:eastAsia="SimSun"/>
                <w:color w:val="333333"/>
                <w:lang w:val="fr-FR" w:eastAsia="zh-CN"/>
              </w:rPr>
            </w:pPr>
          </w:p>
          <w:p w:rsidR="005E6718" w:rsidRPr="00927778" w:rsidRDefault="00770ED1" w:rsidP="009534B2">
            <w:pPr>
              <w:rPr>
                <w:rFonts w:eastAsia="SimSun"/>
                <w:color w:val="333333"/>
                <w:lang w:val="fr-FR" w:eastAsia="zh-CN"/>
              </w:rPr>
            </w:pPr>
            <w:r w:rsidRPr="00927778">
              <w:rPr>
                <w:rFonts w:eastAsia="SimSun"/>
                <w:color w:val="333333"/>
                <w:lang w:val="fr-FR" w:eastAsia="zh-CN"/>
              </w:rPr>
              <w:t>x</w:t>
            </w:r>
          </w:p>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56" w:type="pct"/>
            <w:shd w:val="clear" w:color="auto" w:fill="BFBFBF"/>
          </w:tcPr>
          <w:p w:rsidR="005E6718" w:rsidRPr="00927778" w:rsidRDefault="005E6718" w:rsidP="009534B2">
            <w:pPr>
              <w:rPr>
                <w:rFonts w:eastAsia="SimSun"/>
                <w:color w:val="333333"/>
                <w:lang w:val="fr-FR" w:eastAsia="zh-CN"/>
              </w:rPr>
            </w:pPr>
          </w:p>
          <w:p w:rsidR="005E6718" w:rsidRPr="00927778" w:rsidRDefault="005E6718" w:rsidP="009534B2">
            <w:pPr>
              <w:rPr>
                <w:rFonts w:eastAsia="SimSun"/>
                <w:color w:val="333333"/>
                <w:lang w:val="fr-FR" w:eastAsia="zh-CN"/>
              </w:rPr>
            </w:pPr>
          </w:p>
          <w:p w:rsidR="005E6718" w:rsidRPr="00202267" w:rsidRDefault="005E6718" w:rsidP="009534B2">
            <w:pPr>
              <w:rPr>
                <w:rFonts w:eastAsia="SimSun"/>
                <w:color w:val="333333"/>
                <w:sz w:val="14"/>
                <w:lang w:val="fr-FR" w:eastAsia="zh-CN"/>
              </w:rPr>
            </w:pPr>
          </w:p>
          <w:p w:rsidR="005E6718" w:rsidRPr="00927778" w:rsidRDefault="005E6718" w:rsidP="009534B2">
            <w:pPr>
              <w:rPr>
                <w:rFonts w:eastAsia="SimSun"/>
                <w:color w:val="333333"/>
                <w:lang w:val="fr-FR" w:eastAsia="zh-CN"/>
              </w:rPr>
            </w:pPr>
          </w:p>
          <w:p w:rsidR="005E6718" w:rsidRPr="00927778" w:rsidRDefault="005E6718" w:rsidP="009534B2">
            <w:pPr>
              <w:rPr>
                <w:rFonts w:eastAsia="SimSun"/>
                <w:color w:val="333333"/>
                <w:lang w:val="fr-FR" w:eastAsia="zh-CN"/>
              </w:rPr>
            </w:pPr>
          </w:p>
          <w:p w:rsidR="005E6718" w:rsidRPr="00202267" w:rsidRDefault="005E6718" w:rsidP="009534B2">
            <w:pPr>
              <w:rPr>
                <w:rFonts w:eastAsia="SimSun"/>
                <w:color w:val="333333"/>
                <w:sz w:val="18"/>
                <w:lang w:val="fr-FR" w:eastAsia="zh-CN"/>
              </w:rPr>
            </w:pPr>
          </w:p>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50" w:type="pct"/>
          </w:tcPr>
          <w:p w:rsidR="005E6718" w:rsidRPr="00927778" w:rsidRDefault="005E6718" w:rsidP="009534B2">
            <w:pPr>
              <w:rPr>
                <w:rFonts w:eastAsia="SimSun"/>
                <w:color w:val="333333"/>
                <w:lang w:val="fr-FR" w:eastAsia="zh-CN"/>
              </w:rPr>
            </w:pPr>
          </w:p>
          <w:p w:rsidR="005E6718" w:rsidRPr="00927778" w:rsidRDefault="005E6718" w:rsidP="009534B2">
            <w:pPr>
              <w:rPr>
                <w:rFonts w:eastAsia="SimSun"/>
                <w:color w:val="333333"/>
                <w:lang w:val="fr-FR" w:eastAsia="zh-CN"/>
              </w:rPr>
            </w:pPr>
          </w:p>
          <w:p w:rsidR="005E6718" w:rsidRPr="00202267" w:rsidRDefault="005E6718" w:rsidP="009534B2">
            <w:pPr>
              <w:rPr>
                <w:rFonts w:eastAsia="SimSun"/>
                <w:color w:val="333333"/>
                <w:sz w:val="14"/>
                <w:lang w:val="fr-FR" w:eastAsia="zh-CN"/>
              </w:rPr>
            </w:pPr>
          </w:p>
          <w:p w:rsidR="005E6718" w:rsidRPr="00927778" w:rsidRDefault="005E6718" w:rsidP="009534B2">
            <w:pPr>
              <w:rPr>
                <w:rFonts w:eastAsia="SimSun"/>
                <w:color w:val="333333"/>
                <w:lang w:val="fr-FR" w:eastAsia="zh-CN"/>
              </w:rPr>
            </w:pPr>
          </w:p>
          <w:p w:rsidR="005E6718" w:rsidRPr="00927778" w:rsidRDefault="005E6718" w:rsidP="009534B2">
            <w:pPr>
              <w:rPr>
                <w:rFonts w:eastAsia="SimSun"/>
                <w:color w:val="333333"/>
                <w:lang w:val="fr-FR" w:eastAsia="zh-CN"/>
              </w:rPr>
            </w:pPr>
          </w:p>
          <w:p w:rsidR="005E6718" w:rsidRPr="00202267" w:rsidRDefault="005E6718" w:rsidP="009534B2">
            <w:pPr>
              <w:rPr>
                <w:rFonts w:eastAsia="SimSun"/>
                <w:color w:val="333333"/>
                <w:sz w:val="18"/>
                <w:lang w:val="fr-FR" w:eastAsia="zh-CN"/>
              </w:rPr>
            </w:pPr>
          </w:p>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87" w:type="pct"/>
          </w:tcPr>
          <w:p w:rsidR="005E6718" w:rsidRPr="00927778" w:rsidRDefault="005E6718" w:rsidP="009534B2">
            <w:pPr>
              <w:rPr>
                <w:rFonts w:eastAsia="SimSun"/>
                <w:color w:val="333333"/>
                <w:lang w:val="fr-FR" w:eastAsia="zh-CN"/>
              </w:rPr>
            </w:pPr>
          </w:p>
          <w:p w:rsidR="005E6718" w:rsidRPr="00927778" w:rsidRDefault="005E6718" w:rsidP="009534B2">
            <w:pPr>
              <w:rPr>
                <w:rFonts w:eastAsia="SimSun"/>
                <w:color w:val="333333"/>
                <w:lang w:val="fr-FR" w:eastAsia="zh-CN"/>
              </w:rPr>
            </w:pPr>
          </w:p>
          <w:p w:rsidR="005E6718" w:rsidRPr="00202267" w:rsidRDefault="005E6718" w:rsidP="009534B2">
            <w:pPr>
              <w:rPr>
                <w:rFonts w:eastAsia="SimSun"/>
                <w:color w:val="333333"/>
                <w:sz w:val="14"/>
                <w:lang w:val="fr-FR" w:eastAsia="zh-CN"/>
              </w:rPr>
            </w:pPr>
          </w:p>
          <w:p w:rsidR="005E6718" w:rsidRPr="00927778" w:rsidRDefault="005E6718" w:rsidP="009534B2">
            <w:pPr>
              <w:rPr>
                <w:rFonts w:eastAsia="SimSun"/>
                <w:color w:val="333333"/>
                <w:lang w:val="fr-FR" w:eastAsia="zh-CN"/>
              </w:rPr>
            </w:pPr>
          </w:p>
          <w:p w:rsidR="005E6718" w:rsidRPr="00927778" w:rsidRDefault="005E6718" w:rsidP="009534B2">
            <w:pPr>
              <w:rPr>
                <w:rFonts w:eastAsia="SimSun"/>
                <w:color w:val="333333"/>
                <w:lang w:val="fr-FR" w:eastAsia="zh-CN"/>
              </w:rPr>
            </w:pPr>
          </w:p>
          <w:p w:rsidR="005E6718" w:rsidRPr="00202267" w:rsidRDefault="005E6718" w:rsidP="009534B2">
            <w:pPr>
              <w:rPr>
                <w:rFonts w:eastAsia="SimSun"/>
                <w:color w:val="333333"/>
                <w:sz w:val="18"/>
                <w:lang w:val="fr-FR" w:eastAsia="zh-CN"/>
              </w:rPr>
            </w:pPr>
          </w:p>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62" w:type="pct"/>
          </w:tcPr>
          <w:p w:rsidR="00770ED1" w:rsidRPr="00927778" w:rsidRDefault="00770ED1" w:rsidP="009534B2">
            <w:pPr>
              <w:rPr>
                <w:rFonts w:eastAsia="SimSun"/>
                <w:color w:val="333333"/>
                <w:lang w:val="fr-FR" w:eastAsia="zh-CN"/>
              </w:rPr>
            </w:pPr>
          </w:p>
        </w:tc>
        <w:tc>
          <w:tcPr>
            <w:tcW w:w="256" w:type="pct"/>
          </w:tcPr>
          <w:p w:rsidR="00770ED1" w:rsidRPr="00927778" w:rsidRDefault="00770ED1" w:rsidP="009534B2">
            <w:pPr>
              <w:rPr>
                <w:rFonts w:eastAsia="SimSun"/>
                <w:color w:val="333333"/>
                <w:lang w:val="fr-FR" w:eastAsia="zh-CN"/>
              </w:rPr>
            </w:pPr>
          </w:p>
        </w:tc>
        <w:tc>
          <w:tcPr>
            <w:tcW w:w="250" w:type="pct"/>
            <w:shd w:val="clear" w:color="auto" w:fill="BFBFBF"/>
          </w:tcPr>
          <w:p w:rsidR="00770ED1" w:rsidRPr="00927778" w:rsidRDefault="00770ED1" w:rsidP="009534B2">
            <w:pPr>
              <w:rPr>
                <w:rFonts w:eastAsia="SimSun"/>
                <w:color w:val="333333"/>
                <w:lang w:val="fr-FR" w:eastAsia="zh-CN"/>
              </w:rPr>
            </w:pPr>
          </w:p>
        </w:tc>
        <w:tc>
          <w:tcPr>
            <w:tcW w:w="287" w:type="pct"/>
            <w:shd w:val="clear" w:color="auto" w:fill="BFBFBF"/>
          </w:tcPr>
          <w:p w:rsidR="00770ED1" w:rsidRPr="00927778" w:rsidRDefault="00770ED1" w:rsidP="009534B2">
            <w:pPr>
              <w:rPr>
                <w:rFonts w:eastAsia="SimSun"/>
                <w:color w:val="333333"/>
                <w:lang w:val="fr-FR" w:eastAsia="zh-CN"/>
              </w:rPr>
            </w:pPr>
          </w:p>
        </w:tc>
        <w:tc>
          <w:tcPr>
            <w:tcW w:w="262" w:type="pct"/>
            <w:shd w:val="clear" w:color="auto" w:fill="BFBFBF"/>
          </w:tcPr>
          <w:p w:rsidR="00770ED1" w:rsidRPr="00927778" w:rsidRDefault="00770ED1" w:rsidP="009534B2">
            <w:pPr>
              <w:rPr>
                <w:rFonts w:eastAsia="SimSun"/>
                <w:color w:val="333333"/>
                <w:lang w:val="fr-FR" w:eastAsia="zh-CN"/>
              </w:rPr>
            </w:pPr>
          </w:p>
        </w:tc>
        <w:tc>
          <w:tcPr>
            <w:tcW w:w="257" w:type="pct"/>
            <w:shd w:val="clear" w:color="auto" w:fill="BFBFBF"/>
          </w:tcPr>
          <w:p w:rsidR="00770ED1" w:rsidRPr="00927778" w:rsidRDefault="00770ED1" w:rsidP="009534B2">
            <w:pPr>
              <w:rPr>
                <w:rFonts w:eastAsia="SimSun"/>
                <w:color w:val="333333"/>
                <w:lang w:val="fr-FR" w:eastAsia="zh-CN"/>
              </w:rPr>
            </w:pPr>
          </w:p>
        </w:tc>
        <w:tc>
          <w:tcPr>
            <w:tcW w:w="29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p>
        </w:tc>
        <w:tc>
          <w:tcPr>
            <w:tcW w:w="27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p>
        </w:tc>
      </w:tr>
      <w:tr w:rsidR="00927778" w:rsidRPr="00927778" w:rsidTr="00202267">
        <w:trPr>
          <w:trHeight w:val="259"/>
        </w:trPr>
        <w:tc>
          <w:tcPr>
            <w:tcW w:w="1272" w:type="pct"/>
            <w:tcMar>
              <w:left w:w="57" w:type="dxa"/>
              <w:right w:w="57" w:type="dxa"/>
            </w:tcMar>
          </w:tcPr>
          <w:p w:rsidR="00770ED1" w:rsidRPr="00272D18" w:rsidRDefault="00E031C6" w:rsidP="00202267">
            <w:pPr>
              <w:spacing w:before="20" w:after="20"/>
              <w:rPr>
                <w:rFonts w:eastAsia="SimSun"/>
                <w:color w:val="333333"/>
                <w:spacing w:val="-4"/>
                <w:lang w:val="fr-FR" w:eastAsia="zh-CN"/>
              </w:rPr>
            </w:pPr>
            <w:r w:rsidRPr="00272D18">
              <w:rPr>
                <w:rFonts w:eastAsia="SimSun"/>
                <w:color w:val="333333"/>
                <w:spacing w:val="-4"/>
                <w:lang w:val="fr-FR" w:eastAsia="zh-CN"/>
              </w:rPr>
              <w:t>Sélection du pays pilote</w:t>
            </w:r>
          </w:p>
        </w:tc>
        <w:tc>
          <w:tcPr>
            <w:tcW w:w="250" w:type="pct"/>
            <w:shd w:val="clear" w:color="auto" w:fill="BFBFB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87" w:type="pct"/>
            <w:shd w:val="clear" w:color="auto" w:fill="BFBFBF"/>
          </w:tcPr>
          <w:p w:rsidR="00770ED1" w:rsidRPr="00927778" w:rsidRDefault="00770ED1" w:rsidP="009534B2">
            <w:pPr>
              <w:rPr>
                <w:rFonts w:eastAsia="SimSun"/>
                <w:color w:val="333333"/>
                <w:lang w:val="fr-FR" w:eastAsia="zh-CN"/>
              </w:rPr>
            </w:pPr>
          </w:p>
        </w:tc>
        <w:tc>
          <w:tcPr>
            <w:tcW w:w="262" w:type="pct"/>
            <w:shd w:val="clear" w:color="auto" w:fill="BFBFBF"/>
          </w:tcPr>
          <w:p w:rsidR="00770ED1" w:rsidRPr="00927778" w:rsidRDefault="00770ED1" w:rsidP="009534B2">
            <w:pPr>
              <w:rPr>
                <w:rFonts w:eastAsia="SimSun"/>
                <w:color w:val="333333"/>
                <w:lang w:val="fr-FR" w:eastAsia="zh-CN"/>
              </w:rPr>
            </w:pPr>
          </w:p>
        </w:tc>
        <w:tc>
          <w:tcPr>
            <w:tcW w:w="256" w:type="pct"/>
            <w:shd w:val="clear" w:color="auto" w:fill="BFBFBF"/>
          </w:tcPr>
          <w:p w:rsidR="00770ED1" w:rsidRPr="00927778" w:rsidRDefault="00770ED1" w:rsidP="009534B2">
            <w:pPr>
              <w:rPr>
                <w:rFonts w:eastAsia="SimSun"/>
                <w:color w:val="333333"/>
                <w:lang w:val="fr-FR" w:eastAsia="zh-CN"/>
              </w:rPr>
            </w:pPr>
          </w:p>
        </w:tc>
        <w:tc>
          <w:tcPr>
            <w:tcW w:w="250" w:type="pct"/>
          </w:tcPr>
          <w:p w:rsidR="00770ED1" w:rsidRPr="00927778" w:rsidRDefault="00770ED1" w:rsidP="009534B2">
            <w:pPr>
              <w:rPr>
                <w:rFonts w:eastAsia="SimSun"/>
                <w:color w:val="333333"/>
                <w:lang w:val="fr-FR" w:eastAsia="zh-CN"/>
              </w:rPr>
            </w:pPr>
          </w:p>
        </w:tc>
        <w:tc>
          <w:tcPr>
            <w:tcW w:w="287" w:type="pct"/>
          </w:tcPr>
          <w:p w:rsidR="00770ED1" w:rsidRPr="00927778" w:rsidRDefault="00770ED1" w:rsidP="009534B2">
            <w:pPr>
              <w:rPr>
                <w:rFonts w:eastAsia="SimSun"/>
                <w:color w:val="333333"/>
                <w:lang w:val="fr-FR" w:eastAsia="zh-CN"/>
              </w:rPr>
            </w:pPr>
          </w:p>
        </w:tc>
        <w:tc>
          <w:tcPr>
            <w:tcW w:w="262" w:type="pct"/>
          </w:tcPr>
          <w:p w:rsidR="00770ED1" w:rsidRPr="00927778" w:rsidRDefault="00770ED1" w:rsidP="009534B2">
            <w:pPr>
              <w:rPr>
                <w:rFonts w:eastAsia="SimSun"/>
                <w:color w:val="333333"/>
                <w:lang w:val="fr-FR" w:eastAsia="zh-CN"/>
              </w:rPr>
            </w:pPr>
          </w:p>
        </w:tc>
        <w:tc>
          <w:tcPr>
            <w:tcW w:w="256" w:type="pct"/>
          </w:tcPr>
          <w:p w:rsidR="00770ED1" w:rsidRPr="00927778" w:rsidRDefault="00770ED1" w:rsidP="009534B2">
            <w:pPr>
              <w:rPr>
                <w:rFonts w:eastAsia="SimSun"/>
                <w:color w:val="333333"/>
                <w:lang w:val="fr-FR" w:eastAsia="zh-CN"/>
              </w:rPr>
            </w:pPr>
          </w:p>
        </w:tc>
        <w:tc>
          <w:tcPr>
            <w:tcW w:w="250" w:type="pct"/>
            <w:shd w:val="clear" w:color="auto" w:fill="BFBFBF"/>
          </w:tcPr>
          <w:p w:rsidR="00770ED1" w:rsidRPr="00927778" w:rsidRDefault="00770ED1" w:rsidP="009534B2">
            <w:pPr>
              <w:rPr>
                <w:rFonts w:eastAsia="SimSun"/>
                <w:color w:val="333333"/>
                <w:lang w:val="fr-FR" w:eastAsia="zh-CN"/>
              </w:rPr>
            </w:pPr>
          </w:p>
        </w:tc>
        <w:tc>
          <w:tcPr>
            <w:tcW w:w="287" w:type="pct"/>
            <w:shd w:val="clear" w:color="auto" w:fill="BFBFBF"/>
          </w:tcPr>
          <w:p w:rsidR="00770ED1" w:rsidRPr="00927778" w:rsidRDefault="00770ED1" w:rsidP="009534B2">
            <w:pPr>
              <w:rPr>
                <w:rFonts w:eastAsia="SimSun"/>
                <w:color w:val="333333"/>
                <w:lang w:val="fr-FR" w:eastAsia="zh-CN"/>
              </w:rPr>
            </w:pPr>
          </w:p>
        </w:tc>
        <w:tc>
          <w:tcPr>
            <w:tcW w:w="262" w:type="pct"/>
            <w:shd w:val="clear" w:color="auto" w:fill="BFBFBF"/>
          </w:tcPr>
          <w:p w:rsidR="00770ED1" w:rsidRPr="00927778" w:rsidRDefault="00770ED1" w:rsidP="009534B2">
            <w:pPr>
              <w:rPr>
                <w:rFonts w:eastAsia="SimSun"/>
                <w:color w:val="333333"/>
                <w:lang w:val="fr-FR" w:eastAsia="zh-CN"/>
              </w:rPr>
            </w:pPr>
          </w:p>
        </w:tc>
        <w:tc>
          <w:tcPr>
            <w:tcW w:w="257" w:type="pct"/>
            <w:shd w:val="clear" w:color="auto" w:fill="BFBFBF"/>
          </w:tcPr>
          <w:p w:rsidR="00770ED1" w:rsidRPr="00927778" w:rsidRDefault="00770ED1" w:rsidP="009534B2">
            <w:pPr>
              <w:rPr>
                <w:rFonts w:eastAsia="SimSun"/>
                <w:color w:val="333333"/>
                <w:lang w:val="fr-FR" w:eastAsia="zh-CN"/>
              </w:rPr>
            </w:pPr>
          </w:p>
        </w:tc>
        <w:tc>
          <w:tcPr>
            <w:tcW w:w="29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p>
        </w:tc>
        <w:tc>
          <w:tcPr>
            <w:tcW w:w="27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p>
        </w:tc>
      </w:tr>
      <w:tr w:rsidR="00927778" w:rsidRPr="00927778" w:rsidTr="00202267">
        <w:trPr>
          <w:trHeight w:val="283"/>
        </w:trPr>
        <w:tc>
          <w:tcPr>
            <w:tcW w:w="1272" w:type="pct"/>
            <w:tcMar>
              <w:left w:w="57" w:type="dxa"/>
              <w:right w:w="57" w:type="dxa"/>
            </w:tcMar>
          </w:tcPr>
          <w:p w:rsidR="00770ED1" w:rsidRPr="00272D18" w:rsidRDefault="00E031C6" w:rsidP="00202267">
            <w:pPr>
              <w:spacing w:before="20" w:after="20"/>
              <w:rPr>
                <w:rFonts w:eastAsia="SimSun"/>
                <w:color w:val="333333"/>
                <w:spacing w:val="-4"/>
                <w:lang w:val="fr-FR" w:eastAsia="zh-CN"/>
              </w:rPr>
            </w:pPr>
            <w:r w:rsidRPr="00272D18">
              <w:rPr>
                <w:rFonts w:eastAsia="SimSun"/>
                <w:color w:val="333333"/>
                <w:spacing w:val="-4"/>
                <w:lang w:val="fr-FR" w:eastAsia="zh-CN"/>
              </w:rPr>
              <w:t>Désignation des agences chargées de la coordination</w:t>
            </w:r>
          </w:p>
        </w:tc>
        <w:tc>
          <w:tcPr>
            <w:tcW w:w="250" w:type="pct"/>
            <w:shd w:val="clear" w:color="auto" w:fill="BFBFB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87" w:type="pct"/>
            <w:shd w:val="clear" w:color="auto" w:fill="BFBFB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62" w:type="pct"/>
            <w:shd w:val="clear" w:color="auto" w:fill="BFBFBF"/>
          </w:tcPr>
          <w:p w:rsidR="00770ED1" w:rsidRPr="00927778" w:rsidRDefault="00770ED1" w:rsidP="009534B2">
            <w:pPr>
              <w:rPr>
                <w:rFonts w:eastAsia="SimSun"/>
                <w:color w:val="333333"/>
                <w:lang w:val="fr-FR" w:eastAsia="zh-CN"/>
              </w:rPr>
            </w:pPr>
          </w:p>
        </w:tc>
        <w:tc>
          <w:tcPr>
            <w:tcW w:w="256" w:type="pct"/>
            <w:shd w:val="clear" w:color="auto" w:fill="BFBFBF"/>
          </w:tcPr>
          <w:p w:rsidR="00770ED1" w:rsidRPr="00927778" w:rsidRDefault="00770ED1" w:rsidP="009534B2">
            <w:pPr>
              <w:rPr>
                <w:rFonts w:eastAsia="SimSun"/>
                <w:color w:val="333333"/>
                <w:lang w:val="fr-FR" w:eastAsia="zh-CN"/>
              </w:rPr>
            </w:pPr>
          </w:p>
        </w:tc>
        <w:tc>
          <w:tcPr>
            <w:tcW w:w="250" w:type="pct"/>
          </w:tcPr>
          <w:p w:rsidR="00770ED1" w:rsidRPr="00927778" w:rsidRDefault="00770ED1" w:rsidP="009534B2">
            <w:pPr>
              <w:rPr>
                <w:rFonts w:eastAsia="SimSun"/>
                <w:color w:val="333333"/>
                <w:lang w:val="fr-FR" w:eastAsia="zh-CN"/>
              </w:rPr>
            </w:pPr>
          </w:p>
        </w:tc>
        <w:tc>
          <w:tcPr>
            <w:tcW w:w="287" w:type="pct"/>
          </w:tcPr>
          <w:p w:rsidR="00770ED1" w:rsidRPr="00927778" w:rsidRDefault="00770ED1" w:rsidP="009534B2">
            <w:pPr>
              <w:rPr>
                <w:rFonts w:eastAsia="SimSun"/>
                <w:color w:val="333333"/>
                <w:lang w:val="fr-FR" w:eastAsia="zh-CN"/>
              </w:rPr>
            </w:pPr>
          </w:p>
        </w:tc>
        <w:tc>
          <w:tcPr>
            <w:tcW w:w="262" w:type="pct"/>
          </w:tcPr>
          <w:p w:rsidR="00770ED1" w:rsidRPr="00927778" w:rsidRDefault="00770ED1" w:rsidP="009534B2">
            <w:pPr>
              <w:rPr>
                <w:rFonts w:eastAsia="SimSun"/>
                <w:color w:val="333333"/>
                <w:lang w:val="fr-FR" w:eastAsia="zh-CN"/>
              </w:rPr>
            </w:pPr>
          </w:p>
        </w:tc>
        <w:tc>
          <w:tcPr>
            <w:tcW w:w="256" w:type="pct"/>
          </w:tcPr>
          <w:p w:rsidR="00770ED1" w:rsidRPr="00927778" w:rsidRDefault="00770ED1" w:rsidP="009534B2">
            <w:pPr>
              <w:rPr>
                <w:rFonts w:eastAsia="SimSun"/>
                <w:color w:val="333333"/>
                <w:lang w:val="fr-FR" w:eastAsia="zh-CN"/>
              </w:rPr>
            </w:pPr>
          </w:p>
        </w:tc>
        <w:tc>
          <w:tcPr>
            <w:tcW w:w="250" w:type="pct"/>
            <w:shd w:val="clear" w:color="auto" w:fill="BFBFBF"/>
          </w:tcPr>
          <w:p w:rsidR="00770ED1" w:rsidRPr="00927778" w:rsidRDefault="00770ED1" w:rsidP="009534B2">
            <w:pPr>
              <w:rPr>
                <w:rFonts w:eastAsia="SimSun"/>
                <w:color w:val="333333"/>
                <w:lang w:val="fr-FR" w:eastAsia="zh-CN"/>
              </w:rPr>
            </w:pPr>
          </w:p>
        </w:tc>
        <w:tc>
          <w:tcPr>
            <w:tcW w:w="287" w:type="pct"/>
            <w:shd w:val="clear" w:color="auto" w:fill="BFBFBF"/>
          </w:tcPr>
          <w:p w:rsidR="00770ED1" w:rsidRPr="00927778" w:rsidRDefault="00770ED1" w:rsidP="009534B2">
            <w:pPr>
              <w:rPr>
                <w:rFonts w:eastAsia="SimSun"/>
                <w:color w:val="333333"/>
                <w:lang w:val="fr-FR" w:eastAsia="zh-CN"/>
              </w:rPr>
            </w:pPr>
          </w:p>
        </w:tc>
        <w:tc>
          <w:tcPr>
            <w:tcW w:w="262" w:type="pct"/>
            <w:shd w:val="clear" w:color="auto" w:fill="BFBFBF"/>
          </w:tcPr>
          <w:p w:rsidR="00770ED1" w:rsidRPr="00927778" w:rsidRDefault="00770ED1" w:rsidP="009534B2">
            <w:pPr>
              <w:rPr>
                <w:rFonts w:eastAsia="SimSun"/>
                <w:color w:val="333333"/>
                <w:lang w:val="fr-FR" w:eastAsia="zh-CN"/>
              </w:rPr>
            </w:pPr>
          </w:p>
        </w:tc>
        <w:tc>
          <w:tcPr>
            <w:tcW w:w="257" w:type="pct"/>
            <w:shd w:val="clear" w:color="auto" w:fill="BFBFBF"/>
          </w:tcPr>
          <w:p w:rsidR="00770ED1" w:rsidRPr="00927778" w:rsidRDefault="00770ED1" w:rsidP="009534B2">
            <w:pPr>
              <w:rPr>
                <w:rFonts w:eastAsia="SimSun"/>
                <w:color w:val="333333"/>
                <w:lang w:val="fr-FR" w:eastAsia="zh-CN"/>
              </w:rPr>
            </w:pPr>
          </w:p>
        </w:tc>
        <w:tc>
          <w:tcPr>
            <w:tcW w:w="29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p>
        </w:tc>
        <w:tc>
          <w:tcPr>
            <w:tcW w:w="27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p>
        </w:tc>
      </w:tr>
      <w:tr w:rsidR="00927778" w:rsidRPr="00927778" w:rsidTr="00202267">
        <w:trPr>
          <w:trHeight w:val="259"/>
        </w:trPr>
        <w:tc>
          <w:tcPr>
            <w:tcW w:w="1272" w:type="pct"/>
            <w:tcMar>
              <w:left w:w="57" w:type="dxa"/>
              <w:right w:w="57" w:type="dxa"/>
            </w:tcMar>
          </w:tcPr>
          <w:p w:rsidR="00770ED1" w:rsidRPr="00272D18" w:rsidRDefault="00E031C6" w:rsidP="00202267">
            <w:pPr>
              <w:spacing w:before="20" w:after="20"/>
              <w:rPr>
                <w:rFonts w:eastAsia="SimSun"/>
                <w:color w:val="333333"/>
                <w:spacing w:val="-4"/>
                <w:lang w:val="fr-FR" w:eastAsia="zh-CN"/>
              </w:rPr>
            </w:pPr>
            <w:r w:rsidRPr="00272D18">
              <w:rPr>
                <w:rFonts w:eastAsia="SimSun"/>
                <w:color w:val="333333"/>
                <w:spacing w:val="-4"/>
                <w:lang w:val="fr-FR" w:eastAsia="zh-CN"/>
              </w:rPr>
              <w:t>Recensement des parties prenantes par pays</w:t>
            </w:r>
          </w:p>
        </w:tc>
        <w:tc>
          <w:tcPr>
            <w:tcW w:w="250" w:type="pct"/>
            <w:shd w:val="clear" w:color="auto" w:fill="BFBFBF"/>
          </w:tcPr>
          <w:p w:rsidR="00770ED1" w:rsidRPr="00927778" w:rsidRDefault="00770ED1" w:rsidP="009534B2">
            <w:pPr>
              <w:rPr>
                <w:rFonts w:eastAsia="SimSun"/>
                <w:color w:val="333333"/>
                <w:lang w:val="fr-FR" w:eastAsia="zh-CN"/>
              </w:rPr>
            </w:pPr>
          </w:p>
        </w:tc>
        <w:tc>
          <w:tcPr>
            <w:tcW w:w="287" w:type="pct"/>
            <w:shd w:val="clear" w:color="auto" w:fill="BFBFB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62" w:type="pct"/>
            <w:shd w:val="clear" w:color="auto" w:fill="BFBFB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56" w:type="pct"/>
            <w:shd w:val="clear" w:color="auto" w:fill="BFBFBF"/>
          </w:tcPr>
          <w:p w:rsidR="00770ED1" w:rsidRPr="00927778" w:rsidRDefault="00770ED1" w:rsidP="009534B2">
            <w:pPr>
              <w:rPr>
                <w:rFonts w:eastAsia="SimSun"/>
                <w:color w:val="333333"/>
                <w:lang w:val="fr-FR" w:eastAsia="zh-CN"/>
              </w:rPr>
            </w:pPr>
          </w:p>
        </w:tc>
        <w:tc>
          <w:tcPr>
            <w:tcW w:w="250" w:type="pct"/>
          </w:tcPr>
          <w:p w:rsidR="00770ED1" w:rsidRPr="00927778" w:rsidRDefault="00770ED1" w:rsidP="009534B2">
            <w:pPr>
              <w:rPr>
                <w:rFonts w:eastAsia="SimSun"/>
                <w:color w:val="333333"/>
                <w:lang w:val="fr-FR" w:eastAsia="zh-CN"/>
              </w:rPr>
            </w:pPr>
          </w:p>
        </w:tc>
        <w:tc>
          <w:tcPr>
            <w:tcW w:w="287" w:type="pct"/>
          </w:tcPr>
          <w:p w:rsidR="00770ED1" w:rsidRPr="00927778" w:rsidRDefault="00770ED1" w:rsidP="009534B2">
            <w:pPr>
              <w:rPr>
                <w:rFonts w:eastAsia="SimSun"/>
                <w:color w:val="333333"/>
                <w:lang w:val="fr-FR" w:eastAsia="zh-CN"/>
              </w:rPr>
            </w:pPr>
          </w:p>
        </w:tc>
        <w:tc>
          <w:tcPr>
            <w:tcW w:w="262" w:type="pct"/>
          </w:tcPr>
          <w:p w:rsidR="00770ED1" w:rsidRPr="00927778" w:rsidRDefault="00770ED1" w:rsidP="009534B2">
            <w:pPr>
              <w:rPr>
                <w:rFonts w:eastAsia="SimSun"/>
                <w:color w:val="333333"/>
                <w:lang w:val="fr-FR" w:eastAsia="zh-CN"/>
              </w:rPr>
            </w:pPr>
          </w:p>
        </w:tc>
        <w:tc>
          <w:tcPr>
            <w:tcW w:w="256" w:type="pct"/>
          </w:tcPr>
          <w:p w:rsidR="00770ED1" w:rsidRPr="00927778" w:rsidRDefault="00770ED1" w:rsidP="009534B2">
            <w:pPr>
              <w:rPr>
                <w:rFonts w:eastAsia="SimSun"/>
                <w:color w:val="333333"/>
                <w:lang w:val="fr-FR" w:eastAsia="zh-CN"/>
              </w:rPr>
            </w:pPr>
          </w:p>
        </w:tc>
        <w:tc>
          <w:tcPr>
            <w:tcW w:w="250" w:type="pct"/>
            <w:shd w:val="clear" w:color="auto" w:fill="BFBFBF"/>
          </w:tcPr>
          <w:p w:rsidR="00770ED1" w:rsidRPr="00927778" w:rsidRDefault="00770ED1" w:rsidP="009534B2">
            <w:pPr>
              <w:rPr>
                <w:rFonts w:eastAsia="SimSun"/>
                <w:color w:val="333333"/>
                <w:lang w:val="fr-FR" w:eastAsia="zh-CN"/>
              </w:rPr>
            </w:pPr>
          </w:p>
        </w:tc>
        <w:tc>
          <w:tcPr>
            <w:tcW w:w="287" w:type="pct"/>
            <w:shd w:val="clear" w:color="auto" w:fill="BFBFBF"/>
          </w:tcPr>
          <w:p w:rsidR="00770ED1" w:rsidRPr="00927778" w:rsidRDefault="00770ED1" w:rsidP="009534B2">
            <w:pPr>
              <w:rPr>
                <w:rFonts w:eastAsia="SimSun"/>
                <w:color w:val="333333"/>
                <w:lang w:val="fr-FR" w:eastAsia="zh-CN"/>
              </w:rPr>
            </w:pPr>
          </w:p>
        </w:tc>
        <w:tc>
          <w:tcPr>
            <w:tcW w:w="262" w:type="pct"/>
            <w:shd w:val="clear" w:color="auto" w:fill="BFBFBF"/>
          </w:tcPr>
          <w:p w:rsidR="00770ED1" w:rsidRPr="00927778" w:rsidRDefault="00770ED1" w:rsidP="009534B2">
            <w:pPr>
              <w:rPr>
                <w:rFonts w:eastAsia="SimSun"/>
                <w:color w:val="333333"/>
                <w:lang w:val="fr-FR" w:eastAsia="zh-CN"/>
              </w:rPr>
            </w:pPr>
          </w:p>
        </w:tc>
        <w:tc>
          <w:tcPr>
            <w:tcW w:w="257" w:type="pct"/>
            <w:shd w:val="clear" w:color="auto" w:fill="BFBFBF"/>
          </w:tcPr>
          <w:p w:rsidR="00770ED1" w:rsidRPr="00927778" w:rsidRDefault="00770ED1" w:rsidP="009534B2">
            <w:pPr>
              <w:rPr>
                <w:rFonts w:eastAsia="SimSun"/>
                <w:color w:val="333333"/>
                <w:lang w:val="fr-FR" w:eastAsia="zh-CN"/>
              </w:rPr>
            </w:pPr>
          </w:p>
        </w:tc>
        <w:tc>
          <w:tcPr>
            <w:tcW w:w="29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p>
        </w:tc>
        <w:tc>
          <w:tcPr>
            <w:tcW w:w="27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p>
        </w:tc>
      </w:tr>
      <w:tr w:rsidR="00927778" w:rsidRPr="00927778" w:rsidTr="00202267">
        <w:trPr>
          <w:trHeight w:val="259"/>
        </w:trPr>
        <w:tc>
          <w:tcPr>
            <w:tcW w:w="1272" w:type="pct"/>
            <w:tcMar>
              <w:left w:w="57" w:type="dxa"/>
              <w:right w:w="57" w:type="dxa"/>
            </w:tcMar>
          </w:tcPr>
          <w:p w:rsidR="005E6718" w:rsidRPr="00272D18" w:rsidRDefault="00E031C6" w:rsidP="00202267">
            <w:pPr>
              <w:spacing w:before="20" w:after="20"/>
              <w:rPr>
                <w:rFonts w:eastAsia="SimSun"/>
                <w:color w:val="333333"/>
                <w:spacing w:val="-4"/>
                <w:lang w:val="fr-FR" w:eastAsia="zh-CN"/>
              </w:rPr>
            </w:pPr>
            <w:r w:rsidRPr="00272D18">
              <w:rPr>
                <w:rFonts w:eastAsia="SimSun"/>
                <w:color w:val="333333"/>
                <w:spacing w:val="-4"/>
                <w:lang w:val="fr-FR" w:eastAsia="zh-CN"/>
              </w:rPr>
              <w:t>Élaboration et approbation des plans par pays</w:t>
            </w:r>
          </w:p>
          <w:p w:rsidR="00770ED1" w:rsidRPr="00272D18" w:rsidRDefault="00770ED1" w:rsidP="00202267">
            <w:pPr>
              <w:spacing w:before="20" w:after="20"/>
              <w:rPr>
                <w:rFonts w:eastAsia="SimSun"/>
                <w:color w:val="333333"/>
                <w:spacing w:val="-4"/>
                <w:lang w:val="fr-FR" w:eastAsia="zh-CN"/>
              </w:rPr>
            </w:pPr>
            <w:r w:rsidRPr="00272D18">
              <w:rPr>
                <w:rFonts w:eastAsia="SimSun"/>
                <w:color w:val="333333"/>
                <w:spacing w:val="-4"/>
                <w:lang w:val="fr-FR" w:eastAsia="zh-CN"/>
              </w:rPr>
              <w:t>(</w:t>
            </w:r>
            <w:r w:rsidR="0009674A" w:rsidRPr="00272D18">
              <w:rPr>
                <w:rFonts w:eastAsia="SimSun"/>
                <w:color w:val="333333"/>
                <w:spacing w:val="-4"/>
                <w:lang w:val="fr-FR" w:eastAsia="zh-CN"/>
              </w:rPr>
              <w:t>visant à garantir</w:t>
            </w:r>
            <w:r w:rsidR="00524376" w:rsidRPr="00272D18">
              <w:rPr>
                <w:rFonts w:eastAsia="SimSun"/>
                <w:color w:val="333333"/>
                <w:spacing w:val="-4"/>
                <w:lang w:val="fr-FR" w:eastAsia="zh-CN"/>
              </w:rPr>
              <w:t xml:space="preserve"> la durabilité des résultats du projet à un niveau institutionnel</w:t>
            </w:r>
            <w:r w:rsidRPr="00272D18">
              <w:rPr>
                <w:rFonts w:eastAsia="SimSun"/>
                <w:color w:val="333333"/>
                <w:spacing w:val="-4"/>
                <w:lang w:val="fr-FR" w:eastAsia="zh-CN"/>
              </w:rPr>
              <w:t>)</w:t>
            </w:r>
          </w:p>
        </w:tc>
        <w:tc>
          <w:tcPr>
            <w:tcW w:w="250" w:type="pct"/>
            <w:shd w:val="clear" w:color="auto" w:fill="BFBFBF"/>
          </w:tcPr>
          <w:p w:rsidR="00770ED1" w:rsidRPr="00927778" w:rsidRDefault="00770ED1" w:rsidP="009534B2">
            <w:pPr>
              <w:rPr>
                <w:rFonts w:eastAsia="SimSun"/>
                <w:color w:val="333333"/>
                <w:lang w:val="fr-FR" w:eastAsia="zh-CN"/>
              </w:rPr>
            </w:pPr>
          </w:p>
        </w:tc>
        <w:tc>
          <w:tcPr>
            <w:tcW w:w="287" w:type="pct"/>
            <w:shd w:val="clear" w:color="auto" w:fill="BFBFBF"/>
          </w:tcPr>
          <w:p w:rsidR="00770ED1" w:rsidRPr="00927778" w:rsidRDefault="00770ED1" w:rsidP="009534B2">
            <w:pPr>
              <w:rPr>
                <w:rFonts w:eastAsia="SimSun"/>
                <w:color w:val="333333"/>
                <w:lang w:val="fr-FR" w:eastAsia="zh-CN"/>
              </w:rPr>
            </w:pPr>
          </w:p>
        </w:tc>
        <w:tc>
          <w:tcPr>
            <w:tcW w:w="262" w:type="pct"/>
            <w:shd w:val="clear" w:color="auto" w:fill="BFBFB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56" w:type="pct"/>
            <w:shd w:val="clear" w:color="auto" w:fill="BFBFB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50" w:type="pct"/>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87" w:type="pct"/>
          </w:tcPr>
          <w:p w:rsidR="00770ED1" w:rsidRPr="00927778" w:rsidRDefault="00770ED1" w:rsidP="009534B2">
            <w:pPr>
              <w:rPr>
                <w:rFonts w:eastAsia="SimSun"/>
                <w:color w:val="333333"/>
                <w:lang w:val="fr-FR" w:eastAsia="zh-CN"/>
              </w:rPr>
            </w:pPr>
          </w:p>
        </w:tc>
        <w:tc>
          <w:tcPr>
            <w:tcW w:w="262" w:type="pct"/>
          </w:tcPr>
          <w:p w:rsidR="00770ED1" w:rsidRPr="00927778" w:rsidRDefault="00770ED1" w:rsidP="009534B2">
            <w:pPr>
              <w:rPr>
                <w:rFonts w:eastAsia="SimSun"/>
                <w:color w:val="333333"/>
                <w:lang w:val="fr-FR" w:eastAsia="zh-CN"/>
              </w:rPr>
            </w:pPr>
          </w:p>
        </w:tc>
        <w:tc>
          <w:tcPr>
            <w:tcW w:w="256" w:type="pct"/>
          </w:tcPr>
          <w:p w:rsidR="00770ED1" w:rsidRPr="00927778" w:rsidRDefault="00770ED1" w:rsidP="009534B2">
            <w:pPr>
              <w:rPr>
                <w:rFonts w:eastAsia="SimSun"/>
                <w:color w:val="333333"/>
                <w:lang w:val="fr-FR" w:eastAsia="zh-CN"/>
              </w:rPr>
            </w:pPr>
          </w:p>
        </w:tc>
        <w:tc>
          <w:tcPr>
            <w:tcW w:w="250" w:type="pct"/>
            <w:shd w:val="clear" w:color="auto" w:fill="BFBFBF"/>
          </w:tcPr>
          <w:p w:rsidR="00770ED1" w:rsidRPr="00927778" w:rsidRDefault="00770ED1" w:rsidP="009534B2">
            <w:pPr>
              <w:rPr>
                <w:rFonts w:eastAsia="SimSun"/>
                <w:color w:val="333333"/>
                <w:lang w:val="fr-FR" w:eastAsia="zh-CN"/>
              </w:rPr>
            </w:pPr>
          </w:p>
        </w:tc>
        <w:tc>
          <w:tcPr>
            <w:tcW w:w="287" w:type="pct"/>
            <w:shd w:val="clear" w:color="auto" w:fill="BFBFBF"/>
          </w:tcPr>
          <w:p w:rsidR="00770ED1" w:rsidRPr="00927778" w:rsidRDefault="00770ED1" w:rsidP="009534B2">
            <w:pPr>
              <w:rPr>
                <w:rFonts w:eastAsia="SimSun"/>
                <w:color w:val="333333"/>
                <w:lang w:val="fr-FR" w:eastAsia="zh-CN"/>
              </w:rPr>
            </w:pPr>
          </w:p>
        </w:tc>
        <w:tc>
          <w:tcPr>
            <w:tcW w:w="262" w:type="pct"/>
            <w:shd w:val="clear" w:color="auto" w:fill="BFBFBF"/>
          </w:tcPr>
          <w:p w:rsidR="00770ED1" w:rsidRPr="00927778" w:rsidRDefault="00770ED1" w:rsidP="009534B2">
            <w:pPr>
              <w:rPr>
                <w:rFonts w:eastAsia="SimSun"/>
                <w:color w:val="333333"/>
                <w:lang w:val="fr-FR" w:eastAsia="zh-CN"/>
              </w:rPr>
            </w:pPr>
          </w:p>
        </w:tc>
        <w:tc>
          <w:tcPr>
            <w:tcW w:w="257" w:type="pct"/>
            <w:shd w:val="clear" w:color="auto" w:fill="BFBFBF"/>
          </w:tcPr>
          <w:p w:rsidR="00770ED1" w:rsidRPr="00927778" w:rsidRDefault="00770ED1" w:rsidP="009534B2">
            <w:pPr>
              <w:rPr>
                <w:rFonts w:eastAsia="SimSun"/>
                <w:color w:val="333333"/>
                <w:lang w:val="fr-FR" w:eastAsia="zh-CN"/>
              </w:rPr>
            </w:pPr>
          </w:p>
        </w:tc>
        <w:tc>
          <w:tcPr>
            <w:tcW w:w="29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7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r>
      <w:tr w:rsidR="00927778" w:rsidRPr="00927778" w:rsidTr="00202267">
        <w:trPr>
          <w:trHeight w:val="283"/>
        </w:trPr>
        <w:tc>
          <w:tcPr>
            <w:tcW w:w="1272" w:type="pct"/>
            <w:tcMar>
              <w:left w:w="57" w:type="dxa"/>
              <w:right w:w="57" w:type="dxa"/>
            </w:tcMar>
          </w:tcPr>
          <w:p w:rsidR="00770ED1" w:rsidRPr="00272D18" w:rsidRDefault="00E031C6" w:rsidP="00202267">
            <w:pPr>
              <w:spacing w:before="20" w:after="20"/>
              <w:rPr>
                <w:rFonts w:eastAsia="SimSun"/>
                <w:color w:val="333333"/>
                <w:spacing w:val="-4"/>
                <w:lang w:val="fr-FR" w:eastAsia="zh-CN"/>
              </w:rPr>
            </w:pPr>
            <w:r w:rsidRPr="00272D18">
              <w:rPr>
                <w:rFonts w:eastAsia="SimSun"/>
                <w:color w:val="333333"/>
                <w:spacing w:val="-4"/>
                <w:lang w:val="fr-FR" w:eastAsia="zh-CN"/>
              </w:rPr>
              <w:t>1</w:t>
            </w:r>
            <w:r w:rsidRPr="00272D18">
              <w:rPr>
                <w:rFonts w:eastAsia="SimSun"/>
                <w:color w:val="333333"/>
                <w:spacing w:val="-4"/>
                <w:vertAlign w:val="superscript"/>
                <w:lang w:val="fr-FR" w:eastAsia="zh-CN"/>
              </w:rPr>
              <w:t>re</w:t>
            </w:r>
            <w:r w:rsidR="00002037" w:rsidRPr="00272D18">
              <w:rPr>
                <w:rFonts w:eastAsia="SimSun"/>
                <w:color w:val="333333"/>
                <w:spacing w:val="-4"/>
                <w:lang w:val="fr-FR" w:eastAsia="zh-CN"/>
              </w:rPr>
              <w:t> </w:t>
            </w:r>
            <w:r w:rsidRPr="00272D18">
              <w:rPr>
                <w:rFonts w:eastAsia="SimSun"/>
                <w:color w:val="333333"/>
                <w:spacing w:val="-4"/>
                <w:lang w:val="fr-FR" w:eastAsia="zh-CN"/>
              </w:rPr>
              <w:t>série d</w:t>
            </w:r>
            <w:r w:rsidR="00EA2C86" w:rsidRPr="00272D18">
              <w:rPr>
                <w:rFonts w:eastAsia="SimSun"/>
                <w:color w:val="333333"/>
                <w:spacing w:val="-4"/>
                <w:lang w:val="fr-FR" w:eastAsia="zh-CN"/>
              </w:rPr>
              <w:t>’</w:t>
            </w:r>
            <w:r w:rsidRPr="00272D18">
              <w:rPr>
                <w:rFonts w:eastAsia="SimSun"/>
                <w:color w:val="333333"/>
                <w:spacing w:val="-4"/>
                <w:lang w:val="fr-FR" w:eastAsia="zh-CN"/>
              </w:rPr>
              <w:t>activités de renforcement des capacités pour les parties prenantes</w:t>
            </w:r>
          </w:p>
        </w:tc>
        <w:tc>
          <w:tcPr>
            <w:tcW w:w="250" w:type="pct"/>
            <w:shd w:val="clear" w:color="auto" w:fill="BFBFBF"/>
          </w:tcPr>
          <w:p w:rsidR="00770ED1" w:rsidRPr="00927778" w:rsidRDefault="00770ED1" w:rsidP="009534B2">
            <w:pPr>
              <w:rPr>
                <w:rFonts w:eastAsia="SimSun"/>
                <w:color w:val="333333"/>
                <w:lang w:val="fr-FR" w:eastAsia="zh-CN"/>
              </w:rPr>
            </w:pPr>
          </w:p>
        </w:tc>
        <w:tc>
          <w:tcPr>
            <w:tcW w:w="287" w:type="pct"/>
            <w:shd w:val="clear" w:color="auto" w:fill="BFBFBF"/>
          </w:tcPr>
          <w:p w:rsidR="00770ED1" w:rsidRPr="00927778" w:rsidRDefault="00770ED1" w:rsidP="009534B2">
            <w:pPr>
              <w:rPr>
                <w:rFonts w:eastAsia="SimSun"/>
                <w:color w:val="333333"/>
                <w:lang w:val="fr-FR" w:eastAsia="zh-CN"/>
              </w:rPr>
            </w:pPr>
          </w:p>
        </w:tc>
        <w:tc>
          <w:tcPr>
            <w:tcW w:w="262" w:type="pct"/>
            <w:shd w:val="clear" w:color="auto" w:fill="BFBFBF"/>
          </w:tcPr>
          <w:p w:rsidR="00770ED1" w:rsidRPr="00927778" w:rsidRDefault="00770ED1" w:rsidP="009534B2">
            <w:pPr>
              <w:rPr>
                <w:rFonts w:eastAsia="SimSun"/>
                <w:color w:val="333333"/>
                <w:lang w:val="fr-FR" w:eastAsia="zh-CN"/>
              </w:rPr>
            </w:pPr>
          </w:p>
        </w:tc>
        <w:tc>
          <w:tcPr>
            <w:tcW w:w="256" w:type="pct"/>
            <w:shd w:val="clear" w:color="auto" w:fill="BFBFBF"/>
          </w:tcPr>
          <w:p w:rsidR="00770ED1" w:rsidRPr="00927778" w:rsidRDefault="00770ED1" w:rsidP="009534B2">
            <w:pPr>
              <w:rPr>
                <w:rFonts w:eastAsia="SimSun"/>
                <w:color w:val="333333"/>
                <w:lang w:val="fr-FR" w:eastAsia="zh-CN"/>
              </w:rPr>
            </w:pPr>
          </w:p>
        </w:tc>
        <w:tc>
          <w:tcPr>
            <w:tcW w:w="250" w:type="pct"/>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87" w:type="pct"/>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62" w:type="pct"/>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56" w:type="pct"/>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50" w:type="pct"/>
            <w:shd w:val="clear" w:color="auto" w:fill="BFBFBF"/>
          </w:tcPr>
          <w:p w:rsidR="00770ED1" w:rsidRPr="00927778" w:rsidRDefault="00770ED1" w:rsidP="009534B2">
            <w:pPr>
              <w:rPr>
                <w:rFonts w:eastAsia="SimSun"/>
                <w:color w:val="333333"/>
                <w:lang w:val="fr-FR" w:eastAsia="zh-CN"/>
              </w:rPr>
            </w:pPr>
          </w:p>
        </w:tc>
        <w:tc>
          <w:tcPr>
            <w:tcW w:w="287" w:type="pct"/>
            <w:shd w:val="clear" w:color="auto" w:fill="BFBFBF"/>
          </w:tcPr>
          <w:p w:rsidR="00770ED1" w:rsidRPr="00927778" w:rsidRDefault="00770ED1" w:rsidP="009534B2">
            <w:pPr>
              <w:rPr>
                <w:rFonts w:eastAsia="SimSun"/>
                <w:color w:val="333333"/>
                <w:lang w:val="fr-FR" w:eastAsia="zh-CN"/>
              </w:rPr>
            </w:pPr>
          </w:p>
        </w:tc>
        <w:tc>
          <w:tcPr>
            <w:tcW w:w="262" w:type="pct"/>
            <w:shd w:val="clear" w:color="auto" w:fill="BFBFBF"/>
          </w:tcPr>
          <w:p w:rsidR="00770ED1" w:rsidRPr="00927778" w:rsidRDefault="00770ED1" w:rsidP="009534B2">
            <w:pPr>
              <w:rPr>
                <w:rFonts w:eastAsia="SimSun"/>
                <w:color w:val="333333"/>
                <w:lang w:val="fr-FR" w:eastAsia="zh-CN"/>
              </w:rPr>
            </w:pPr>
          </w:p>
        </w:tc>
        <w:tc>
          <w:tcPr>
            <w:tcW w:w="257" w:type="pct"/>
            <w:shd w:val="clear" w:color="auto" w:fill="BFBFBF"/>
          </w:tcPr>
          <w:p w:rsidR="00770ED1" w:rsidRPr="00927778" w:rsidRDefault="00770ED1" w:rsidP="009534B2">
            <w:pPr>
              <w:rPr>
                <w:rFonts w:eastAsia="SimSun"/>
                <w:color w:val="333333"/>
                <w:lang w:val="fr-FR" w:eastAsia="zh-CN"/>
              </w:rPr>
            </w:pPr>
          </w:p>
        </w:tc>
        <w:tc>
          <w:tcPr>
            <w:tcW w:w="29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7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p>
        </w:tc>
      </w:tr>
      <w:tr w:rsidR="00927778" w:rsidRPr="00927778" w:rsidTr="00202267">
        <w:trPr>
          <w:trHeight w:val="283"/>
        </w:trPr>
        <w:tc>
          <w:tcPr>
            <w:tcW w:w="1272" w:type="pct"/>
            <w:tcMar>
              <w:left w:w="57" w:type="dxa"/>
              <w:right w:w="57" w:type="dxa"/>
            </w:tcMar>
          </w:tcPr>
          <w:p w:rsidR="00770ED1" w:rsidRPr="00272D18" w:rsidRDefault="00E031C6" w:rsidP="00202267">
            <w:pPr>
              <w:spacing w:before="20" w:after="20"/>
              <w:rPr>
                <w:rFonts w:eastAsia="SimSun"/>
                <w:color w:val="333333"/>
                <w:spacing w:val="-4"/>
                <w:lang w:val="fr-FR" w:eastAsia="zh-CN"/>
              </w:rPr>
            </w:pPr>
            <w:r w:rsidRPr="00272D18">
              <w:rPr>
                <w:rFonts w:eastAsia="SimSun"/>
                <w:color w:val="333333"/>
                <w:spacing w:val="-4"/>
                <w:lang w:val="fr-FR" w:eastAsia="zh-CN"/>
              </w:rPr>
              <w:t>Élaboration de matériel de sensibilisation (vidéos et supports imprimés) et de formation</w:t>
            </w:r>
            <w:r w:rsidR="00770ED1" w:rsidRPr="00272D18">
              <w:rPr>
                <w:rFonts w:eastAsia="SimSun"/>
                <w:color w:val="333333"/>
                <w:spacing w:val="-4"/>
                <w:lang w:val="fr-FR" w:eastAsia="zh-CN"/>
              </w:rPr>
              <w:t xml:space="preserve"> </w:t>
            </w:r>
          </w:p>
        </w:tc>
        <w:tc>
          <w:tcPr>
            <w:tcW w:w="250" w:type="pct"/>
            <w:shd w:val="clear" w:color="auto" w:fill="BFBFBF"/>
          </w:tcPr>
          <w:p w:rsidR="00770ED1" w:rsidRPr="00927778" w:rsidRDefault="00770ED1" w:rsidP="009534B2">
            <w:pPr>
              <w:rPr>
                <w:rFonts w:eastAsia="SimSun"/>
                <w:color w:val="333333"/>
                <w:lang w:val="fr-FR" w:eastAsia="zh-CN"/>
              </w:rPr>
            </w:pPr>
          </w:p>
        </w:tc>
        <w:tc>
          <w:tcPr>
            <w:tcW w:w="287" w:type="pct"/>
            <w:shd w:val="clear" w:color="auto" w:fill="BFBFBF"/>
          </w:tcPr>
          <w:p w:rsidR="00770ED1" w:rsidRPr="00927778" w:rsidRDefault="00770ED1" w:rsidP="009534B2">
            <w:pPr>
              <w:rPr>
                <w:rFonts w:eastAsia="SimSun"/>
                <w:color w:val="333333"/>
                <w:lang w:val="fr-FR" w:eastAsia="zh-CN"/>
              </w:rPr>
            </w:pPr>
          </w:p>
        </w:tc>
        <w:tc>
          <w:tcPr>
            <w:tcW w:w="262" w:type="pct"/>
            <w:shd w:val="clear" w:color="auto" w:fill="BFBFBF"/>
          </w:tcPr>
          <w:p w:rsidR="00770ED1" w:rsidRPr="00927778" w:rsidRDefault="00770ED1" w:rsidP="009534B2">
            <w:pPr>
              <w:rPr>
                <w:rFonts w:eastAsia="SimSun"/>
                <w:color w:val="333333"/>
                <w:lang w:val="fr-FR" w:eastAsia="zh-CN"/>
              </w:rPr>
            </w:pPr>
          </w:p>
        </w:tc>
        <w:tc>
          <w:tcPr>
            <w:tcW w:w="256" w:type="pct"/>
            <w:shd w:val="clear" w:color="auto" w:fill="BFBFBF"/>
          </w:tcPr>
          <w:p w:rsidR="00770ED1" w:rsidRPr="00927778" w:rsidRDefault="00770ED1" w:rsidP="009534B2">
            <w:pPr>
              <w:rPr>
                <w:rFonts w:eastAsia="SimSun"/>
                <w:color w:val="333333"/>
                <w:lang w:val="fr-FR" w:eastAsia="zh-CN"/>
              </w:rPr>
            </w:pPr>
          </w:p>
        </w:tc>
        <w:tc>
          <w:tcPr>
            <w:tcW w:w="250" w:type="pct"/>
          </w:tcPr>
          <w:p w:rsidR="00770ED1" w:rsidRPr="00927778" w:rsidRDefault="00770ED1" w:rsidP="009534B2">
            <w:pPr>
              <w:rPr>
                <w:rFonts w:eastAsia="SimSun"/>
                <w:color w:val="333333"/>
                <w:lang w:val="fr-FR" w:eastAsia="zh-CN"/>
              </w:rPr>
            </w:pPr>
          </w:p>
        </w:tc>
        <w:tc>
          <w:tcPr>
            <w:tcW w:w="287" w:type="pct"/>
          </w:tcPr>
          <w:p w:rsidR="00770ED1" w:rsidRPr="00927778" w:rsidRDefault="00770ED1" w:rsidP="009534B2">
            <w:pPr>
              <w:rPr>
                <w:rFonts w:eastAsia="SimSun"/>
                <w:color w:val="333333"/>
                <w:lang w:val="fr-FR" w:eastAsia="zh-CN"/>
              </w:rPr>
            </w:pPr>
          </w:p>
        </w:tc>
        <w:tc>
          <w:tcPr>
            <w:tcW w:w="262" w:type="pct"/>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56" w:type="pct"/>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50" w:type="pct"/>
            <w:shd w:val="clear" w:color="auto" w:fill="BFBFB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87" w:type="pct"/>
            <w:shd w:val="clear" w:color="auto" w:fill="BFBFB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62" w:type="pct"/>
            <w:shd w:val="clear" w:color="auto" w:fill="BFBFB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57" w:type="pct"/>
            <w:shd w:val="clear" w:color="auto" w:fill="BFBFB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9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p>
        </w:tc>
        <w:tc>
          <w:tcPr>
            <w:tcW w:w="27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p>
        </w:tc>
      </w:tr>
      <w:tr w:rsidR="00927778" w:rsidRPr="00927778" w:rsidTr="00202267">
        <w:trPr>
          <w:trHeight w:val="283"/>
        </w:trPr>
        <w:tc>
          <w:tcPr>
            <w:tcW w:w="1272" w:type="pct"/>
            <w:tcMar>
              <w:left w:w="57" w:type="dxa"/>
              <w:right w:w="57" w:type="dxa"/>
            </w:tcMar>
          </w:tcPr>
          <w:p w:rsidR="00770ED1" w:rsidRPr="00272D18" w:rsidRDefault="00E031C6" w:rsidP="00202267">
            <w:pPr>
              <w:spacing w:before="20" w:after="20"/>
              <w:rPr>
                <w:rFonts w:eastAsia="SimSun"/>
                <w:color w:val="333333"/>
                <w:spacing w:val="-4"/>
                <w:lang w:val="fr-FR" w:eastAsia="zh-CN"/>
              </w:rPr>
            </w:pPr>
            <w:r w:rsidRPr="00272D18">
              <w:rPr>
                <w:rFonts w:eastAsia="SimSun"/>
                <w:color w:val="333333"/>
                <w:spacing w:val="-4"/>
                <w:lang w:val="fr-FR" w:eastAsia="zh-CN"/>
              </w:rPr>
              <w:t>2</w:t>
            </w:r>
            <w:r w:rsidRPr="00272D18">
              <w:rPr>
                <w:rFonts w:eastAsia="SimSun"/>
                <w:color w:val="333333"/>
                <w:spacing w:val="-4"/>
                <w:vertAlign w:val="superscript"/>
                <w:lang w:val="fr-FR" w:eastAsia="zh-CN"/>
              </w:rPr>
              <w:t>e</w:t>
            </w:r>
            <w:r w:rsidR="00002037" w:rsidRPr="00272D18">
              <w:rPr>
                <w:rFonts w:eastAsia="SimSun"/>
                <w:color w:val="333333"/>
                <w:spacing w:val="-4"/>
                <w:lang w:val="fr-FR" w:eastAsia="zh-CN"/>
              </w:rPr>
              <w:t> </w:t>
            </w:r>
            <w:r w:rsidRPr="00272D18">
              <w:rPr>
                <w:rFonts w:eastAsia="SimSun"/>
                <w:color w:val="333333"/>
                <w:spacing w:val="-4"/>
                <w:lang w:val="fr-FR" w:eastAsia="zh-CN"/>
              </w:rPr>
              <w:t>série d</w:t>
            </w:r>
            <w:r w:rsidR="00EA2C86" w:rsidRPr="00272D18">
              <w:rPr>
                <w:rFonts w:eastAsia="SimSun"/>
                <w:color w:val="333333"/>
                <w:spacing w:val="-4"/>
                <w:lang w:val="fr-FR" w:eastAsia="zh-CN"/>
              </w:rPr>
              <w:t>’</w:t>
            </w:r>
            <w:r w:rsidRPr="00272D18">
              <w:rPr>
                <w:rFonts w:eastAsia="SimSun"/>
                <w:color w:val="333333"/>
                <w:spacing w:val="-4"/>
                <w:lang w:val="fr-FR" w:eastAsia="zh-CN"/>
              </w:rPr>
              <w:t>activités de renforcement des capacités et de formation pour les parties prenantes</w:t>
            </w:r>
            <w:r w:rsidR="00770ED1" w:rsidRPr="00272D18">
              <w:rPr>
                <w:rFonts w:eastAsia="SimSun"/>
                <w:color w:val="333333"/>
                <w:spacing w:val="-4"/>
                <w:lang w:val="fr-FR" w:eastAsia="zh-CN"/>
              </w:rPr>
              <w:t xml:space="preserve"> </w:t>
            </w:r>
          </w:p>
        </w:tc>
        <w:tc>
          <w:tcPr>
            <w:tcW w:w="250" w:type="pct"/>
            <w:shd w:val="clear" w:color="auto" w:fill="BFBFBF"/>
          </w:tcPr>
          <w:p w:rsidR="00770ED1" w:rsidRPr="00927778" w:rsidRDefault="00770ED1" w:rsidP="009534B2">
            <w:pPr>
              <w:rPr>
                <w:rFonts w:eastAsia="SimSun"/>
                <w:color w:val="333333"/>
                <w:lang w:val="fr-FR" w:eastAsia="zh-CN"/>
              </w:rPr>
            </w:pPr>
          </w:p>
        </w:tc>
        <w:tc>
          <w:tcPr>
            <w:tcW w:w="287" w:type="pct"/>
            <w:shd w:val="clear" w:color="auto" w:fill="BFBFBF"/>
          </w:tcPr>
          <w:p w:rsidR="00770ED1" w:rsidRPr="00927778" w:rsidRDefault="00770ED1" w:rsidP="009534B2">
            <w:pPr>
              <w:rPr>
                <w:rFonts w:eastAsia="SimSun"/>
                <w:color w:val="333333"/>
                <w:lang w:val="fr-FR" w:eastAsia="zh-CN"/>
              </w:rPr>
            </w:pPr>
          </w:p>
        </w:tc>
        <w:tc>
          <w:tcPr>
            <w:tcW w:w="262" w:type="pct"/>
            <w:shd w:val="clear" w:color="auto" w:fill="BFBFBF"/>
          </w:tcPr>
          <w:p w:rsidR="00770ED1" w:rsidRPr="00927778" w:rsidRDefault="00770ED1" w:rsidP="009534B2">
            <w:pPr>
              <w:rPr>
                <w:rFonts w:eastAsia="SimSun"/>
                <w:color w:val="333333"/>
                <w:lang w:val="fr-FR" w:eastAsia="zh-CN"/>
              </w:rPr>
            </w:pPr>
          </w:p>
        </w:tc>
        <w:tc>
          <w:tcPr>
            <w:tcW w:w="256" w:type="pct"/>
            <w:shd w:val="clear" w:color="auto" w:fill="BFBFBF"/>
          </w:tcPr>
          <w:p w:rsidR="00770ED1" w:rsidRPr="00927778" w:rsidRDefault="00770ED1" w:rsidP="009534B2">
            <w:pPr>
              <w:rPr>
                <w:rFonts w:eastAsia="SimSun"/>
                <w:color w:val="333333"/>
                <w:lang w:val="fr-FR" w:eastAsia="zh-CN"/>
              </w:rPr>
            </w:pPr>
          </w:p>
        </w:tc>
        <w:tc>
          <w:tcPr>
            <w:tcW w:w="250" w:type="pct"/>
          </w:tcPr>
          <w:p w:rsidR="00770ED1" w:rsidRPr="00927778" w:rsidRDefault="00770ED1" w:rsidP="009534B2">
            <w:pPr>
              <w:rPr>
                <w:rFonts w:eastAsia="SimSun"/>
                <w:color w:val="333333"/>
                <w:lang w:val="fr-FR" w:eastAsia="zh-CN"/>
              </w:rPr>
            </w:pPr>
          </w:p>
        </w:tc>
        <w:tc>
          <w:tcPr>
            <w:tcW w:w="287" w:type="pct"/>
          </w:tcPr>
          <w:p w:rsidR="00770ED1" w:rsidRPr="00927778" w:rsidRDefault="00770ED1" w:rsidP="009534B2">
            <w:pPr>
              <w:rPr>
                <w:rFonts w:eastAsia="SimSun"/>
                <w:color w:val="333333"/>
                <w:lang w:val="fr-FR" w:eastAsia="zh-CN"/>
              </w:rPr>
            </w:pPr>
          </w:p>
        </w:tc>
        <w:tc>
          <w:tcPr>
            <w:tcW w:w="262" w:type="pct"/>
          </w:tcPr>
          <w:p w:rsidR="00770ED1" w:rsidRPr="00927778" w:rsidRDefault="00770ED1" w:rsidP="009534B2">
            <w:pPr>
              <w:rPr>
                <w:rFonts w:eastAsia="SimSun"/>
                <w:color w:val="333333"/>
                <w:lang w:val="fr-FR" w:eastAsia="zh-CN"/>
              </w:rPr>
            </w:pPr>
          </w:p>
        </w:tc>
        <w:tc>
          <w:tcPr>
            <w:tcW w:w="256" w:type="pct"/>
          </w:tcPr>
          <w:p w:rsidR="005E6718" w:rsidRPr="00927778" w:rsidRDefault="005E6718" w:rsidP="009534B2">
            <w:pPr>
              <w:rPr>
                <w:rFonts w:eastAsia="SimSun"/>
                <w:color w:val="333333"/>
                <w:lang w:val="fr-FR" w:eastAsia="zh-CN"/>
              </w:rPr>
            </w:pPr>
          </w:p>
          <w:p w:rsidR="00770ED1" w:rsidRPr="00927778" w:rsidRDefault="00770ED1" w:rsidP="009534B2">
            <w:pPr>
              <w:rPr>
                <w:rFonts w:eastAsia="SimSun"/>
                <w:color w:val="333333"/>
                <w:lang w:val="fr-FR" w:eastAsia="zh-CN"/>
              </w:rPr>
            </w:pPr>
          </w:p>
        </w:tc>
        <w:tc>
          <w:tcPr>
            <w:tcW w:w="250" w:type="pct"/>
            <w:shd w:val="clear" w:color="auto" w:fill="BFBFBF"/>
          </w:tcPr>
          <w:p w:rsidR="005E6718" w:rsidRPr="00927778" w:rsidRDefault="005E6718" w:rsidP="009534B2">
            <w:pPr>
              <w:rPr>
                <w:rFonts w:eastAsia="SimSun"/>
                <w:color w:val="333333"/>
                <w:lang w:val="fr-FR" w:eastAsia="zh-CN"/>
              </w:rPr>
            </w:pPr>
          </w:p>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87" w:type="pct"/>
            <w:shd w:val="clear" w:color="auto" w:fill="BFBFBF"/>
          </w:tcPr>
          <w:p w:rsidR="005E6718" w:rsidRPr="00927778" w:rsidRDefault="005E6718" w:rsidP="009534B2">
            <w:pPr>
              <w:rPr>
                <w:rFonts w:eastAsia="SimSun"/>
                <w:color w:val="333333"/>
                <w:lang w:val="fr-FR" w:eastAsia="zh-CN"/>
              </w:rPr>
            </w:pPr>
          </w:p>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62" w:type="pct"/>
            <w:shd w:val="clear" w:color="auto" w:fill="BFBFBF"/>
          </w:tcPr>
          <w:p w:rsidR="005E6718" w:rsidRPr="00927778" w:rsidRDefault="005E6718" w:rsidP="009534B2">
            <w:pPr>
              <w:rPr>
                <w:rFonts w:eastAsia="SimSun"/>
                <w:color w:val="333333"/>
                <w:lang w:val="fr-FR" w:eastAsia="zh-CN"/>
              </w:rPr>
            </w:pPr>
          </w:p>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57" w:type="pct"/>
            <w:shd w:val="clear" w:color="auto" w:fill="BFBFBF"/>
          </w:tcPr>
          <w:p w:rsidR="00770ED1" w:rsidRPr="00927778" w:rsidRDefault="00770ED1" w:rsidP="009534B2">
            <w:pPr>
              <w:rPr>
                <w:rFonts w:eastAsia="SimSun"/>
                <w:color w:val="333333"/>
                <w:lang w:val="fr-FR" w:eastAsia="zh-CN"/>
              </w:rPr>
            </w:pPr>
          </w:p>
        </w:tc>
        <w:tc>
          <w:tcPr>
            <w:tcW w:w="29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7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p>
        </w:tc>
      </w:tr>
      <w:tr w:rsidR="00927778" w:rsidRPr="00927778" w:rsidTr="00202267">
        <w:trPr>
          <w:trHeight w:val="283"/>
        </w:trPr>
        <w:tc>
          <w:tcPr>
            <w:tcW w:w="1272" w:type="pct"/>
            <w:tcMar>
              <w:left w:w="57" w:type="dxa"/>
              <w:right w:w="57" w:type="dxa"/>
            </w:tcMar>
          </w:tcPr>
          <w:p w:rsidR="00770ED1" w:rsidRPr="00272D18" w:rsidRDefault="00E031C6" w:rsidP="00202267">
            <w:pPr>
              <w:spacing w:before="20" w:after="20"/>
              <w:rPr>
                <w:rFonts w:eastAsia="SimSun"/>
                <w:color w:val="333333"/>
                <w:spacing w:val="-4"/>
                <w:lang w:val="fr-FR" w:eastAsia="zh-CN"/>
              </w:rPr>
            </w:pPr>
            <w:r w:rsidRPr="00272D18">
              <w:rPr>
                <w:rFonts w:eastAsia="SimSun"/>
                <w:color w:val="333333"/>
                <w:spacing w:val="-4"/>
                <w:lang w:val="fr-FR" w:eastAsia="zh-CN"/>
              </w:rPr>
              <w:t>Adoption du matériel didactique et des programmes d</w:t>
            </w:r>
            <w:r w:rsidR="00EA2C86" w:rsidRPr="00272D18">
              <w:rPr>
                <w:rFonts w:eastAsia="SimSun"/>
                <w:color w:val="333333"/>
                <w:spacing w:val="-4"/>
                <w:lang w:val="fr-FR" w:eastAsia="zh-CN"/>
              </w:rPr>
              <w:t>’</w:t>
            </w:r>
            <w:r w:rsidRPr="00272D18">
              <w:rPr>
                <w:rFonts w:eastAsia="SimSun"/>
                <w:color w:val="333333"/>
                <w:spacing w:val="-4"/>
                <w:lang w:val="fr-FR" w:eastAsia="zh-CN"/>
              </w:rPr>
              <w:t>enseignement</w:t>
            </w:r>
          </w:p>
        </w:tc>
        <w:tc>
          <w:tcPr>
            <w:tcW w:w="250" w:type="pct"/>
            <w:shd w:val="clear" w:color="auto" w:fill="BFBFBF"/>
          </w:tcPr>
          <w:p w:rsidR="00770ED1" w:rsidRPr="00927778" w:rsidRDefault="00770ED1" w:rsidP="009534B2">
            <w:pPr>
              <w:rPr>
                <w:rFonts w:eastAsia="SimSun"/>
                <w:color w:val="333333"/>
                <w:lang w:val="fr-FR" w:eastAsia="zh-CN"/>
              </w:rPr>
            </w:pPr>
          </w:p>
        </w:tc>
        <w:tc>
          <w:tcPr>
            <w:tcW w:w="287" w:type="pct"/>
            <w:shd w:val="clear" w:color="auto" w:fill="BFBFBF"/>
          </w:tcPr>
          <w:p w:rsidR="00770ED1" w:rsidRPr="00927778" w:rsidRDefault="00770ED1" w:rsidP="009534B2">
            <w:pPr>
              <w:rPr>
                <w:rFonts w:eastAsia="SimSun"/>
                <w:color w:val="333333"/>
                <w:lang w:val="fr-FR" w:eastAsia="zh-CN"/>
              </w:rPr>
            </w:pPr>
          </w:p>
        </w:tc>
        <w:tc>
          <w:tcPr>
            <w:tcW w:w="262" w:type="pct"/>
            <w:shd w:val="clear" w:color="auto" w:fill="BFBFBF"/>
          </w:tcPr>
          <w:p w:rsidR="00770ED1" w:rsidRPr="00927778" w:rsidRDefault="00770ED1" w:rsidP="009534B2">
            <w:pPr>
              <w:rPr>
                <w:rFonts w:eastAsia="SimSun"/>
                <w:color w:val="333333"/>
                <w:lang w:val="fr-FR" w:eastAsia="zh-CN"/>
              </w:rPr>
            </w:pPr>
          </w:p>
        </w:tc>
        <w:tc>
          <w:tcPr>
            <w:tcW w:w="256" w:type="pct"/>
            <w:shd w:val="clear" w:color="auto" w:fill="BFBFBF"/>
          </w:tcPr>
          <w:p w:rsidR="00770ED1" w:rsidRPr="00927778" w:rsidRDefault="00770ED1" w:rsidP="009534B2">
            <w:pPr>
              <w:rPr>
                <w:rFonts w:eastAsia="SimSun"/>
                <w:color w:val="333333"/>
                <w:lang w:val="fr-FR" w:eastAsia="zh-CN"/>
              </w:rPr>
            </w:pPr>
          </w:p>
        </w:tc>
        <w:tc>
          <w:tcPr>
            <w:tcW w:w="250" w:type="pct"/>
          </w:tcPr>
          <w:p w:rsidR="00770ED1" w:rsidRPr="00927778" w:rsidRDefault="00770ED1" w:rsidP="009534B2">
            <w:pPr>
              <w:rPr>
                <w:rFonts w:eastAsia="SimSun"/>
                <w:color w:val="333333"/>
                <w:lang w:val="fr-FR" w:eastAsia="zh-CN"/>
              </w:rPr>
            </w:pPr>
          </w:p>
        </w:tc>
        <w:tc>
          <w:tcPr>
            <w:tcW w:w="287" w:type="pct"/>
          </w:tcPr>
          <w:p w:rsidR="00770ED1" w:rsidRPr="00927778" w:rsidRDefault="00770ED1" w:rsidP="009534B2">
            <w:pPr>
              <w:rPr>
                <w:rFonts w:eastAsia="SimSun"/>
                <w:color w:val="333333"/>
                <w:lang w:val="fr-FR" w:eastAsia="zh-CN"/>
              </w:rPr>
            </w:pPr>
          </w:p>
        </w:tc>
        <w:tc>
          <w:tcPr>
            <w:tcW w:w="262" w:type="pct"/>
          </w:tcPr>
          <w:p w:rsidR="00770ED1" w:rsidRPr="00927778" w:rsidRDefault="00770ED1" w:rsidP="009534B2">
            <w:pPr>
              <w:rPr>
                <w:rFonts w:eastAsia="SimSun"/>
                <w:color w:val="333333"/>
                <w:lang w:val="fr-FR" w:eastAsia="zh-CN"/>
              </w:rPr>
            </w:pPr>
          </w:p>
        </w:tc>
        <w:tc>
          <w:tcPr>
            <w:tcW w:w="256" w:type="pct"/>
          </w:tcPr>
          <w:p w:rsidR="00770ED1" w:rsidRPr="00927778" w:rsidRDefault="00770ED1" w:rsidP="009534B2">
            <w:pPr>
              <w:rPr>
                <w:rFonts w:eastAsia="SimSun"/>
                <w:color w:val="333333"/>
                <w:lang w:val="fr-FR" w:eastAsia="zh-CN"/>
              </w:rPr>
            </w:pPr>
          </w:p>
        </w:tc>
        <w:tc>
          <w:tcPr>
            <w:tcW w:w="250" w:type="pct"/>
            <w:shd w:val="clear" w:color="auto" w:fill="BFBFBF"/>
          </w:tcPr>
          <w:p w:rsidR="00770ED1" w:rsidRPr="00927778" w:rsidRDefault="00770ED1" w:rsidP="009534B2">
            <w:pPr>
              <w:rPr>
                <w:rFonts w:eastAsia="SimSun"/>
                <w:color w:val="333333"/>
                <w:lang w:val="fr-FR" w:eastAsia="zh-CN"/>
              </w:rPr>
            </w:pPr>
          </w:p>
        </w:tc>
        <w:tc>
          <w:tcPr>
            <w:tcW w:w="287" w:type="pct"/>
            <w:shd w:val="clear" w:color="auto" w:fill="BFBFBF"/>
          </w:tcPr>
          <w:p w:rsidR="00770ED1" w:rsidRPr="00927778" w:rsidRDefault="00770ED1" w:rsidP="009534B2">
            <w:pPr>
              <w:rPr>
                <w:rFonts w:eastAsia="SimSun"/>
                <w:color w:val="333333"/>
                <w:lang w:val="fr-FR" w:eastAsia="zh-CN"/>
              </w:rPr>
            </w:pPr>
          </w:p>
        </w:tc>
        <w:tc>
          <w:tcPr>
            <w:tcW w:w="262" w:type="pct"/>
            <w:shd w:val="clear" w:color="auto" w:fill="BFBFBF"/>
          </w:tcPr>
          <w:p w:rsidR="00770ED1" w:rsidRPr="00927778" w:rsidRDefault="00770ED1" w:rsidP="009534B2">
            <w:pPr>
              <w:rPr>
                <w:rFonts w:eastAsia="SimSun"/>
                <w:color w:val="333333"/>
                <w:lang w:val="fr-FR" w:eastAsia="zh-CN"/>
              </w:rPr>
            </w:pPr>
          </w:p>
        </w:tc>
        <w:tc>
          <w:tcPr>
            <w:tcW w:w="257" w:type="pct"/>
            <w:shd w:val="clear" w:color="auto" w:fill="BFBFB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9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71" w:type="pct"/>
            <w:tcBorders>
              <w:top w:val="single" w:sz="6" w:space="0" w:color="auto"/>
              <w:bottom w:val="single" w:sz="6" w:space="0" w:color="auto"/>
            </w:tcBorders>
            <w:shd w:val="clear" w:color="auto" w:fill="FFFFF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r>
      <w:tr w:rsidR="00927778" w:rsidRPr="00927778" w:rsidTr="00202267">
        <w:trPr>
          <w:trHeight w:val="283"/>
        </w:trPr>
        <w:tc>
          <w:tcPr>
            <w:tcW w:w="1272" w:type="pct"/>
            <w:tcBorders>
              <w:bottom w:val="single" w:sz="12" w:space="0" w:color="auto"/>
            </w:tcBorders>
            <w:tcMar>
              <w:left w:w="57" w:type="dxa"/>
              <w:right w:w="57" w:type="dxa"/>
            </w:tcMar>
          </w:tcPr>
          <w:p w:rsidR="00770ED1" w:rsidRPr="00272D18" w:rsidRDefault="00E031C6" w:rsidP="00202267">
            <w:pPr>
              <w:spacing w:before="20" w:after="20"/>
              <w:rPr>
                <w:rFonts w:eastAsia="SimSun"/>
                <w:color w:val="333333"/>
                <w:spacing w:val="-4"/>
                <w:lang w:val="fr-FR" w:eastAsia="zh-CN"/>
              </w:rPr>
            </w:pPr>
            <w:r w:rsidRPr="00272D18">
              <w:rPr>
                <w:rFonts w:eastAsia="SimSun"/>
                <w:color w:val="333333"/>
                <w:spacing w:val="-4"/>
                <w:lang w:val="fr-FR" w:eastAsia="zh-CN"/>
              </w:rPr>
              <w:t>Rapport d</w:t>
            </w:r>
            <w:r w:rsidR="00EA2C86" w:rsidRPr="00272D18">
              <w:rPr>
                <w:rFonts w:eastAsia="SimSun"/>
                <w:color w:val="333333"/>
                <w:spacing w:val="-4"/>
                <w:lang w:val="fr-FR" w:eastAsia="zh-CN"/>
              </w:rPr>
              <w:t>’</w:t>
            </w:r>
            <w:r w:rsidRPr="00272D18">
              <w:rPr>
                <w:rFonts w:eastAsia="SimSun"/>
                <w:color w:val="333333"/>
                <w:spacing w:val="-4"/>
                <w:lang w:val="fr-FR" w:eastAsia="zh-CN"/>
              </w:rPr>
              <w:t>évaluation final</w:t>
            </w:r>
          </w:p>
        </w:tc>
        <w:tc>
          <w:tcPr>
            <w:tcW w:w="250" w:type="pct"/>
            <w:tcBorders>
              <w:bottom w:val="single" w:sz="12" w:space="0" w:color="auto"/>
            </w:tcBorders>
            <w:shd w:val="clear" w:color="auto" w:fill="BFBFBF"/>
          </w:tcPr>
          <w:p w:rsidR="00770ED1" w:rsidRPr="00927778" w:rsidRDefault="00770ED1" w:rsidP="009534B2">
            <w:pPr>
              <w:rPr>
                <w:rFonts w:eastAsia="SimSun"/>
                <w:color w:val="333333"/>
                <w:lang w:val="fr-FR" w:eastAsia="zh-CN"/>
              </w:rPr>
            </w:pPr>
          </w:p>
        </w:tc>
        <w:tc>
          <w:tcPr>
            <w:tcW w:w="287" w:type="pct"/>
            <w:tcBorders>
              <w:bottom w:val="single" w:sz="12" w:space="0" w:color="auto"/>
            </w:tcBorders>
            <w:shd w:val="clear" w:color="auto" w:fill="BFBFBF"/>
          </w:tcPr>
          <w:p w:rsidR="00770ED1" w:rsidRPr="00927778" w:rsidRDefault="00770ED1" w:rsidP="009534B2">
            <w:pPr>
              <w:rPr>
                <w:rFonts w:eastAsia="SimSun"/>
                <w:color w:val="333333"/>
                <w:lang w:val="fr-FR" w:eastAsia="zh-CN"/>
              </w:rPr>
            </w:pPr>
          </w:p>
        </w:tc>
        <w:tc>
          <w:tcPr>
            <w:tcW w:w="262" w:type="pct"/>
            <w:tcBorders>
              <w:bottom w:val="single" w:sz="12" w:space="0" w:color="auto"/>
            </w:tcBorders>
            <w:shd w:val="clear" w:color="auto" w:fill="BFBFBF"/>
          </w:tcPr>
          <w:p w:rsidR="00770ED1" w:rsidRPr="00927778" w:rsidRDefault="00770ED1" w:rsidP="009534B2">
            <w:pPr>
              <w:rPr>
                <w:rFonts w:eastAsia="SimSun"/>
                <w:color w:val="333333"/>
                <w:lang w:val="fr-FR" w:eastAsia="zh-CN"/>
              </w:rPr>
            </w:pPr>
          </w:p>
        </w:tc>
        <w:tc>
          <w:tcPr>
            <w:tcW w:w="256" w:type="pct"/>
            <w:tcBorders>
              <w:bottom w:val="single" w:sz="12" w:space="0" w:color="auto"/>
            </w:tcBorders>
            <w:shd w:val="clear" w:color="auto" w:fill="BFBFBF"/>
          </w:tcPr>
          <w:p w:rsidR="00770ED1" w:rsidRPr="00927778" w:rsidRDefault="00770ED1" w:rsidP="009534B2">
            <w:pPr>
              <w:rPr>
                <w:rFonts w:eastAsia="SimSun"/>
                <w:color w:val="333333"/>
                <w:lang w:val="fr-FR" w:eastAsia="zh-CN"/>
              </w:rPr>
            </w:pPr>
          </w:p>
        </w:tc>
        <w:tc>
          <w:tcPr>
            <w:tcW w:w="250" w:type="pct"/>
            <w:tcBorders>
              <w:bottom w:val="single" w:sz="12" w:space="0" w:color="auto"/>
            </w:tcBorders>
          </w:tcPr>
          <w:p w:rsidR="00770ED1" w:rsidRPr="00927778" w:rsidRDefault="00770ED1" w:rsidP="009534B2">
            <w:pPr>
              <w:rPr>
                <w:rFonts w:eastAsia="SimSun"/>
                <w:color w:val="333333"/>
                <w:lang w:val="fr-FR" w:eastAsia="zh-CN"/>
              </w:rPr>
            </w:pPr>
          </w:p>
        </w:tc>
        <w:tc>
          <w:tcPr>
            <w:tcW w:w="287" w:type="pct"/>
            <w:tcBorders>
              <w:bottom w:val="single" w:sz="12" w:space="0" w:color="auto"/>
            </w:tcBorders>
          </w:tcPr>
          <w:p w:rsidR="00770ED1" w:rsidRPr="00927778" w:rsidRDefault="00770ED1" w:rsidP="009534B2">
            <w:pPr>
              <w:rPr>
                <w:rFonts w:eastAsia="SimSun"/>
                <w:color w:val="333333"/>
                <w:lang w:val="fr-FR" w:eastAsia="zh-CN"/>
              </w:rPr>
            </w:pPr>
          </w:p>
        </w:tc>
        <w:tc>
          <w:tcPr>
            <w:tcW w:w="262" w:type="pct"/>
            <w:tcBorders>
              <w:bottom w:val="single" w:sz="12" w:space="0" w:color="auto"/>
            </w:tcBorders>
          </w:tcPr>
          <w:p w:rsidR="00770ED1" w:rsidRPr="00927778" w:rsidRDefault="00770ED1" w:rsidP="009534B2">
            <w:pPr>
              <w:rPr>
                <w:rFonts w:eastAsia="SimSun"/>
                <w:color w:val="333333"/>
                <w:lang w:val="fr-FR" w:eastAsia="zh-CN"/>
              </w:rPr>
            </w:pPr>
          </w:p>
        </w:tc>
        <w:tc>
          <w:tcPr>
            <w:tcW w:w="256" w:type="pct"/>
            <w:tcBorders>
              <w:bottom w:val="single" w:sz="12" w:space="0" w:color="auto"/>
            </w:tcBorders>
          </w:tcPr>
          <w:p w:rsidR="00770ED1" w:rsidRPr="00927778" w:rsidRDefault="00770ED1" w:rsidP="009534B2">
            <w:pPr>
              <w:rPr>
                <w:rFonts w:eastAsia="SimSun"/>
                <w:color w:val="333333"/>
                <w:lang w:val="fr-FR" w:eastAsia="zh-CN"/>
              </w:rPr>
            </w:pPr>
          </w:p>
        </w:tc>
        <w:tc>
          <w:tcPr>
            <w:tcW w:w="250" w:type="pct"/>
            <w:tcBorders>
              <w:bottom w:val="single" w:sz="12" w:space="0" w:color="auto"/>
            </w:tcBorders>
            <w:shd w:val="clear" w:color="auto" w:fill="BFBFBF"/>
          </w:tcPr>
          <w:p w:rsidR="00770ED1" w:rsidRPr="00927778" w:rsidRDefault="00770ED1" w:rsidP="009534B2">
            <w:pPr>
              <w:rPr>
                <w:rFonts w:eastAsia="SimSun"/>
                <w:color w:val="333333"/>
                <w:lang w:val="fr-FR" w:eastAsia="zh-CN"/>
              </w:rPr>
            </w:pPr>
          </w:p>
        </w:tc>
        <w:tc>
          <w:tcPr>
            <w:tcW w:w="287" w:type="pct"/>
            <w:tcBorders>
              <w:bottom w:val="single" w:sz="12" w:space="0" w:color="auto"/>
            </w:tcBorders>
            <w:shd w:val="clear" w:color="auto" w:fill="BFBFBF"/>
          </w:tcPr>
          <w:p w:rsidR="00770ED1" w:rsidRPr="00927778" w:rsidRDefault="00770ED1" w:rsidP="009534B2">
            <w:pPr>
              <w:rPr>
                <w:rFonts w:eastAsia="SimSun"/>
                <w:color w:val="333333"/>
                <w:lang w:val="fr-FR" w:eastAsia="zh-CN"/>
              </w:rPr>
            </w:pPr>
          </w:p>
        </w:tc>
        <w:tc>
          <w:tcPr>
            <w:tcW w:w="262" w:type="pct"/>
            <w:tcBorders>
              <w:bottom w:val="single" w:sz="12" w:space="0" w:color="auto"/>
            </w:tcBorders>
            <w:shd w:val="clear" w:color="auto" w:fill="BFBFBF"/>
          </w:tcPr>
          <w:p w:rsidR="00770ED1" w:rsidRPr="00927778" w:rsidRDefault="00770ED1" w:rsidP="009534B2">
            <w:pPr>
              <w:rPr>
                <w:rFonts w:eastAsia="SimSun"/>
                <w:color w:val="333333"/>
                <w:lang w:val="fr-FR" w:eastAsia="zh-CN"/>
              </w:rPr>
            </w:pPr>
          </w:p>
        </w:tc>
        <w:tc>
          <w:tcPr>
            <w:tcW w:w="257" w:type="pct"/>
            <w:tcBorders>
              <w:bottom w:val="single" w:sz="12" w:space="0" w:color="auto"/>
            </w:tcBorders>
            <w:shd w:val="clear" w:color="auto" w:fill="BFBFB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c>
          <w:tcPr>
            <w:tcW w:w="291" w:type="pct"/>
            <w:tcBorders>
              <w:top w:val="single" w:sz="6" w:space="0" w:color="auto"/>
              <w:bottom w:val="single" w:sz="12" w:space="0" w:color="auto"/>
            </w:tcBorders>
            <w:shd w:val="clear" w:color="auto" w:fill="FFFFFF"/>
          </w:tcPr>
          <w:p w:rsidR="00770ED1" w:rsidRPr="00927778" w:rsidRDefault="00770ED1" w:rsidP="009534B2">
            <w:pPr>
              <w:rPr>
                <w:rFonts w:eastAsia="SimSun"/>
                <w:color w:val="333333"/>
                <w:lang w:val="fr-FR" w:eastAsia="zh-CN"/>
              </w:rPr>
            </w:pPr>
          </w:p>
        </w:tc>
        <w:tc>
          <w:tcPr>
            <w:tcW w:w="271" w:type="pct"/>
            <w:tcBorders>
              <w:top w:val="single" w:sz="6" w:space="0" w:color="auto"/>
              <w:bottom w:val="single" w:sz="12" w:space="0" w:color="auto"/>
            </w:tcBorders>
            <w:shd w:val="clear" w:color="auto" w:fill="FFFFFF"/>
          </w:tcPr>
          <w:p w:rsidR="00770ED1" w:rsidRPr="00927778" w:rsidRDefault="00770ED1" w:rsidP="009534B2">
            <w:pPr>
              <w:rPr>
                <w:rFonts w:eastAsia="SimSun"/>
                <w:color w:val="333333"/>
                <w:lang w:val="fr-FR" w:eastAsia="zh-CN"/>
              </w:rPr>
            </w:pPr>
            <w:r w:rsidRPr="00927778">
              <w:rPr>
                <w:rFonts w:eastAsia="SimSun"/>
                <w:color w:val="333333"/>
                <w:lang w:val="fr-FR" w:eastAsia="zh-CN"/>
              </w:rPr>
              <w:t>x</w:t>
            </w:r>
          </w:p>
        </w:tc>
      </w:tr>
    </w:tbl>
    <w:p w:rsidR="005E6718" w:rsidRPr="00927778" w:rsidRDefault="00E031C6" w:rsidP="00E031C6">
      <w:pPr>
        <w:jc w:val="right"/>
        <w:rPr>
          <w:rFonts w:eastAsia="SimSun"/>
          <w:color w:val="333333"/>
          <w:lang w:val="fr-FR" w:eastAsia="zh-CN"/>
        </w:rPr>
      </w:pPr>
      <w:r w:rsidRPr="00927778">
        <w:rPr>
          <w:rFonts w:eastAsia="SimSun"/>
          <w:color w:val="333333"/>
          <w:lang w:val="fr-FR" w:eastAsia="zh-CN"/>
        </w:rPr>
        <w:t>[L</w:t>
      </w:r>
      <w:r w:rsidR="00EA2C86" w:rsidRPr="00927778">
        <w:rPr>
          <w:rFonts w:eastAsia="SimSun"/>
          <w:color w:val="333333"/>
          <w:lang w:val="fr-FR" w:eastAsia="zh-CN"/>
        </w:rPr>
        <w:t>’annexe V</w:t>
      </w:r>
      <w:r w:rsidRPr="00927778">
        <w:rPr>
          <w:rFonts w:eastAsia="SimSun"/>
          <w:color w:val="333333"/>
          <w:lang w:val="fr-FR" w:eastAsia="zh-CN"/>
        </w:rPr>
        <w:t xml:space="preserve"> suit]</w:t>
      </w:r>
    </w:p>
    <w:p w:rsidR="004059CD" w:rsidRPr="00927778" w:rsidRDefault="004059CD" w:rsidP="00D527E8">
      <w:pPr>
        <w:keepNext/>
        <w:spacing w:before="240" w:after="60"/>
        <w:outlineLvl w:val="1"/>
        <w:rPr>
          <w:rFonts w:eastAsia="SimSun"/>
          <w:bCs/>
          <w:iCs/>
          <w:caps/>
          <w:color w:val="333333"/>
          <w:szCs w:val="28"/>
          <w:lang w:val="fr-FR"/>
        </w:rPr>
        <w:sectPr w:rsidR="004059CD" w:rsidRPr="00927778" w:rsidSect="00047C22">
          <w:headerReference w:type="default" r:id="rId19"/>
          <w:headerReference w:type="first" r:id="rId20"/>
          <w:pgSz w:w="11906" w:h="16840" w:code="9"/>
          <w:pgMar w:top="567" w:right="1134" w:bottom="1417" w:left="1417" w:header="510" w:footer="1020" w:gutter="0"/>
          <w:pgNumType w:start="1"/>
          <w:cols w:space="720"/>
          <w:titlePg/>
          <w:docGrid w:linePitch="299"/>
        </w:sect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6930"/>
      </w:tblGrid>
      <w:tr w:rsidR="00047C22" w:rsidRPr="00927778" w:rsidTr="00D527E8">
        <w:trPr>
          <w:trHeight w:val="432"/>
        </w:trPr>
        <w:tc>
          <w:tcPr>
            <w:tcW w:w="9270" w:type="dxa"/>
            <w:gridSpan w:val="2"/>
            <w:shd w:val="clear" w:color="auto" w:fill="auto"/>
            <w:vAlign w:val="center"/>
          </w:tcPr>
          <w:p w:rsidR="00D527E8" w:rsidRPr="00927778" w:rsidRDefault="00E031C6" w:rsidP="00E031C6">
            <w:pPr>
              <w:keepNext/>
              <w:spacing w:before="240" w:after="60"/>
              <w:outlineLvl w:val="1"/>
              <w:rPr>
                <w:rFonts w:eastAsia="SimSun"/>
                <w:bCs/>
                <w:iCs/>
                <w:caps/>
                <w:color w:val="333333"/>
                <w:szCs w:val="28"/>
                <w:lang w:val="fr-FR"/>
              </w:rPr>
            </w:pPr>
            <w:r w:rsidRPr="00927778">
              <w:rPr>
                <w:rFonts w:eastAsia="SimSun"/>
                <w:bCs/>
                <w:color w:val="333333"/>
                <w:szCs w:val="26"/>
                <w:lang w:val="fr-FR"/>
              </w:rPr>
              <w:t>RÉSUMÉ DU PROJET</w:t>
            </w:r>
          </w:p>
        </w:tc>
      </w:tr>
      <w:tr w:rsidR="00047C22" w:rsidRPr="00927778" w:rsidTr="00D527E8">
        <w:trPr>
          <w:trHeight w:val="496"/>
        </w:trPr>
        <w:tc>
          <w:tcPr>
            <w:tcW w:w="2340" w:type="dxa"/>
            <w:shd w:val="clear" w:color="auto" w:fill="auto"/>
          </w:tcPr>
          <w:p w:rsidR="00D527E8" w:rsidRPr="00927778" w:rsidRDefault="00E031C6" w:rsidP="00E031C6">
            <w:pPr>
              <w:keepNext/>
              <w:spacing w:before="240" w:after="60"/>
              <w:outlineLvl w:val="2"/>
              <w:rPr>
                <w:rFonts w:eastAsia="SimSun"/>
                <w:bCs/>
                <w:color w:val="333333"/>
                <w:szCs w:val="26"/>
                <w:u w:val="single"/>
                <w:lang w:val="fr-FR"/>
              </w:rPr>
            </w:pPr>
            <w:r w:rsidRPr="00927778">
              <w:rPr>
                <w:rFonts w:eastAsia="SimSun"/>
                <w:bCs/>
                <w:color w:val="333333"/>
                <w:szCs w:val="26"/>
                <w:u w:val="single"/>
                <w:lang w:val="fr-FR"/>
              </w:rPr>
              <w:t>Cote du projet</w:t>
            </w:r>
          </w:p>
        </w:tc>
        <w:tc>
          <w:tcPr>
            <w:tcW w:w="6930" w:type="dxa"/>
            <w:shd w:val="clear" w:color="auto" w:fill="auto"/>
            <w:vAlign w:val="center"/>
          </w:tcPr>
          <w:p w:rsidR="00D527E8" w:rsidRPr="00927778" w:rsidRDefault="00D527E8" w:rsidP="00E031C6">
            <w:pPr>
              <w:rPr>
                <w:i/>
                <w:color w:val="333333"/>
                <w:lang w:val="fr-FR"/>
              </w:rPr>
            </w:pPr>
            <w:r w:rsidRPr="00927778">
              <w:rPr>
                <w:i/>
                <w:color w:val="333333"/>
                <w:lang w:val="fr-FR"/>
              </w:rPr>
              <w:t xml:space="preserve"> </w:t>
            </w:r>
            <w:r w:rsidR="00E031C6" w:rsidRPr="00927778">
              <w:rPr>
                <w:i/>
                <w:color w:val="333333"/>
                <w:lang w:val="fr-FR"/>
              </w:rPr>
              <w:t>DA_1_2_4_10_11</w:t>
            </w:r>
          </w:p>
        </w:tc>
      </w:tr>
      <w:tr w:rsidR="00047C22" w:rsidRPr="00927778" w:rsidTr="00D527E8">
        <w:trPr>
          <w:trHeight w:val="404"/>
        </w:trPr>
        <w:tc>
          <w:tcPr>
            <w:tcW w:w="2340" w:type="dxa"/>
            <w:shd w:val="clear" w:color="auto" w:fill="auto"/>
          </w:tcPr>
          <w:p w:rsidR="005E6718" w:rsidRPr="00927778" w:rsidRDefault="00E031C6" w:rsidP="00E031C6">
            <w:pPr>
              <w:keepNext/>
              <w:spacing w:before="240" w:after="60"/>
              <w:outlineLvl w:val="2"/>
              <w:rPr>
                <w:rFonts w:eastAsia="SimSun"/>
                <w:bCs/>
                <w:color w:val="333333"/>
                <w:szCs w:val="26"/>
                <w:u w:val="single"/>
                <w:lang w:val="fr-FR"/>
              </w:rPr>
            </w:pPr>
            <w:r w:rsidRPr="00927778">
              <w:rPr>
                <w:rFonts w:eastAsia="SimSun"/>
                <w:bCs/>
                <w:color w:val="333333"/>
                <w:szCs w:val="26"/>
                <w:u w:val="single"/>
                <w:lang w:val="fr-FR"/>
              </w:rPr>
              <w:t>Titre</w:t>
            </w:r>
          </w:p>
          <w:p w:rsidR="00D527E8" w:rsidRPr="00927778" w:rsidRDefault="00D527E8" w:rsidP="00D527E8">
            <w:pPr>
              <w:rPr>
                <w:color w:val="333333"/>
                <w:lang w:val="fr-FR"/>
              </w:rPr>
            </w:pPr>
          </w:p>
        </w:tc>
        <w:tc>
          <w:tcPr>
            <w:tcW w:w="6930" w:type="dxa"/>
            <w:shd w:val="clear" w:color="auto" w:fill="auto"/>
            <w:vAlign w:val="center"/>
          </w:tcPr>
          <w:p w:rsidR="00D527E8" w:rsidRPr="00927778" w:rsidRDefault="00E031C6" w:rsidP="00E031C6">
            <w:pPr>
              <w:rPr>
                <w:i/>
                <w:color w:val="333333"/>
                <w:szCs w:val="22"/>
                <w:lang w:val="fr-FR"/>
              </w:rPr>
            </w:pPr>
            <w:r w:rsidRPr="00927778">
              <w:rPr>
                <w:i/>
                <w:color w:val="333333"/>
                <w:szCs w:val="22"/>
                <w:lang w:val="fr-FR"/>
              </w:rPr>
              <w:t>Renforcement et développement du secteur de l</w:t>
            </w:r>
            <w:r w:rsidR="00EA2C86" w:rsidRPr="00927778">
              <w:rPr>
                <w:i/>
                <w:color w:val="333333"/>
                <w:szCs w:val="22"/>
                <w:lang w:val="fr-FR"/>
              </w:rPr>
              <w:t>’</w:t>
            </w:r>
            <w:r w:rsidRPr="00927778">
              <w:rPr>
                <w:i/>
                <w:color w:val="333333"/>
                <w:szCs w:val="22"/>
                <w:lang w:val="fr-FR"/>
              </w:rPr>
              <w:t>audiovisuel au Burkina Faso et dans certains pays africains – Phase</w:t>
            </w:r>
            <w:r w:rsidR="00002037" w:rsidRPr="00927778">
              <w:rPr>
                <w:i/>
                <w:color w:val="333333"/>
                <w:szCs w:val="22"/>
                <w:lang w:val="fr-FR"/>
              </w:rPr>
              <w:t> </w:t>
            </w:r>
            <w:r w:rsidRPr="00927778">
              <w:rPr>
                <w:i/>
                <w:color w:val="333333"/>
                <w:szCs w:val="22"/>
                <w:lang w:val="fr-FR"/>
              </w:rPr>
              <w:t>II</w:t>
            </w:r>
            <w:r w:rsidR="00D527E8" w:rsidRPr="00927778">
              <w:rPr>
                <w:i/>
                <w:color w:val="333333"/>
                <w:szCs w:val="22"/>
                <w:lang w:val="fr-FR"/>
              </w:rPr>
              <w:t xml:space="preserve"> </w:t>
            </w:r>
          </w:p>
        </w:tc>
      </w:tr>
      <w:tr w:rsidR="00047C22" w:rsidRPr="00927778" w:rsidTr="00D527E8">
        <w:tc>
          <w:tcPr>
            <w:tcW w:w="2340" w:type="dxa"/>
            <w:shd w:val="clear" w:color="auto" w:fill="auto"/>
          </w:tcPr>
          <w:p w:rsidR="005E6718" w:rsidRPr="00927778" w:rsidRDefault="00E031C6" w:rsidP="00E031C6">
            <w:pPr>
              <w:keepNext/>
              <w:spacing w:before="240" w:after="60"/>
              <w:outlineLvl w:val="2"/>
              <w:rPr>
                <w:rFonts w:eastAsia="SimSun"/>
                <w:bCs/>
                <w:color w:val="333333"/>
                <w:szCs w:val="26"/>
                <w:u w:val="single"/>
                <w:lang w:val="fr-FR"/>
              </w:rPr>
            </w:pPr>
            <w:r w:rsidRPr="00927778">
              <w:rPr>
                <w:rFonts w:eastAsia="SimSun"/>
                <w:bCs/>
                <w:color w:val="333333"/>
                <w:szCs w:val="26"/>
                <w:u w:val="single"/>
                <w:lang w:val="fr-FR"/>
              </w:rPr>
              <w:t>Recommandation du Plan d</w:t>
            </w:r>
            <w:r w:rsidR="00EA2C86" w:rsidRPr="00927778">
              <w:rPr>
                <w:rFonts w:eastAsia="SimSun"/>
                <w:bCs/>
                <w:color w:val="333333"/>
                <w:szCs w:val="26"/>
                <w:u w:val="single"/>
                <w:lang w:val="fr-FR"/>
              </w:rPr>
              <w:t>’</w:t>
            </w:r>
            <w:r w:rsidRPr="00927778">
              <w:rPr>
                <w:rFonts w:eastAsia="SimSun"/>
                <w:bCs/>
                <w:color w:val="333333"/>
                <w:szCs w:val="26"/>
                <w:u w:val="single"/>
                <w:lang w:val="fr-FR"/>
              </w:rPr>
              <w:t>action pour le développement</w:t>
            </w:r>
          </w:p>
          <w:p w:rsidR="00D527E8" w:rsidRPr="00927778" w:rsidRDefault="00D527E8" w:rsidP="00D527E8">
            <w:pPr>
              <w:rPr>
                <w:color w:val="333333"/>
                <w:lang w:val="fr-FR"/>
              </w:rPr>
            </w:pPr>
          </w:p>
        </w:tc>
        <w:tc>
          <w:tcPr>
            <w:tcW w:w="6930" w:type="dxa"/>
            <w:shd w:val="clear" w:color="auto" w:fill="auto"/>
          </w:tcPr>
          <w:p w:rsidR="005E6718" w:rsidRPr="00927778" w:rsidRDefault="00E031C6" w:rsidP="00E031C6">
            <w:pPr>
              <w:keepNext/>
              <w:spacing w:before="240" w:after="60"/>
              <w:outlineLvl w:val="3"/>
              <w:rPr>
                <w:rFonts w:eastAsia="SimSun"/>
                <w:bCs/>
                <w:i/>
                <w:color w:val="333333"/>
                <w:szCs w:val="22"/>
                <w:lang w:val="fr-FR"/>
              </w:rPr>
            </w:pPr>
            <w:r w:rsidRPr="00927778">
              <w:rPr>
                <w:rFonts w:eastAsia="SimSun"/>
                <w:bCs/>
                <w:i/>
                <w:color w:val="333333"/>
                <w:szCs w:val="22"/>
                <w:lang w:val="fr-FR"/>
              </w:rPr>
              <w:t>Recommandation n°</w:t>
            </w:r>
            <w:r w:rsidR="0057466D" w:rsidRPr="00927778">
              <w:rPr>
                <w:rFonts w:eastAsia="SimSun"/>
                <w:bCs/>
                <w:i/>
                <w:color w:val="333333"/>
                <w:szCs w:val="22"/>
                <w:lang w:val="fr-FR"/>
              </w:rPr>
              <w:t> </w:t>
            </w:r>
            <w:r w:rsidRPr="00927778">
              <w:rPr>
                <w:rFonts w:eastAsia="SimSun"/>
                <w:bCs/>
                <w:i/>
                <w:color w:val="333333"/>
                <w:szCs w:val="22"/>
                <w:lang w:val="fr-FR"/>
              </w:rPr>
              <w:t>1</w:t>
            </w:r>
          </w:p>
          <w:p w:rsidR="005E6718" w:rsidRPr="00927778" w:rsidRDefault="00E031C6" w:rsidP="00E031C6">
            <w:pPr>
              <w:rPr>
                <w:color w:val="333333"/>
                <w:szCs w:val="22"/>
                <w:lang w:val="fr-FR"/>
              </w:rPr>
            </w:pPr>
            <w:r w:rsidRPr="00927778">
              <w:rPr>
                <w:color w:val="333333"/>
                <w:szCs w:val="22"/>
                <w:lang w:val="fr-FR"/>
              </w:rPr>
              <w:t>L</w:t>
            </w:r>
            <w:r w:rsidR="00EA2C86" w:rsidRPr="00927778">
              <w:rPr>
                <w:color w:val="333333"/>
                <w:szCs w:val="22"/>
                <w:lang w:val="fr-FR"/>
              </w:rPr>
              <w:t>’</w:t>
            </w:r>
            <w:r w:rsidRPr="00927778">
              <w:rPr>
                <w:color w:val="333333"/>
                <w:szCs w:val="22"/>
                <w:lang w:val="fr-FR"/>
              </w:rPr>
              <w:t>assistance technique de l</w:t>
            </w:r>
            <w:r w:rsidR="00EA2C86" w:rsidRPr="00927778">
              <w:rPr>
                <w:color w:val="333333"/>
                <w:szCs w:val="22"/>
                <w:lang w:val="fr-FR"/>
              </w:rPr>
              <w:t>’</w:t>
            </w:r>
            <w:r w:rsidRPr="00927778">
              <w:rPr>
                <w:color w:val="333333"/>
                <w:szCs w:val="22"/>
                <w:lang w:val="fr-FR"/>
              </w:rPr>
              <w:t>OMPI doit notamment être axée sur le développement et la demande et elle doit être transparente;</w:t>
            </w:r>
            <w:r w:rsidR="00063DA0" w:rsidRPr="00927778">
              <w:rPr>
                <w:color w:val="333333"/>
                <w:szCs w:val="22"/>
                <w:lang w:val="fr-FR"/>
              </w:rPr>
              <w:t xml:space="preserve"> </w:t>
            </w:r>
            <w:r w:rsidR="0057466D" w:rsidRPr="00927778">
              <w:rPr>
                <w:color w:val="333333"/>
                <w:szCs w:val="22"/>
                <w:lang w:val="fr-FR"/>
              </w:rPr>
              <w:t xml:space="preserve"> </w:t>
            </w:r>
            <w:r w:rsidRPr="00927778">
              <w:rPr>
                <w:color w:val="333333"/>
                <w:szCs w:val="22"/>
                <w:lang w:val="fr-FR"/>
              </w:rPr>
              <w:t>elle doit tenir compte des priorités et des besoins particuliers des pays en développement, en particulier</w:t>
            </w:r>
            <w:r w:rsidR="00EA2C86" w:rsidRPr="00927778">
              <w:rPr>
                <w:color w:val="333333"/>
                <w:szCs w:val="22"/>
                <w:lang w:val="fr-FR"/>
              </w:rPr>
              <w:t xml:space="preserve"> des PMA</w:t>
            </w:r>
            <w:r w:rsidRPr="00927778">
              <w:rPr>
                <w:color w:val="333333"/>
                <w:szCs w:val="22"/>
                <w:lang w:val="fr-FR"/>
              </w:rPr>
              <w:t>, ainsi que des différents niveaux de développement des États membr</w:t>
            </w:r>
            <w:r w:rsidR="00306E74" w:rsidRPr="00927778">
              <w:rPr>
                <w:color w:val="333333"/>
                <w:szCs w:val="22"/>
                <w:lang w:val="fr-FR"/>
              </w:rPr>
              <w:t>es.  Le</w:t>
            </w:r>
            <w:r w:rsidRPr="00927778">
              <w:rPr>
                <w:color w:val="333333"/>
                <w:szCs w:val="22"/>
                <w:lang w:val="fr-FR"/>
              </w:rPr>
              <w:t>s activités doivent être menées à bien dans les déla</w:t>
            </w:r>
            <w:r w:rsidR="00306E74" w:rsidRPr="00927778">
              <w:rPr>
                <w:color w:val="333333"/>
                <w:szCs w:val="22"/>
                <w:lang w:val="fr-FR"/>
              </w:rPr>
              <w:t xml:space="preserve">is.  À </w:t>
            </w:r>
            <w:r w:rsidRPr="00927778">
              <w:rPr>
                <w:color w:val="333333"/>
                <w:szCs w:val="22"/>
                <w:lang w:val="fr-FR"/>
              </w:rPr>
              <w:t>cet égard, les mécanismes d</w:t>
            </w:r>
            <w:r w:rsidR="00EA2C86" w:rsidRPr="00927778">
              <w:rPr>
                <w:color w:val="333333"/>
                <w:szCs w:val="22"/>
                <w:lang w:val="fr-FR"/>
              </w:rPr>
              <w:t>’</w:t>
            </w:r>
            <w:r w:rsidRPr="00927778">
              <w:rPr>
                <w:color w:val="333333"/>
                <w:szCs w:val="22"/>
                <w:lang w:val="fr-FR"/>
              </w:rPr>
              <w:t>établissement et d</w:t>
            </w:r>
            <w:r w:rsidR="00EA2C86" w:rsidRPr="00927778">
              <w:rPr>
                <w:color w:val="333333"/>
                <w:szCs w:val="22"/>
                <w:lang w:val="fr-FR"/>
              </w:rPr>
              <w:t>’</w:t>
            </w:r>
            <w:r w:rsidRPr="00927778">
              <w:rPr>
                <w:color w:val="333333"/>
                <w:szCs w:val="22"/>
                <w:lang w:val="fr-FR"/>
              </w:rPr>
              <w:t>exécution et les procédures d</w:t>
            </w:r>
            <w:r w:rsidR="00EA2C86" w:rsidRPr="00927778">
              <w:rPr>
                <w:color w:val="333333"/>
                <w:szCs w:val="22"/>
                <w:lang w:val="fr-FR"/>
              </w:rPr>
              <w:t>’</w:t>
            </w:r>
            <w:r w:rsidRPr="00927778">
              <w:rPr>
                <w:color w:val="333333"/>
                <w:szCs w:val="22"/>
                <w:lang w:val="fr-FR"/>
              </w:rPr>
              <w:t>évaluation des programmes d</w:t>
            </w:r>
            <w:r w:rsidR="00EA2C86" w:rsidRPr="00927778">
              <w:rPr>
                <w:color w:val="333333"/>
                <w:szCs w:val="22"/>
                <w:lang w:val="fr-FR"/>
              </w:rPr>
              <w:t>’</w:t>
            </w:r>
            <w:r w:rsidRPr="00927778">
              <w:rPr>
                <w:color w:val="333333"/>
                <w:szCs w:val="22"/>
                <w:lang w:val="fr-FR"/>
              </w:rPr>
              <w:t>assistance technique doivent être ciblés par pays.</w:t>
            </w:r>
          </w:p>
          <w:p w:rsidR="005E6718" w:rsidRPr="00927778" w:rsidRDefault="005E6718" w:rsidP="00D527E8">
            <w:pPr>
              <w:rPr>
                <w:bCs/>
                <w:color w:val="333333"/>
                <w:szCs w:val="22"/>
                <w:lang w:val="fr-FR"/>
              </w:rPr>
            </w:pPr>
          </w:p>
          <w:p w:rsidR="005E6718" w:rsidRPr="00927778" w:rsidRDefault="00E031C6" w:rsidP="00E031C6">
            <w:pPr>
              <w:rPr>
                <w:color w:val="333333"/>
                <w:szCs w:val="22"/>
                <w:lang w:val="fr-FR"/>
              </w:rPr>
            </w:pPr>
            <w:r w:rsidRPr="00927778">
              <w:rPr>
                <w:i/>
                <w:color w:val="333333"/>
                <w:szCs w:val="22"/>
                <w:lang w:val="fr-FR"/>
              </w:rPr>
              <w:t>Recommandation n°</w:t>
            </w:r>
            <w:r w:rsidR="0057466D" w:rsidRPr="00927778">
              <w:rPr>
                <w:i/>
                <w:color w:val="333333"/>
                <w:szCs w:val="22"/>
                <w:lang w:val="fr-FR"/>
              </w:rPr>
              <w:t> </w:t>
            </w:r>
            <w:r w:rsidRPr="00927778">
              <w:rPr>
                <w:i/>
                <w:color w:val="333333"/>
                <w:szCs w:val="22"/>
                <w:lang w:val="fr-FR"/>
              </w:rPr>
              <w:t>2</w:t>
            </w:r>
          </w:p>
          <w:p w:rsidR="005E6718" w:rsidRPr="00927778" w:rsidRDefault="00E031C6" w:rsidP="00E031C6">
            <w:pPr>
              <w:rPr>
                <w:bCs/>
                <w:color w:val="333333"/>
                <w:szCs w:val="22"/>
                <w:lang w:val="fr-FR"/>
              </w:rPr>
            </w:pPr>
            <w:r w:rsidRPr="00927778">
              <w:rPr>
                <w:bCs/>
                <w:color w:val="333333"/>
                <w:szCs w:val="22"/>
                <w:lang w:val="fr-FR"/>
              </w:rPr>
              <w:t>Fournir une assistance complémentaire à l</w:t>
            </w:r>
            <w:r w:rsidR="00EA2C86" w:rsidRPr="00927778">
              <w:rPr>
                <w:bCs/>
                <w:color w:val="333333"/>
                <w:szCs w:val="22"/>
                <w:lang w:val="fr-FR"/>
              </w:rPr>
              <w:t>’</w:t>
            </w:r>
            <w:r w:rsidRPr="00927778">
              <w:rPr>
                <w:bCs/>
                <w:color w:val="333333"/>
                <w:szCs w:val="22"/>
                <w:lang w:val="fr-FR"/>
              </w:rPr>
              <w:t>OMPI sous forme de contributions de donateurs et constituer un fonds fiduciaire ou d</w:t>
            </w:r>
            <w:r w:rsidR="00EA2C86" w:rsidRPr="00927778">
              <w:rPr>
                <w:bCs/>
                <w:color w:val="333333"/>
                <w:szCs w:val="22"/>
                <w:lang w:val="fr-FR"/>
              </w:rPr>
              <w:t>’</w:t>
            </w:r>
            <w:r w:rsidRPr="00927778">
              <w:rPr>
                <w:bCs/>
                <w:color w:val="333333"/>
                <w:szCs w:val="22"/>
                <w:lang w:val="fr-FR"/>
              </w:rPr>
              <w:t>autres fonds de contributions volontaires au sein de l</w:t>
            </w:r>
            <w:r w:rsidR="00EA2C86" w:rsidRPr="00927778">
              <w:rPr>
                <w:bCs/>
                <w:color w:val="333333"/>
                <w:szCs w:val="22"/>
                <w:lang w:val="fr-FR"/>
              </w:rPr>
              <w:t>’</w:t>
            </w:r>
            <w:r w:rsidRPr="00927778">
              <w:rPr>
                <w:bCs/>
                <w:color w:val="333333"/>
                <w:szCs w:val="22"/>
                <w:lang w:val="fr-FR"/>
              </w:rPr>
              <w:t>OMPI, destinés plus particulièrement</w:t>
            </w:r>
            <w:r w:rsidR="00EA2C86" w:rsidRPr="00927778">
              <w:rPr>
                <w:bCs/>
                <w:color w:val="333333"/>
                <w:szCs w:val="22"/>
                <w:lang w:val="fr-FR"/>
              </w:rPr>
              <w:t xml:space="preserve"> aux PMA</w:t>
            </w:r>
            <w:r w:rsidRPr="00927778">
              <w:rPr>
                <w:bCs/>
                <w:color w:val="333333"/>
                <w:szCs w:val="22"/>
                <w:lang w:val="fr-FR"/>
              </w:rPr>
              <w:t>, tout en continuant à accorder une priorité élevée au financement des activités en Afrique par des ressources budgétaires et extrabudgétaires pour promouvoir notamment l</w:t>
            </w:r>
            <w:r w:rsidR="00EA2C86" w:rsidRPr="00927778">
              <w:rPr>
                <w:bCs/>
                <w:color w:val="333333"/>
                <w:szCs w:val="22"/>
                <w:lang w:val="fr-FR"/>
              </w:rPr>
              <w:t>’</w:t>
            </w:r>
            <w:r w:rsidRPr="00927778">
              <w:rPr>
                <w:bCs/>
                <w:color w:val="333333"/>
                <w:szCs w:val="22"/>
                <w:lang w:val="fr-FR"/>
              </w:rPr>
              <w:t>exploitation juridique, commerciale, culturelle et économique de la propriété intellectuelle dans ces pays.</w:t>
            </w:r>
          </w:p>
          <w:p w:rsidR="005E6718" w:rsidRPr="00927778" w:rsidRDefault="005E6718" w:rsidP="00D527E8">
            <w:pPr>
              <w:rPr>
                <w:color w:val="333333"/>
                <w:szCs w:val="22"/>
                <w:lang w:val="fr-FR"/>
              </w:rPr>
            </w:pPr>
          </w:p>
          <w:p w:rsidR="005E6718" w:rsidRPr="00927778" w:rsidRDefault="00E031C6" w:rsidP="00E031C6">
            <w:pPr>
              <w:rPr>
                <w:rFonts w:eastAsia="SimSun"/>
                <w:bCs/>
                <w:i/>
                <w:color w:val="333333"/>
                <w:szCs w:val="22"/>
                <w:lang w:val="fr-FR"/>
              </w:rPr>
            </w:pPr>
            <w:r w:rsidRPr="00927778">
              <w:rPr>
                <w:rFonts w:eastAsia="SimSun"/>
                <w:bCs/>
                <w:i/>
                <w:color w:val="333333"/>
                <w:szCs w:val="22"/>
                <w:lang w:val="fr-FR"/>
              </w:rPr>
              <w:t>Recommandation n°</w:t>
            </w:r>
            <w:r w:rsidR="0057466D" w:rsidRPr="00927778">
              <w:rPr>
                <w:rFonts w:eastAsia="SimSun"/>
                <w:bCs/>
                <w:i/>
                <w:color w:val="333333"/>
                <w:szCs w:val="22"/>
                <w:lang w:val="fr-FR"/>
              </w:rPr>
              <w:t> </w:t>
            </w:r>
            <w:r w:rsidRPr="00927778">
              <w:rPr>
                <w:rFonts w:eastAsia="SimSun"/>
                <w:bCs/>
                <w:i/>
                <w:color w:val="333333"/>
                <w:szCs w:val="22"/>
                <w:lang w:val="fr-FR"/>
              </w:rPr>
              <w:t>4</w:t>
            </w:r>
          </w:p>
          <w:p w:rsidR="005E6718" w:rsidRPr="00927778" w:rsidRDefault="00E031C6" w:rsidP="00E031C6">
            <w:pPr>
              <w:rPr>
                <w:color w:val="333333"/>
                <w:szCs w:val="22"/>
                <w:lang w:val="fr-FR"/>
              </w:rPr>
            </w:pPr>
            <w:r w:rsidRPr="00927778">
              <w:rPr>
                <w:color w:val="333333"/>
                <w:szCs w:val="22"/>
                <w:lang w:val="fr-FR"/>
              </w:rPr>
              <w:t>Accorder une attention particulière aux besoins</w:t>
            </w:r>
            <w:r w:rsidR="00EA2C86" w:rsidRPr="00927778">
              <w:rPr>
                <w:color w:val="333333"/>
                <w:szCs w:val="22"/>
                <w:lang w:val="fr-FR"/>
              </w:rPr>
              <w:t xml:space="preserve"> des PME</w:t>
            </w:r>
            <w:r w:rsidRPr="00927778">
              <w:rPr>
                <w:color w:val="333333"/>
                <w:szCs w:val="22"/>
                <w:lang w:val="fr-FR"/>
              </w:rPr>
              <w:t>, des institutions chargées de la recherche scientifique et des industries culturelles et aider les États membres, à leur demande, à élaborer des stratégies nationales de propriété intellectuelle.</w:t>
            </w:r>
          </w:p>
          <w:p w:rsidR="005E6718" w:rsidRPr="00927778" w:rsidRDefault="005E6718" w:rsidP="00D527E8">
            <w:pPr>
              <w:rPr>
                <w:color w:val="333333"/>
                <w:szCs w:val="22"/>
                <w:lang w:val="fr-FR"/>
              </w:rPr>
            </w:pPr>
          </w:p>
          <w:p w:rsidR="005E6718" w:rsidRPr="00927778" w:rsidRDefault="00E031C6" w:rsidP="00E031C6">
            <w:pPr>
              <w:rPr>
                <w:rFonts w:eastAsia="SimSun"/>
                <w:bCs/>
                <w:i/>
                <w:color w:val="333333"/>
                <w:szCs w:val="22"/>
                <w:lang w:val="fr-FR"/>
              </w:rPr>
            </w:pPr>
            <w:r w:rsidRPr="00927778">
              <w:rPr>
                <w:rFonts w:eastAsia="SimSun"/>
                <w:bCs/>
                <w:i/>
                <w:color w:val="333333"/>
                <w:szCs w:val="22"/>
                <w:lang w:val="fr-FR"/>
              </w:rPr>
              <w:t>Recommandation n°</w:t>
            </w:r>
            <w:r w:rsidR="0057466D" w:rsidRPr="00927778">
              <w:rPr>
                <w:rFonts w:eastAsia="SimSun"/>
                <w:bCs/>
                <w:i/>
                <w:color w:val="333333"/>
                <w:szCs w:val="22"/>
                <w:lang w:val="fr-FR"/>
              </w:rPr>
              <w:t> </w:t>
            </w:r>
            <w:r w:rsidRPr="00927778">
              <w:rPr>
                <w:rFonts w:eastAsia="SimSun"/>
                <w:bCs/>
                <w:i/>
                <w:color w:val="333333"/>
                <w:szCs w:val="22"/>
                <w:lang w:val="fr-FR"/>
              </w:rPr>
              <w:t>10</w:t>
            </w:r>
          </w:p>
          <w:p w:rsidR="005E6718" w:rsidRPr="00927778" w:rsidRDefault="00E031C6" w:rsidP="00E031C6">
            <w:pPr>
              <w:rPr>
                <w:color w:val="333333"/>
                <w:szCs w:val="22"/>
                <w:lang w:val="fr-FR"/>
              </w:rPr>
            </w:pPr>
            <w:r w:rsidRPr="00927778">
              <w:rPr>
                <w:color w:val="333333"/>
                <w:szCs w:val="22"/>
                <w:lang w:val="fr-FR"/>
              </w:rPr>
              <w:t>Aider les États membres à développer et à améliorer les capacités institutionnelles nationales en propriété intellectuelle par le développement des infrastructures et autres moyens en vue de renforcer l</w:t>
            </w:r>
            <w:r w:rsidR="00EA2C86" w:rsidRPr="00927778">
              <w:rPr>
                <w:color w:val="333333"/>
                <w:szCs w:val="22"/>
                <w:lang w:val="fr-FR"/>
              </w:rPr>
              <w:t>’</w:t>
            </w:r>
            <w:r w:rsidRPr="00927778">
              <w:rPr>
                <w:color w:val="333333"/>
                <w:szCs w:val="22"/>
                <w:lang w:val="fr-FR"/>
              </w:rPr>
              <w:t>efficacité des institutions nationales de propriété intellectuelle et de concilier protection de la propriété intellectuelle et prése</w:t>
            </w:r>
            <w:r w:rsidR="00597399" w:rsidRPr="00927778">
              <w:rPr>
                <w:color w:val="333333"/>
                <w:szCs w:val="22"/>
                <w:lang w:val="fr-FR"/>
              </w:rPr>
              <w:t>rvation de l</w:t>
            </w:r>
            <w:r w:rsidR="00EA2C86" w:rsidRPr="00927778">
              <w:rPr>
                <w:color w:val="333333"/>
                <w:szCs w:val="22"/>
                <w:lang w:val="fr-FR"/>
              </w:rPr>
              <w:t>’</w:t>
            </w:r>
            <w:r w:rsidR="00597399" w:rsidRPr="00927778">
              <w:rPr>
                <w:color w:val="333333"/>
                <w:szCs w:val="22"/>
                <w:lang w:val="fr-FR"/>
              </w:rPr>
              <w:t>intérêt génér</w:t>
            </w:r>
            <w:r w:rsidR="00306E74" w:rsidRPr="00927778">
              <w:rPr>
                <w:color w:val="333333"/>
                <w:szCs w:val="22"/>
                <w:lang w:val="fr-FR"/>
              </w:rPr>
              <w:t>al.  Ce</w:t>
            </w:r>
            <w:r w:rsidRPr="00927778">
              <w:rPr>
                <w:color w:val="333333"/>
                <w:szCs w:val="22"/>
                <w:lang w:val="fr-FR"/>
              </w:rPr>
              <w:t>tte assistance technique devrait également être étendue aux organisations sous régionales et régionales œuvrant dans le domaine de la propriété intellectuelle.</w:t>
            </w:r>
          </w:p>
          <w:p w:rsidR="005E6718" w:rsidRPr="00927778" w:rsidRDefault="005E6718" w:rsidP="00D527E8">
            <w:pPr>
              <w:rPr>
                <w:color w:val="333333"/>
                <w:szCs w:val="22"/>
                <w:lang w:val="fr-FR"/>
              </w:rPr>
            </w:pPr>
          </w:p>
          <w:p w:rsidR="005E6718" w:rsidRPr="00927778" w:rsidRDefault="00E031C6" w:rsidP="00E031C6">
            <w:pPr>
              <w:rPr>
                <w:color w:val="333333"/>
                <w:szCs w:val="22"/>
                <w:lang w:val="fr-FR"/>
              </w:rPr>
            </w:pPr>
            <w:r w:rsidRPr="00927778">
              <w:rPr>
                <w:i/>
                <w:color w:val="333333"/>
                <w:szCs w:val="22"/>
                <w:lang w:val="fr-FR"/>
              </w:rPr>
              <w:t>Recommandation n°</w:t>
            </w:r>
            <w:r w:rsidR="0057466D" w:rsidRPr="00927778">
              <w:rPr>
                <w:i/>
                <w:color w:val="333333"/>
                <w:szCs w:val="22"/>
                <w:lang w:val="fr-FR"/>
              </w:rPr>
              <w:t> </w:t>
            </w:r>
            <w:r w:rsidRPr="00927778">
              <w:rPr>
                <w:i/>
                <w:color w:val="333333"/>
                <w:szCs w:val="22"/>
                <w:lang w:val="fr-FR"/>
              </w:rPr>
              <w:t>11</w:t>
            </w:r>
          </w:p>
          <w:p w:rsidR="00C672C0" w:rsidRDefault="00597399" w:rsidP="004D5823">
            <w:pPr>
              <w:rPr>
                <w:color w:val="333333"/>
                <w:szCs w:val="22"/>
                <w:lang w:val="fr-FR"/>
              </w:rPr>
            </w:pPr>
            <w:r w:rsidRPr="00927778">
              <w:rPr>
                <w:color w:val="333333"/>
                <w:szCs w:val="22"/>
                <w:lang w:val="fr-FR"/>
              </w:rPr>
              <w:t>Aider les États membres à renforcer leur capacité nationale de protection des créations, innovations et inventions nationales et soutenir</w:t>
            </w:r>
            <w:r w:rsidR="004D5823" w:rsidRPr="00927778">
              <w:rPr>
                <w:color w:val="333333"/>
                <w:szCs w:val="22"/>
                <w:lang w:val="fr-FR"/>
              </w:rPr>
              <w:t xml:space="preserve"> au besoin</w:t>
            </w:r>
            <w:r w:rsidRPr="00927778">
              <w:rPr>
                <w:color w:val="333333"/>
                <w:szCs w:val="22"/>
                <w:lang w:val="fr-FR"/>
              </w:rPr>
              <w:t xml:space="preserve"> le développement des infrastructures scientifiques et technologiques nationales, conformément au mandat de l</w:t>
            </w:r>
            <w:r w:rsidR="00EA2C86" w:rsidRPr="00927778">
              <w:rPr>
                <w:color w:val="333333"/>
                <w:szCs w:val="22"/>
                <w:lang w:val="fr-FR"/>
              </w:rPr>
              <w:t>’</w:t>
            </w:r>
            <w:r w:rsidRPr="00927778">
              <w:rPr>
                <w:color w:val="333333"/>
                <w:szCs w:val="22"/>
                <w:lang w:val="fr-FR"/>
              </w:rPr>
              <w:t xml:space="preserve">OMPI. </w:t>
            </w:r>
            <w:r w:rsidR="0057466D" w:rsidRPr="00927778">
              <w:rPr>
                <w:color w:val="333333"/>
                <w:szCs w:val="22"/>
                <w:lang w:val="fr-FR"/>
              </w:rPr>
              <w:t xml:space="preserve"> </w:t>
            </w:r>
          </w:p>
          <w:p w:rsidR="00202267" w:rsidRPr="00927778" w:rsidRDefault="00202267" w:rsidP="004D5823">
            <w:pPr>
              <w:rPr>
                <w:i/>
                <w:color w:val="333333"/>
                <w:lang w:val="fr-FR"/>
              </w:rPr>
            </w:pPr>
          </w:p>
        </w:tc>
      </w:tr>
      <w:tr w:rsidR="00047C22" w:rsidRPr="00927778" w:rsidTr="00D527E8">
        <w:tc>
          <w:tcPr>
            <w:tcW w:w="2340" w:type="dxa"/>
            <w:shd w:val="clear" w:color="auto" w:fill="auto"/>
          </w:tcPr>
          <w:p w:rsidR="005E6718" w:rsidRPr="00927778" w:rsidRDefault="00E031C6" w:rsidP="00E031C6">
            <w:pPr>
              <w:keepNext/>
              <w:spacing w:before="240" w:after="60"/>
              <w:outlineLvl w:val="2"/>
              <w:rPr>
                <w:rFonts w:eastAsia="SimSun"/>
                <w:bCs/>
                <w:color w:val="333333"/>
                <w:szCs w:val="26"/>
                <w:u w:val="single"/>
                <w:lang w:val="fr-FR"/>
              </w:rPr>
            </w:pPr>
            <w:r w:rsidRPr="00927778">
              <w:rPr>
                <w:rFonts w:eastAsia="SimSun"/>
                <w:bCs/>
                <w:color w:val="333333"/>
                <w:szCs w:val="26"/>
                <w:u w:val="single"/>
                <w:lang w:val="fr-FR"/>
              </w:rPr>
              <w:t>Budget du projet</w:t>
            </w:r>
          </w:p>
          <w:p w:rsidR="00D527E8" w:rsidRPr="00927778" w:rsidRDefault="00D527E8" w:rsidP="00D527E8">
            <w:pPr>
              <w:rPr>
                <w:color w:val="333333"/>
                <w:lang w:val="fr-FR"/>
              </w:rPr>
            </w:pPr>
          </w:p>
        </w:tc>
        <w:tc>
          <w:tcPr>
            <w:tcW w:w="6930" w:type="dxa"/>
            <w:shd w:val="clear" w:color="auto" w:fill="auto"/>
          </w:tcPr>
          <w:p w:rsidR="005E6718" w:rsidRPr="00927778" w:rsidRDefault="005E6718" w:rsidP="00D527E8">
            <w:pPr>
              <w:autoSpaceDE w:val="0"/>
              <w:autoSpaceDN w:val="0"/>
              <w:adjustRightInd w:val="0"/>
              <w:rPr>
                <w:color w:val="333333"/>
                <w:szCs w:val="22"/>
                <w:lang w:val="fr-FR"/>
              </w:rPr>
            </w:pPr>
          </w:p>
          <w:p w:rsidR="00EA2C86" w:rsidRPr="00927778" w:rsidRDefault="00E031C6" w:rsidP="00E031C6">
            <w:pPr>
              <w:autoSpaceDE w:val="0"/>
              <w:autoSpaceDN w:val="0"/>
              <w:adjustRightInd w:val="0"/>
              <w:rPr>
                <w:color w:val="333333"/>
                <w:szCs w:val="22"/>
                <w:lang w:val="fr-FR"/>
              </w:rPr>
            </w:pPr>
            <w:r w:rsidRPr="00927778">
              <w:rPr>
                <w:color w:val="333333"/>
                <w:szCs w:val="22"/>
                <w:lang w:val="fr-FR"/>
              </w:rPr>
              <w:t>Dépenses de personnel</w:t>
            </w:r>
            <w:r w:rsidR="00EA2C86" w:rsidRPr="00927778">
              <w:rPr>
                <w:color w:val="333333"/>
                <w:szCs w:val="22"/>
                <w:lang w:val="fr-FR"/>
              </w:rPr>
              <w:t> :</w:t>
            </w:r>
            <w:r w:rsidRPr="00927778">
              <w:rPr>
                <w:color w:val="333333"/>
                <w:szCs w:val="22"/>
                <w:lang w:val="fr-FR"/>
              </w:rPr>
              <w:t xml:space="preserve"> 110 000 francs suisses</w:t>
            </w:r>
          </w:p>
          <w:p w:rsidR="005E6718" w:rsidRPr="00927778" w:rsidRDefault="005E6718" w:rsidP="00D527E8">
            <w:pPr>
              <w:autoSpaceDE w:val="0"/>
              <w:autoSpaceDN w:val="0"/>
              <w:adjustRightInd w:val="0"/>
              <w:rPr>
                <w:color w:val="333333"/>
                <w:szCs w:val="22"/>
                <w:lang w:val="fr-FR"/>
              </w:rPr>
            </w:pPr>
          </w:p>
          <w:p w:rsidR="00EA2C86" w:rsidRPr="00927778" w:rsidRDefault="007206A2" w:rsidP="007206A2">
            <w:pPr>
              <w:autoSpaceDE w:val="0"/>
              <w:autoSpaceDN w:val="0"/>
              <w:adjustRightInd w:val="0"/>
              <w:rPr>
                <w:color w:val="333333"/>
                <w:szCs w:val="22"/>
                <w:lang w:val="fr-FR"/>
              </w:rPr>
            </w:pPr>
            <w:r w:rsidRPr="00927778">
              <w:rPr>
                <w:color w:val="333333"/>
                <w:szCs w:val="22"/>
                <w:lang w:val="fr-FR"/>
              </w:rPr>
              <w:t>Dépenses hors personnel</w:t>
            </w:r>
            <w:r w:rsidR="00EA2C86" w:rsidRPr="00927778">
              <w:rPr>
                <w:color w:val="333333"/>
                <w:szCs w:val="22"/>
                <w:lang w:val="fr-FR"/>
              </w:rPr>
              <w:t> :</w:t>
            </w:r>
            <w:r w:rsidRPr="00927778">
              <w:rPr>
                <w:color w:val="333333"/>
                <w:szCs w:val="22"/>
                <w:lang w:val="fr-FR"/>
              </w:rPr>
              <w:t xml:space="preserve"> 430 000 francs suisses</w:t>
            </w:r>
          </w:p>
          <w:p w:rsidR="005E6718" w:rsidRPr="00927778" w:rsidRDefault="005E6718" w:rsidP="00D527E8">
            <w:pPr>
              <w:autoSpaceDE w:val="0"/>
              <w:autoSpaceDN w:val="0"/>
              <w:adjustRightInd w:val="0"/>
              <w:rPr>
                <w:color w:val="333333"/>
                <w:szCs w:val="22"/>
                <w:lang w:val="fr-FR"/>
              </w:rPr>
            </w:pPr>
          </w:p>
          <w:p w:rsidR="005E6718" w:rsidRPr="00927778" w:rsidRDefault="007206A2" w:rsidP="007206A2">
            <w:pPr>
              <w:rPr>
                <w:color w:val="333333"/>
                <w:szCs w:val="22"/>
                <w:lang w:val="fr-FR"/>
              </w:rPr>
            </w:pPr>
            <w:r w:rsidRPr="00927778">
              <w:rPr>
                <w:color w:val="333333"/>
                <w:szCs w:val="22"/>
                <w:lang w:val="fr-FR"/>
              </w:rPr>
              <w:t>Total</w:t>
            </w:r>
            <w:r w:rsidR="00EA2C86" w:rsidRPr="00927778">
              <w:rPr>
                <w:color w:val="333333"/>
                <w:szCs w:val="22"/>
                <w:lang w:val="fr-FR"/>
              </w:rPr>
              <w:t> :</w:t>
            </w:r>
            <w:r w:rsidRPr="00927778">
              <w:rPr>
                <w:color w:val="333333"/>
                <w:szCs w:val="22"/>
                <w:lang w:val="fr-FR"/>
              </w:rPr>
              <w:t xml:space="preserve"> 540 000 francs suisses</w:t>
            </w:r>
          </w:p>
          <w:p w:rsidR="00822082" w:rsidRPr="00927778" w:rsidRDefault="00822082" w:rsidP="00C672C0">
            <w:pPr>
              <w:rPr>
                <w:color w:val="333333"/>
                <w:szCs w:val="22"/>
                <w:lang w:val="fr-FR"/>
              </w:rPr>
            </w:pPr>
          </w:p>
        </w:tc>
      </w:tr>
      <w:tr w:rsidR="00047C22" w:rsidRPr="00927778" w:rsidTr="00D527E8">
        <w:tc>
          <w:tcPr>
            <w:tcW w:w="2340" w:type="dxa"/>
            <w:shd w:val="clear" w:color="auto" w:fill="auto"/>
          </w:tcPr>
          <w:p w:rsidR="00D527E8" w:rsidRPr="00927778" w:rsidRDefault="007206A2" w:rsidP="007206A2">
            <w:pPr>
              <w:keepNext/>
              <w:spacing w:before="240" w:after="60"/>
              <w:outlineLvl w:val="2"/>
              <w:rPr>
                <w:rFonts w:eastAsia="SimSun"/>
                <w:bCs/>
                <w:color w:val="333333"/>
                <w:szCs w:val="26"/>
                <w:u w:val="single"/>
                <w:lang w:val="fr-FR"/>
              </w:rPr>
            </w:pPr>
            <w:r w:rsidRPr="00927778">
              <w:rPr>
                <w:rFonts w:eastAsia="SimSun"/>
                <w:bCs/>
                <w:color w:val="333333"/>
                <w:szCs w:val="26"/>
                <w:u w:val="single"/>
                <w:lang w:val="fr-FR"/>
              </w:rPr>
              <w:t>Début du projet</w:t>
            </w:r>
          </w:p>
        </w:tc>
        <w:tc>
          <w:tcPr>
            <w:tcW w:w="6930" w:type="dxa"/>
            <w:shd w:val="clear" w:color="auto" w:fill="auto"/>
          </w:tcPr>
          <w:p w:rsidR="005E6718" w:rsidRPr="00927778" w:rsidRDefault="005E6718" w:rsidP="00D527E8">
            <w:pPr>
              <w:autoSpaceDE w:val="0"/>
              <w:autoSpaceDN w:val="0"/>
              <w:adjustRightInd w:val="0"/>
              <w:rPr>
                <w:color w:val="333333"/>
                <w:szCs w:val="22"/>
                <w:lang w:val="fr-FR"/>
              </w:rPr>
            </w:pPr>
          </w:p>
          <w:p w:rsidR="00D527E8" w:rsidRPr="00927778" w:rsidRDefault="007206A2" w:rsidP="007206A2">
            <w:pPr>
              <w:autoSpaceDE w:val="0"/>
              <w:autoSpaceDN w:val="0"/>
              <w:adjustRightInd w:val="0"/>
              <w:rPr>
                <w:color w:val="333333"/>
                <w:szCs w:val="22"/>
                <w:lang w:val="fr-FR"/>
              </w:rPr>
            </w:pPr>
            <w:r w:rsidRPr="00927778">
              <w:rPr>
                <w:color w:val="333333"/>
                <w:szCs w:val="22"/>
                <w:lang w:val="fr-FR"/>
              </w:rPr>
              <w:t>Juin</w:t>
            </w:r>
            <w:r w:rsidR="00CB5AE0" w:rsidRPr="00927778">
              <w:rPr>
                <w:color w:val="333333"/>
                <w:szCs w:val="22"/>
                <w:lang w:val="fr-FR"/>
              </w:rPr>
              <w:t> </w:t>
            </w:r>
            <w:r w:rsidRPr="00927778">
              <w:rPr>
                <w:color w:val="333333"/>
                <w:szCs w:val="22"/>
                <w:lang w:val="fr-FR"/>
              </w:rPr>
              <w:t>2016</w:t>
            </w:r>
          </w:p>
        </w:tc>
      </w:tr>
      <w:tr w:rsidR="00047C22" w:rsidRPr="00927778" w:rsidTr="00D527E8">
        <w:tc>
          <w:tcPr>
            <w:tcW w:w="2340" w:type="dxa"/>
            <w:shd w:val="clear" w:color="auto" w:fill="auto"/>
          </w:tcPr>
          <w:p w:rsidR="00D527E8" w:rsidRPr="00927778" w:rsidRDefault="007206A2" w:rsidP="007206A2">
            <w:pPr>
              <w:keepNext/>
              <w:spacing w:before="240" w:after="60"/>
              <w:outlineLvl w:val="2"/>
              <w:rPr>
                <w:rFonts w:eastAsia="SimSun"/>
                <w:bCs/>
                <w:color w:val="333333"/>
                <w:szCs w:val="26"/>
                <w:u w:val="single"/>
                <w:lang w:val="fr-FR"/>
              </w:rPr>
            </w:pPr>
            <w:r w:rsidRPr="00927778">
              <w:rPr>
                <w:rFonts w:eastAsia="SimSun"/>
                <w:bCs/>
                <w:color w:val="333333"/>
                <w:szCs w:val="26"/>
                <w:u w:val="single"/>
                <w:lang w:val="fr-FR"/>
              </w:rPr>
              <w:t>Durée du projet</w:t>
            </w:r>
            <w:r w:rsidR="00D527E8" w:rsidRPr="00927778">
              <w:rPr>
                <w:rFonts w:eastAsia="SimSun"/>
                <w:bCs/>
                <w:color w:val="333333"/>
                <w:szCs w:val="26"/>
                <w:u w:val="single"/>
                <w:lang w:val="fr-FR"/>
              </w:rPr>
              <w:t xml:space="preserve"> </w:t>
            </w:r>
          </w:p>
        </w:tc>
        <w:tc>
          <w:tcPr>
            <w:tcW w:w="6930" w:type="dxa"/>
            <w:shd w:val="clear" w:color="auto" w:fill="auto"/>
          </w:tcPr>
          <w:p w:rsidR="005E6718" w:rsidRPr="00927778" w:rsidRDefault="005E6718" w:rsidP="00D527E8">
            <w:pPr>
              <w:autoSpaceDE w:val="0"/>
              <w:autoSpaceDN w:val="0"/>
              <w:adjustRightInd w:val="0"/>
              <w:rPr>
                <w:color w:val="333333"/>
                <w:szCs w:val="22"/>
                <w:lang w:val="fr-FR"/>
              </w:rPr>
            </w:pPr>
          </w:p>
          <w:p w:rsidR="00D527E8" w:rsidRPr="00927778" w:rsidRDefault="007206A2" w:rsidP="007206A2">
            <w:pPr>
              <w:autoSpaceDE w:val="0"/>
              <w:autoSpaceDN w:val="0"/>
              <w:adjustRightInd w:val="0"/>
              <w:rPr>
                <w:color w:val="333333"/>
                <w:szCs w:val="22"/>
                <w:lang w:val="fr-FR"/>
              </w:rPr>
            </w:pPr>
            <w:r w:rsidRPr="00927778">
              <w:rPr>
                <w:color w:val="333333"/>
                <w:szCs w:val="22"/>
                <w:lang w:val="fr-FR"/>
              </w:rPr>
              <w:t>30 mois</w:t>
            </w:r>
          </w:p>
        </w:tc>
      </w:tr>
      <w:tr w:rsidR="00047C22" w:rsidRPr="00927778" w:rsidTr="00D527E8">
        <w:tc>
          <w:tcPr>
            <w:tcW w:w="2340" w:type="dxa"/>
            <w:shd w:val="clear" w:color="auto" w:fill="auto"/>
          </w:tcPr>
          <w:p w:rsidR="00D527E8" w:rsidRPr="00927778" w:rsidRDefault="007206A2" w:rsidP="007206A2">
            <w:pPr>
              <w:keepNext/>
              <w:spacing w:before="240" w:after="60"/>
              <w:outlineLvl w:val="2"/>
              <w:rPr>
                <w:rFonts w:eastAsia="SimSun"/>
                <w:bCs/>
                <w:color w:val="333333"/>
                <w:szCs w:val="26"/>
                <w:highlight w:val="yellow"/>
                <w:u w:val="single"/>
                <w:lang w:val="fr-FR"/>
              </w:rPr>
            </w:pPr>
            <w:r w:rsidRPr="00927778">
              <w:rPr>
                <w:rFonts w:eastAsia="SimSun"/>
                <w:bCs/>
                <w:color w:val="333333"/>
                <w:szCs w:val="26"/>
                <w:u w:val="single"/>
                <w:lang w:val="fr-FR"/>
              </w:rPr>
              <w:t>Principaux secteurs de l</w:t>
            </w:r>
            <w:r w:rsidR="00EA2C86" w:rsidRPr="00927778">
              <w:rPr>
                <w:rFonts w:eastAsia="SimSun"/>
                <w:bCs/>
                <w:color w:val="333333"/>
                <w:szCs w:val="26"/>
                <w:u w:val="single"/>
                <w:lang w:val="fr-FR"/>
              </w:rPr>
              <w:t>’</w:t>
            </w:r>
            <w:r w:rsidRPr="00927778">
              <w:rPr>
                <w:rFonts w:eastAsia="SimSun"/>
                <w:bCs/>
                <w:color w:val="333333"/>
                <w:szCs w:val="26"/>
                <w:u w:val="single"/>
                <w:lang w:val="fr-FR"/>
              </w:rPr>
              <w:t>OMPI concernés et liens avec les programmes de l</w:t>
            </w:r>
            <w:r w:rsidR="00EA2C86" w:rsidRPr="00927778">
              <w:rPr>
                <w:rFonts w:eastAsia="SimSun"/>
                <w:bCs/>
                <w:color w:val="333333"/>
                <w:szCs w:val="26"/>
                <w:u w:val="single"/>
                <w:lang w:val="fr-FR"/>
              </w:rPr>
              <w:t>’</w:t>
            </w:r>
            <w:r w:rsidRPr="00927778">
              <w:rPr>
                <w:rFonts w:eastAsia="SimSun"/>
                <w:bCs/>
                <w:color w:val="333333"/>
                <w:szCs w:val="26"/>
                <w:u w:val="single"/>
                <w:lang w:val="fr-FR"/>
              </w:rPr>
              <w:t>OMPI</w:t>
            </w:r>
          </w:p>
        </w:tc>
        <w:tc>
          <w:tcPr>
            <w:tcW w:w="6930" w:type="dxa"/>
            <w:shd w:val="clear" w:color="auto" w:fill="auto"/>
          </w:tcPr>
          <w:p w:rsidR="005E6718" w:rsidRPr="00927778" w:rsidRDefault="005E6718" w:rsidP="00D527E8">
            <w:pPr>
              <w:rPr>
                <w:color w:val="333333"/>
                <w:lang w:val="fr-FR"/>
              </w:rPr>
            </w:pPr>
          </w:p>
          <w:p w:rsidR="00D527E8" w:rsidRPr="00927778" w:rsidRDefault="007206A2" w:rsidP="007206A2">
            <w:pPr>
              <w:rPr>
                <w:color w:val="333333"/>
                <w:lang w:val="fr-FR"/>
              </w:rPr>
            </w:pPr>
            <w:r w:rsidRPr="00927778">
              <w:rPr>
                <w:color w:val="333333"/>
                <w:lang w:val="fr-FR"/>
              </w:rPr>
              <w:t>Liens avec les programmes</w:t>
            </w:r>
            <w:r w:rsidR="00002037" w:rsidRPr="00927778">
              <w:rPr>
                <w:color w:val="333333"/>
                <w:lang w:val="fr-FR"/>
              </w:rPr>
              <w:t> </w:t>
            </w:r>
            <w:r w:rsidRPr="00927778">
              <w:rPr>
                <w:color w:val="333333"/>
                <w:lang w:val="fr-FR"/>
              </w:rPr>
              <w:t>9, 11, 15, 16 et 17.</w:t>
            </w:r>
          </w:p>
        </w:tc>
      </w:tr>
      <w:tr w:rsidR="00047C22" w:rsidRPr="00927778" w:rsidTr="006D4C53">
        <w:trPr>
          <w:trHeight w:val="3000"/>
        </w:trPr>
        <w:tc>
          <w:tcPr>
            <w:tcW w:w="2340" w:type="dxa"/>
            <w:shd w:val="clear" w:color="auto" w:fill="auto"/>
          </w:tcPr>
          <w:p w:rsidR="00902CCE" w:rsidRPr="00927778" w:rsidRDefault="007206A2" w:rsidP="007206A2">
            <w:pPr>
              <w:keepNext/>
              <w:spacing w:before="240" w:after="60"/>
              <w:outlineLvl w:val="2"/>
              <w:rPr>
                <w:rFonts w:eastAsia="SimSun"/>
                <w:bCs/>
                <w:color w:val="333333"/>
                <w:szCs w:val="26"/>
                <w:u w:val="single"/>
                <w:lang w:val="fr-FR"/>
              </w:rPr>
            </w:pPr>
            <w:r w:rsidRPr="00927778">
              <w:rPr>
                <w:rFonts w:eastAsia="SimSun"/>
                <w:bCs/>
                <w:color w:val="333333"/>
                <w:szCs w:val="26"/>
                <w:u w:val="single"/>
                <w:lang w:val="fr-FR"/>
              </w:rPr>
              <w:t>Brève description du projet</w:t>
            </w:r>
          </w:p>
        </w:tc>
        <w:tc>
          <w:tcPr>
            <w:tcW w:w="6930" w:type="dxa"/>
            <w:shd w:val="clear" w:color="auto" w:fill="auto"/>
          </w:tcPr>
          <w:p w:rsidR="005E6718" w:rsidRPr="00927778" w:rsidRDefault="005E6718" w:rsidP="00D527E8">
            <w:pPr>
              <w:rPr>
                <w:color w:val="333333"/>
                <w:lang w:val="fr-FR"/>
              </w:rPr>
            </w:pPr>
          </w:p>
          <w:p w:rsidR="005E6718" w:rsidRPr="00927778" w:rsidRDefault="00BC191A" w:rsidP="00B04032">
            <w:pPr>
              <w:autoSpaceDE w:val="0"/>
              <w:autoSpaceDN w:val="0"/>
              <w:rPr>
                <w:color w:val="333333"/>
                <w:szCs w:val="22"/>
                <w:lang w:val="fr-FR"/>
              </w:rPr>
            </w:pPr>
            <w:r w:rsidRPr="00927778">
              <w:rPr>
                <w:color w:val="333333"/>
                <w:szCs w:val="22"/>
                <w:lang w:val="fr-FR"/>
              </w:rPr>
              <w:t>Les industries cinématographique et audiovisuelle jouent un rôle important dans la promotion et la préservation du patrimoine cultur</w:t>
            </w:r>
            <w:r w:rsidR="00306E74" w:rsidRPr="00927778">
              <w:rPr>
                <w:color w:val="333333"/>
                <w:szCs w:val="22"/>
                <w:lang w:val="fr-FR"/>
              </w:rPr>
              <w:t>el.  De</w:t>
            </w:r>
            <w:r w:rsidRPr="00927778">
              <w:rPr>
                <w:color w:val="333333"/>
                <w:szCs w:val="22"/>
                <w:lang w:val="fr-FR"/>
              </w:rPr>
              <w:t xml:space="preserve"> surcroît, elles créent des emplois, promeuvent l</w:t>
            </w:r>
            <w:r w:rsidR="00EA2C86" w:rsidRPr="00927778">
              <w:rPr>
                <w:color w:val="333333"/>
                <w:szCs w:val="22"/>
                <w:lang w:val="fr-FR"/>
              </w:rPr>
              <w:t>’</w:t>
            </w:r>
            <w:r w:rsidRPr="00927778">
              <w:rPr>
                <w:color w:val="333333"/>
                <w:szCs w:val="22"/>
                <w:lang w:val="fr-FR"/>
              </w:rPr>
              <w:t>innovation et contribuent aux économies national</w:t>
            </w:r>
            <w:r w:rsidR="00306E74" w:rsidRPr="00927778">
              <w:rPr>
                <w:color w:val="333333"/>
                <w:szCs w:val="22"/>
                <w:lang w:val="fr-FR"/>
              </w:rPr>
              <w:t>es.  To</w:t>
            </w:r>
            <w:r w:rsidRPr="00927778">
              <w:rPr>
                <w:color w:val="333333"/>
                <w:szCs w:val="22"/>
                <w:lang w:val="fr-FR"/>
              </w:rPr>
              <w:t>utefois, des mesures doivent être prises pour qu</w:t>
            </w:r>
            <w:r w:rsidR="00EA2C86" w:rsidRPr="00927778">
              <w:rPr>
                <w:color w:val="333333"/>
                <w:szCs w:val="22"/>
                <w:lang w:val="fr-FR"/>
              </w:rPr>
              <w:t>’</w:t>
            </w:r>
            <w:r w:rsidRPr="00927778">
              <w:rPr>
                <w:color w:val="333333"/>
                <w:szCs w:val="22"/>
                <w:lang w:val="fr-FR"/>
              </w:rPr>
              <w:t>elles réalisent pleinement leur potentiel économiq</w:t>
            </w:r>
            <w:r w:rsidR="00306E74" w:rsidRPr="00927778">
              <w:rPr>
                <w:color w:val="333333"/>
                <w:szCs w:val="22"/>
                <w:lang w:val="fr-FR"/>
              </w:rPr>
              <w:t>ue.  Le</w:t>
            </w:r>
            <w:r w:rsidR="00B04032" w:rsidRPr="00927778">
              <w:rPr>
                <w:color w:val="333333"/>
                <w:szCs w:val="22"/>
                <w:lang w:val="fr-FR"/>
              </w:rPr>
              <w:t>s recettes générées par les titulaires des</w:t>
            </w:r>
            <w:r w:rsidR="0004354B" w:rsidRPr="00927778">
              <w:rPr>
                <w:color w:val="333333"/>
                <w:szCs w:val="22"/>
                <w:lang w:val="fr-FR"/>
              </w:rPr>
              <w:t xml:space="preserve"> </w:t>
            </w:r>
            <w:r w:rsidR="00B04032" w:rsidRPr="00927778">
              <w:rPr>
                <w:color w:val="333333"/>
                <w:szCs w:val="22"/>
                <w:lang w:val="fr-FR"/>
              </w:rPr>
              <w:t>droits sont loin d</w:t>
            </w:r>
            <w:r w:rsidR="00EA2C86" w:rsidRPr="00927778">
              <w:rPr>
                <w:color w:val="333333"/>
                <w:szCs w:val="22"/>
                <w:lang w:val="fr-FR"/>
              </w:rPr>
              <w:t>’</w:t>
            </w:r>
            <w:r w:rsidR="00B04032" w:rsidRPr="00927778">
              <w:rPr>
                <w:color w:val="333333"/>
                <w:szCs w:val="22"/>
                <w:lang w:val="fr-FR"/>
              </w:rPr>
              <w:t>être suffisantes pour financer une industrie viable, en raison du manque de possibilités de distribution et d</w:t>
            </w:r>
            <w:r w:rsidR="00EA2C86" w:rsidRPr="00927778">
              <w:rPr>
                <w:color w:val="333333"/>
                <w:szCs w:val="22"/>
                <w:lang w:val="fr-FR"/>
              </w:rPr>
              <w:t>’</w:t>
            </w:r>
            <w:r w:rsidR="00B04032" w:rsidRPr="00927778">
              <w:rPr>
                <w:color w:val="333333"/>
                <w:szCs w:val="22"/>
                <w:lang w:val="fr-FR"/>
              </w:rPr>
              <w:t>exploitation.</w:t>
            </w:r>
          </w:p>
          <w:p w:rsidR="005E6718" w:rsidRPr="00927778" w:rsidRDefault="005E6718" w:rsidP="00D527E8">
            <w:pPr>
              <w:autoSpaceDE w:val="0"/>
              <w:autoSpaceDN w:val="0"/>
              <w:rPr>
                <w:color w:val="333333"/>
                <w:szCs w:val="22"/>
                <w:lang w:val="fr-FR"/>
              </w:rPr>
            </w:pPr>
          </w:p>
          <w:p w:rsidR="00EA2C86" w:rsidRPr="00927778" w:rsidRDefault="004C476B" w:rsidP="00D527E8">
            <w:pPr>
              <w:rPr>
                <w:color w:val="333333"/>
                <w:szCs w:val="22"/>
                <w:lang w:val="fr-FR"/>
              </w:rPr>
            </w:pPr>
            <w:r w:rsidRPr="00927778">
              <w:rPr>
                <w:color w:val="333333"/>
                <w:szCs w:val="22"/>
                <w:lang w:val="fr-FR"/>
              </w:rPr>
              <w:t>Ce projet constitue un suivi du projet</w:t>
            </w:r>
            <w:r w:rsidR="00CB5AE0" w:rsidRPr="00927778">
              <w:rPr>
                <w:color w:val="333333"/>
                <w:szCs w:val="22"/>
                <w:lang w:val="fr-FR"/>
              </w:rPr>
              <w:t> </w:t>
            </w:r>
            <w:r w:rsidR="00902CCE" w:rsidRPr="00927778">
              <w:rPr>
                <w:color w:val="333333"/>
                <w:szCs w:val="22"/>
                <w:lang w:val="fr-FR"/>
              </w:rPr>
              <w:t>CDIP</w:t>
            </w:r>
            <w:r w:rsidR="009E2F22" w:rsidRPr="00927778">
              <w:rPr>
                <w:color w:val="333333"/>
                <w:szCs w:val="22"/>
                <w:lang w:val="fr-FR"/>
              </w:rPr>
              <w:t>/</w:t>
            </w:r>
            <w:r w:rsidR="00902CCE" w:rsidRPr="00927778">
              <w:rPr>
                <w:color w:val="333333"/>
                <w:szCs w:val="22"/>
                <w:lang w:val="fr-FR"/>
              </w:rPr>
              <w:t xml:space="preserve">9/13 </w:t>
            </w:r>
            <w:r w:rsidRPr="00927778">
              <w:rPr>
                <w:color w:val="333333"/>
                <w:szCs w:val="22"/>
                <w:lang w:val="fr-FR"/>
              </w:rPr>
              <w:t>qui était fondé sur une proposition formulée par la délégation du Burkina Faso</w:t>
            </w:r>
            <w:r w:rsidR="00F537F1" w:rsidRPr="00927778">
              <w:rPr>
                <w:color w:val="333333"/>
                <w:szCs w:val="22"/>
                <w:lang w:val="fr-FR"/>
              </w:rPr>
              <w:t>, par la suite</w:t>
            </w:r>
            <w:r w:rsidRPr="00927778">
              <w:rPr>
                <w:color w:val="333333"/>
                <w:szCs w:val="22"/>
                <w:lang w:val="fr-FR"/>
              </w:rPr>
              <w:t xml:space="preserve"> perfectionnée par le Secrétariat de l</w:t>
            </w:r>
            <w:r w:rsidR="00EA2C86" w:rsidRPr="00927778">
              <w:rPr>
                <w:color w:val="333333"/>
                <w:szCs w:val="22"/>
                <w:lang w:val="fr-FR"/>
              </w:rPr>
              <w:t>’</w:t>
            </w:r>
            <w:r w:rsidRPr="00927778">
              <w:rPr>
                <w:color w:val="333333"/>
                <w:szCs w:val="22"/>
                <w:lang w:val="fr-FR"/>
              </w:rPr>
              <w:t>OMPI.</w:t>
            </w:r>
            <w:r w:rsidR="00373D1C" w:rsidRPr="00927778">
              <w:rPr>
                <w:color w:val="333333"/>
                <w:szCs w:val="22"/>
                <w:lang w:val="fr-FR"/>
              </w:rPr>
              <w:t xml:space="preserve"> </w:t>
            </w:r>
            <w:r w:rsidR="0057466D" w:rsidRPr="00927778">
              <w:rPr>
                <w:color w:val="333333"/>
                <w:szCs w:val="22"/>
                <w:lang w:val="fr-FR"/>
              </w:rPr>
              <w:t xml:space="preserve"> </w:t>
            </w:r>
            <w:r w:rsidR="00F537F1" w:rsidRPr="00927778">
              <w:rPr>
                <w:color w:val="333333"/>
                <w:szCs w:val="22"/>
                <w:lang w:val="fr-FR"/>
              </w:rPr>
              <w:t>À l</w:t>
            </w:r>
            <w:r w:rsidR="00EA2C86" w:rsidRPr="00927778">
              <w:rPr>
                <w:color w:val="333333"/>
                <w:szCs w:val="22"/>
                <w:lang w:val="fr-FR"/>
              </w:rPr>
              <w:t>’</w:t>
            </w:r>
            <w:r w:rsidR="00F537F1" w:rsidRPr="00927778">
              <w:rPr>
                <w:color w:val="333333"/>
                <w:szCs w:val="22"/>
                <w:lang w:val="fr-FR"/>
              </w:rPr>
              <w:t>origine, il concernait</w:t>
            </w:r>
            <w:r w:rsidR="00373D1C" w:rsidRPr="00927778">
              <w:rPr>
                <w:color w:val="333333"/>
                <w:szCs w:val="22"/>
                <w:lang w:val="fr-FR"/>
              </w:rPr>
              <w:t xml:space="preserve"> trois</w:t>
            </w:r>
            <w:r w:rsidR="0057466D" w:rsidRPr="00927778">
              <w:rPr>
                <w:color w:val="333333"/>
                <w:szCs w:val="22"/>
                <w:lang w:val="fr-FR"/>
              </w:rPr>
              <w:t> </w:t>
            </w:r>
            <w:r w:rsidR="00373D1C" w:rsidRPr="00927778">
              <w:rPr>
                <w:color w:val="333333"/>
                <w:szCs w:val="22"/>
                <w:lang w:val="fr-FR"/>
              </w:rPr>
              <w:t>pays</w:t>
            </w:r>
            <w:r w:rsidR="00EA2C86" w:rsidRPr="00927778">
              <w:rPr>
                <w:color w:val="333333"/>
                <w:szCs w:val="22"/>
                <w:lang w:val="fr-FR"/>
              </w:rPr>
              <w:t> :</w:t>
            </w:r>
            <w:r w:rsidR="00373D1C" w:rsidRPr="00927778">
              <w:rPr>
                <w:color w:val="333333"/>
                <w:szCs w:val="22"/>
                <w:lang w:val="fr-FR"/>
              </w:rPr>
              <w:t xml:space="preserve"> le</w:t>
            </w:r>
            <w:r w:rsidR="00F537F1" w:rsidRPr="00927778">
              <w:rPr>
                <w:color w:val="333333"/>
                <w:szCs w:val="22"/>
                <w:lang w:val="fr-FR"/>
              </w:rPr>
              <w:t xml:space="preserve"> Burkina Faso,</w:t>
            </w:r>
            <w:r w:rsidR="00902CCE" w:rsidRPr="00927778">
              <w:rPr>
                <w:color w:val="333333"/>
                <w:szCs w:val="22"/>
                <w:lang w:val="fr-FR"/>
              </w:rPr>
              <w:t xml:space="preserve"> </w:t>
            </w:r>
            <w:r w:rsidR="00373D1C" w:rsidRPr="00927778">
              <w:rPr>
                <w:color w:val="333333"/>
                <w:szCs w:val="22"/>
                <w:lang w:val="fr-FR"/>
              </w:rPr>
              <w:t>le Kenya et le Séné</w:t>
            </w:r>
            <w:r w:rsidR="00F537F1" w:rsidRPr="00927778">
              <w:rPr>
                <w:color w:val="333333"/>
                <w:szCs w:val="22"/>
                <w:lang w:val="fr-FR"/>
              </w:rPr>
              <w:t>g</w:t>
            </w:r>
            <w:r w:rsidR="00306E74" w:rsidRPr="00927778">
              <w:rPr>
                <w:color w:val="333333"/>
                <w:szCs w:val="22"/>
                <w:lang w:val="fr-FR"/>
              </w:rPr>
              <w:t>al.  La</w:t>
            </w:r>
            <w:r w:rsidR="00373D1C" w:rsidRPr="00927778">
              <w:rPr>
                <w:color w:val="333333"/>
                <w:szCs w:val="22"/>
                <w:lang w:val="fr-FR"/>
              </w:rPr>
              <w:t xml:space="preserve"> p</w:t>
            </w:r>
            <w:r w:rsidR="00902CCE" w:rsidRPr="00927778">
              <w:rPr>
                <w:color w:val="333333"/>
                <w:szCs w:val="22"/>
                <w:lang w:val="fr-FR"/>
              </w:rPr>
              <w:t xml:space="preserve">hase I </w:t>
            </w:r>
            <w:r w:rsidR="00B30407" w:rsidRPr="00927778">
              <w:rPr>
                <w:color w:val="333333"/>
                <w:szCs w:val="22"/>
                <w:lang w:val="fr-FR"/>
              </w:rPr>
              <w:t>s</w:t>
            </w:r>
            <w:r w:rsidR="00EA2C86" w:rsidRPr="00927778">
              <w:rPr>
                <w:color w:val="333333"/>
                <w:szCs w:val="22"/>
                <w:lang w:val="fr-FR"/>
              </w:rPr>
              <w:t>’</w:t>
            </w:r>
            <w:r w:rsidR="00B30407" w:rsidRPr="00927778">
              <w:rPr>
                <w:color w:val="333333"/>
                <w:szCs w:val="22"/>
                <w:lang w:val="fr-FR"/>
              </w:rPr>
              <w:t>est achevée</w:t>
            </w:r>
            <w:r w:rsidR="00373D1C" w:rsidRPr="00927778">
              <w:rPr>
                <w:color w:val="333333"/>
                <w:szCs w:val="22"/>
                <w:lang w:val="fr-FR"/>
              </w:rPr>
              <w:t xml:space="preserve"> et a fait l</w:t>
            </w:r>
            <w:r w:rsidR="00EA2C86" w:rsidRPr="00927778">
              <w:rPr>
                <w:color w:val="333333"/>
                <w:szCs w:val="22"/>
                <w:lang w:val="fr-FR"/>
              </w:rPr>
              <w:t>’</w:t>
            </w:r>
            <w:r w:rsidR="00373D1C" w:rsidRPr="00927778">
              <w:rPr>
                <w:color w:val="333333"/>
                <w:szCs w:val="22"/>
                <w:lang w:val="fr-FR"/>
              </w:rPr>
              <w:t>objet d</w:t>
            </w:r>
            <w:r w:rsidR="00EA2C86" w:rsidRPr="00927778">
              <w:rPr>
                <w:color w:val="333333"/>
                <w:szCs w:val="22"/>
                <w:lang w:val="fr-FR"/>
              </w:rPr>
              <w:t>’</w:t>
            </w:r>
            <w:r w:rsidR="00373D1C" w:rsidRPr="00927778">
              <w:rPr>
                <w:color w:val="333333"/>
                <w:szCs w:val="22"/>
                <w:lang w:val="fr-FR"/>
              </w:rPr>
              <w:t xml:space="preserve">une évaluation indépendante à la fin </w:t>
            </w:r>
            <w:r w:rsidR="00EA2C86" w:rsidRPr="00927778">
              <w:rPr>
                <w:color w:val="333333"/>
                <w:szCs w:val="22"/>
                <w:lang w:val="fr-FR"/>
              </w:rPr>
              <w:t>de 2016</w:t>
            </w:r>
            <w:r w:rsidR="00902CCE" w:rsidRPr="00927778">
              <w:rPr>
                <w:color w:val="333333"/>
                <w:szCs w:val="22"/>
                <w:lang w:val="fr-FR"/>
              </w:rPr>
              <w:t>.</w:t>
            </w:r>
          </w:p>
          <w:p w:rsidR="005E6718" w:rsidRPr="00927778" w:rsidRDefault="005E6718" w:rsidP="00D527E8">
            <w:pPr>
              <w:rPr>
                <w:color w:val="333333"/>
                <w:szCs w:val="22"/>
                <w:lang w:val="fr-FR"/>
              </w:rPr>
            </w:pPr>
          </w:p>
          <w:p w:rsidR="005E6718" w:rsidRPr="00927778" w:rsidRDefault="00355C18" w:rsidP="007206A2">
            <w:pPr>
              <w:rPr>
                <w:color w:val="333333"/>
                <w:szCs w:val="22"/>
                <w:lang w:val="fr-FR"/>
              </w:rPr>
            </w:pPr>
            <w:r w:rsidRPr="00927778">
              <w:rPr>
                <w:color w:val="333333"/>
                <w:szCs w:val="22"/>
                <w:lang w:val="fr-FR"/>
              </w:rPr>
              <w:t>L</w:t>
            </w:r>
            <w:r w:rsidR="00EA2C86" w:rsidRPr="00927778">
              <w:rPr>
                <w:color w:val="333333"/>
                <w:szCs w:val="22"/>
                <w:lang w:val="fr-FR"/>
              </w:rPr>
              <w:t>’</w:t>
            </w:r>
            <w:r w:rsidRPr="00927778">
              <w:rPr>
                <w:color w:val="333333"/>
                <w:szCs w:val="22"/>
                <w:lang w:val="fr-FR"/>
              </w:rPr>
              <w:t>objectif premier de la p</w:t>
            </w:r>
            <w:r w:rsidR="00902CCE" w:rsidRPr="00927778">
              <w:rPr>
                <w:color w:val="333333"/>
                <w:szCs w:val="22"/>
                <w:lang w:val="fr-FR"/>
              </w:rPr>
              <w:t>hase</w:t>
            </w:r>
            <w:r w:rsidR="00002037" w:rsidRPr="00927778">
              <w:rPr>
                <w:color w:val="333333"/>
                <w:szCs w:val="22"/>
                <w:lang w:val="fr-FR"/>
              </w:rPr>
              <w:t> </w:t>
            </w:r>
            <w:r w:rsidR="00902CCE" w:rsidRPr="00927778">
              <w:rPr>
                <w:color w:val="333333"/>
                <w:szCs w:val="22"/>
                <w:lang w:val="fr-FR"/>
              </w:rPr>
              <w:t xml:space="preserve">II </w:t>
            </w:r>
            <w:r w:rsidRPr="00927778">
              <w:rPr>
                <w:color w:val="333333"/>
                <w:szCs w:val="22"/>
                <w:lang w:val="fr-FR"/>
              </w:rPr>
              <w:t>est d</w:t>
            </w:r>
            <w:r w:rsidR="00EA2C86" w:rsidRPr="00927778">
              <w:rPr>
                <w:color w:val="333333"/>
                <w:szCs w:val="22"/>
                <w:lang w:val="fr-FR"/>
              </w:rPr>
              <w:t>’</w:t>
            </w:r>
            <w:r w:rsidRPr="00927778">
              <w:rPr>
                <w:color w:val="333333"/>
                <w:szCs w:val="22"/>
                <w:lang w:val="fr-FR"/>
              </w:rPr>
              <w:t>appu</w:t>
            </w:r>
            <w:r w:rsidR="00493249" w:rsidRPr="00927778">
              <w:rPr>
                <w:color w:val="333333"/>
                <w:szCs w:val="22"/>
                <w:lang w:val="fr-FR"/>
              </w:rPr>
              <w:t>yer le développement du secteur</w:t>
            </w:r>
            <w:r w:rsidRPr="00927778">
              <w:rPr>
                <w:color w:val="333333"/>
                <w:szCs w:val="22"/>
                <w:lang w:val="fr-FR"/>
              </w:rPr>
              <w:t xml:space="preserve"> audiovisue</w:t>
            </w:r>
            <w:r w:rsidR="00902CCE" w:rsidRPr="00927778">
              <w:rPr>
                <w:color w:val="333333"/>
                <w:szCs w:val="22"/>
                <w:lang w:val="fr-FR"/>
              </w:rPr>
              <w:t>l</w:t>
            </w:r>
            <w:r w:rsidRPr="00927778">
              <w:rPr>
                <w:color w:val="333333"/>
                <w:szCs w:val="22"/>
                <w:lang w:val="fr-FR"/>
              </w:rPr>
              <w:t xml:space="preserve"> africain </w:t>
            </w:r>
            <w:r w:rsidR="003019A5" w:rsidRPr="00927778">
              <w:rPr>
                <w:color w:val="333333"/>
                <w:szCs w:val="22"/>
                <w:lang w:val="fr-FR"/>
              </w:rPr>
              <w:t>grâce à une meilleure compréhension et utilisation du système du droit d</w:t>
            </w:r>
            <w:r w:rsidR="00EA2C86" w:rsidRPr="00927778">
              <w:rPr>
                <w:color w:val="333333"/>
                <w:szCs w:val="22"/>
                <w:lang w:val="fr-FR"/>
              </w:rPr>
              <w:t>’</w:t>
            </w:r>
            <w:r w:rsidR="003019A5" w:rsidRPr="00927778">
              <w:rPr>
                <w:color w:val="333333"/>
                <w:szCs w:val="22"/>
                <w:lang w:val="fr-FR"/>
              </w:rPr>
              <w:t>auteur</w:t>
            </w:r>
            <w:r w:rsidR="00902CCE" w:rsidRPr="00927778">
              <w:rPr>
                <w:color w:val="333333"/>
                <w:szCs w:val="22"/>
                <w:lang w:val="fr-FR"/>
              </w:rPr>
              <w:t xml:space="preserve"> </w:t>
            </w:r>
            <w:r w:rsidR="001C637A" w:rsidRPr="00927778">
              <w:rPr>
                <w:color w:val="333333"/>
                <w:szCs w:val="22"/>
                <w:lang w:val="fr-FR"/>
              </w:rPr>
              <w:t>pour la gestion et la monétisation des actifs de propriété i</w:t>
            </w:r>
            <w:r w:rsidR="00493249" w:rsidRPr="00927778">
              <w:rPr>
                <w:color w:val="333333"/>
                <w:szCs w:val="22"/>
                <w:lang w:val="fr-FR"/>
              </w:rPr>
              <w:t>ntellectuelle afin de valoriser</w:t>
            </w:r>
            <w:r w:rsidR="001C637A" w:rsidRPr="00927778">
              <w:rPr>
                <w:color w:val="333333"/>
                <w:szCs w:val="22"/>
                <w:lang w:val="fr-FR"/>
              </w:rPr>
              <w:t xml:space="preserve"> le potentiel économique du secte</w:t>
            </w:r>
            <w:r w:rsidR="00306E74" w:rsidRPr="00927778">
              <w:rPr>
                <w:color w:val="333333"/>
                <w:szCs w:val="22"/>
                <w:lang w:val="fr-FR"/>
              </w:rPr>
              <w:t>ur.  Il</w:t>
            </w:r>
            <w:r w:rsidR="001C637A" w:rsidRPr="00927778">
              <w:rPr>
                <w:color w:val="333333"/>
                <w:szCs w:val="22"/>
                <w:lang w:val="fr-FR"/>
              </w:rPr>
              <w:t xml:space="preserve"> s</w:t>
            </w:r>
            <w:r w:rsidR="00EA2C86" w:rsidRPr="00927778">
              <w:rPr>
                <w:color w:val="333333"/>
                <w:szCs w:val="22"/>
                <w:lang w:val="fr-FR"/>
              </w:rPr>
              <w:t>’</w:t>
            </w:r>
            <w:r w:rsidR="001C637A" w:rsidRPr="00927778">
              <w:rPr>
                <w:color w:val="333333"/>
                <w:szCs w:val="22"/>
                <w:lang w:val="fr-FR"/>
              </w:rPr>
              <w:t>agit d</w:t>
            </w:r>
            <w:r w:rsidR="00EA2C86" w:rsidRPr="00927778">
              <w:rPr>
                <w:color w:val="333333"/>
                <w:szCs w:val="22"/>
                <w:lang w:val="fr-FR"/>
              </w:rPr>
              <w:t>’</w:t>
            </w:r>
            <w:r w:rsidR="001C637A" w:rsidRPr="00927778">
              <w:rPr>
                <w:color w:val="333333"/>
                <w:szCs w:val="22"/>
                <w:lang w:val="fr-FR"/>
              </w:rPr>
              <w:t>un projet pilote centré sur un nombre restreint de pays bénéficiaires qui veille à l</w:t>
            </w:r>
            <w:r w:rsidR="00EA2C86" w:rsidRPr="00927778">
              <w:rPr>
                <w:color w:val="333333"/>
                <w:szCs w:val="22"/>
                <w:lang w:val="fr-FR"/>
              </w:rPr>
              <w:t>’</w:t>
            </w:r>
            <w:r w:rsidR="001C637A" w:rsidRPr="00927778">
              <w:rPr>
                <w:color w:val="333333"/>
                <w:szCs w:val="22"/>
                <w:lang w:val="fr-FR"/>
              </w:rPr>
              <w:t>échange synergique d</w:t>
            </w:r>
            <w:r w:rsidR="00EA2C86" w:rsidRPr="00927778">
              <w:rPr>
                <w:color w:val="333333"/>
                <w:szCs w:val="22"/>
                <w:lang w:val="fr-FR"/>
              </w:rPr>
              <w:t>’</w:t>
            </w:r>
            <w:r w:rsidR="001C637A" w:rsidRPr="00927778">
              <w:rPr>
                <w:color w:val="333333"/>
                <w:szCs w:val="22"/>
                <w:lang w:val="fr-FR"/>
              </w:rPr>
              <w:t>expériences entre quelques</w:t>
            </w:r>
            <w:r w:rsidR="00CB5AE0" w:rsidRPr="00927778">
              <w:rPr>
                <w:color w:val="333333"/>
                <w:szCs w:val="22"/>
                <w:lang w:val="fr-FR"/>
              </w:rPr>
              <w:noBreakHyphen/>
            </w:r>
            <w:r w:rsidR="001C637A" w:rsidRPr="00927778">
              <w:rPr>
                <w:color w:val="333333"/>
                <w:szCs w:val="22"/>
                <w:lang w:val="fr-FR"/>
              </w:rPr>
              <w:t xml:space="preserve">unes des industries audiovisuelles </w:t>
            </w:r>
            <w:r w:rsidR="00055037" w:rsidRPr="00927778">
              <w:rPr>
                <w:color w:val="333333"/>
                <w:szCs w:val="22"/>
                <w:lang w:val="fr-FR"/>
              </w:rPr>
              <w:t>africaines à la croissance rapi</w:t>
            </w:r>
            <w:r w:rsidR="00306E74" w:rsidRPr="00927778">
              <w:rPr>
                <w:color w:val="333333"/>
                <w:szCs w:val="22"/>
                <w:lang w:val="fr-FR"/>
              </w:rPr>
              <w:t>de.  Le</w:t>
            </w:r>
            <w:r w:rsidR="007206A2" w:rsidRPr="00927778">
              <w:rPr>
                <w:color w:val="333333"/>
                <w:szCs w:val="22"/>
                <w:lang w:val="fr-FR"/>
              </w:rPr>
              <w:t xml:space="preserve"> projet comprend trois</w:t>
            </w:r>
            <w:r w:rsidR="0057466D" w:rsidRPr="00927778">
              <w:rPr>
                <w:color w:val="333333"/>
                <w:szCs w:val="22"/>
                <w:lang w:val="fr-FR"/>
              </w:rPr>
              <w:t> </w:t>
            </w:r>
            <w:r w:rsidR="007206A2" w:rsidRPr="00927778">
              <w:rPr>
                <w:color w:val="333333"/>
                <w:szCs w:val="22"/>
                <w:lang w:val="fr-FR"/>
              </w:rPr>
              <w:t>grands volets</w:t>
            </w:r>
            <w:r w:rsidR="00EA2C86" w:rsidRPr="00927778">
              <w:rPr>
                <w:color w:val="333333"/>
                <w:szCs w:val="22"/>
                <w:lang w:val="fr-FR"/>
              </w:rPr>
              <w:t> :</w:t>
            </w:r>
          </w:p>
          <w:p w:rsidR="005E6718" w:rsidRPr="00927778" w:rsidRDefault="005E6718" w:rsidP="00D527E8">
            <w:pPr>
              <w:rPr>
                <w:color w:val="333333"/>
                <w:szCs w:val="22"/>
                <w:lang w:val="fr-FR"/>
              </w:rPr>
            </w:pPr>
          </w:p>
          <w:p w:rsidR="00EA2C86" w:rsidRPr="00927778" w:rsidRDefault="001E2DAD" w:rsidP="00EA1A2E">
            <w:pPr>
              <w:numPr>
                <w:ilvl w:val="0"/>
                <w:numId w:val="25"/>
              </w:numPr>
              <w:jc w:val="both"/>
              <w:rPr>
                <w:color w:val="333333"/>
                <w:szCs w:val="22"/>
                <w:lang w:val="fr-FR"/>
              </w:rPr>
            </w:pPr>
            <w:r w:rsidRPr="00927778">
              <w:rPr>
                <w:color w:val="333333"/>
                <w:szCs w:val="22"/>
                <w:lang w:val="fr-FR"/>
              </w:rPr>
              <w:t>les initiatives d</w:t>
            </w:r>
            <w:r w:rsidR="00EA2C86" w:rsidRPr="00927778">
              <w:rPr>
                <w:color w:val="333333"/>
                <w:szCs w:val="22"/>
                <w:lang w:val="fr-FR"/>
              </w:rPr>
              <w:t>’</w:t>
            </w:r>
            <w:r w:rsidRPr="00927778">
              <w:rPr>
                <w:color w:val="333333"/>
                <w:szCs w:val="22"/>
                <w:lang w:val="fr-FR"/>
              </w:rPr>
              <w:t>enseignement à distance s</w:t>
            </w:r>
            <w:r w:rsidR="00EA2C86" w:rsidRPr="00927778">
              <w:rPr>
                <w:color w:val="333333"/>
                <w:szCs w:val="22"/>
                <w:lang w:val="fr-FR"/>
              </w:rPr>
              <w:t>’</w:t>
            </w:r>
            <w:r w:rsidRPr="00927778">
              <w:rPr>
                <w:color w:val="333333"/>
                <w:szCs w:val="22"/>
                <w:lang w:val="fr-FR"/>
              </w:rPr>
              <w:t>appuyant sur la recherche</w:t>
            </w:r>
            <w:r w:rsidR="00902CCE" w:rsidRPr="00927778">
              <w:rPr>
                <w:color w:val="333333"/>
                <w:szCs w:val="22"/>
                <w:lang w:val="fr-FR"/>
              </w:rPr>
              <w:t>;</w:t>
            </w:r>
          </w:p>
          <w:p w:rsidR="00EA2C86" w:rsidRPr="00927778" w:rsidRDefault="001E2DAD" w:rsidP="00EA1A2E">
            <w:pPr>
              <w:numPr>
                <w:ilvl w:val="0"/>
                <w:numId w:val="25"/>
              </w:numPr>
              <w:jc w:val="both"/>
              <w:rPr>
                <w:color w:val="333333"/>
                <w:szCs w:val="22"/>
                <w:lang w:val="fr-FR"/>
              </w:rPr>
            </w:pPr>
            <w:r w:rsidRPr="00927778">
              <w:rPr>
                <w:color w:val="333333"/>
                <w:szCs w:val="22"/>
                <w:lang w:val="fr-FR"/>
              </w:rPr>
              <w:t>les activités de formation et de perfectionnement professionnel</w:t>
            </w:r>
            <w:r w:rsidR="00902CCE" w:rsidRPr="00927778">
              <w:rPr>
                <w:color w:val="333333"/>
                <w:szCs w:val="22"/>
                <w:lang w:val="fr-FR"/>
              </w:rPr>
              <w:t>;</w:t>
            </w:r>
          </w:p>
          <w:p w:rsidR="005E6718" w:rsidRPr="00927778" w:rsidRDefault="001C6B2C" w:rsidP="00EA1A2E">
            <w:pPr>
              <w:numPr>
                <w:ilvl w:val="0"/>
                <w:numId w:val="25"/>
              </w:numPr>
              <w:jc w:val="both"/>
              <w:rPr>
                <w:color w:val="333333"/>
                <w:szCs w:val="22"/>
                <w:lang w:val="fr-FR"/>
              </w:rPr>
            </w:pPr>
            <w:r w:rsidRPr="00927778">
              <w:rPr>
                <w:color w:val="333333"/>
                <w:szCs w:val="22"/>
                <w:lang w:val="fr-FR"/>
              </w:rPr>
              <w:t xml:space="preserve">et </w:t>
            </w:r>
            <w:r w:rsidR="001E2DAD" w:rsidRPr="00927778">
              <w:rPr>
                <w:color w:val="333333"/>
                <w:szCs w:val="22"/>
                <w:lang w:val="fr-FR"/>
              </w:rPr>
              <w:t>le renforcement du cadre juridique</w:t>
            </w:r>
            <w:r w:rsidR="00902CCE" w:rsidRPr="00927778">
              <w:rPr>
                <w:color w:val="333333"/>
                <w:szCs w:val="22"/>
                <w:lang w:val="fr-FR"/>
              </w:rPr>
              <w:t>.</w:t>
            </w:r>
          </w:p>
          <w:p w:rsidR="005E6718" w:rsidRPr="00927778" w:rsidRDefault="005E6718" w:rsidP="00D527E8">
            <w:pPr>
              <w:jc w:val="both"/>
              <w:rPr>
                <w:color w:val="333333"/>
                <w:szCs w:val="22"/>
                <w:lang w:val="fr-FR"/>
              </w:rPr>
            </w:pPr>
          </w:p>
          <w:p w:rsidR="00EA2C86" w:rsidRPr="00927778" w:rsidRDefault="002724F5" w:rsidP="00D527E8">
            <w:pPr>
              <w:autoSpaceDE w:val="0"/>
              <w:autoSpaceDN w:val="0"/>
              <w:rPr>
                <w:color w:val="333333"/>
                <w:szCs w:val="22"/>
                <w:lang w:val="fr-FR"/>
              </w:rPr>
            </w:pPr>
            <w:r w:rsidRPr="00927778">
              <w:rPr>
                <w:color w:val="333333"/>
                <w:szCs w:val="22"/>
                <w:lang w:val="fr-FR"/>
              </w:rPr>
              <w:t xml:space="preserve">Tous les volets visent à accroître la rentabilité des transactions </w:t>
            </w:r>
            <w:r w:rsidR="00B936E7" w:rsidRPr="00927778">
              <w:rPr>
                <w:color w:val="333333"/>
                <w:szCs w:val="22"/>
                <w:lang w:val="fr-FR"/>
              </w:rPr>
              <w:t>de propriété intellectuelle</w:t>
            </w:r>
            <w:r w:rsidR="001C6B2C" w:rsidRPr="00927778">
              <w:rPr>
                <w:color w:val="333333"/>
                <w:szCs w:val="22"/>
                <w:lang w:val="fr-FR"/>
              </w:rPr>
              <w:t xml:space="preserve"> dans le secteur audiovisuel au moyen d</w:t>
            </w:r>
            <w:r w:rsidR="00EA2C86" w:rsidRPr="00927778">
              <w:rPr>
                <w:color w:val="333333"/>
                <w:szCs w:val="22"/>
                <w:lang w:val="fr-FR"/>
              </w:rPr>
              <w:t>’</w:t>
            </w:r>
            <w:r w:rsidR="001C6B2C" w:rsidRPr="00927778">
              <w:rPr>
                <w:color w:val="333333"/>
                <w:szCs w:val="22"/>
                <w:lang w:val="fr-FR"/>
              </w:rPr>
              <w:t>une meilleure compréhension d</w:t>
            </w:r>
            <w:r w:rsidR="00B936E7" w:rsidRPr="00927778">
              <w:rPr>
                <w:color w:val="333333"/>
                <w:szCs w:val="22"/>
                <w:lang w:val="fr-FR"/>
              </w:rPr>
              <w:t xml:space="preserve">es pratiques concernées, </w:t>
            </w:r>
            <w:r w:rsidR="001C6B2C" w:rsidRPr="00927778">
              <w:rPr>
                <w:color w:val="333333"/>
                <w:szCs w:val="22"/>
                <w:lang w:val="fr-FR"/>
              </w:rPr>
              <w:t>du r</w:t>
            </w:r>
            <w:r w:rsidR="00B936E7" w:rsidRPr="00927778">
              <w:rPr>
                <w:color w:val="333333"/>
                <w:szCs w:val="22"/>
                <w:lang w:val="fr-FR"/>
              </w:rPr>
              <w:t>enfor</w:t>
            </w:r>
            <w:r w:rsidR="001C6B2C" w:rsidRPr="00927778">
              <w:rPr>
                <w:color w:val="333333"/>
                <w:szCs w:val="22"/>
                <w:lang w:val="fr-FR"/>
              </w:rPr>
              <w:t>cement de</w:t>
            </w:r>
            <w:r w:rsidR="00B936E7" w:rsidRPr="00927778">
              <w:rPr>
                <w:color w:val="333333"/>
                <w:szCs w:val="22"/>
                <w:lang w:val="fr-FR"/>
              </w:rPr>
              <w:t xml:space="preserve"> la capacité institutionnelle et </w:t>
            </w:r>
            <w:r w:rsidR="001C6B2C" w:rsidRPr="00927778">
              <w:rPr>
                <w:color w:val="333333"/>
                <w:szCs w:val="22"/>
                <w:lang w:val="fr-FR"/>
              </w:rPr>
              <w:t>du perfectionnement d</w:t>
            </w:r>
            <w:r w:rsidR="00B936E7" w:rsidRPr="00927778">
              <w:rPr>
                <w:color w:val="333333"/>
                <w:szCs w:val="22"/>
                <w:lang w:val="fr-FR"/>
              </w:rPr>
              <w:t>es infrastructur</w:t>
            </w:r>
            <w:r w:rsidR="00306E74" w:rsidRPr="00927778">
              <w:rPr>
                <w:color w:val="333333"/>
                <w:szCs w:val="22"/>
                <w:lang w:val="fr-FR"/>
              </w:rPr>
              <w:t>es.  Un</w:t>
            </w:r>
            <w:r w:rsidR="00B936E7" w:rsidRPr="00927778">
              <w:rPr>
                <w:color w:val="333333"/>
                <w:szCs w:val="22"/>
                <w:lang w:val="fr-FR"/>
              </w:rPr>
              <w:t>e utilisation plus efficace</w:t>
            </w:r>
            <w:r w:rsidR="001C6B2C" w:rsidRPr="00927778">
              <w:rPr>
                <w:color w:val="333333"/>
                <w:szCs w:val="22"/>
                <w:lang w:val="fr-FR"/>
              </w:rPr>
              <w:t xml:space="preserve"> du droit d</w:t>
            </w:r>
            <w:r w:rsidR="00EA2C86" w:rsidRPr="00927778">
              <w:rPr>
                <w:color w:val="333333"/>
                <w:szCs w:val="22"/>
                <w:lang w:val="fr-FR"/>
              </w:rPr>
              <w:t>’</w:t>
            </w:r>
            <w:r w:rsidR="001C6B2C" w:rsidRPr="00927778">
              <w:rPr>
                <w:color w:val="333333"/>
                <w:szCs w:val="22"/>
                <w:lang w:val="fr-FR"/>
              </w:rPr>
              <w:t>auteur</w:t>
            </w:r>
            <w:r w:rsidR="00B936E7" w:rsidRPr="00927778">
              <w:rPr>
                <w:color w:val="333333"/>
                <w:szCs w:val="22"/>
                <w:lang w:val="fr-FR"/>
              </w:rPr>
              <w:t xml:space="preserve"> présente de réelles perspectives de consolidation du secteur.</w:t>
            </w:r>
          </w:p>
          <w:p w:rsidR="005E6718" w:rsidRPr="00927778" w:rsidRDefault="005E6718" w:rsidP="00D527E8">
            <w:pPr>
              <w:rPr>
                <w:color w:val="333333"/>
                <w:szCs w:val="22"/>
                <w:lang w:val="fr-FR"/>
              </w:rPr>
            </w:pPr>
          </w:p>
          <w:p w:rsidR="00EA2C86" w:rsidRPr="00927778" w:rsidRDefault="00B936E7" w:rsidP="00D527E8">
            <w:pPr>
              <w:rPr>
                <w:color w:val="333333"/>
                <w:szCs w:val="22"/>
                <w:lang w:val="fr-FR"/>
              </w:rPr>
            </w:pPr>
            <w:r w:rsidRPr="00927778">
              <w:rPr>
                <w:color w:val="333333"/>
                <w:szCs w:val="22"/>
                <w:lang w:val="fr-FR"/>
              </w:rPr>
              <w:t>La p</w:t>
            </w:r>
            <w:r w:rsidR="00902CCE" w:rsidRPr="00927778">
              <w:rPr>
                <w:color w:val="333333"/>
                <w:szCs w:val="22"/>
                <w:lang w:val="fr-FR"/>
              </w:rPr>
              <w:t>hase</w:t>
            </w:r>
            <w:r w:rsidR="00002037" w:rsidRPr="00927778">
              <w:rPr>
                <w:color w:val="333333"/>
                <w:szCs w:val="22"/>
                <w:lang w:val="fr-FR"/>
              </w:rPr>
              <w:t> </w:t>
            </w:r>
            <w:r w:rsidR="00902CCE" w:rsidRPr="00927778">
              <w:rPr>
                <w:color w:val="333333"/>
                <w:szCs w:val="22"/>
                <w:lang w:val="fr-FR"/>
              </w:rPr>
              <w:t xml:space="preserve">II </w:t>
            </w:r>
            <w:r w:rsidRPr="00927778">
              <w:rPr>
                <w:color w:val="333333"/>
                <w:szCs w:val="22"/>
                <w:lang w:val="fr-FR"/>
              </w:rPr>
              <w:t>de ce proje</w:t>
            </w:r>
            <w:r w:rsidR="00902CCE" w:rsidRPr="00927778">
              <w:rPr>
                <w:color w:val="333333"/>
                <w:szCs w:val="22"/>
                <w:lang w:val="fr-FR"/>
              </w:rPr>
              <w:t>t</w:t>
            </w:r>
            <w:r w:rsidR="009D1EC1" w:rsidRPr="00927778">
              <w:rPr>
                <w:color w:val="333333"/>
                <w:szCs w:val="22"/>
                <w:lang w:val="fr-FR"/>
              </w:rPr>
              <w:t xml:space="preserve"> donne un nouvel élan susceptible de consolider la durabilité du projet</w:t>
            </w:r>
            <w:r w:rsidR="00902CCE" w:rsidRPr="00927778">
              <w:rPr>
                <w:color w:val="333333"/>
                <w:szCs w:val="22"/>
                <w:lang w:val="fr-FR"/>
              </w:rPr>
              <w:t xml:space="preserve"> </w:t>
            </w:r>
            <w:r w:rsidR="009D1EC1" w:rsidRPr="00927778">
              <w:rPr>
                <w:color w:val="333333"/>
                <w:szCs w:val="22"/>
                <w:lang w:val="fr-FR"/>
              </w:rPr>
              <w:t xml:space="preserve">et </w:t>
            </w:r>
            <w:r w:rsidR="007C6A8B" w:rsidRPr="00927778">
              <w:rPr>
                <w:color w:val="333333"/>
                <w:szCs w:val="22"/>
                <w:lang w:val="fr-FR"/>
              </w:rPr>
              <w:t>d</w:t>
            </w:r>
            <w:r w:rsidR="00EA2C86" w:rsidRPr="00927778">
              <w:rPr>
                <w:color w:val="333333"/>
                <w:szCs w:val="22"/>
                <w:lang w:val="fr-FR"/>
              </w:rPr>
              <w:t>’</w:t>
            </w:r>
            <w:r w:rsidR="007C6A8B" w:rsidRPr="00927778">
              <w:rPr>
                <w:color w:val="333333"/>
                <w:szCs w:val="22"/>
                <w:lang w:val="fr-FR"/>
              </w:rPr>
              <w:t>accompagner</w:t>
            </w:r>
            <w:r w:rsidR="008B67DE" w:rsidRPr="00927778">
              <w:rPr>
                <w:color w:val="333333"/>
                <w:szCs w:val="22"/>
                <w:lang w:val="fr-FR"/>
              </w:rPr>
              <w:t xml:space="preserve"> les changements structurels du secte</w:t>
            </w:r>
            <w:r w:rsidR="00306E74" w:rsidRPr="00927778">
              <w:rPr>
                <w:color w:val="333333"/>
                <w:szCs w:val="22"/>
                <w:lang w:val="fr-FR"/>
              </w:rPr>
              <w:t>ur.  El</w:t>
            </w:r>
            <w:r w:rsidR="00143C7B" w:rsidRPr="00927778">
              <w:rPr>
                <w:color w:val="333333"/>
                <w:szCs w:val="22"/>
                <w:lang w:val="fr-FR"/>
              </w:rPr>
              <w:t>le permet de capitaliser sur la phase I qui a posé les premiers jalons de la sensibilisation et du savoir en matière d</w:t>
            </w:r>
            <w:r w:rsidR="00EA2C86" w:rsidRPr="00927778">
              <w:rPr>
                <w:color w:val="333333"/>
                <w:szCs w:val="22"/>
                <w:lang w:val="fr-FR"/>
              </w:rPr>
              <w:t>’</w:t>
            </w:r>
            <w:r w:rsidR="00143C7B" w:rsidRPr="00927778">
              <w:rPr>
                <w:color w:val="333333"/>
                <w:szCs w:val="22"/>
                <w:lang w:val="fr-FR"/>
              </w:rPr>
              <w:t>utilisation de la propriété intellectuelle dans le secteur et qui a offert un appui sans faille aux professionnels et aux juristes pour améliorer les compétences et les pratiqu</w:t>
            </w:r>
            <w:r w:rsidR="00334404" w:rsidRPr="00927778">
              <w:rPr>
                <w:color w:val="333333"/>
                <w:szCs w:val="22"/>
                <w:lang w:val="fr-FR"/>
              </w:rPr>
              <w:t>es professionnelles conformes</w:t>
            </w:r>
            <w:r w:rsidR="00143C7B" w:rsidRPr="00927778">
              <w:rPr>
                <w:color w:val="333333"/>
                <w:szCs w:val="22"/>
                <w:lang w:val="fr-FR"/>
              </w:rPr>
              <w:t xml:space="preserve"> aux normes internationales</w:t>
            </w:r>
            <w:r w:rsidR="00902CCE" w:rsidRPr="00927778">
              <w:rPr>
                <w:color w:val="333333"/>
                <w:szCs w:val="22"/>
                <w:lang w:val="fr-FR"/>
              </w:rPr>
              <w:t>.</w:t>
            </w:r>
          </w:p>
          <w:p w:rsidR="00826F80" w:rsidRPr="00927778" w:rsidRDefault="00826F80" w:rsidP="00D527E8">
            <w:pPr>
              <w:rPr>
                <w:color w:val="333333"/>
                <w:lang w:val="fr-FR"/>
              </w:rPr>
            </w:pPr>
          </w:p>
        </w:tc>
      </w:tr>
    </w:tbl>
    <w:p w:rsidR="00BE07C7" w:rsidRPr="00927778" w:rsidRDefault="00BE07C7">
      <w:pPr>
        <w:rPr>
          <w:color w:val="333333"/>
          <w:lang w:val="fr-FR"/>
        </w:rPr>
      </w:pPr>
      <w:r w:rsidRPr="00927778">
        <w:rPr>
          <w:bCs/>
          <w:color w:val="333333"/>
          <w:lang w:val="fr-FR"/>
        </w:rPr>
        <w:br w:type="page"/>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6930"/>
      </w:tblGrid>
      <w:tr w:rsidR="00047C22" w:rsidRPr="00927778" w:rsidTr="00D527E8">
        <w:trPr>
          <w:trHeight w:val="484"/>
        </w:trPr>
        <w:tc>
          <w:tcPr>
            <w:tcW w:w="2340" w:type="dxa"/>
            <w:shd w:val="clear" w:color="auto" w:fill="auto"/>
          </w:tcPr>
          <w:p w:rsidR="00D527E8" w:rsidRPr="00927778" w:rsidRDefault="007206A2" w:rsidP="007206A2">
            <w:pPr>
              <w:pStyle w:val="Heading3"/>
              <w:rPr>
                <w:color w:val="333333"/>
                <w:lang w:val="fr-FR"/>
              </w:rPr>
            </w:pPr>
            <w:r w:rsidRPr="00927778">
              <w:rPr>
                <w:color w:val="333333"/>
                <w:lang w:val="fr-FR"/>
              </w:rPr>
              <w:t>Chef de projet</w:t>
            </w:r>
          </w:p>
        </w:tc>
        <w:tc>
          <w:tcPr>
            <w:tcW w:w="6930" w:type="dxa"/>
            <w:vAlign w:val="center"/>
          </w:tcPr>
          <w:p w:rsidR="005E6718" w:rsidRPr="00927778" w:rsidRDefault="005E6718" w:rsidP="00D527E8">
            <w:pPr>
              <w:rPr>
                <w:iCs/>
                <w:color w:val="333333"/>
                <w:lang w:val="fr-FR"/>
              </w:rPr>
            </w:pPr>
          </w:p>
          <w:p w:rsidR="005E6718" w:rsidRPr="00927778" w:rsidRDefault="007206A2" w:rsidP="007206A2">
            <w:pPr>
              <w:rPr>
                <w:iCs/>
                <w:color w:val="333333"/>
                <w:lang w:val="fr-FR"/>
              </w:rPr>
            </w:pPr>
            <w:r w:rsidRPr="00927778">
              <w:rPr>
                <w:iCs/>
                <w:color w:val="333333"/>
                <w:lang w:val="fr-FR"/>
              </w:rPr>
              <w:t>Mme</w:t>
            </w:r>
            <w:r w:rsidR="0057466D" w:rsidRPr="00927778">
              <w:rPr>
                <w:iCs/>
                <w:color w:val="333333"/>
                <w:lang w:val="fr-FR"/>
              </w:rPr>
              <w:t> </w:t>
            </w:r>
            <w:r w:rsidRPr="00927778">
              <w:rPr>
                <w:iCs/>
                <w:color w:val="333333"/>
                <w:lang w:val="fr-FR"/>
              </w:rPr>
              <w:t>Carole</w:t>
            </w:r>
            <w:r w:rsidR="00CB5AE0" w:rsidRPr="00927778">
              <w:rPr>
                <w:iCs/>
                <w:color w:val="333333"/>
                <w:lang w:val="fr-FR"/>
              </w:rPr>
              <w:t> </w:t>
            </w:r>
            <w:r w:rsidRPr="00927778">
              <w:rPr>
                <w:iCs/>
                <w:color w:val="333333"/>
                <w:lang w:val="fr-FR"/>
              </w:rPr>
              <w:t>Croella</w:t>
            </w:r>
          </w:p>
          <w:p w:rsidR="00545819" w:rsidRPr="00927778" w:rsidRDefault="00545819" w:rsidP="00D527E8">
            <w:pPr>
              <w:rPr>
                <w:iCs/>
                <w:color w:val="333333"/>
                <w:lang w:val="fr-FR"/>
              </w:rPr>
            </w:pPr>
          </w:p>
        </w:tc>
      </w:tr>
      <w:tr w:rsidR="00047C22" w:rsidRPr="00927778" w:rsidTr="00D527E8">
        <w:trPr>
          <w:trHeight w:val="484"/>
        </w:trPr>
        <w:tc>
          <w:tcPr>
            <w:tcW w:w="2340" w:type="dxa"/>
            <w:shd w:val="clear" w:color="auto" w:fill="auto"/>
          </w:tcPr>
          <w:p w:rsidR="00902CCE" w:rsidRPr="00927778" w:rsidRDefault="007206A2" w:rsidP="007206A2">
            <w:pPr>
              <w:pStyle w:val="Heading3"/>
              <w:rPr>
                <w:color w:val="333333"/>
                <w:lang w:val="fr-FR"/>
              </w:rPr>
            </w:pPr>
            <w:r w:rsidRPr="00927778">
              <w:rPr>
                <w:color w:val="333333"/>
                <w:lang w:val="fr-FR"/>
              </w:rPr>
              <w:t>Liens avec les résultats escomptés dans le programme et budget</w:t>
            </w:r>
          </w:p>
        </w:tc>
        <w:tc>
          <w:tcPr>
            <w:tcW w:w="6930" w:type="dxa"/>
            <w:vAlign w:val="center"/>
          </w:tcPr>
          <w:p w:rsidR="005E6718" w:rsidRPr="00927778" w:rsidRDefault="005E6718" w:rsidP="00D527E8">
            <w:pPr>
              <w:rPr>
                <w:color w:val="333333"/>
                <w:lang w:val="fr-FR"/>
              </w:rPr>
            </w:pPr>
          </w:p>
          <w:p w:rsidR="00EA2C86" w:rsidRPr="00927778" w:rsidRDefault="007206A2" w:rsidP="007206A2">
            <w:pPr>
              <w:rPr>
                <w:color w:val="333333"/>
                <w:lang w:val="fr-FR"/>
              </w:rPr>
            </w:pPr>
            <w:r w:rsidRPr="00927778">
              <w:rPr>
                <w:color w:val="333333"/>
                <w:lang w:val="fr-FR"/>
              </w:rPr>
              <w:t>Programme</w:t>
            </w:r>
            <w:r w:rsidR="00002037" w:rsidRPr="00927778">
              <w:rPr>
                <w:color w:val="333333"/>
                <w:lang w:val="fr-FR"/>
              </w:rPr>
              <w:t> </w:t>
            </w:r>
            <w:r w:rsidRPr="00927778">
              <w:rPr>
                <w:color w:val="333333"/>
                <w:lang w:val="fr-FR"/>
              </w:rPr>
              <w:t>3</w:t>
            </w:r>
          </w:p>
          <w:p w:rsidR="005E6718" w:rsidRPr="00927778" w:rsidRDefault="005E6718" w:rsidP="00D527E8">
            <w:pPr>
              <w:rPr>
                <w:color w:val="333333"/>
                <w:lang w:val="fr-FR"/>
              </w:rPr>
            </w:pPr>
          </w:p>
          <w:p w:rsidR="00EA2C86" w:rsidRPr="00927778" w:rsidRDefault="007206A2" w:rsidP="007206A2">
            <w:pPr>
              <w:rPr>
                <w:color w:val="333333"/>
                <w:lang w:val="fr-FR"/>
              </w:rPr>
            </w:pPr>
            <w:r w:rsidRPr="00927778">
              <w:rPr>
                <w:color w:val="333333"/>
                <w:lang w:val="fr-FR"/>
              </w:rPr>
              <w:t>Renforcement des capacités et des compétences pour l</w:t>
            </w:r>
            <w:r w:rsidR="00EA2C86" w:rsidRPr="00927778">
              <w:rPr>
                <w:color w:val="333333"/>
                <w:lang w:val="fr-FR"/>
              </w:rPr>
              <w:t>’</w:t>
            </w:r>
            <w:r w:rsidRPr="00927778">
              <w:rPr>
                <w:color w:val="333333"/>
                <w:lang w:val="fr-FR"/>
              </w:rPr>
              <w:t>utilisation et la gestion efficaces du droit d</w:t>
            </w:r>
            <w:r w:rsidR="00EA2C86" w:rsidRPr="00927778">
              <w:rPr>
                <w:color w:val="333333"/>
                <w:lang w:val="fr-FR"/>
              </w:rPr>
              <w:t>’</w:t>
            </w:r>
            <w:r w:rsidRPr="00927778">
              <w:rPr>
                <w:color w:val="333333"/>
                <w:lang w:val="fr-FR"/>
              </w:rPr>
              <w:t>auteur et des droits connexes dans le cadre du financement et de l</w:t>
            </w:r>
            <w:r w:rsidR="00EA2C86" w:rsidRPr="00927778">
              <w:rPr>
                <w:color w:val="333333"/>
                <w:lang w:val="fr-FR"/>
              </w:rPr>
              <w:t>’</w:t>
            </w:r>
            <w:r w:rsidRPr="00927778">
              <w:rPr>
                <w:color w:val="333333"/>
                <w:lang w:val="fr-FR"/>
              </w:rPr>
              <w:t>exploitation légitime des contenus audiovisuels, en vue d</w:t>
            </w:r>
            <w:r w:rsidR="00EA2C86" w:rsidRPr="00927778">
              <w:rPr>
                <w:color w:val="333333"/>
                <w:lang w:val="fr-FR"/>
              </w:rPr>
              <w:t>’</w:t>
            </w:r>
            <w:r w:rsidRPr="00927778">
              <w:rPr>
                <w:color w:val="333333"/>
                <w:lang w:val="fr-FR"/>
              </w:rPr>
              <w:t>appuyer le développement du secteur audiovisuel local à l</w:t>
            </w:r>
            <w:r w:rsidR="00EA2C86" w:rsidRPr="00927778">
              <w:rPr>
                <w:color w:val="333333"/>
                <w:lang w:val="fr-FR"/>
              </w:rPr>
              <w:t>’</w:t>
            </w:r>
            <w:r w:rsidRPr="00927778">
              <w:rPr>
                <w:color w:val="333333"/>
                <w:lang w:val="fr-FR"/>
              </w:rPr>
              <w:t>ère du numérique aux fins de la promotion du développement économique, social et culturel.</w:t>
            </w:r>
          </w:p>
          <w:p w:rsidR="00826F80" w:rsidRPr="00927778" w:rsidRDefault="00826F80" w:rsidP="00D527E8">
            <w:pPr>
              <w:rPr>
                <w:iCs/>
                <w:color w:val="333333"/>
                <w:lang w:val="fr-FR"/>
              </w:rPr>
            </w:pPr>
          </w:p>
        </w:tc>
      </w:tr>
      <w:tr w:rsidR="00047C22" w:rsidRPr="00927778" w:rsidTr="006D4C53">
        <w:trPr>
          <w:trHeight w:val="733"/>
        </w:trPr>
        <w:tc>
          <w:tcPr>
            <w:tcW w:w="2340" w:type="dxa"/>
            <w:shd w:val="clear" w:color="auto" w:fill="auto"/>
          </w:tcPr>
          <w:p w:rsidR="005E6718" w:rsidRPr="00927778" w:rsidRDefault="007206A2" w:rsidP="007206A2">
            <w:pPr>
              <w:pStyle w:val="Heading3"/>
              <w:rPr>
                <w:color w:val="333333"/>
                <w:lang w:val="fr-FR"/>
              </w:rPr>
            </w:pPr>
            <w:r w:rsidRPr="00927778">
              <w:rPr>
                <w:color w:val="333333"/>
                <w:lang w:val="fr-FR"/>
              </w:rPr>
              <w:t>État d</w:t>
            </w:r>
            <w:r w:rsidR="00EA2C86" w:rsidRPr="00927778">
              <w:rPr>
                <w:color w:val="333333"/>
                <w:lang w:val="fr-FR"/>
              </w:rPr>
              <w:t>’</w:t>
            </w:r>
            <w:r w:rsidRPr="00927778">
              <w:rPr>
                <w:color w:val="333333"/>
                <w:lang w:val="fr-FR"/>
              </w:rPr>
              <w:t>avancement du projet</w:t>
            </w:r>
          </w:p>
          <w:p w:rsidR="00D527E8" w:rsidRPr="00927778" w:rsidRDefault="00D527E8" w:rsidP="00D527E8">
            <w:pPr>
              <w:rPr>
                <w:color w:val="333333"/>
                <w:lang w:val="fr-FR"/>
              </w:rPr>
            </w:pPr>
          </w:p>
        </w:tc>
        <w:tc>
          <w:tcPr>
            <w:tcW w:w="6930" w:type="dxa"/>
            <w:vAlign w:val="center"/>
          </w:tcPr>
          <w:p w:rsidR="005E6718" w:rsidRPr="00927778" w:rsidRDefault="005E6718" w:rsidP="00D527E8">
            <w:pPr>
              <w:rPr>
                <w:iCs/>
                <w:color w:val="333333"/>
                <w:szCs w:val="22"/>
                <w:u w:val="single"/>
                <w:lang w:val="fr-FR"/>
              </w:rPr>
            </w:pPr>
          </w:p>
          <w:p w:rsidR="005E6718" w:rsidRPr="00927778" w:rsidRDefault="007206A2" w:rsidP="0080782C">
            <w:pPr>
              <w:pStyle w:val="ListParagraph"/>
              <w:numPr>
                <w:ilvl w:val="0"/>
                <w:numId w:val="44"/>
              </w:numPr>
              <w:rPr>
                <w:iCs/>
                <w:color w:val="333333"/>
                <w:szCs w:val="22"/>
                <w:u w:val="single"/>
                <w:lang w:val="fr-FR"/>
              </w:rPr>
            </w:pPr>
            <w:r w:rsidRPr="00927778">
              <w:rPr>
                <w:iCs/>
                <w:color w:val="333333"/>
                <w:szCs w:val="22"/>
                <w:u w:val="single"/>
                <w:lang w:val="fr-FR"/>
              </w:rPr>
              <w:t>Généralités</w:t>
            </w:r>
            <w:r w:rsidR="00EA2C86" w:rsidRPr="006D4C53">
              <w:rPr>
                <w:iCs/>
                <w:color w:val="333333"/>
                <w:szCs w:val="22"/>
                <w:lang w:val="fr-FR"/>
              </w:rPr>
              <w:t> :</w:t>
            </w:r>
          </w:p>
          <w:p w:rsidR="005E6718" w:rsidRPr="00927778" w:rsidRDefault="005E6718" w:rsidP="00D527E8">
            <w:pPr>
              <w:rPr>
                <w:iCs/>
                <w:color w:val="333333"/>
                <w:szCs w:val="22"/>
                <w:u w:val="single"/>
                <w:lang w:val="fr-FR"/>
              </w:rPr>
            </w:pPr>
          </w:p>
          <w:p w:rsidR="00EA2C86" w:rsidRPr="00927778" w:rsidRDefault="00DE6597" w:rsidP="00D527E8">
            <w:pPr>
              <w:rPr>
                <w:color w:val="333333"/>
                <w:szCs w:val="22"/>
                <w:lang w:val="fr-FR"/>
              </w:rPr>
            </w:pPr>
            <w:r w:rsidRPr="00927778">
              <w:rPr>
                <w:color w:val="333333"/>
                <w:szCs w:val="22"/>
                <w:lang w:val="fr-FR"/>
              </w:rPr>
              <w:t>La mise en œuvre se déroule de façon satisfaisante grâce à la coordination régulière entre le chef de projet et les coordinateurs n</w:t>
            </w:r>
            <w:r w:rsidR="009B15AE" w:rsidRPr="00927778">
              <w:rPr>
                <w:color w:val="333333"/>
                <w:szCs w:val="22"/>
                <w:lang w:val="fr-FR"/>
              </w:rPr>
              <w:t>ationa</w:t>
            </w:r>
            <w:r w:rsidR="00306E74" w:rsidRPr="00927778">
              <w:rPr>
                <w:color w:val="333333"/>
                <w:szCs w:val="22"/>
                <w:lang w:val="fr-FR"/>
              </w:rPr>
              <w:t>ux.  El</w:t>
            </w:r>
            <w:r w:rsidR="009B15AE" w:rsidRPr="00927778">
              <w:rPr>
                <w:color w:val="333333"/>
                <w:szCs w:val="22"/>
                <w:lang w:val="fr-FR"/>
              </w:rPr>
              <w:t>le est régie par le</w:t>
            </w:r>
            <w:r w:rsidRPr="00927778">
              <w:rPr>
                <w:color w:val="333333"/>
                <w:szCs w:val="22"/>
                <w:lang w:val="fr-FR"/>
              </w:rPr>
              <w:t xml:space="preserve"> </w:t>
            </w:r>
            <w:r w:rsidR="009B15AE" w:rsidRPr="00927778">
              <w:rPr>
                <w:color w:val="333333"/>
                <w:szCs w:val="22"/>
                <w:lang w:val="fr-FR"/>
              </w:rPr>
              <w:t>descriptif de</w:t>
            </w:r>
            <w:r w:rsidRPr="00927778">
              <w:rPr>
                <w:color w:val="333333"/>
                <w:szCs w:val="22"/>
                <w:lang w:val="fr-FR"/>
              </w:rPr>
              <w:t xml:space="preserve"> projet et les cal</w:t>
            </w:r>
            <w:r w:rsidR="00EE7A5D" w:rsidRPr="00927778">
              <w:rPr>
                <w:color w:val="333333"/>
                <w:szCs w:val="22"/>
                <w:lang w:val="fr-FR"/>
              </w:rPr>
              <w:t>endriers qui ont été approuv</w:t>
            </w:r>
            <w:r w:rsidR="00306E74" w:rsidRPr="00927778">
              <w:rPr>
                <w:color w:val="333333"/>
                <w:szCs w:val="22"/>
                <w:lang w:val="fr-FR"/>
              </w:rPr>
              <w:t xml:space="preserve">és.  À </w:t>
            </w:r>
            <w:r w:rsidR="00A638EB" w:rsidRPr="00927778">
              <w:rPr>
                <w:color w:val="333333"/>
                <w:szCs w:val="22"/>
                <w:lang w:val="fr-FR"/>
              </w:rPr>
              <w:t>la suite d</w:t>
            </w:r>
            <w:r w:rsidR="00EA2C86" w:rsidRPr="00927778">
              <w:rPr>
                <w:color w:val="333333"/>
                <w:szCs w:val="22"/>
                <w:lang w:val="fr-FR"/>
              </w:rPr>
              <w:t>’</w:t>
            </w:r>
            <w:r w:rsidR="00A638EB" w:rsidRPr="00927778">
              <w:rPr>
                <w:color w:val="333333"/>
                <w:szCs w:val="22"/>
                <w:lang w:val="fr-FR"/>
              </w:rPr>
              <w:t>échanges entre le chef de projet et les coordinateurs nationaux</w:t>
            </w:r>
            <w:r w:rsidR="006A2892" w:rsidRPr="00927778">
              <w:rPr>
                <w:color w:val="333333"/>
                <w:szCs w:val="22"/>
                <w:lang w:val="fr-FR"/>
              </w:rPr>
              <w:t>,</w:t>
            </w:r>
            <w:r w:rsidR="00EE7A5D" w:rsidRPr="00927778">
              <w:rPr>
                <w:color w:val="333333"/>
                <w:szCs w:val="22"/>
                <w:lang w:val="fr-FR"/>
              </w:rPr>
              <w:t xml:space="preserve"> diverses </w:t>
            </w:r>
            <w:r w:rsidR="00A638EB" w:rsidRPr="00927778">
              <w:rPr>
                <w:color w:val="333333"/>
                <w:szCs w:val="22"/>
                <w:lang w:val="fr-FR"/>
              </w:rPr>
              <w:t xml:space="preserve">activités </w:t>
            </w:r>
            <w:r w:rsidR="00EE7A5D" w:rsidRPr="00927778">
              <w:rPr>
                <w:color w:val="333333"/>
                <w:szCs w:val="22"/>
                <w:lang w:val="fr-FR"/>
              </w:rPr>
              <w:t>s</w:t>
            </w:r>
            <w:r w:rsidR="00EA2C86" w:rsidRPr="00927778">
              <w:rPr>
                <w:color w:val="333333"/>
                <w:szCs w:val="22"/>
                <w:lang w:val="fr-FR"/>
              </w:rPr>
              <w:t>’</w:t>
            </w:r>
            <w:r w:rsidR="00EE7A5D" w:rsidRPr="00927778">
              <w:rPr>
                <w:color w:val="333333"/>
                <w:szCs w:val="22"/>
                <w:lang w:val="fr-FR"/>
              </w:rPr>
              <w:t>adressant aux</w:t>
            </w:r>
            <w:r w:rsidR="00A638EB" w:rsidRPr="00927778">
              <w:rPr>
                <w:color w:val="333333"/>
                <w:szCs w:val="22"/>
                <w:lang w:val="fr-FR"/>
              </w:rPr>
              <w:t xml:space="preserve"> nombreux acteurs du secteur</w:t>
            </w:r>
            <w:r w:rsidR="00EE7A5D" w:rsidRPr="00927778">
              <w:rPr>
                <w:color w:val="333333"/>
                <w:szCs w:val="22"/>
                <w:lang w:val="fr-FR"/>
              </w:rPr>
              <w:t xml:space="preserve"> ainsi qu</w:t>
            </w:r>
            <w:r w:rsidR="00EA2C86" w:rsidRPr="00927778">
              <w:rPr>
                <w:color w:val="333333"/>
                <w:szCs w:val="22"/>
                <w:lang w:val="fr-FR"/>
              </w:rPr>
              <w:t>’</w:t>
            </w:r>
            <w:r w:rsidR="00EE7A5D" w:rsidRPr="00927778">
              <w:rPr>
                <w:color w:val="333333"/>
                <w:szCs w:val="22"/>
                <w:lang w:val="fr-FR"/>
              </w:rPr>
              <w:t xml:space="preserve">aux </w:t>
            </w:r>
            <w:r w:rsidR="00A638EB" w:rsidRPr="00927778">
              <w:rPr>
                <w:color w:val="333333"/>
                <w:szCs w:val="22"/>
                <w:lang w:val="fr-FR"/>
              </w:rPr>
              <w:t>différents maillons de la chaîne de valorisation audiovisuelle</w:t>
            </w:r>
            <w:r w:rsidR="00EE7A5D" w:rsidRPr="00927778">
              <w:rPr>
                <w:color w:val="333333"/>
                <w:szCs w:val="22"/>
                <w:lang w:val="fr-FR"/>
              </w:rPr>
              <w:t xml:space="preserve"> ont été élaborées et mises en pla</w:t>
            </w:r>
            <w:r w:rsidR="00306E74" w:rsidRPr="00927778">
              <w:rPr>
                <w:color w:val="333333"/>
                <w:szCs w:val="22"/>
                <w:lang w:val="fr-FR"/>
              </w:rPr>
              <w:t>ce.  La</w:t>
            </w:r>
            <w:r w:rsidR="00A638EB" w:rsidRPr="00927778">
              <w:rPr>
                <w:color w:val="333333"/>
                <w:szCs w:val="22"/>
                <w:lang w:val="fr-FR"/>
              </w:rPr>
              <w:t xml:space="preserve"> plupart </w:t>
            </w:r>
            <w:r w:rsidR="00EE7A5D" w:rsidRPr="00927778">
              <w:rPr>
                <w:color w:val="333333"/>
                <w:szCs w:val="22"/>
                <w:lang w:val="fr-FR"/>
              </w:rPr>
              <w:t>d</w:t>
            </w:r>
            <w:r w:rsidR="00EA2C86" w:rsidRPr="00927778">
              <w:rPr>
                <w:color w:val="333333"/>
                <w:szCs w:val="22"/>
                <w:lang w:val="fr-FR"/>
              </w:rPr>
              <w:t>’</w:t>
            </w:r>
            <w:r w:rsidR="00EE7A5D" w:rsidRPr="00927778">
              <w:rPr>
                <w:color w:val="333333"/>
                <w:szCs w:val="22"/>
                <w:lang w:val="fr-FR"/>
              </w:rPr>
              <w:t>entre elles</w:t>
            </w:r>
            <w:r w:rsidR="00A638EB" w:rsidRPr="00927778">
              <w:rPr>
                <w:color w:val="333333"/>
                <w:szCs w:val="22"/>
                <w:lang w:val="fr-FR"/>
              </w:rPr>
              <w:t xml:space="preserve"> ont été envisagées </w:t>
            </w:r>
            <w:r w:rsidR="00EE7A5D" w:rsidRPr="00927778">
              <w:rPr>
                <w:color w:val="333333"/>
                <w:szCs w:val="22"/>
                <w:lang w:val="fr-FR"/>
              </w:rPr>
              <w:t>dans une optique</w:t>
            </w:r>
            <w:r w:rsidR="00A638EB" w:rsidRPr="00927778">
              <w:rPr>
                <w:color w:val="333333"/>
                <w:szCs w:val="22"/>
                <w:lang w:val="fr-FR"/>
              </w:rPr>
              <w:t xml:space="preserve"> </w:t>
            </w:r>
            <w:r w:rsidR="00173824" w:rsidRPr="00927778">
              <w:rPr>
                <w:color w:val="333333"/>
                <w:szCs w:val="22"/>
                <w:lang w:val="fr-FR"/>
              </w:rPr>
              <w:t>transnationale et ouverte</w:t>
            </w:r>
            <w:r w:rsidR="00D527E8" w:rsidRPr="00927778">
              <w:rPr>
                <w:color w:val="333333"/>
                <w:szCs w:val="22"/>
                <w:lang w:val="fr-FR"/>
              </w:rPr>
              <w:t xml:space="preserve"> </w:t>
            </w:r>
            <w:r w:rsidR="00173824" w:rsidRPr="00927778">
              <w:rPr>
                <w:color w:val="333333"/>
                <w:szCs w:val="22"/>
                <w:lang w:val="fr-FR"/>
              </w:rPr>
              <w:t xml:space="preserve">afin de nouer des relations avec tous </w:t>
            </w:r>
            <w:r w:rsidR="00EE7A5D" w:rsidRPr="00927778">
              <w:rPr>
                <w:color w:val="333333"/>
                <w:szCs w:val="22"/>
                <w:lang w:val="fr-FR"/>
              </w:rPr>
              <w:t>les pays bénéficiaires, dans le</w:t>
            </w:r>
            <w:r w:rsidR="00173824" w:rsidRPr="00927778">
              <w:rPr>
                <w:color w:val="333333"/>
                <w:szCs w:val="22"/>
                <w:lang w:val="fr-FR"/>
              </w:rPr>
              <w:t>s</w:t>
            </w:r>
            <w:r w:rsidR="00EE7A5D" w:rsidRPr="00927778">
              <w:rPr>
                <w:color w:val="333333"/>
                <w:szCs w:val="22"/>
                <w:lang w:val="fr-FR"/>
              </w:rPr>
              <w:t xml:space="preserve"> </w:t>
            </w:r>
            <w:r w:rsidR="00173824" w:rsidRPr="00927778">
              <w:rPr>
                <w:color w:val="333333"/>
                <w:szCs w:val="22"/>
                <w:lang w:val="fr-FR"/>
              </w:rPr>
              <w:t xml:space="preserve">limites des contraintes </w:t>
            </w:r>
            <w:r w:rsidR="00EE7A5D" w:rsidRPr="00927778">
              <w:rPr>
                <w:color w:val="333333"/>
                <w:szCs w:val="22"/>
                <w:lang w:val="fr-FR"/>
              </w:rPr>
              <w:t>linguistiques</w:t>
            </w:r>
            <w:r w:rsidR="00173824" w:rsidRPr="00927778">
              <w:rPr>
                <w:color w:val="333333"/>
                <w:szCs w:val="22"/>
                <w:lang w:val="fr-FR"/>
              </w:rPr>
              <w:t>.</w:t>
            </w:r>
          </w:p>
          <w:p w:rsidR="005E6718" w:rsidRPr="00927778" w:rsidRDefault="005E6718" w:rsidP="00D527E8">
            <w:pPr>
              <w:pStyle w:val="Heading3"/>
              <w:spacing w:before="0" w:after="0"/>
              <w:rPr>
                <w:bCs w:val="0"/>
                <w:color w:val="333333"/>
                <w:szCs w:val="22"/>
                <w:lang w:val="fr-FR"/>
              </w:rPr>
            </w:pPr>
          </w:p>
          <w:p w:rsidR="005E6718" w:rsidRPr="00927778" w:rsidRDefault="000249C8" w:rsidP="0080782C">
            <w:pPr>
              <w:pStyle w:val="Heading3"/>
              <w:numPr>
                <w:ilvl w:val="0"/>
                <w:numId w:val="44"/>
              </w:numPr>
              <w:spacing w:before="0" w:after="0"/>
              <w:rPr>
                <w:bCs w:val="0"/>
                <w:color w:val="333333"/>
                <w:szCs w:val="22"/>
                <w:lang w:val="fr-FR"/>
              </w:rPr>
            </w:pPr>
            <w:r w:rsidRPr="00927778">
              <w:rPr>
                <w:bCs w:val="0"/>
                <w:color w:val="333333"/>
                <w:szCs w:val="22"/>
                <w:lang w:val="fr-FR"/>
              </w:rPr>
              <w:t>Recherches et enseignement à distance</w:t>
            </w:r>
          </w:p>
          <w:p w:rsidR="005E6718" w:rsidRPr="00927778" w:rsidRDefault="005E6718" w:rsidP="00D527E8">
            <w:pPr>
              <w:autoSpaceDE w:val="0"/>
              <w:autoSpaceDN w:val="0"/>
              <w:adjustRightInd w:val="0"/>
              <w:rPr>
                <w:color w:val="333333"/>
                <w:szCs w:val="22"/>
                <w:lang w:val="fr-FR"/>
              </w:rPr>
            </w:pPr>
          </w:p>
          <w:p w:rsidR="00EA2C86" w:rsidRPr="00927778" w:rsidRDefault="00EA2C86" w:rsidP="003A2B3E">
            <w:pPr>
              <w:autoSpaceDE w:val="0"/>
              <w:autoSpaceDN w:val="0"/>
              <w:adjustRightInd w:val="0"/>
              <w:rPr>
                <w:color w:val="333333"/>
                <w:szCs w:val="22"/>
                <w:lang w:val="fr-FR"/>
              </w:rPr>
            </w:pPr>
            <w:r w:rsidRPr="00927778">
              <w:rPr>
                <w:color w:val="333333"/>
                <w:szCs w:val="22"/>
                <w:lang w:val="fr-FR"/>
              </w:rPr>
              <w:t>-</w:t>
            </w:r>
            <w:r w:rsidR="003A2B3E" w:rsidRPr="00927778">
              <w:rPr>
                <w:color w:val="333333"/>
                <w:szCs w:val="22"/>
                <w:lang w:val="fr-FR"/>
              </w:rPr>
              <w:t xml:space="preserve"> </w:t>
            </w:r>
            <w:r w:rsidR="000249C8" w:rsidRPr="00927778">
              <w:rPr>
                <w:color w:val="333333"/>
                <w:szCs w:val="22"/>
                <w:lang w:val="fr-FR"/>
              </w:rPr>
              <w:t>La première p</w:t>
            </w:r>
            <w:r w:rsidR="00D527E8" w:rsidRPr="00927778">
              <w:rPr>
                <w:color w:val="333333"/>
                <w:szCs w:val="22"/>
                <w:lang w:val="fr-FR"/>
              </w:rPr>
              <w:t>hase</w:t>
            </w:r>
            <w:r w:rsidR="000249C8" w:rsidRPr="00927778">
              <w:rPr>
                <w:color w:val="333333"/>
                <w:szCs w:val="22"/>
                <w:lang w:val="fr-FR"/>
              </w:rPr>
              <w:t xml:space="preserve"> du </w:t>
            </w:r>
            <w:r w:rsidR="000249C8" w:rsidRPr="00927778">
              <w:rPr>
                <w:color w:val="333333"/>
                <w:lang w:val="fr-FR"/>
              </w:rPr>
              <w:t>proje</w:t>
            </w:r>
            <w:r w:rsidR="00396066" w:rsidRPr="00927778">
              <w:rPr>
                <w:color w:val="333333"/>
                <w:lang w:val="fr-FR"/>
              </w:rPr>
              <w:t>t</w:t>
            </w:r>
            <w:r w:rsidR="000249C8" w:rsidRPr="00927778">
              <w:rPr>
                <w:color w:val="333333"/>
                <w:lang w:val="fr-FR"/>
              </w:rPr>
              <w:t xml:space="preserve"> a mis à jour l</w:t>
            </w:r>
            <w:r w:rsidRPr="00927778">
              <w:rPr>
                <w:color w:val="333333"/>
                <w:lang w:val="fr-FR"/>
              </w:rPr>
              <w:t>’</w:t>
            </w:r>
            <w:r w:rsidR="000249C8" w:rsidRPr="00927778">
              <w:rPr>
                <w:color w:val="333333"/>
                <w:lang w:val="fr-FR"/>
              </w:rPr>
              <w:t>existence des lacunes</w:t>
            </w:r>
            <w:r w:rsidR="00063DA0" w:rsidRPr="00927778">
              <w:rPr>
                <w:color w:val="333333"/>
                <w:lang w:val="fr-FR"/>
              </w:rPr>
              <w:t xml:space="preserve"> </w:t>
            </w:r>
            <w:r w:rsidR="000249C8" w:rsidRPr="00927778">
              <w:rPr>
                <w:color w:val="333333"/>
                <w:lang w:val="fr-FR"/>
              </w:rPr>
              <w:t>des pays bénéficiaires en ce qui concerne</w:t>
            </w:r>
            <w:r w:rsidR="00D527E8" w:rsidRPr="00927778">
              <w:rPr>
                <w:color w:val="333333"/>
                <w:szCs w:val="22"/>
                <w:lang w:val="fr-FR"/>
              </w:rPr>
              <w:t xml:space="preserve"> </w:t>
            </w:r>
            <w:r w:rsidR="000249C8" w:rsidRPr="00927778">
              <w:rPr>
                <w:color w:val="333333"/>
                <w:szCs w:val="22"/>
                <w:lang w:val="fr-FR"/>
              </w:rPr>
              <w:t>la taille ou la nature de</w:t>
            </w:r>
            <w:r w:rsidR="00F724BC" w:rsidRPr="00927778">
              <w:rPr>
                <w:color w:val="333333"/>
                <w:szCs w:val="22"/>
                <w:lang w:val="fr-FR"/>
              </w:rPr>
              <w:t xml:space="preserve"> leur marché audiovisuel nation</w:t>
            </w:r>
            <w:r w:rsidR="00306E74" w:rsidRPr="00927778">
              <w:rPr>
                <w:color w:val="333333"/>
                <w:szCs w:val="22"/>
                <w:lang w:val="fr-FR"/>
              </w:rPr>
              <w:t>al.  Un</w:t>
            </w:r>
            <w:r w:rsidR="00F724BC" w:rsidRPr="00927778">
              <w:rPr>
                <w:color w:val="333333"/>
                <w:szCs w:val="22"/>
                <w:lang w:val="fr-FR"/>
              </w:rPr>
              <w:t xml:space="preserve">e </w:t>
            </w:r>
            <w:hyperlink r:id="rId21" w:history="1">
              <w:r w:rsidR="00F724BC" w:rsidRPr="006D4C53">
                <w:rPr>
                  <w:rStyle w:val="Hyperlink"/>
                  <w:color w:val="0000FF"/>
                  <w:szCs w:val="22"/>
                  <w:lang w:val="fr-FR"/>
                </w:rPr>
                <w:t>étude de faisabilité sur l</w:t>
              </w:r>
              <w:r w:rsidRPr="006D4C53">
                <w:rPr>
                  <w:rStyle w:val="Hyperlink"/>
                  <w:color w:val="0000FF"/>
                  <w:szCs w:val="22"/>
                  <w:lang w:val="fr-FR"/>
                </w:rPr>
                <w:t>’</w:t>
              </w:r>
              <w:r w:rsidR="00F724BC" w:rsidRPr="006D4C53">
                <w:rPr>
                  <w:rStyle w:val="Hyperlink"/>
                  <w:color w:val="0000FF"/>
                  <w:szCs w:val="22"/>
                  <w:lang w:val="fr-FR"/>
                </w:rPr>
                <w:t>amélioration de la collecte de données économiques sur le secteur de l</w:t>
              </w:r>
              <w:r w:rsidRPr="006D4C53">
                <w:rPr>
                  <w:rStyle w:val="Hyperlink"/>
                  <w:color w:val="0000FF"/>
                  <w:szCs w:val="22"/>
                  <w:lang w:val="fr-FR"/>
                </w:rPr>
                <w:t>’</w:t>
              </w:r>
              <w:r w:rsidR="00F724BC" w:rsidRPr="006D4C53">
                <w:rPr>
                  <w:rStyle w:val="Hyperlink"/>
                  <w:color w:val="0000FF"/>
                  <w:szCs w:val="22"/>
                  <w:lang w:val="fr-FR"/>
                </w:rPr>
                <w:t>audiovisuel dans plusieurs pays africains</w:t>
              </w:r>
            </w:hyperlink>
            <w:r w:rsidR="00F724BC" w:rsidRPr="00927778">
              <w:rPr>
                <w:color w:val="333333"/>
                <w:szCs w:val="22"/>
                <w:lang w:val="fr-FR"/>
              </w:rPr>
              <w:t xml:space="preserve"> a été menée.</w:t>
            </w:r>
          </w:p>
          <w:p w:rsidR="005E6718" w:rsidRPr="006D4C53" w:rsidRDefault="005E6718" w:rsidP="00D527E8">
            <w:pPr>
              <w:rPr>
                <w:color w:val="333333"/>
                <w:sz w:val="12"/>
                <w:szCs w:val="22"/>
                <w:lang w:val="fr-FR"/>
              </w:rPr>
            </w:pPr>
          </w:p>
          <w:p w:rsidR="00EA2C86" w:rsidRPr="00927778" w:rsidRDefault="002936A6" w:rsidP="00D527E8">
            <w:pPr>
              <w:rPr>
                <w:color w:val="333333"/>
                <w:szCs w:val="22"/>
                <w:lang w:val="fr-FR"/>
              </w:rPr>
            </w:pPr>
            <w:r w:rsidRPr="00927778">
              <w:rPr>
                <w:color w:val="333333"/>
                <w:szCs w:val="22"/>
                <w:lang w:val="fr-FR"/>
              </w:rPr>
              <w:t>Cette étude porte sur l</w:t>
            </w:r>
            <w:r w:rsidR="00EA2C86" w:rsidRPr="00927778">
              <w:rPr>
                <w:color w:val="333333"/>
                <w:szCs w:val="22"/>
                <w:lang w:val="fr-FR"/>
              </w:rPr>
              <w:t>’</w:t>
            </w:r>
            <w:r w:rsidRPr="00927778">
              <w:rPr>
                <w:color w:val="333333"/>
                <w:szCs w:val="22"/>
                <w:lang w:val="fr-FR"/>
              </w:rPr>
              <w:t xml:space="preserve">importance de la collecte de données de marchés </w:t>
            </w:r>
            <w:r w:rsidR="00D15248" w:rsidRPr="00927778">
              <w:rPr>
                <w:color w:val="333333"/>
                <w:szCs w:val="22"/>
                <w:lang w:val="fr-FR"/>
              </w:rPr>
              <w:t xml:space="preserve">et vise à </w:t>
            </w:r>
            <w:r w:rsidRPr="00927778">
              <w:rPr>
                <w:color w:val="333333"/>
                <w:szCs w:val="22"/>
                <w:lang w:val="fr-FR"/>
              </w:rPr>
              <w:t>concevoir des mesures efficaces</w:t>
            </w:r>
            <w:r w:rsidR="00B63B9F" w:rsidRPr="00927778">
              <w:rPr>
                <w:color w:val="333333"/>
                <w:szCs w:val="22"/>
                <w:lang w:val="fr-FR"/>
              </w:rPr>
              <w:t xml:space="preserve"> </w:t>
            </w:r>
            <w:r w:rsidR="00D15248" w:rsidRPr="00927778">
              <w:rPr>
                <w:color w:val="333333"/>
                <w:szCs w:val="22"/>
                <w:lang w:val="fr-FR"/>
              </w:rPr>
              <w:t xml:space="preserve">pouvant entraîner </w:t>
            </w:r>
            <w:r w:rsidR="00B63B9F" w:rsidRPr="00927778">
              <w:rPr>
                <w:color w:val="333333"/>
                <w:szCs w:val="22"/>
                <w:lang w:val="fr-FR"/>
              </w:rPr>
              <w:t>des résultats tangibles dans le secteur de l</w:t>
            </w:r>
            <w:r w:rsidR="00EA2C86" w:rsidRPr="00927778">
              <w:rPr>
                <w:color w:val="333333"/>
                <w:szCs w:val="22"/>
                <w:lang w:val="fr-FR"/>
              </w:rPr>
              <w:t>’</w:t>
            </w:r>
            <w:r w:rsidR="00B63B9F" w:rsidRPr="00927778">
              <w:rPr>
                <w:color w:val="333333"/>
                <w:szCs w:val="22"/>
                <w:lang w:val="fr-FR"/>
              </w:rPr>
              <w:t>audiovisuel tels que l</w:t>
            </w:r>
            <w:r w:rsidR="00EA2C86" w:rsidRPr="00927778">
              <w:rPr>
                <w:color w:val="333333"/>
                <w:szCs w:val="22"/>
                <w:lang w:val="fr-FR"/>
              </w:rPr>
              <w:t>’</w:t>
            </w:r>
            <w:r w:rsidR="00B63B9F" w:rsidRPr="00927778">
              <w:rPr>
                <w:color w:val="333333"/>
                <w:szCs w:val="22"/>
                <w:lang w:val="fr-FR"/>
              </w:rPr>
              <w:t>acquisition, la gestion et l</w:t>
            </w:r>
            <w:r w:rsidR="00EA2C86" w:rsidRPr="00927778">
              <w:rPr>
                <w:color w:val="333333"/>
                <w:szCs w:val="22"/>
                <w:lang w:val="fr-FR"/>
              </w:rPr>
              <w:t>’</w:t>
            </w:r>
            <w:r w:rsidR="00B63B9F" w:rsidRPr="00927778">
              <w:rPr>
                <w:color w:val="333333"/>
                <w:szCs w:val="22"/>
                <w:lang w:val="fr-FR"/>
              </w:rPr>
              <w:t>utilisation de droit</w:t>
            </w:r>
            <w:r w:rsidR="00D15248" w:rsidRPr="00927778">
              <w:rPr>
                <w:color w:val="333333"/>
                <w:szCs w:val="22"/>
                <w:lang w:val="fr-FR"/>
              </w:rPr>
              <w:t>s de propriété intellectuel</w:t>
            </w:r>
            <w:r w:rsidR="00306E74" w:rsidRPr="00927778">
              <w:rPr>
                <w:color w:val="333333"/>
                <w:szCs w:val="22"/>
                <w:lang w:val="fr-FR"/>
              </w:rPr>
              <w:t>le.  El</w:t>
            </w:r>
            <w:r w:rsidR="008734D1" w:rsidRPr="00927778">
              <w:rPr>
                <w:color w:val="333333"/>
                <w:szCs w:val="22"/>
                <w:lang w:val="fr-FR"/>
              </w:rPr>
              <w:t xml:space="preserve">le souligne à quel point les données de marchés relatives aux acteurs du secteur, aux </w:t>
            </w:r>
            <w:r w:rsidR="00D15248" w:rsidRPr="00927778">
              <w:rPr>
                <w:color w:val="333333"/>
                <w:szCs w:val="22"/>
                <w:lang w:val="fr-FR"/>
              </w:rPr>
              <w:t>publics, aux recettes</w:t>
            </w:r>
            <w:r w:rsidR="008734D1" w:rsidRPr="00927778">
              <w:rPr>
                <w:color w:val="333333"/>
                <w:szCs w:val="22"/>
                <w:lang w:val="fr-FR"/>
              </w:rPr>
              <w:t xml:space="preserve"> et aux tendances sont un prérequis essentiel pour connaître et comprendre le secteur et formuler des politiques et des stratégies qui soient efficaces et cohérentes</w:t>
            </w:r>
            <w:r w:rsidR="00D527E8" w:rsidRPr="00927778">
              <w:rPr>
                <w:color w:val="333333"/>
                <w:szCs w:val="22"/>
                <w:lang w:val="fr-FR"/>
              </w:rPr>
              <w:t>.</w:t>
            </w:r>
          </w:p>
          <w:p w:rsidR="005E6718" w:rsidRPr="006D4C53" w:rsidRDefault="005E6718" w:rsidP="00D527E8">
            <w:pPr>
              <w:rPr>
                <w:color w:val="333333"/>
                <w:sz w:val="14"/>
                <w:szCs w:val="22"/>
                <w:lang w:val="fr-FR"/>
              </w:rPr>
            </w:pPr>
          </w:p>
          <w:p w:rsidR="00EA2C86" w:rsidRPr="00927778" w:rsidRDefault="00320DFF" w:rsidP="00D527E8">
            <w:pPr>
              <w:rPr>
                <w:color w:val="333333"/>
                <w:szCs w:val="22"/>
                <w:lang w:val="fr-FR"/>
              </w:rPr>
            </w:pPr>
            <w:r w:rsidRPr="00927778">
              <w:rPr>
                <w:color w:val="333333"/>
                <w:szCs w:val="22"/>
                <w:lang w:val="fr-FR"/>
              </w:rPr>
              <w:t>Ces données sont utiles pour réussir à mettre</w:t>
            </w:r>
            <w:r w:rsidR="00D15248" w:rsidRPr="00927778">
              <w:rPr>
                <w:color w:val="333333"/>
                <w:szCs w:val="22"/>
                <w:lang w:val="fr-FR"/>
              </w:rPr>
              <w:t xml:space="preserve"> en œuvre des mesures, notamme</w:t>
            </w:r>
            <w:r w:rsidRPr="00927778">
              <w:rPr>
                <w:color w:val="333333"/>
                <w:szCs w:val="22"/>
                <w:lang w:val="fr-FR"/>
              </w:rPr>
              <w:t>nt liées au droit d</w:t>
            </w:r>
            <w:r w:rsidR="00EA2C86" w:rsidRPr="00927778">
              <w:rPr>
                <w:color w:val="333333"/>
                <w:szCs w:val="22"/>
                <w:lang w:val="fr-FR"/>
              </w:rPr>
              <w:t>’</w:t>
            </w:r>
            <w:r w:rsidRPr="00927778">
              <w:rPr>
                <w:color w:val="333333"/>
                <w:szCs w:val="22"/>
                <w:lang w:val="fr-FR"/>
              </w:rPr>
              <w:t>auteur, et pour promouvoir la gestion efficace des droits des créateu</w:t>
            </w:r>
            <w:r w:rsidR="00306E74" w:rsidRPr="00927778">
              <w:rPr>
                <w:color w:val="333333"/>
                <w:szCs w:val="22"/>
                <w:lang w:val="fr-FR"/>
              </w:rPr>
              <w:t>rs.  Gr</w:t>
            </w:r>
            <w:r w:rsidRPr="00927778">
              <w:rPr>
                <w:color w:val="333333"/>
                <w:szCs w:val="22"/>
                <w:lang w:val="fr-FR"/>
              </w:rPr>
              <w:t>âce à elles, il est</w:t>
            </w:r>
            <w:r w:rsidR="00D15248" w:rsidRPr="00927778">
              <w:rPr>
                <w:color w:val="333333"/>
                <w:szCs w:val="22"/>
                <w:lang w:val="fr-FR"/>
              </w:rPr>
              <w:t xml:space="preserve"> aussi </w:t>
            </w:r>
            <w:r w:rsidRPr="00927778">
              <w:rPr>
                <w:color w:val="333333"/>
                <w:szCs w:val="22"/>
                <w:lang w:val="fr-FR"/>
              </w:rPr>
              <w:t>plus aisé d</w:t>
            </w:r>
            <w:r w:rsidR="00EA2C86" w:rsidRPr="00927778">
              <w:rPr>
                <w:color w:val="333333"/>
                <w:szCs w:val="22"/>
                <w:lang w:val="fr-FR"/>
              </w:rPr>
              <w:t>’</w:t>
            </w:r>
            <w:r w:rsidRPr="00927778">
              <w:rPr>
                <w:color w:val="333333"/>
                <w:szCs w:val="22"/>
                <w:lang w:val="fr-FR"/>
              </w:rPr>
              <w:t>analyser les effets des mesures et l</w:t>
            </w:r>
            <w:r w:rsidR="00EA2C86" w:rsidRPr="00927778">
              <w:rPr>
                <w:color w:val="333333"/>
                <w:szCs w:val="22"/>
                <w:lang w:val="fr-FR"/>
              </w:rPr>
              <w:t>’</w:t>
            </w:r>
            <w:r w:rsidRPr="00927778">
              <w:rPr>
                <w:color w:val="333333"/>
                <w:szCs w:val="22"/>
                <w:lang w:val="fr-FR"/>
              </w:rPr>
              <w:t xml:space="preserve">utilisation des financements </w:t>
            </w:r>
            <w:r w:rsidR="00D15248" w:rsidRPr="00927778">
              <w:rPr>
                <w:color w:val="333333"/>
                <w:szCs w:val="22"/>
                <w:lang w:val="fr-FR"/>
              </w:rPr>
              <w:t>ainsi que</w:t>
            </w:r>
            <w:r w:rsidRPr="00927778">
              <w:rPr>
                <w:color w:val="333333"/>
                <w:szCs w:val="22"/>
                <w:lang w:val="fr-FR"/>
              </w:rPr>
              <w:t xml:space="preserve"> de </w:t>
            </w:r>
            <w:r w:rsidR="00D15248" w:rsidRPr="00927778">
              <w:rPr>
                <w:color w:val="333333"/>
                <w:szCs w:val="22"/>
                <w:lang w:val="fr-FR"/>
              </w:rPr>
              <w:t>s</w:t>
            </w:r>
            <w:r w:rsidR="00EA2C86" w:rsidRPr="00927778">
              <w:rPr>
                <w:color w:val="333333"/>
                <w:szCs w:val="22"/>
                <w:lang w:val="fr-FR"/>
              </w:rPr>
              <w:t>’</w:t>
            </w:r>
            <w:r w:rsidR="00D15248" w:rsidRPr="00927778">
              <w:rPr>
                <w:color w:val="333333"/>
                <w:szCs w:val="22"/>
                <w:lang w:val="fr-FR"/>
              </w:rPr>
              <w:t>assurer du</w:t>
            </w:r>
            <w:r w:rsidRPr="00927778">
              <w:rPr>
                <w:color w:val="333333"/>
                <w:szCs w:val="22"/>
                <w:lang w:val="fr-FR"/>
              </w:rPr>
              <w:t xml:space="preserve"> respect des obligations juridiqu</w:t>
            </w:r>
            <w:r w:rsidR="00306E74" w:rsidRPr="00927778">
              <w:rPr>
                <w:color w:val="333333"/>
                <w:szCs w:val="22"/>
                <w:lang w:val="fr-FR"/>
              </w:rPr>
              <w:t>es.  L’é</w:t>
            </w:r>
            <w:r w:rsidR="00457AA0" w:rsidRPr="00927778">
              <w:rPr>
                <w:color w:val="333333"/>
                <w:szCs w:val="22"/>
                <w:lang w:val="fr-FR"/>
              </w:rPr>
              <w:t xml:space="preserve">tude </w:t>
            </w:r>
            <w:r w:rsidR="00D15248" w:rsidRPr="00927778">
              <w:rPr>
                <w:color w:val="333333"/>
                <w:szCs w:val="22"/>
                <w:lang w:val="fr-FR"/>
              </w:rPr>
              <w:t xml:space="preserve">a </w:t>
            </w:r>
            <w:r w:rsidR="00457AA0" w:rsidRPr="00927778">
              <w:rPr>
                <w:color w:val="333333"/>
                <w:szCs w:val="22"/>
                <w:lang w:val="fr-FR"/>
              </w:rPr>
              <w:t>recens</w:t>
            </w:r>
            <w:r w:rsidR="00D15248" w:rsidRPr="00927778">
              <w:rPr>
                <w:color w:val="333333"/>
                <w:szCs w:val="22"/>
                <w:lang w:val="fr-FR"/>
              </w:rPr>
              <w:t>é</w:t>
            </w:r>
            <w:r w:rsidR="00457AA0" w:rsidRPr="00927778">
              <w:rPr>
                <w:color w:val="333333"/>
                <w:szCs w:val="22"/>
                <w:lang w:val="fr-FR"/>
              </w:rPr>
              <w:t xml:space="preserve"> d</w:t>
            </w:r>
            <w:r w:rsidR="00EA2C86" w:rsidRPr="00927778">
              <w:rPr>
                <w:color w:val="333333"/>
                <w:szCs w:val="22"/>
                <w:lang w:val="fr-FR"/>
              </w:rPr>
              <w:t>’</w:t>
            </w:r>
            <w:r w:rsidR="00457AA0" w:rsidRPr="00927778">
              <w:rPr>
                <w:color w:val="333333"/>
                <w:szCs w:val="22"/>
                <w:lang w:val="fr-FR"/>
              </w:rPr>
              <w:t xml:space="preserve">autres </w:t>
            </w:r>
            <w:r w:rsidR="00D15248" w:rsidRPr="00927778">
              <w:rPr>
                <w:color w:val="333333"/>
                <w:szCs w:val="22"/>
                <w:lang w:val="fr-FR"/>
              </w:rPr>
              <w:t>moyens de</w:t>
            </w:r>
            <w:r w:rsidR="00457AA0" w:rsidRPr="00927778">
              <w:rPr>
                <w:color w:val="333333"/>
                <w:szCs w:val="22"/>
                <w:lang w:val="fr-FR"/>
              </w:rPr>
              <w:t xml:space="preserve"> généraliser les résultats du projet et </w:t>
            </w:r>
            <w:r w:rsidR="00D15248" w:rsidRPr="00927778">
              <w:rPr>
                <w:color w:val="333333"/>
                <w:szCs w:val="22"/>
                <w:lang w:val="fr-FR"/>
              </w:rPr>
              <w:t xml:space="preserve">de </w:t>
            </w:r>
            <w:r w:rsidR="00457AA0" w:rsidRPr="00927778">
              <w:rPr>
                <w:color w:val="333333"/>
                <w:szCs w:val="22"/>
                <w:lang w:val="fr-FR"/>
              </w:rPr>
              <w:t>dynamiser la collecte de données dans le secteur de l</w:t>
            </w:r>
            <w:r w:rsidR="00EA2C86" w:rsidRPr="00927778">
              <w:rPr>
                <w:color w:val="333333"/>
                <w:szCs w:val="22"/>
                <w:lang w:val="fr-FR"/>
              </w:rPr>
              <w:t>’</w:t>
            </w:r>
            <w:r w:rsidR="00457AA0" w:rsidRPr="00927778">
              <w:rPr>
                <w:color w:val="333333"/>
                <w:szCs w:val="22"/>
                <w:lang w:val="fr-FR"/>
              </w:rPr>
              <w:t>audiovisu</w:t>
            </w:r>
            <w:r w:rsidR="00306E74" w:rsidRPr="00927778">
              <w:rPr>
                <w:color w:val="333333"/>
                <w:szCs w:val="22"/>
                <w:lang w:val="fr-FR"/>
              </w:rPr>
              <w:t>el.  Il</w:t>
            </w:r>
            <w:r w:rsidR="00457AA0" w:rsidRPr="00927778">
              <w:rPr>
                <w:color w:val="333333"/>
                <w:szCs w:val="22"/>
                <w:lang w:val="fr-FR"/>
              </w:rPr>
              <w:t xml:space="preserve"> y était également recommandé de lancer une étude pilote pour stimuler la coopération transfrontière sur ces thématiques et favoriser la création d</w:t>
            </w:r>
            <w:r w:rsidR="00EA2C86" w:rsidRPr="00927778">
              <w:rPr>
                <w:color w:val="333333"/>
                <w:szCs w:val="22"/>
                <w:lang w:val="fr-FR"/>
              </w:rPr>
              <w:t>’</w:t>
            </w:r>
            <w:r w:rsidR="00457AA0" w:rsidRPr="00927778">
              <w:rPr>
                <w:color w:val="333333"/>
                <w:szCs w:val="22"/>
                <w:lang w:val="fr-FR"/>
              </w:rPr>
              <w:t>un observatoire de recherche pour les pays africai</w:t>
            </w:r>
            <w:r w:rsidR="00306E74" w:rsidRPr="00927778">
              <w:rPr>
                <w:color w:val="333333"/>
                <w:szCs w:val="22"/>
                <w:lang w:val="fr-FR"/>
              </w:rPr>
              <w:t>ns.  L’é</w:t>
            </w:r>
            <w:r w:rsidR="00457AA0" w:rsidRPr="00927778">
              <w:rPr>
                <w:color w:val="333333"/>
                <w:szCs w:val="22"/>
                <w:lang w:val="fr-FR"/>
              </w:rPr>
              <w:t>tude a</w:t>
            </w:r>
            <w:r w:rsidR="008F3DEF" w:rsidRPr="00927778">
              <w:rPr>
                <w:color w:val="333333"/>
                <w:szCs w:val="22"/>
                <w:lang w:val="fr-FR"/>
              </w:rPr>
              <w:t xml:space="preserve"> été présentée lors de la vingt</w:t>
            </w:r>
            <w:r w:rsidR="00EA2C86" w:rsidRPr="00927778">
              <w:rPr>
                <w:color w:val="333333"/>
                <w:szCs w:val="22"/>
                <w:lang w:val="fr-FR"/>
              </w:rPr>
              <w:t> et unième session du CDI</w:t>
            </w:r>
            <w:r w:rsidR="00457AA0" w:rsidRPr="00927778">
              <w:rPr>
                <w:color w:val="333333"/>
                <w:szCs w:val="22"/>
                <w:lang w:val="fr-FR"/>
              </w:rPr>
              <w:t>P</w:t>
            </w:r>
            <w:r w:rsidR="006A766F" w:rsidRPr="00927778">
              <w:rPr>
                <w:color w:val="333333"/>
                <w:szCs w:val="22"/>
                <w:lang w:val="fr-FR"/>
              </w:rPr>
              <w:t>,</w:t>
            </w:r>
            <w:r w:rsidR="00457AA0" w:rsidRPr="00927778">
              <w:rPr>
                <w:color w:val="333333"/>
                <w:szCs w:val="22"/>
                <w:lang w:val="fr-FR"/>
              </w:rPr>
              <w:t xml:space="preserve"> où il a été décidé que le </w:t>
            </w:r>
            <w:r w:rsidR="00D527E8" w:rsidRPr="00927778">
              <w:rPr>
                <w:color w:val="333333"/>
                <w:szCs w:val="22"/>
                <w:lang w:val="fr-FR"/>
              </w:rPr>
              <w:t>Secr</w:t>
            </w:r>
            <w:r w:rsidR="00457AA0" w:rsidRPr="00927778">
              <w:rPr>
                <w:color w:val="333333"/>
                <w:szCs w:val="22"/>
                <w:lang w:val="fr-FR"/>
              </w:rPr>
              <w:t>é</w:t>
            </w:r>
            <w:r w:rsidR="00D527E8" w:rsidRPr="00927778">
              <w:rPr>
                <w:color w:val="333333"/>
                <w:szCs w:val="22"/>
                <w:lang w:val="fr-FR"/>
              </w:rPr>
              <w:t xml:space="preserve">tariat </w:t>
            </w:r>
            <w:r w:rsidR="00457AA0" w:rsidRPr="00927778">
              <w:rPr>
                <w:color w:val="333333"/>
                <w:szCs w:val="22"/>
                <w:lang w:val="fr-FR"/>
              </w:rPr>
              <w:t>examinerait ces recommandations pour déterminer la nécessité et la faisabilité d</w:t>
            </w:r>
            <w:r w:rsidR="00EA2C86" w:rsidRPr="00927778">
              <w:rPr>
                <w:color w:val="333333"/>
                <w:szCs w:val="22"/>
                <w:lang w:val="fr-FR"/>
              </w:rPr>
              <w:t>’</w:t>
            </w:r>
            <w:r w:rsidR="00457AA0" w:rsidRPr="00927778">
              <w:rPr>
                <w:color w:val="333333"/>
                <w:szCs w:val="22"/>
                <w:lang w:val="fr-FR"/>
              </w:rPr>
              <w:t>autres travaux sur la question et qu</w:t>
            </w:r>
            <w:r w:rsidR="00EA2C86" w:rsidRPr="00927778">
              <w:rPr>
                <w:color w:val="333333"/>
                <w:szCs w:val="22"/>
                <w:lang w:val="fr-FR"/>
              </w:rPr>
              <w:t>’</w:t>
            </w:r>
            <w:r w:rsidR="00457AA0" w:rsidRPr="00927778">
              <w:rPr>
                <w:color w:val="333333"/>
                <w:szCs w:val="22"/>
                <w:lang w:val="fr-FR"/>
              </w:rPr>
              <w:t>il soumettrait son avis à la présente session</w:t>
            </w:r>
            <w:r w:rsidR="00EA2C86" w:rsidRPr="00927778">
              <w:rPr>
                <w:color w:val="333333"/>
                <w:szCs w:val="22"/>
                <w:lang w:val="fr-FR"/>
              </w:rPr>
              <w:t xml:space="preserve"> du CDI</w:t>
            </w:r>
            <w:r w:rsidR="00D527E8" w:rsidRPr="00927778">
              <w:rPr>
                <w:color w:val="333333"/>
                <w:szCs w:val="22"/>
                <w:lang w:val="fr-FR"/>
              </w:rPr>
              <w:t>P.</w:t>
            </w:r>
          </w:p>
          <w:p w:rsidR="00EA2C86" w:rsidRPr="00927778" w:rsidRDefault="00EA2C86" w:rsidP="00D527E8">
            <w:pPr>
              <w:rPr>
                <w:color w:val="333333"/>
                <w:szCs w:val="22"/>
                <w:lang w:val="fr-FR"/>
              </w:rPr>
            </w:pPr>
          </w:p>
          <w:p w:rsidR="00EA2C86" w:rsidRPr="00927778" w:rsidRDefault="00EA2C86" w:rsidP="00D527E8">
            <w:pPr>
              <w:rPr>
                <w:rFonts w:ascii="Helvetica" w:hAnsi="Helvetica" w:cs="Times New Roman"/>
                <w:color w:val="333333"/>
                <w:szCs w:val="25"/>
                <w:lang w:val="fr-FR"/>
              </w:rPr>
            </w:pPr>
            <w:r w:rsidRPr="00927778">
              <w:rPr>
                <w:rFonts w:ascii="Helvetica" w:hAnsi="Helvetica" w:cs="Times New Roman"/>
                <w:color w:val="333333"/>
                <w:szCs w:val="25"/>
                <w:lang w:val="fr-FR"/>
              </w:rPr>
              <w:t>-</w:t>
            </w:r>
            <w:r w:rsidR="00D527E8" w:rsidRPr="00927778">
              <w:rPr>
                <w:rFonts w:ascii="Helvetica" w:hAnsi="Helvetica" w:cs="Times New Roman"/>
                <w:color w:val="333333"/>
                <w:szCs w:val="25"/>
                <w:lang w:val="fr-FR"/>
              </w:rPr>
              <w:t xml:space="preserve"> </w:t>
            </w:r>
            <w:r w:rsidR="004E3640" w:rsidRPr="00927778">
              <w:rPr>
                <w:rFonts w:ascii="Helvetica" w:hAnsi="Helvetica" w:cs="Times New Roman"/>
                <w:color w:val="333333"/>
                <w:szCs w:val="25"/>
                <w:lang w:val="fr-FR"/>
              </w:rPr>
              <w:t>L</w:t>
            </w:r>
            <w:r w:rsidRPr="00927778">
              <w:rPr>
                <w:rFonts w:ascii="Helvetica" w:hAnsi="Helvetica" w:cs="Times New Roman"/>
                <w:color w:val="333333"/>
                <w:szCs w:val="25"/>
                <w:lang w:val="fr-FR"/>
              </w:rPr>
              <w:t>’</w:t>
            </w:r>
            <w:r w:rsidR="004E3640" w:rsidRPr="00927778">
              <w:rPr>
                <w:rFonts w:ascii="Helvetica" w:hAnsi="Helvetica" w:cs="Times New Roman"/>
                <w:color w:val="333333"/>
                <w:szCs w:val="25"/>
                <w:lang w:val="fr-FR"/>
              </w:rPr>
              <w:t>élaboration du cours à l</w:t>
            </w:r>
            <w:r w:rsidRPr="00927778">
              <w:rPr>
                <w:rFonts w:ascii="Helvetica" w:hAnsi="Helvetica" w:cs="Times New Roman"/>
                <w:color w:val="333333"/>
                <w:szCs w:val="25"/>
                <w:lang w:val="fr-FR"/>
              </w:rPr>
              <w:t>’</w:t>
            </w:r>
            <w:r w:rsidR="004E3640" w:rsidRPr="00927778">
              <w:rPr>
                <w:rFonts w:ascii="Helvetica" w:hAnsi="Helvetica" w:cs="Times New Roman"/>
                <w:color w:val="333333"/>
                <w:szCs w:val="25"/>
                <w:lang w:val="fr-FR"/>
              </w:rPr>
              <w:t>intention des réalisateurs africains, effectuée en collaboration avec l</w:t>
            </w:r>
            <w:r w:rsidRPr="00927778">
              <w:rPr>
                <w:rFonts w:ascii="Helvetica" w:hAnsi="Helvetica" w:cs="Times New Roman"/>
                <w:color w:val="333333"/>
                <w:szCs w:val="25"/>
                <w:lang w:val="fr-FR"/>
              </w:rPr>
              <w:t>’</w:t>
            </w:r>
            <w:r w:rsidR="004E3640" w:rsidRPr="00927778">
              <w:rPr>
                <w:rFonts w:ascii="Helvetica" w:hAnsi="Helvetica" w:cs="Times New Roman"/>
                <w:color w:val="333333"/>
                <w:szCs w:val="25"/>
                <w:lang w:val="fr-FR"/>
              </w:rPr>
              <w:t>Académie de l</w:t>
            </w:r>
            <w:r w:rsidRPr="00927778">
              <w:rPr>
                <w:rFonts w:ascii="Helvetica" w:hAnsi="Helvetica" w:cs="Times New Roman"/>
                <w:color w:val="333333"/>
                <w:szCs w:val="25"/>
                <w:lang w:val="fr-FR"/>
              </w:rPr>
              <w:t>’</w:t>
            </w:r>
            <w:r w:rsidR="004E3640" w:rsidRPr="00927778">
              <w:rPr>
                <w:rFonts w:ascii="Helvetica" w:hAnsi="Helvetica" w:cs="Times New Roman"/>
                <w:color w:val="333333"/>
                <w:szCs w:val="25"/>
                <w:lang w:val="fr-FR"/>
              </w:rPr>
              <w:t>OMPI, en est à sa dernière éta</w:t>
            </w:r>
            <w:r w:rsidR="00306E74" w:rsidRPr="00927778">
              <w:rPr>
                <w:rFonts w:ascii="Helvetica" w:hAnsi="Helvetica" w:cs="Times New Roman"/>
                <w:color w:val="333333"/>
                <w:szCs w:val="25"/>
                <w:lang w:val="fr-FR"/>
              </w:rPr>
              <w:t>pe.  La</w:t>
            </w:r>
            <w:r w:rsidR="004E3640" w:rsidRPr="00927778">
              <w:rPr>
                <w:rFonts w:ascii="Helvetica" w:hAnsi="Helvetica" w:cs="Times New Roman"/>
                <w:color w:val="333333"/>
                <w:szCs w:val="25"/>
                <w:lang w:val="fr-FR"/>
              </w:rPr>
              <w:t xml:space="preserve"> réalisation du contenu est achevée et la phase d</w:t>
            </w:r>
            <w:r w:rsidRPr="00927778">
              <w:rPr>
                <w:rFonts w:ascii="Helvetica" w:hAnsi="Helvetica" w:cs="Times New Roman"/>
                <w:color w:val="333333"/>
                <w:szCs w:val="25"/>
                <w:lang w:val="fr-FR"/>
              </w:rPr>
              <w:t>’</w:t>
            </w:r>
            <w:r w:rsidR="004E3640" w:rsidRPr="00927778">
              <w:rPr>
                <w:rFonts w:ascii="Helvetica" w:hAnsi="Helvetica" w:cs="Times New Roman"/>
                <w:color w:val="333333"/>
                <w:szCs w:val="25"/>
                <w:lang w:val="fr-FR"/>
              </w:rPr>
              <w:t>essai pilote est prévue pour la fin de l</w:t>
            </w:r>
            <w:r w:rsidRPr="00927778">
              <w:rPr>
                <w:rFonts w:ascii="Helvetica" w:hAnsi="Helvetica" w:cs="Times New Roman"/>
                <w:color w:val="333333"/>
                <w:szCs w:val="25"/>
                <w:lang w:val="fr-FR"/>
              </w:rPr>
              <w:t>’</w:t>
            </w:r>
            <w:r w:rsidR="004E3640" w:rsidRPr="00927778">
              <w:rPr>
                <w:rFonts w:ascii="Helvetica" w:hAnsi="Helvetica" w:cs="Times New Roman"/>
                <w:color w:val="333333"/>
                <w:szCs w:val="25"/>
                <w:lang w:val="fr-FR"/>
              </w:rPr>
              <w:t>année</w:t>
            </w:r>
            <w:r w:rsidR="00002037" w:rsidRPr="00927778">
              <w:rPr>
                <w:rFonts w:ascii="Helvetica" w:hAnsi="Helvetica" w:cs="Times New Roman"/>
                <w:color w:val="333333"/>
                <w:szCs w:val="25"/>
                <w:lang w:val="fr-FR"/>
              </w:rPr>
              <w:t> </w:t>
            </w:r>
            <w:r w:rsidR="004E3640" w:rsidRPr="00927778">
              <w:rPr>
                <w:rFonts w:ascii="Helvetica" w:hAnsi="Helvetica" w:cs="Times New Roman"/>
                <w:color w:val="333333"/>
                <w:szCs w:val="25"/>
                <w:lang w:val="fr-FR"/>
              </w:rPr>
              <w:t>2018.</w:t>
            </w:r>
          </w:p>
          <w:p w:rsidR="005E6718" w:rsidRPr="00927778" w:rsidRDefault="005E6718" w:rsidP="00D527E8">
            <w:pPr>
              <w:rPr>
                <w:bCs/>
                <w:color w:val="333333"/>
                <w:szCs w:val="22"/>
                <w:u w:val="single"/>
                <w:lang w:val="fr-FR"/>
              </w:rPr>
            </w:pPr>
          </w:p>
          <w:p w:rsidR="005E6718" w:rsidRPr="00927778" w:rsidRDefault="007206A2" w:rsidP="00C06200">
            <w:pPr>
              <w:pStyle w:val="ListParagraph"/>
              <w:numPr>
                <w:ilvl w:val="0"/>
                <w:numId w:val="44"/>
              </w:numPr>
              <w:rPr>
                <w:bCs/>
                <w:color w:val="333333"/>
                <w:szCs w:val="22"/>
                <w:u w:val="single"/>
                <w:lang w:val="fr-FR"/>
              </w:rPr>
            </w:pPr>
            <w:r w:rsidRPr="00927778">
              <w:rPr>
                <w:bCs/>
                <w:color w:val="333333"/>
                <w:szCs w:val="22"/>
                <w:u w:val="single"/>
                <w:lang w:val="fr-FR"/>
              </w:rPr>
              <w:t>Formation et développement professionnels</w:t>
            </w:r>
            <w:r w:rsidR="00EA2C86" w:rsidRPr="00927778">
              <w:rPr>
                <w:bCs/>
                <w:color w:val="333333"/>
                <w:szCs w:val="22"/>
                <w:u w:val="single"/>
                <w:lang w:val="fr-FR"/>
              </w:rPr>
              <w:t> :</w:t>
            </w:r>
            <w:r w:rsidRPr="00927778">
              <w:rPr>
                <w:bCs/>
                <w:color w:val="333333"/>
                <w:szCs w:val="22"/>
                <w:u w:val="single"/>
                <w:lang w:val="fr-FR"/>
              </w:rPr>
              <w:t xml:space="preserve"> investir dans les personnes</w:t>
            </w:r>
          </w:p>
          <w:p w:rsidR="005E6718" w:rsidRPr="00927778" w:rsidRDefault="005E6718" w:rsidP="00D527E8">
            <w:pPr>
              <w:rPr>
                <w:color w:val="333333"/>
                <w:szCs w:val="22"/>
                <w:lang w:val="fr-FR"/>
              </w:rPr>
            </w:pPr>
          </w:p>
          <w:p w:rsidR="00EA2C86" w:rsidRPr="00927778" w:rsidRDefault="00FA14E1" w:rsidP="00D527E8">
            <w:pPr>
              <w:rPr>
                <w:color w:val="333333"/>
                <w:szCs w:val="22"/>
                <w:lang w:val="fr-FR"/>
              </w:rPr>
            </w:pPr>
            <w:r w:rsidRPr="00927778">
              <w:rPr>
                <w:color w:val="333333"/>
                <w:szCs w:val="22"/>
                <w:lang w:val="fr-FR"/>
              </w:rPr>
              <w:t xml:space="preserve">Les activités ont été conçues pour </w:t>
            </w:r>
            <w:r w:rsidR="00CD64E7" w:rsidRPr="00927778">
              <w:rPr>
                <w:color w:val="333333"/>
                <w:szCs w:val="22"/>
                <w:lang w:val="fr-FR"/>
              </w:rPr>
              <w:t xml:space="preserve">davantage sensibiliser </w:t>
            </w:r>
            <w:r w:rsidR="007C7EC5" w:rsidRPr="00927778">
              <w:rPr>
                <w:color w:val="333333"/>
                <w:szCs w:val="22"/>
                <w:lang w:val="fr-FR"/>
              </w:rPr>
              <w:t>au droit d</w:t>
            </w:r>
            <w:r w:rsidR="00EA2C86" w:rsidRPr="00927778">
              <w:rPr>
                <w:color w:val="333333"/>
                <w:szCs w:val="22"/>
                <w:lang w:val="fr-FR"/>
              </w:rPr>
              <w:t>’</w:t>
            </w:r>
            <w:r w:rsidR="007C7EC5" w:rsidRPr="00927778">
              <w:rPr>
                <w:color w:val="333333"/>
                <w:szCs w:val="22"/>
                <w:lang w:val="fr-FR"/>
              </w:rPr>
              <w:t xml:space="preserve">auteur </w:t>
            </w:r>
            <w:r w:rsidR="00CD64E7" w:rsidRPr="00927778">
              <w:rPr>
                <w:color w:val="333333"/>
                <w:szCs w:val="22"/>
                <w:lang w:val="fr-FR"/>
              </w:rPr>
              <w:t>l</w:t>
            </w:r>
            <w:r w:rsidR="00EA2C86" w:rsidRPr="00927778">
              <w:rPr>
                <w:color w:val="333333"/>
                <w:szCs w:val="22"/>
                <w:lang w:val="fr-FR"/>
              </w:rPr>
              <w:t>’</w:t>
            </w:r>
            <w:r w:rsidR="00CD64E7" w:rsidRPr="00927778">
              <w:rPr>
                <w:color w:val="333333"/>
                <w:szCs w:val="22"/>
                <w:lang w:val="fr-FR"/>
              </w:rPr>
              <w:t>ensemble des professionnels évoluant directement ou indirectement dans le secteur de l</w:t>
            </w:r>
            <w:r w:rsidR="00EA2C86" w:rsidRPr="00927778">
              <w:rPr>
                <w:color w:val="333333"/>
                <w:szCs w:val="22"/>
                <w:lang w:val="fr-FR"/>
              </w:rPr>
              <w:t>’</w:t>
            </w:r>
            <w:r w:rsidR="00CD64E7" w:rsidRPr="00927778">
              <w:rPr>
                <w:color w:val="333333"/>
                <w:szCs w:val="22"/>
                <w:lang w:val="fr-FR"/>
              </w:rPr>
              <w:t>audiovisuel et dans ses sphères économique ou juridique et leur en donner une meilleure compréhensi</w:t>
            </w:r>
            <w:r w:rsidR="00306E74" w:rsidRPr="00927778">
              <w:rPr>
                <w:color w:val="333333"/>
                <w:szCs w:val="22"/>
                <w:lang w:val="fr-FR"/>
              </w:rPr>
              <w:t>on.  Le</w:t>
            </w:r>
            <w:r w:rsidR="00CD64E7" w:rsidRPr="00927778">
              <w:rPr>
                <w:color w:val="333333"/>
                <w:szCs w:val="22"/>
                <w:lang w:val="fr-FR"/>
              </w:rPr>
              <w:t xml:space="preserve"> projet impliquait notamment de travailler en étroite collaboration avec les trois</w:t>
            </w:r>
            <w:r w:rsidR="0057466D" w:rsidRPr="00927778">
              <w:rPr>
                <w:color w:val="333333"/>
                <w:szCs w:val="22"/>
                <w:lang w:val="fr-FR"/>
              </w:rPr>
              <w:t> </w:t>
            </w:r>
            <w:r w:rsidR="00CD64E7" w:rsidRPr="00927778">
              <w:rPr>
                <w:color w:val="333333"/>
                <w:szCs w:val="22"/>
                <w:lang w:val="fr-FR"/>
              </w:rPr>
              <w:t xml:space="preserve">catégories suivantes </w:t>
            </w:r>
            <w:r w:rsidR="007C7EC5" w:rsidRPr="00927778">
              <w:rPr>
                <w:color w:val="333333"/>
                <w:szCs w:val="22"/>
                <w:lang w:val="fr-FR"/>
              </w:rPr>
              <w:t>de parties prenantes</w:t>
            </w:r>
            <w:r w:rsidR="00CD64E7" w:rsidRPr="00927778">
              <w:rPr>
                <w:color w:val="333333"/>
                <w:szCs w:val="22"/>
                <w:lang w:val="fr-FR"/>
              </w:rPr>
              <w:t xml:space="preserve"> originaires de tous les pays bénéficiaires du projet</w:t>
            </w:r>
            <w:r w:rsidR="00EA2C86" w:rsidRPr="00927778">
              <w:rPr>
                <w:color w:val="333333"/>
                <w:szCs w:val="22"/>
                <w:lang w:val="fr-FR"/>
              </w:rPr>
              <w:t> :</w:t>
            </w:r>
          </w:p>
          <w:p w:rsidR="00EA2C86" w:rsidRPr="00927778" w:rsidRDefault="00EA2C86" w:rsidP="00D527E8">
            <w:pPr>
              <w:rPr>
                <w:color w:val="333333"/>
                <w:szCs w:val="22"/>
                <w:lang w:val="fr-FR"/>
              </w:rPr>
            </w:pPr>
          </w:p>
          <w:p w:rsidR="00EA2C86" w:rsidRPr="00927778" w:rsidRDefault="007206A2" w:rsidP="007206A2">
            <w:pPr>
              <w:numPr>
                <w:ilvl w:val="0"/>
                <w:numId w:val="27"/>
              </w:numPr>
              <w:rPr>
                <w:color w:val="333333"/>
                <w:szCs w:val="22"/>
                <w:lang w:val="fr-FR"/>
              </w:rPr>
            </w:pPr>
            <w:r w:rsidRPr="00927778">
              <w:rPr>
                <w:color w:val="333333"/>
                <w:szCs w:val="22"/>
                <w:lang w:val="fr-FR"/>
              </w:rPr>
              <w:t>Producteurs</w:t>
            </w:r>
            <w:r w:rsidRPr="00927778">
              <w:rPr>
                <w:color w:val="333333"/>
                <w:lang w:val="fr-FR"/>
              </w:rPr>
              <w:t>;</w:t>
            </w:r>
          </w:p>
          <w:p w:rsidR="00EA2C86" w:rsidRPr="00927778" w:rsidRDefault="007206A2" w:rsidP="007206A2">
            <w:pPr>
              <w:numPr>
                <w:ilvl w:val="0"/>
                <w:numId w:val="27"/>
              </w:numPr>
              <w:rPr>
                <w:color w:val="333333"/>
                <w:szCs w:val="22"/>
                <w:lang w:val="fr-FR"/>
              </w:rPr>
            </w:pPr>
            <w:r w:rsidRPr="00927778">
              <w:rPr>
                <w:rFonts w:eastAsia="SimSun"/>
                <w:color w:val="333333"/>
                <w:lang w:val="fr-FR" w:eastAsia="zh-CN"/>
              </w:rPr>
              <w:t>Org</w:t>
            </w:r>
            <w:r w:rsidRPr="00927778">
              <w:rPr>
                <w:color w:val="333333"/>
                <w:szCs w:val="22"/>
                <w:lang w:val="fr-FR"/>
              </w:rPr>
              <w:t>anismes de radiodiffusion</w:t>
            </w:r>
            <w:r w:rsidRPr="00927778">
              <w:rPr>
                <w:color w:val="333333"/>
                <w:lang w:val="fr-FR"/>
              </w:rPr>
              <w:t>;</w:t>
            </w:r>
          </w:p>
          <w:p w:rsidR="005E6718" w:rsidRPr="00927778" w:rsidRDefault="0027414A" w:rsidP="00EA1A2E">
            <w:pPr>
              <w:numPr>
                <w:ilvl w:val="0"/>
                <w:numId w:val="27"/>
              </w:numPr>
              <w:rPr>
                <w:color w:val="333333"/>
                <w:szCs w:val="22"/>
                <w:lang w:val="fr-FR"/>
              </w:rPr>
            </w:pPr>
            <w:r w:rsidRPr="00927778">
              <w:rPr>
                <w:color w:val="333333"/>
                <w:szCs w:val="22"/>
                <w:lang w:val="fr-FR"/>
              </w:rPr>
              <w:t>Magistrats</w:t>
            </w:r>
            <w:r w:rsidR="00CD64E7" w:rsidRPr="00927778">
              <w:rPr>
                <w:color w:val="333333"/>
                <w:szCs w:val="22"/>
                <w:lang w:val="fr-FR"/>
              </w:rPr>
              <w:t xml:space="preserve"> et avocats</w:t>
            </w:r>
            <w:r w:rsidR="00D527E8" w:rsidRPr="00927778">
              <w:rPr>
                <w:color w:val="333333"/>
                <w:szCs w:val="22"/>
                <w:lang w:val="fr-FR"/>
              </w:rPr>
              <w:t>.</w:t>
            </w:r>
          </w:p>
          <w:p w:rsidR="005E6718" w:rsidRPr="00927778" w:rsidRDefault="005E6718" w:rsidP="00126F01">
            <w:pPr>
              <w:rPr>
                <w:color w:val="333333"/>
                <w:szCs w:val="22"/>
                <w:lang w:val="fr-FR"/>
              </w:rPr>
            </w:pPr>
          </w:p>
          <w:p w:rsidR="00EA2C86" w:rsidRPr="00927778" w:rsidRDefault="00CD64E7" w:rsidP="00D527E8">
            <w:pPr>
              <w:rPr>
                <w:color w:val="333333"/>
                <w:szCs w:val="22"/>
                <w:lang w:val="fr-FR"/>
              </w:rPr>
            </w:pPr>
            <w:r w:rsidRPr="00927778">
              <w:rPr>
                <w:color w:val="333333"/>
                <w:szCs w:val="22"/>
                <w:lang w:val="fr-FR"/>
              </w:rPr>
              <w:t xml:space="preserve">Les activités </w:t>
            </w:r>
            <w:r w:rsidR="007C7EC5" w:rsidRPr="00927778">
              <w:rPr>
                <w:color w:val="333333"/>
                <w:szCs w:val="22"/>
                <w:lang w:val="fr-FR"/>
              </w:rPr>
              <w:t>réalisées</w:t>
            </w:r>
            <w:r w:rsidRPr="00927778">
              <w:rPr>
                <w:color w:val="333333"/>
                <w:szCs w:val="22"/>
                <w:lang w:val="fr-FR"/>
              </w:rPr>
              <w:t xml:space="preserve"> à l</w:t>
            </w:r>
            <w:r w:rsidR="00EA2C86" w:rsidRPr="00927778">
              <w:rPr>
                <w:color w:val="333333"/>
                <w:szCs w:val="22"/>
                <w:lang w:val="fr-FR"/>
              </w:rPr>
              <w:t>’</w:t>
            </w:r>
            <w:r w:rsidRPr="00927778">
              <w:rPr>
                <w:color w:val="333333"/>
                <w:szCs w:val="22"/>
                <w:lang w:val="fr-FR"/>
              </w:rPr>
              <w:t>intenti</w:t>
            </w:r>
            <w:r w:rsidR="007C7EC5" w:rsidRPr="00927778">
              <w:rPr>
                <w:color w:val="333333"/>
                <w:szCs w:val="22"/>
                <w:lang w:val="fr-FR"/>
              </w:rPr>
              <w:t>o</w:t>
            </w:r>
            <w:r w:rsidRPr="00927778">
              <w:rPr>
                <w:color w:val="333333"/>
                <w:szCs w:val="22"/>
                <w:lang w:val="fr-FR"/>
              </w:rPr>
              <w:t>n de ces différentes catégories sont détaillées ci</w:t>
            </w:r>
            <w:r w:rsidR="00CB5AE0" w:rsidRPr="00927778">
              <w:rPr>
                <w:color w:val="333333"/>
                <w:szCs w:val="22"/>
                <w:lang w:val="fr-FR"/>
              </w:rPr>
              <w:noBreakHyphen/>
            </w:r>
            <w:r w:rsidRPr="00927778">
              <w:rPr>
                <w:color w:val="333333"/>
                <w:szCs w:val="22"/>
                <w:lang w:val="fr-FR"/>
              </w:rPr>
              <w:t>après</w:t>
            </w:r>
            <w:r w:rsidR="00EA2C86" w:rsidRPr="00927778">
              <w:rPr>
                <w:color w:val="333333"/>
                <w:szCs w:val="22"/>
                <w:lang w:val="fr-FR"/>
              </w:rPr>
              <w:t> :</w:t>
            </w:r>
          </w:p>
          <w:p w:rsidR="00EA2C86" w:rsidRPr="00927778" w:rsidRDefault="00EA2C86" w:rsidP="00D527E8">
            <w:pPr>
              <w:rPr>
                <w:color w:val="333333"/>
                <w:szCs w:val="22"/>
                <w:lang w:val="fr-FR"/>
              </w:rPr>
            </w:pPr>
          </w:p>
          <w:p w:rsidR="005E6718" w:rsidRPr="00927778" w:rsidRDefault="007206A2" w:rsidP="007206A2">
            <w:pPr>
              <w:numPr>
                <w:ilvl w:val="0"/>
                <w:numId w:val="30"/>
              </w:numPr>
              <w:rPr>
                <w:color w:val="333333"/>
                <w:szCs w:val="22"/>
                <w:u w:val="single"/>
                <w:lang w:val="fr-FR"/>
              </w:rPr>
            </w:pPr>
            <w:r w:rsidRPr="00927778">
              <w:rPr>
                <w:color w:val="333333"/>
                <w:szCs w:val="22"/>
                <w:u w:val="single"/>
                <w:lang w:val="fr-FR"/>
              </w:rPr>
              <w:t>Producteurs</w:t>
            </w:r>
            <w:r w:rsidR="00EA2C86" w:rsidRPr="006D4C53">
              <w:rPr>
                <w:color w:val="333333"/>
                <w:szCs w:val="22"/>
                <w:lang w:val="fr-FR"/>
              </w:rPr>
              <w:t> :</w:t>
            </w:r>
          </w:p>
          <w:p w:rsidR="005E6718" w:rsidRPr="00927778" w:rsidRDefault="005E6718" w:rsidP="00D527E8">
            <w:pPr>
              <w:rPr>
                <w:color w:val="333333"/>
                <w:szCs w:val="22"/>
                <w:u w:val="single"/>
                <w:lang w:val="fr-FR"/>
              </w:rPr>
            </w:pPr>
          </w:p>
          <w:p w:rsidR="005E6718" w:rsidRPr="00927778" w:rsidRDefault="00D527E8" w:rsidP="00272CD8">
            <w:pPr>
              <w:rPr>
                <w:color w:val="333333"/>
                <w:szCs w:val="22"/>
                <w:lang w:val="fr-FR"/>
              </w:rPr>
            </w:pPr>
            <w:r w:rsidRPr="00927778">
              <w:rPr>
                <w:color w:val="333333"/>
                <w:szCs w:val="22"/>
                <w:lang w:val="fr-FR"/>
              </w:rPr>
              <w:t xml:space="preserve">1. </w:t>
            </w:r>
            <w:r w:rsidR="00272CD8" w:rsidRPr="00927778">
              <w:rPr>
                <w:color w:val="333333"/>
                <w:szCs w:val="22"/>
                <w:lang w:val="fr-FR"/>
              </w:rPr>
              <w:t xml:space="preserve">Les perspectives et les difficultés liées à la </w:t>
            </w:r>
            <w:r w:rsidR="00B104C1" w:rsidRPr="00927778">
              <w:rPr>
                <w:color w:val="333333"/>
                <w:szCs w:val="22"/>
                <w:lang w:val="fr-FR"/>
              </w:rPr>
              <w:t>professionnalisation</w:t>
            </w:r>
            <w:r w:rsidR="00272CD8" w:rsidRPr="00927778">
              <w:rPr>
                <w:color w:val="333333"/>
                <w:szCs w:val="22"/>
                <w:lang w:val="fr-FR"/>
              </w:rPr>
              <w:t xml:space="preserve"> du marché de l</w:t>
            </w:r>
            <w:r w:rsidR="00EA2C86" w:rsidRPr="00927778">
              <w:rPr>
                <w:color w:val="333333"/>
                <w:szCs w:val="22"/>
                <w:lang w:val="fr-FR"/>
              </w:rPr>
              <w:t>’</w:t>
            </w:r>
            <w:r w:rsidR="00272CD8" w:rsidRPr="00927778">
              <w:rPr>
                <w:color w:val="333333"/>
                <w:szCs w:val="22"/>
                <w:lang w:val="fr-FR"/>
              </w:rPr>
              <w:t xml:space="preserve">audiovisuel </w:t>
            </w:r>
            <w:r w:rsidR="0057466D" w:rsidRPr="00927778">
              <w:rPr>
                <w:color w:val="333333"/>
                <w:szCs w:val="22"/>
                <w:lang w:val="fr-FR"/>
              </w:rPr>
              <w:t>kényen</w:t>
            </w:r>
            <w:r w:rsidR="00272CD8" w:rsidRPr="00927778">
              <w:rPr>
                <w:color w:val="333333"/>
                <w:szCs w:val="22"/>
                <w:lang w:val="fr-FR"/>
              </w:rPr>
              <w:t xml:space="preserve"> ont été abordées au cours d</w:t>
            </w:r>
            <w:r w:rsidR="00EA2C86" w:rsidRPr="00927778">
              <w:rPr>
                <w:color w:val="333333"/>
                <w:szCs w:val="22"/>
                <w:lang w:val="fr-FR"/>
              </w:rPr>
              <w:t>’</w:t>
            </w:r>
            <w:r w:rsidR="00272CD8" w:rsidRPr="00927778">
              <w:rPr>
                <w:color w:val="333333"/>
                <w:szCs w:val="22"/>
                <w:lang w:val="fr-FR"/>
              </w:rPr>
              <w:t>une série d</w:t>
            </w:r>
            <w:r w:rsidR="00EA2C86" w:rsidRPr="00927778">
              <w:rPr>
                <w:color w:val="333333"/>
                <w:szCs w:val="22"/>
                <w:lang w:val="fr-FR"/>
              </w:rPr>
              <w:t>’</w:t>
            </w:r>
            <w:r w:rsidR="00272CD8" w:rsidRPr="00927778">
              <w:rPr>
                <w:color w:val="333333"/>
                <w:szCs w:val="22"/>
                <w:lang w:val="fr-FR"/>
              </w:rPr>
              <w:t>activités de formation</w:t>
            </w:r>
            <w:r w:rsidR="006A2892" w:rsidRPr="00927778">
              <w:rPr>
                <w:color w:val="333333"/>
                <w:szCs w:val="22"/>
                <w:lang w:val="fr-FR"/>
              </w:rPr>
              <w:t>,</w:t>
            </w:r>
            <w:r w:rsidR="00272CD8" w:rsidRPr="00927778">
              <w:rPr>
                <w:color w:val="333333"/>
                <w:szCs w:val="22"/>
                <w:lang w:val="fr-FR"/>
              </w:rPr>
              <w:t xml:space="preserve"> qui se sont déroulées à Nairobi au Ken</w:t>
            </w:r>
            <w:r w:rsidR="00306E74" w:rsidRPr="00927778">
              <w:rPr>
                <w:color w:val="333333"/>
                <w:szCs w:val="22"/>
                <w:lang w:val="fr-FR"/>
              </w:rPr>
              <w:t>ya.  Le</w:t>
            </w:r>
            <w:r w:rsidR="00272CD8" w:rsidRPr="00927778">
              <w:rPr>
                <w:color w:val="333333"/>
                <w:szCs w:val="22"/>
                <w:lang w:val="fr-FR"/>
              </w:rPr>
              <w:t xml:space="preserve"> Conseil du droit d</w:t>
            </w:r>
            <w:r w:rsidR="00EA2C86" w:rsidRPr="00927778">
              <w:rPr>
                <w:color w:val="333333"/>
                <w:szCs w:val="22"/>
                <w:lang w:val="fr-FR"/>
              </w:rPr>
              <w:t>’</w:t>
            </w:r>
            <w:r w:rsidR="00272CD8" w:rsidRPr="00927778">
              <w:rPr>
                <w:color w:val="333333"/>
                <w:szCs w:val="22"/>
                <w:lang w:val="fr-FR"/>
              </w:rPr>
              <w:t>auteur du Kenya (KECOBO) et la Commission cinématographique du Kenya (KFC) ont organisé une série d</w:t>
            </w:r>
            <w:r w:rsidR="00EA2C86" w:rsidRPr="00927778">
              <w:rPr>
                <w:color w:val="333333"/>
                <w:szCs w:val="22"/>
                <w:lang w:val="fr-FR"/>
              </w:rPr>
              <w:t>’</w:t>
            </w:r>
            <w:r w:rsidR="00272CD8" w:rsidRPr="00927778">
              <w:rPr>
                <w:color w:val="333333"/>
                <w:szCs w:val="22"/>
                <w:lang w:val="fr-FR"/>
              </w:rPr>
              <w:t>activités mettant l</w:t>
            </w:r>
            <w:r w:rsidR="00EA2C86" w:rsidRPr="00927778">
              <w:rPr>
                <w:color w:val="333333"/>
                <w:szCs w:val="22"/>
                <w:lang w:val="fr-FR"/>
              </w:rPr>
              <w:t>’</w:t>
            </w:r>
            <w:r w:rsidR="00272CD8" w:rsidRPr="00927778">
              <w:rPr>
                <w:color w:val="333333"/>
                <w:szCs w:val="22"/>
                <w:lang w:val="fr-FR"/>
              </w:rPr>
              <w:t>accent sur le cadre législatif et réglementaire nécessaire à l</w:t>
            </w:r>
            <w:r w:rsidR="00EA2C86" w:rsidRPr="00927778">
              <w:rPr>
                <w:color w:val="333333"/>
                <w:szCs w:val="22"/>
                <w:lang w:val="fr-FR"/>
              </w:rPr>
              <w:t>’</w:t>
            </w:r>
            <w:r w:rsidR="00272CD8" w:rsidRPr="00927778">
              <w:rPr>
                <w:color w:val="333333"/>
                <w:szCs w:val="22"/>
                <w:lang w:val="fr-FR"/>
              </w:rPr>
              <w:t>essor de la production indépendan</w:t>
            </w:r>
            <w:r w:rsidR="00306E74" w:rsidRPr="00927778">
              <w:rPr>
                <w:color w:val="333333"/>
                <w:szCs w:val="22"/>
                <w:lang w:val="fr-FR"/>
              </w:rPr>
              <w:t>te.  Ce</w:t>
            </w:r>
            <w:r w:rsidR="009340D9" w:rsidRPr="00927778">
              <w:rPr>
                <w:color w:val="333333"/>
                <w:szCs w:val="22"/>
                <w:lang w:val="fr-FR"/>
              </w:rPr>
              <w:t xml:space="preserve">s </w:t>
            </w:r>
            <w:r w:rsidR="000C7A9B" w:rsidRPr="00927778">
              <w:rPr>
                <w:color w:val="333333"/>
                <w:szCs w:val="22"/>
                <w:lang w:val="fr-FR"/>
              </w:rPr>
              <w:t>activités</w:t>
            </w:r>
            <w:r w:rsidR="009340D9" w:rsidRPr="00927778">
              <w:rPr>
                <w:color w:val="333333"/>
                <w:szCs w:val="22"/>
                <w:lang w:val="fr-FR"/>
              </w:rPr>
              <w:t xml:space="preserve"> comprenaient</w:t>
            </w:r>
            <w:r w:rsidR="00EA2C86" w:rsidRPr="00927778">
              <w:rPr>
                <w:color w:val="333333"/>
                <w:szCs w:val="22"/>
                <w:lang w:val="fr-FR"/>
              </w:rPr>
              <w:t> :</w:t>
            </w:r>
          </w:p>
          <w:p w:rsidR="005E6718" w:rsidRPr="006D4C53" w:rsidRDefault="005E6718" w:rsidP="00D527E8">
            <w:pPr>
              <w:rPr>
                <w:color w:val="333333"/>
                <w:sz w:val="16"/>
                <w:szCs w:val="22"/>
                <w:lang w:val="fr-FR"/>
              </w:rPr>
            </w:pPr>
          </w:p>
          <w:p w:rsidR="00EA2C86" w:rsidRPr="00927778" w:rsidRDefault="00EA2C86" w:rsidP="00D527E8">
            <w:pPr>
              <w:rPr>
                <w:color w:val="333333"/>
                <w:szCs w:val="22"/>
                <w:lang w:val="fr-FR"/>
              </w:rPr>
            </w:pPr>
            <w:r w:rsidRPr="00927778">
              <w:rPr>
                <w:color w:val="333333"/>
                <w:szCs w:val="22"/>
                <w:lang w:val="fr-FR"/>
              </w:rPr>
              <w:t>-</w:t>
            </w:r>
            <w:r w:rsidR="00D527E8" w:rsidRPr="00927778">
              <w:rPr>
                <w:color w:val="333333"/>
                <w:szCs w:val="22"/>
                <w:lang w:val="fr-FR"/>
              </w:rPr>
              <w:t xml:space="preserve"> </w:t>
            </w:r>
            <w:r w:rsidR="007A1704" w:rsidRPr="00927778">
              <w:rPr>
                <w:color w:val="333333"/>
                <w:szCs w:val="22"/>
                <w:lang w:val="fr-FR"/>
              </w:rPr>
              <w:t>U</w:t>
            </w:r>
            <w:r w:rsidR="00691311" w:rsidRPr="00927778">
              <w:rPr>
                <w:color w:val="333333"/>
                <w:szCs w:val="22"/>
                <w:lang w:val="fr-FR"/>
              </w:rPr>
              <w:t xml:space="preserve">ne table ronde de haut niveau à laquelle </w:t>
            </w:r>
            <w:r w:rsidR="007A1704" w:rsidRPr="00927778">
              <w:rPr>
                <w:color w:val="333333"/>
                <w:szCs w:val="22"/>
                <w:lang w:val="fr-FR"/>
              </w:rPr>
              <w:t xml:space="preserve">ont participé </w:t>
            </w:r>
            <w:r w:rsidR="00691311" w:rsidRPr="00927778">
              <w:rPr>
                <w:color w:val="333333"/>
                <w:szCs w:val="22"/>
                <w:lang w:val="fr-FR"/>
              </w:rPr>
              <w:t>des experts des industries télévisuelle et cinématographique issus de l</w:t>
            </w:r>
            <w:r w:rsidRPr="00927778">
              <w:rPr>
                <w:color w:val="333333"/>
                <w:szCs w:val="22"/>
                <w:lang w:val="fr-FR"/>
              </w:rPr>
              <w:t>’</w:t>
            </w:r>
            <w:r w:rsidR="00691311" w:rsidRPr="00927778">
              <w:rPr>
                <w:color w:val="333333"/>
                <w:szCs w:val="22"/>
                <w:lang w:val="fr-FR"/>
              </w:rPr>
              <w:t xml:space="preserve">association des producteurs indépendants du </w:t>
            </w:r>
            <w:r w:rsidR="007A1704" w:rsidRPr="00927778">
              <w:rPr>
                <w:color w:val="333333"/>
                <w:szCs w:val="22"/>
                <w:lang w:val="fr-FR"/>
              </w:rPr>
              <w:t>Royaume</w:t>
            </w:r>
            <w:r w:rsidR="00CB5AE0" w:rsidRPr="00927778">
              <w:rPr>
                <w:color w:val="333333"/>
                <w:szCs w:val="22"/>
                <w:lang w:val="fr-FR"/>
              </w:rPr>
              <w:noBreakHyphen/>
            </w:r>
            <w:r w:rsidR="007A1704" w:rsidRPr="00927778">
              <w:rPr>
                <w:color w:val="333333"/>
                <w:szCs w:val="22"/>
                <w:lang w:val="fr-FR"/>
              </w:rPr>
              <w:t>U</w:t>
            </w:r>
            <w:r w:rsidR="00306E74" w:rsidRPr="00927778">
              <w:rPr>
                <w:color w:val="333333"/>
                <w:szCs w:val="22"/>
                <w:lang w:val="fr-FR"/>
              </w:rPr>
              <w:t>ni.  Le</w:t>
            </w:r>
            <w:r w:rsidR="0044181F" w:rsidRPr="00927778">
              <w:rPr>
                <w:color w:val="333333"/>
                <w:szCs w:val="22"/>
                <w:lang w:val="fr-FR"/>
              </w:rPr>
              <w:t>s professionnels</w:t>
            </w:r>
            <w:r w:rsidR="007A1704" w:rsidRPr="00927778">
              <w:rPr>
                <w:color w:val="333333"/>
                <w:szCs w:val="22"/>
                <w:lang w:val="fr-FR"/>
              </w:rPr>
              <w:t xml:space="preserve"> y</w:t>
            </w:r>
            <w:r w:rsidR="0044181F" w:rsidRPr="00927778">
              <w:rPr>
                <w:color w:val="333333"/>
                <w:szCs w:val="22"/>
                <w:lang w:val="fr-FR"/>
              </w:rPr>
              <w:t xml:space="preserve"> </w:t>
            </w:r>
            <w:r w:rsidR="00691311" w:rsidRPr="00927778">
              <w:rPr>
                <w:color w:val="333333"/>
                <w:szCs w:val="22"/>
                <w:lang w:val="fr-FR"/>
              </w:rPr>
              <w:t xml:space="preserve">ont abordé des cas réels et des exemples de bonnes pratiques pour stimuler la production de films indépendants, qui </w:t>
            </w:r>
            <w:r w:rsidR="007A1704" w:rsidRPr="00927778">
              <w:rPr>
                <w:color w:val="333333"/>
                <w:szCs w:val="22"/>
                <w:lang w:val="fr-FR"/>
              </w:rPr>
              <w:t>est</w:t>
            </w:r>
            <w:r w:rsidR="00691311" w:rsidRPr="00927778">
              <w:rPr>
                <w:color w:val="333333"/>
                <w:szCs w:val="22"/>
                <w:lang w:val="fr-FR"/>
              </w:rPr>
              <w:t xml:space="preserve"> un prérequis </w:t>
            </w:r>
            <w:r w:rsidR="0044181F" w:rsidRPr="00927778">
              <w:rPr>
                <w:color w:val="333333"/>
                <w:szCs w:val="22"/>
                <w:lang w:val="fr-FR"/>
              </w:rPr>
              <w:t xml:space="preserve">pour respecter les quotas récemment adoptés </w:t>
            </w:r>
            <w:r w:rsidR="007A1704" w:rsidRPr="00927778">
              <w:rPr>
                <w:color w:val="333333"/>
                <w:szCs w:val="22"/>
                <w:lang w:val="fr-FR"/>
              </w:rPr>
              <w:t xml:space="preserve">sur le contenu local dans le domaine de </w:t>
            </w:r>
            <w:r w:rsidR="0044181F" w:rsidRPr="00927778">
              <w:rPr>
                <w:color w:val="333333"/>
                <w:szCs w:val="22"/>
                <w:lang w:val="fr-FR"/>
              </w:rPr>
              <w:t>la production et de la radiodiffusi</w:t>
            </w:r>
            <w:r w:rsidR="00306E74" w:rsidRPr="00927778">
              <w:rPr>
                <w:color w:val="333333"/>
                <w:szCs w:val="22"/>
                <w:lang w:val="fr-FR"/>
              </w:rPr>
              <w:t>on.  L’a</w:t>
            </w:r>
            <w:r w:rsidR="0044181F" w:rsidRPr="00927778">
              <w:rPr>
                <w:color w:val="333333"/>
                <w:szCs w:val="22"/>
                <w:lang w:val="fr-FR"/>
              </w:rPr>
              <w:t xml:space="preserve">ctivité a également </w:t>
            </w:r>
            <w:r w:rsidR="007A1704" w:rsidRPr="00927778">
              <w:rPr>
                <w:color w:val="333333"/>
                <w:szCs w:val="22"/>
                <w:lang w:val="fr-FR"/>
              </w:rPr>
              <w:t>concouru</w:t>
            </w:r>
            <w:r w:rsidR="0044181F" w:rsidRPr="00927778">
              <w:rPr>
                <w:color w:val="333333"/>
                <w:szCs w:val="22"/>
                <w:lang w:val="fr-FR"/>
              </w:rPr>
              <w:t xml:space="preserve"> à une meilleure catégorisation des entreprises du secteur audiovisuel au Kenya.</w:t>
            </w:r>
          </w:p>
          <w:p w:rsidR="00EA2C86" w:rsidRPr="006D4C53" w:rsidRDefault="00EA2C86" w:rsidP="00D527E8">
            <w:pPr>
              <w:rPr>
                <w:color w:val="333333"/>
                <w:sz w:val="16"/>
                <w:szCs w:val="22"/>
                <w:lang w:val="fr-FR"/>
              </w:rPr>
            </w:pPr>
          </w:p>
          <w:p w:rsidR="00EA2C86" w:rsidRPr="00927778" w:rsidRDefault="00EA2C86" w:rsidP="00D527E8">
            <w:pPr>
              <w:rPr>
                <w:color w:val="333333"/>
                <w:szCs w:val="22"/>
                <w:lang w:val="fr-FR"/>
              </w:rPr>
            </w:pPr>
            <w:r w:rsidRPr="00927778">
              <w:rPr>
                <w:color w:val="333333"/>
                <w:szCs w:val="22"/>
                <w:lang w:val="fr-FR"/>
              </w:rPr>
              <w:t>-</w:t>
            </w:r>
            <w:r w:rsidR="00D527E8" w:rsidRPr="00927778">
              <w:rPr>
                <w:color w:val="333333"/>
                <w:szCs w:val="22"/>
                <w:lang w:val="fr-FR"/>
              </w:rPr>
              <w:t xml:space="preserve"> </w:t>
            </w:r>
            <w:r w:rsidR="00CE2E23" w:rsidRPr="00927778">
              <w:rPr>
                <w:color w:val="333333"/>
                <w:szCs w:val="22"/>
                <w:lang w:val="fr-FR"/>
              </w:rPr>
              <w:t>L</w:t>
            </w:r>
            <w:r w:rsidRPr="00927778">
              <w:rPr>
                <w:color w:val="333333"/>
                <w:szCs w:val="22"/>
                <w:lang w:val="fr-FR"/>
              </w:rPr>
              <w:t>’</w:t>
            </w:r>
            <w:r w:rsidR="00CE2E23" w:rsidRPr="00927778">
              <w:rPr>
                <w:color w:val="333333"/>
                <w:szCs w:val="22"/>
                <w:lang w:val="fr-FR"/>
              </w:rPr>
              <w:t>OMPI a également pris part à diverses activités à l</w:t>
            </w:r>
            <w:r w:rsidRPr="00927778">
              <w:rPr>
                <w:color w:val="333333"/>
                <w:szCs w:val="22"/>
                <w:lang w:val="fr-FR"/>
              </w:rPr>
              <w:t>’</w:t>
            </w:r>
            <w:r w:rsidR="00CE2E23" w:rsidRPr="00927778">
              <w:rPr>
                <w:color w:val="333333"/>
                <w:szCs w:val="22"/>
                <w:lang w:val="fr-FR"/>
              </w:rPr>
              <w:t>occasion du marché et festival international du film et de la télévision de Kalasha</w:t>
            </w:r>
            <w:r w:rsidR="006210CE" w:rsidRPr="00927778">
              <w:rPr>
                <w:color w:val="333333"/>
                <w:szCs w:val="22"/>
                <w:lang w:val="fr-FR"/>
              </w:rPr>
              <w:t>,</w:t>
            </w:r>
            <w:r w:rsidR="00CE2E23" w:rsidRPr="00927778">
              <w:rPr>
                <w:color w:val="333333"/>
                <w:szCs w:val="22"/>
                <w:lang w:val="fr-FR"/>
              </w:rPr>
              <w:t xml:space="preserve"> qui s</w:t>
            </w:r>
            <w:r w:rsidRPr="00927778">
              <w:rPr>
                <w:color w:val="333333"/>
                <w:szCs w:val="22"/>
                <w:lang w:val="fr-FR"/>
              </w:rPr>
              <w:t>’</w:t>
            </w:r>
            <w:r w:rsidR="00CE2E23" w:rsidRPr="00927778">
              <w:rPr>
                <w:color w:val="333333"/>
                <w:szCs w:val="22"/>
                <w:lang w:val="fr-FR"/>
              </w:rPr>
              <w:t xml:space="preserve">est tenu à </w:t>
            </w:r>
            <w:r w:rsidR="00D527E8" w:rsidRPr="00927778">
              <w:rPr>
                <w:color w:val="333333"/>
                <w:szCs w:val="22"/>
                <w:lang w:val="fr-FR"/>
              </w:rPr>
              <w:t>Nairo</w:t>
            </w:r>
            <w:r w:rsidR="00306E74" w:rsidRPr="00927778">
              <w:rPr>
                <w:color w:val="333333"/>
                <w:szCs w:val="22"/>
                <w:lang w:val="fr-FR"/>
              </w:rPr>
              <w:t>bi.  Le</w:t>
            </w:r>
            <w:r w:rsidR="00CE2E23" w:rsidRPr="00927778">
              <w:rPr>
                <w:color w:val="333333"/>
                <w:szCs w:val="22"/>
                <w:lang w:val="fr-FR"/>
              </w:rPr>
              <w:t xml:space="preserve"> projet a contribué à une </w:t>
            </w:r>
            <w:r w:rsidR="0000391D" w:rsidRPr="00927778">
              <w:rPr>
                <w:color w:val="333333"/>
                <w:szCs w:val="22"/>
                <w:lang w:val="fr-FR"/>
              </w:rPr>
              <w:t>réunion</w:t>
            </w:r>
            <w:r w:rsidR="00CE2E23" w:rsidRPr="00927778">
              <w:rPr>
                <w:color w:val="333333"/>
                <w:szCs w:val="22"/>
                <w:lang w:val="fr-FR"/>
              </w:rPr>
              <w:t xml:space="preserve"> de haut niveau</w:t>
            </w:r>
            <w:r w:rsidR="0000391D" w:rsidRPr="00927778">
              <w:rPr>
                <w:color w:val="333333"/>
                <w:szCs w:val="22"/>
                <w:lang w:val="fr-FR"/>
              </w:rPr>
              <w:t xml:space="preserve"> visant à parachever la politique nationale en matière de cinématographie.</w:t>
            </w:r>
          </w:p>
          <w:p w:rsidR="005E6718" w:rsidRPr="00927778" w:rsidRDefault="005E6718" w:rsidP="00D527E8">
            <w:pPr>
              <w:rPr>
                <w:color w:val="333333"/>
                <w:szCs w:val="22"/>
                <w:lang w:val="fr-FR"/>
              </w:rPr>
            </w:pPr>
          </w:p>
          <w:p w:rsidR="00EA2C86" w:rsidRPr="00927778" w:rsidRDefault="00EA2C86" w:rsidP="00D527E8">
            <w:pPr>
              <w:rPr>
                <w:color w:val="333333"/>
                <w:szCs w:val="22"/>
                <w:lang w:val="fr-FR"/>
              </w:rPr>
            </w:pPr>
            <w:r w:rsidRPr="00927778">
              <w:rPr>
                <w:color w:val="333333"/>
                <w:szCs w:val="22"/>
                <w:lang w:val="fr-FR"/>
              </w:rPr>
              <w:t>-</w:t>
            </w:r>
            <w:r w:rsidR="00D527E8" w:rsidRPr="00927778">
              <w:rPr>
                <w:color w:val="333333"/>
                <w:szCs w:val="22"/>
                <w:lang w:val="fr-FR"/>
              </w:rPr>
              <w:t xml:space="preserve"> </w:t>
            </w:r>
            <w:r w:rsidR="007D0B0C" w:rsidRPr="00927778">
              <w:rPr>
                <w:color w:val="333333"/>
                <w:szCs w:val="22"/>
                <w:lang w:val="fr-FR"/>
              </w:rPr>
              <w:t>En outre, la question du règlement des litiges dans le secteur audiovisuel a également été abordée grâce à une formation qui y était spécifiquement consacr</w:t>
            </w:r>
            <w:r w:rsidR="00306E74" w:rsidRPr="00927778">
              <w:rPr>
                <w:color w:val="333333"/>
                <w:szCs w:val="22"/>
                <w:lang w:val="fr-FR"/>
              </w:rPr>
              <w:t>ée.  Le</w:t>
            </w:r>
            <w:r w:rsidR="007D0B0C" w:rsidRPr="00927778">
              <w:rPr>
                <w:color w:val="333333"/>
                <w:szCs w:val="22"/>
                <w:lang w:val="fr-FR"/>
              </w:rPr>
              <w:t xml:space="preserve"> sujet a suscité un vif intérêt de la part des avocats et des </w:t>
            </w:r>
            <w:r w:rsidR="003655B3" w:rsidRPr="00927778">
              <w:rPr>
                <w:color w:val="333333"/>
                <w:szCs w:val="22"/>
                <w:lang w:val="fr-FR"/>
              </w:rPr>
              <w:t>parties prenantes</w:t>
            </w:r>
            <w:r w:rsidR="007D0B0C" w:rsidRPr="00927778">
              <w:rPr>
                <w:color w:val="333333"/>
                <w:szCs w:val="22"/>
                <w:lang w:val="fr-FR"/>
              </w:rPr>
              <w:t xml:space="preserve"> du monde de l</w:t>
            </w:r>
            <w:r w:rsidRPr="00927778">
              <w:rPr>
                <w:color w:val="333333"/>
                <w:szCs w:val="22"/>
                <w:lang w:val="fr-FR"/>
              </w:rPr>
              <w:t>’</w:t>
            </w:r>
            <w:r w:rsidR="007D0B0C" w:rsidRPr="00927778">
              <w:rPr>
                <w:color w:val="333333"/>
                <w:szCs w:val="22"/>
                <w:lang w:val="fr-FR"/>
              </w:rPr>
              <w:t>audiovisu</w:t>
            </w:r>
            <w:r w:rsidR="00306E74" w:rsidRPr="00927778">
              <w:rPr>
                <w:color w:val="333333"/>
                <w:szCs w:val="22"/>
                <w:lang w:val="fr-FR"/>
              </w:rPr>
              <w:t>el.  En</w:t>
            </w:r>
            <w:r w:rsidR="007D0B0C" w:rsidRPr="00927778">
              <w:rPr>
                <w:color w:val="333333"/>
                <w:szCs w:val="22"/>
                <w:lang w:val="fr-FR"/>
              </w:rPr>
              <w:t xml:space="preserve"> </w:t>
            </w:r>
            <w:r w:rsidRPr="00927778">
              <w:rPr>
                <w:color w:val="333333"/>
                <w:szCs w:val="22"/>
                <w:lang w:val="fr-FR"/>
              </w:rPr>
              <w:t>septembre 20</w:t>
            </w:r>
            <w:r w:rsidR="007D0B0C" w:rsidRPr="00927778">
              <w:rPr>
                <w:color w:val="333333"/>
                <w:szCs w:val="22"/>
                <w:lang w:val="fr-FR"/>
              </w:rPr>
              <w:t>18, KECOBO a donc signé un mémorandum d</w:t>
            </w:r>
            <w:r w:rsidRPr="00927778">
              <w:rPr>
                <w:color w:val="333333"/>
                <w:szCs w:val="22"/>
                <w:lang w:val="fr-FR"/>
              </w:rPr>
              <w:t>’</w:t>
            </w:r>
            <w:r w:rsidR="007D0B0C" w:rsidRPr="00927778">
              <w:rPr>
                <w:color w:val="333333"/>
                <w:szCs w:val="22"/>
                <w:lang w:val="fr-FR"/>
              </w:rPr>
              <w:t>accord avec le Centre d</w:t>
            </w:r>
            <w:r w:rsidRPr="00927778">
              <w:rPr>
                <w:color w:val="333333"/>
                <w:szCs w:val="22"/>
                <w:lang w:val="fr-FR"/>
              </w:rPr>
              <w:t>’</w:t>
            </w:r>
            <w:r w:rsidR="007D0B0C" w:rsidRPr="00927778">
              <w:rPr>
                <w:color w:val="333333"/>
                <w:szCs w:val="22"/>
                <w:lang w:val="fr-FR"/>
              </w:rPr>
              <w:t>arbitrage et de médiation de</w:t>
            </w:r>
            <w:r w:rsidR="003655B3" w:rsidRPr="00927778">
              <w:rPr>
                <w:color w:val="333333"/>
                <w:szCs w:val="22"/>
                <w:lang w:val="fr-FR"/>
              </w:rPr>
              <w:t xml:space="preserve"> </w:t>
            </w:r>
            <w:r w:rsidR="007D0B0C" w:rsidRPr="00927778">
              <w:rPr>
                <w:color w:val="333333"/>
                <w:szCs w:val="22"/>
                <w:lang w:val="fr-FR"/>
              </w:rPr>
              <w:t>l</w:t>
            </w:r>
            <w:r w:rsidRPr="00927778">
              <w:rPr>
                <w:color w:val="333333"/>
                <w:szCs w:val="22"/>
                <w:lang w:val="fr-FR"/>
              </w:rPr>
              <w:t>’</w:t>
            </w:r>
            <w:r w:rsidR="007D0B0C" w:rsidRPr="00927778">
              <w:rPr>
                <w:color w:val="333333"/>
                <w:szCs w:val="22"/>
                <w:lang w:val="fr-FR"/>
              </w:rPr>
              <w:t>OMPI afin d</w:t>
            </w:r>
            <w:r w:rsidRPr="00927778">
              <w:rPr>
                <w:color w:val="333333"/>
                <w:szCs w:val="22"/>
                <w:lang w:val="fr-FR"/>
              </w:rPr>
              <w:t>’</w:t>
            </w:r>
            <w:r w:rsidR="007D0B0C" w:rsidRPr="00927778">
              <w:rPr>
                <w:color w:val="333333"/>
                <w:szCs w:val="22"/>
                <w:lang w:val="fr-FR"/>
              </w:rPr>
              <w:t>instaurer une coopération officielle</w:t>
            </w:r>
            <w:r w:rsidR="00C1670B" w:rsidRPr="00927778">
              <w:rPr>
                <w:color w:val="333333"/>
                <w:szCs w:val="22"/>
                <w:lang w:val="fr-FR"/>
              </w:rPr>
              <w:t xml:space="preserve"> en matière de règlement des litiges liés au droit d</w:t>
            </w:r>
            <w:r w:rsidRPr="00927778">
              <w:rPr>
                <w:color w:val="333333"/>
                <w:szCs w:val="22"/>
                <w:lang w:val="fr-FR"/>
              </w:rPr>
              <w:t>’</w:t>
            </w:r>
            <w:r w:rsidR="00C1670B" w:rsidRPr="00927778">
              <w:rPr>
                <w:color w:val="333333"/>
                <w:szCs w:val="22"/>
                <w:lang w:val="fr-FR"/>
              </w:rPr>
              <w:t>auteur au Ken</w:t>
            </w:r>
            <w:r w:rsidR="00306E74" w:rsidRPr="00927778">
              <w:rPr>
                <w:color w:val="333333"/>
                <w:szCs w:val="22"/>
                <w:lang w:val="fr-FR"/>
              </w:rPr>
              <w:t>ya.  Au</w:t>
            </w:r>
            <w:r w:rsidR="00C1670B" w:rsidRPr="00927778">
              <w:rPr>
                <w:color w:val="333333"/>
                <w:szCs w:val="22"/>
                <w:lang w:val="fr-FR"/>
              </w:rPr>
              <w:t xml:space="preserve"> vu de ces résultats fructueux, les pays francophones participant au projet ont demandé à bénéficier à l</w:t>
            </w:r>
            <w:r w:rsidRPr="00927778">
              <w:rPr>
                <w:color w:val="333333"/>
                <w:szCs w:val="22"/>
                <w:lang w:val="fr-FR"/>
              </w:rPr>
              <w:t>’</w:t>
            </w:r>
            <w:r w:rsidR="00C1670B" w:rsidRPr="00927778">
              <w:rPr>
                <w:color w:val="333333"/>
                <w:szCs w:val="22"/>
                <w:lang w:val="fr-FR"/>
              </w:rPr>
              <w:t xml:space="preserve">avenir de formations semblables </w:t>
            </w:r>
            <w:r w:rsidR="003655B3" w:rsidRPr="00927778">
              <w:rPr>
                <w:color w:val="333333"/>
                <w:szCs w:val="22"/>
                <w:lang w:val="fr-FR"/>
              </w:rPr>
              <w:t>quoiqu</w:t>
            </w:r>
            <w:r w:rsidR="0010120A" w:rsidRPr="00927778">
              <w:rPr>
                <w:color w:val="333333"/>
                <w:szCs w:val="22"/>
                <w:lang w:val="fr-FR"/>
              </w:rPr>
              <w:t xml:space="preserve">e </w:t>
            </w:r>
            <w:r w:rsidR="00C1670B" w:rsidRPr="00927778">
              <w:rPr>
                <w:color w:val="333333"/>
                <w:szCs w:val="22"/>
                <w:lang w:val="fr-FR"/>
              </w:rPr>
              <w:t>adaptées aux problèmes de leur secteur audiovisuel et à leu</w:t>
            </w:r>
            <w:r w:rsidR="003655B3" w:rsidRPr="00927778">
              <w:rPr>
                <w:color w:val="333333"/>
                <w:szCs w:val="22"/>
                <w:lang w:val="fr-FR"/>
              </w:rPr>
              <w:t>r</w:t>
            </w:r>
            <w:r w:rsidR="00C1670B" w:rsidRPr="00927778">
              <w:rPr>
                <w:color w:val="333333"/>
                <w:szCs w:val="22"/>
                <w:lang w:val="fr-FR"/>
              </w:rPr>
              <w:t>s traditions juridiques propres.</w:t>
            </w:r>
          </w:p>
          <w:p w:rsidR="005E6718" w:rsidRPr="00927778" w:rsidRDefault="005E6718" w:rsidP="00D527E8">
            <w:pPr>
              <w:rPr>
                <w:color w:val="333333"/>
                <w:szCs w:val="22"/>
                <w:lang w:val="fr-FR"/>
              </w:rPr>
            </w:pPr>
          </w:p>
          <w:p w:rsidR="00EA2C86" w:rsidRPr="00927778" w:rsidRDefault="00D527E8" w:rsidP="00D527E8">
            <w:pPr>
              <w:rPr>
                <w:color w:val="333333"/>
                <w:szCs w:val="22"/>
                <w:lang w:val="fr-FR"/>
              </w:rPr>
            </w:pPr>
            <w:r w:rsidRPr="00927778">
              <w:rPr>
                <w:color w:val="333333"/>
                <w:szCs w:val="22"/>
                <w:lang w:val="fr-FR"/>
              </w:rPr>
              <w:t xml:space="preserve">2. </w:t>
            </w:r>
            <w:r w:rsidR="001E2EA1" w:rsidRPr="00927778">
              <w:rPr>
                <w:color w:val="333333"/>
                <w:szCs w:val="22"/>
                <w:lang w:val="fr-FR"/>
              </w:rPr>
              <w:t xml:space="preserve">Le projet </w:t>
            </w:r>
            <w:r w:rsidR="00C1670B" w:rsidRPr="00927778">
              <w:rPr>
                <w:color w:val="333333"/>
                <w:szCs w:val="22"/>
                <w:lang w:val="fr-FR"/>
              </w:rPr>
              <w:t xml:space="preserve">a également été </w:t>
            </w:r>
            <w:r w:rsidR="001E2EA1" w:rsidRPr="00927778">
              <w:rPr>
                <w:color w:val="333333"/>
                <w:szCs w:val="22"/>
                <w:lang w:val="fr-FR"/>
              </w:rPr>
              <w:t>l</w:t>
            </w:r>
            <w:r w:rsidR="00EA2C86" w:rsidRPr="00927778">
              <w:rPr>
                <w:color w:val="333333"/>
                <w:szCs w:val="22"/>
                <w:lang w:val="fr-FR"/>
              </w:rPr>
              <w:t>’</w:t>
            </w:r>
            <w:r w:rsidR="001E2EA1" w:rsidRPr="00927778">
              <w:rPr>
                <w:color w:val="333333"/>
                <w:szCs w:val="22"/>
                <w:lang w:val="fr-FR"/>
              </w:rPr>
              <w:t>occasion</w:t>
            </w:r>
            <w:r w:rsidR="00C1670B" w:rsidRPr="00927778">
              <w:rPr>
                <w:color w:val="333333"/>
                <w:szCs w:val="22"/>
                <w:lang w:val="fr-FR"/>
              </w:rPr>
              <w:t xml:space="preserve"> d</w:t>
            </w:r>
            <w:r w:rsidR="00EA2C86" w:rsidRPr="00927778">
              <w:rPr>
                <w:color w:val="333333"/>
                <w:szCs w:val="22"/>
                <w:lang w:val="fr-FR"/>
              </w:rPr>
              <w:t>’</w:t>
            </w:r>
            <w:r w:rsidR="001E2EA1" w:rsidRPr="00927778">
              <w:rPr>
                <w:color w:val="333333"/>
                <w:szCs w:val="22"/>
                <w:lang w:val="fr-FR"/>
              </w:rPr>
              <w:t>é</w:t>
            </w:r>
            <w:r w:rsidR="00C1670B" w:rsidRPr="00927778">
              <w:rPr>
                <w:color w:val="333333"/>
                <w:szCs w:val="22"/>
                <w:lang w:val="fr-FR"/>
              </w:rPr>
              <w:t>changer activement avec nombre de jeunes producteurs de séries audiovisuelles, un format télévisuel actuellement très populaire en Afriq</w:t>
            </w:r>
            <w:r w:rsidR="00306E74" w:rsidRPr="00927778">
              <w:rPr>
                <w:color w:val="333333"/>
                <w:szCs w:val="22"/>
                <w:lang w:val="fr-FR"/>
              </w:rPr>
              <w:t>ue.  Ce</w:t>
            </w:r>
            <w:r w:rsidR="00BC247B" w:rsidRPr="00927778">
              <w:rPr>
                <w:color w:val="333333"/>
                <w:szCs w:val="22"/>
                <w:lang w:val="fr-FR"/>
              </w:rPr>
              <w:t xml:space="preserve"> marché émergent et dynamique est dominé par une nouvelle génération de producteurs de films qui, s</w:t>
            </w:r>
            <w:r w:rsidR="00EA2C86" w:rsidRPr="00927778">
              <w:rPr>
                <w:color w:val="333333"/>
                <w:szCs w:val="22"/>
                <w:lang w:val="fr-FR"/>
              </w:rPr>
              <w:t>’</w:t>
            </w:r>
            <w:r w:rsidR="00BC247B" w:rsidRPr="00927778">
              <w:rPr>
                <w:color w:val="333333"/>
                <w:szCs w:val="22"/>
                <w:lang w:val="fr-FR"/>
              </w:rPr>
              <w:t>il</w:t>
            </w:r>
            <w:r w:rsidR="001E2EA1" w:rsidRPr="00927778">
              <w:rPr>
                <w:color w:val="333333"/>
                <w:szCs w:val="22"/>
                <w:lang w:val="fr-FR"/>
              </w:rPr>
              <w:t>s</w:t>
            </w:r>
            <w:r w:rsidR="00BC247B" w:rsidRPr="00927778">
              <w:rPr>
                <w:color w:val="333333"/>
                <w:szCs w:val="22"/>
                <w:lang w:val="fr-FR"/>
              </w:rPr>
              <w:t xml:space="preserve"> redonne</w:t>
            </w:r>
            <w:r w:rsidR="001E2EA1" w:rsidRPr="00927778">
              <w:rPr>
                <w:color w:val="333333"/>
                <w:szCs w:val="22"/>
                <w:lang w:val="fr-FR"/>
              </w:rPr>
              <w:t>nt de l</w:t>
            </w:r>
            <w:r w:rsidR="00EA2C86" w:rsidRPr="00927778">
              <w:rPr>
                <w:color w:val="333333"/>
                <w:szCs w:val="22"/>
                <w:lang w:val="fr-FR"/>
              </w:rPr>
              <w:t>’</w:t>
            </w:r>
            <w:r w:rsidR="001E2EA1" w:rsidRPr="00927778">
              <w:rPr>
                <w:color w:val="333333"/>
                <w:szCs w:val="22"/>
                <w:lang w:val="fr-FR"/>
              </w:rPr>
              <w:t>élan</w:t>
            </w:r>
            <w:r w:rsidR="00BC247B" w:rsidRPr="00927778">
              <w:rPr>
                <w:color w:val="333333"/>
                <w:szCs w:val="22"/>
                <w:lang w:val="fr-FR"/>
              </w:rPr>
              <w:t xml:space="preserve"> au secteur, sont dépourvus des compétences </w:t>
            </w:r>
            <w:r w:rsidR="001E2EA1" w:rsidRPr="00927778">
              <w:rPr>
                <w:color w:val="333333"/>
                <w:szCs w:val="22"/>
                <w:lang w:val="fr-FR"/>
              </w:rPr>
              <w:t xml:space="preserve">nécessaires </w:t>
            </w:r>
            <w:r w:rsidR="00BC247B" w:rsidRPr="00927778">
              <w:rPr>
                <w:color w:val="333333"/>
                <w:szCs w:val="22"/>
                <w:lang w:val="fr-FR"/>
              </w:rPr>
              <w:t xml:space="preserve">pour négocier des contrats pour leurs projets et </w:t>
            </w:r>
            <w:r w:rsidR="00761891" w:rsidRPr="00927778">
              <w:rPr>
                <w:color w:val="333333"/>
                <w:szCs w:val="22"/>
                <w:lang w:val="fr-FR"/>
              </w:rPr>
              <w:t>pour monnayer leurs atouts créati</w:t>
            </w:r>
            <w:r w:rsidR="00306E74" w:rsidRPr="00927778">
              <w:rPr>
                <w:color w:val="333333"/>
                <w:szCs w:val="22"/>
                <w:lang w:val="fr-FR"/>
              </w:rPr>
              <w:t>fs.  Un</w:t>
            </w:r>
            <w:r w:rsidR="005443A6" w:rsidRPr="00927778">
              <w:rPr>
                <w:color w:val="333333"/>
                <w:szCs w:val="22"/>
                <w:lang w:val="fr-FR"/>
              </w:rPr>
              <w:t>e formation ciblée a été organisée dans le cadre du marché de l</w:t>
            </w:r>
            <w:r w:rsidR="00EA2C86" w:rsidRPr="00927778">
              <w:rPr>
                <w:color w:val="333333"/>
                <w:szCs w:val="22"/>
                <w:lang w:val="fr-FR"/>
              </w:rPr>
              <w:t>’</w:t>
            </w:r>
            <w:r w:rsidR="005443A6" w:rsidRPr="00927778">
              <w:rPr>
                <w:color w:val="333333"/>
                <w:szCs w:val="22"/>
                <w:lang w:val="fr-FR"/>
              </w:rPr>
              <w:t>audiovisuel panafricain intitulé Série series</w:t>
            </w:r>
            <w:r w:rsidR="006210CE" w:rsidRPr="00927778">
              <w:rPr>
                <w:color w:val="333333"/>
                <w:szCs w:val="22"/>
                <w:lang w:val="fr-FR"/>
              </w:rPr>
              <w:t>,</w:t>
            </w:r>
            <w:r w:rsidR="005443A6" w:rsidRPr="00927778">
              <w:rPr>
                <w:color w:val="333333"/>
                <w:szCs w:val="22"/>
                <w:lang w:val="fr-FR"/>
              </w:rPr>
              <w:t xml:space="preserve"> qui a eu lieu à </w:t>
            </w:r>
            <w:r w:rsidRPr="00927778">
              <w:rPr>
                <w:color w:val="333333"/>
                <w:szCs w:val="22"/>
                <w:lang w:val="fr-FR"/>
              </w:rPr>
              <w:t>Ouagadougou</w:t>
            </w:r>
            <w:r w:rsidR="005443A6" w:rsidRPr="00927778">
              <w:rPr>
                <w:color w:val="333333"/>
                <w:szCs w:val="22"/>
                <w:lang w:val="fr-FR"/>
              </w:rPr>
              <w:t xml:space="preserve"> au</w:t>
            </w:r>
            <w:r w:rsidRPr="00927778">
              <w:rPr>
                <w:color w:val="333333"/>
                <w:szCs w:val="22"/>
                <w:lang w:val="fr-FR"/>
              </w:rPr>
              <w:t xml:space="preserve"> Burkina Fa</w:t>
            </w:r>
            <w:r w:rsidR="00306E74" w:rsidRPr="00927778">
              <w:rPr>
                <w:color w:val="333333"/>
                <w:szCs w:val="22"/>
                <w:lang w:val="fr-FR"/>
              </w:rPr>
              <w:t>so.  Ce</w:t>
            </w:r>
            <w:r w:rsidR="005443A6" w:rsidRPr="00927778">
              <w:rPr>
                <w:color w:val="333333"/>
                <w:szCs w:val="22"/>
                <w:lang w:val="fr-FR"/>
              </w:rPr>
              <w:t xml:space="preserve"> marché professionnel</w:t>
            </w:r>
            <w:r w:rsidR="001E2EA1" w:rsidRPr="00927778">
              <w:rPr>
                <w:color w:val="333333"/>
                <w:szCs w:val="22"/>
                <w:lang w:val="fr-FR"/>
              </w:rPr>
              <w:t>,</w:t>
            </w:r>
            <w:r w:rsidR="005443A6" w:rsidRPr="00927778">
              <w:rPr>
                <w:color w:val="333333"/>
                <w:szCs w:val="22"/>
                <w:lang w:val="fr-FR"/>
              </w:rPr>
              <w:t xml:space="preserve"> qui fait office d</w:t>
            </w:r>
            <w:r w:rsidR="00EA2C86" w:rsidRPr="00927778">
              <w:rPr>
                <w:color w:val="333333"/>
                <w:szCs w:val="22"/>
                <w:lang w:val="fr-FR"/>
              </w:rPr>
              <w:t>’</w:t>
            </w:r>
            <w:r w:rsidR="005443A6" w:rsidRPr="00927778">
              <w:rPr>
                <w:color w:val="333333"/>
                <w:szCs w:val="22"/>
                <w:lang w:val="fr-FR"/>
              </w:rPr>
              <w:t>incubateur pour les nouvelles séries et les jeunes professionnels d</w:t>
            </w:r>
            <w:r w:rsidR="00EA2C86" w:rsidRPr="00927778">
              <w:rPr>
                <w:color w:val="333333"/>
                <w:szCs w:val="22"/>
                <w:lang w:val="fr-FR"/>
              </w:rPr>
              <w:t>’</w:t>
            </w:r>
            <w:r w:rsidR="005443A6" w:rsidRPr="00927778">
              <w:rPr>
                <w:color w:val="333333"/>
                <w:szCs w:val="22"/>
                <w:lang w:val="fr-FR"/>
              </w:rPr>
              <w:t>Afrique</w:t>
            </w:r>
            <w:r w:rsidR="001E2EA1" w:rsidRPr="00927778">
              <w:rPr>
                <w:color w:val="333333"/>
                <w:szCs w:val="22"/>
                <w:lang w:val="fr-FR"/>
              </w:rPr>
              <w:t>,</w:t>
            </w:r>
            <w:r w:rsidR="005443A6" w:rsidRPr="00927778">
              <w:rPr>
                <w:color w:val="333333"/>
                <w:szCs w:val="22"/>
                <w:lang w:val="fr-FR"/>
              </w:rPr>
              <w:t xml:space="preserve"> est fréquenté par </w:t>
            </w:r>
            <w:r w:rsidR="00C5183E" w:rsidRPr="00927778">
              <w:rPr>
                <w:color w:val="333333"/>
                <w:szCs w:val="22"/>
                <w:lang w:val="fr-FR"/>
              </w:rPr>
              <w:t>les bailleurs de fonds et les distributeurs du monde enti</w:t>
            </w:r>
            <w:r w:rsidR="00306E74" w:rsidRPr="00927778">
              <w:rPr>
                <w:color w:val="333333"/>
                <w:szCs w:val="22"/>
                <w:lang w:val="fr-FR"/>
              </w:rPr>
              <w:t>er.  Le</w:t>
            </w:r>
            <w:r w:rsidR="00C5183E" w:rsidRPr="00927778">
              <w:rPr>
                <w:color w:val="333333"/>
                <w:szCs w:val="22"/>
                <w:lang w:val="fr-FR"/>
              </w:rPr>
              <w:t xml:space="preserve"> projet a, par exemp</w:t>
            </w:r>
            <w:r w:rsidR="001E2EA1" w:rsidRPr="00927778">
              <w:rPr>
                <w:color w:val="333333"/>
                <w:szCs w:val="22"/>
                <w:lang w:val="fr-FR"/>
              </w:rPr>
              <w:t>le, financé la participation de parties prenantes</w:t>
            </w:r>
            <w:r w:rsidR="00C5183E" w:rsidRPr="00927778">
              <w:rPr>
                <w:color w:val="333333"/>
                <w:szCs w:val="22"/>
                <w:lang w:val="fr-FR"/>
              </w:rPr>
              <w:t xml:space="preserve"> de Côte d</w:t>
            </w:r>
            <w:r w:rsidR="00EA2C86" w:rsidRPr="00927778">
              <w:rPr>
                <w:color w:val="333333"/>
                <w:szCs w:val="22"/>
                <w:lang w:val="fr-FR"/>
              </w:rPr>
              <w:t>’</w:t>
            </w:r>
            <w:r w:rsidR="00C5183E" w:rsidRPr="00927778">
              <w:rPr>
                <w:color w:val="333333"/>
                <w:szCs w:val="22"/>
                <w:lang w:val="fr-FR"/>
              </w:rPr>
              <w:t>Ivoire et du Sénégal a</w:t>
            </w:r>
            <w:r w:rsidR="001E2EA1" w:rsidRPr="00927778">
              <w:rPr>
                <w:color w:val="333333"/>
                <w:szCs w:val="22"/>
                <w:lang w:val="fr-FR"/>
              </w:rPr>
              <w:t>u marc</w:t>
            </w:r>
            <w:r w:rsidR="00306E74" w:rsidRPr="00927778">
              <w:rPr>
                <w:color w:val="333333"/>
                <w:szCs w:val="22"/>
                <w:lang w:val="fr-FR"/>
              </w:rPr>
              <w:t>hé.  Ce</w:t>
            </w:r>
            <w:r w:rsidR="001E2EA1" w:rsidRPr="00927778">
              <w:rPr>
                <w:color w:val="333333"/>
                <w:szCs w:val="22"/>
                <w:lang w:val="fr-FR"/>
              </w:rPr>
              <w:t>s deux</w:t>
            </w:r>
            <w:r w:rsidR="0057466D" w:rsidRPr="00927778">
              <w:rPr>
                <w:color w:val="333333"/>
                <w:szCs w:val="22"/>
                <w:lang w:val="fr-FR"/>
              </w:rPr>
              <w:t> </w:t>
            </w:r>
            <w:r w:rsidR="001E2EA1" w:rsidRPr="00927778">
              <w:rPr>
                <w:color w:val="333333"/>
                <w:szCs w:val="22"/>
                <w:lang w:val="fr-FR"/>
              </w:rPr>
              <w:t>pays ont s</w:t>
            </w:r>
            <w:r w:rsidR="00C5183E" w:rsidRPr="00927778">
              <w:rPr>
                <w:color w:val="333333"/>
                <w:szCs w:val="22"/>
                <w:lang w:val="fr-FR"/>
              </w:rPr>
              <w:t xml:space="preserve">u trouver des solutions concrètes de financement et de distribution pour </w:t>
            </w:r>
            <w:r w:rsidR="001E2EA1" w:rsidRPr="00927778">
              <w:rPr>
                <w:color w:val="333333"/>
                <w:szCs w:val="22"/>
                <w:lang w:val="fr-FR"/>
              </w:rPr>
              <w:t xml:space="preserve">leurs projets lors de ce marché, ce qui constitue </w:t>
            </w:r>
            <w:r w:rsidR="00C5183E" w:rsidRPr="00927778">
              <w:rPr>
                <w:color w:val="333333"/>
                <w:szCs w:val="22"/>
                <w:lang w:val="fr-FR"/>
              </w:rPr>
              <w:t>un résultat direct de cette initiative.</w:t>
            </w:r>
          </w:p>
          <w:p w:rsidR="005E6718" w:rsidRPr="00927778" w:rsidRDefault="005E6718" w:rsidP="00D527E8">
            <w:pPr>
              <w:rPr>
                <w:color w:val="333333"/>
                <w:szCs w:val="22"/>
                <w:lang w:val="fr-FR"/>
              </w:rPr>
            </w:pPr>
          </w:p>
          <w:p w:rsidR="005E6718" w:rsidRPr="00927778" w:rsidRDefault="009340D9" w:rsidP="009340D9">
            <w:pPr>
              <w:numPr>
                <w:ilvl w:val="0"/>
                <w:numId w:val="30"/>
              </w:numPr>
              <w:rPr>
                <w:color w:val="333333"/>
                <w:u w:val="single"/>
                <w:lang w:val="fr-FR"/>
              </w:rPr>
            </w:pPr>
            <w:r w:rsidRPr="006D4C53">
              <w:rPr>
                <w:color w:val="333333"/>
                <w:szCs w:val="22"/>
                <w:u w:val="single"/>
                <w:lang w:val="fr-FR"/>
              </w:rPr>
              <w:t>Organismes de radiodiffusion</w:t>
            </w:r>
            <w:r w:rsidR="00EA2C86" w:rsidRPr="00927778">
              <w:rPr>
                <w:color w:val="333333"/>
                <w:szCs w:val="22"/>
                <w:lang w:val="fr-FR"/>
              </w:rPr>
              <w:t> :</w:t>
            </w:r>
          </w:p>
          <w:p w:rsidR="005E6718" w:rsidRPr="00927778" w:rsidRDefault="005E6718" w:rsidP="00D527E8">
            <w:pPr>
              <w:rPr>
                <w:color w:val="333333"/>
                <w:lang w:val="fr-FR"/>
              </w:rPr>
            </w:pPr>
          </w:p>
          <w:p w:rsidR="00EA2C86" w:rsidRPr="00927778" w:rsidRDefault="00E11431" w:rsidP="00D527E8">
            <w:pPr>
              <w:rPr>
                <w:color w:val="333333"/>
                <w:lang w:val="fr-FR"/>
              </w:rPr>
            </w:pPr>
            <w:r w:rsidRPr="00927778">
              <w:rPr>
                <w:color w:val="333333"/>
                <w:lang w:val="fr-FR"/>
              </w:rPr>
              <w:t xml:space="preserve">Le paysage numérique </w:t>
            </w:r>
            <w:r w:rsidR="0023305B" w:rsidRPr="00927778">
              <w:rPr>
                <w:color w:val="333333"/>
                <w:lang w:val="fr-FR"/>
              </w:rPr>
              <w:t>actuel</w:t>
            </w:r>
            <w:r w:rsidRPr="00927778">
              <w:rPr>
                <w:color w:val="333333"/>
                <w:lang w:val="fr-FR"/>
              </w:rPr>
              <w:t xml:space="preserve"> a conduit à une explosion des services de radiodiffusion en Afriq</w:t>
            </w:r>
            <w:r w:rsidR="00306E74" w:rsidRPr="00927778">
              <w:rPr>
                <w:color w:val="333333"/>
                <w:lang w:val="fr-FR"/>
              </w:rPr>
              <w:t>ue.  Le</w:t>
            </w:r>
            <w:r w:rsidR="00101BC5" w:rsidRPr="00927778">
              <w:rPr>
                <w:color w:val="333333"/>
                <w:lang w:val="fr-FR"/>
              </w:rPr>
              <w:t>s autorités de régulation des c</w:t>
            </w:r>
            <w:r w:rsidR="00D527E8" w:rsidRPr="00927778">
              <w:rPr>
                <w:color w:val="333333"/>
                <w:lang w:val="fr-FR"/>
              </w:rPr>
              <w:t>ommunication</w:t>
            </w:r>
            <w:r w:rsidR="00101BC5" w:rsidRPr="00927778">
              <w:rPr>
                <w:color w:val="333333"/>
                <w:lang w:val="fr-FR"/>
              </w:rPr>
              <w:t xml:space="preserve">s </w:t>
            </w:r>
            <w:r w:rsidR="0023305B" w:rsidRPr="00927778">
              <w:rPr>
                <w:color w:val="333333"/>
                <w:lang w:val="fr-FR"/>
              </w:rPr>
              <w:t>ont</w:t>
            </w:r>
            <w:r w:rsidR="0023305B" w:rsidRPr="00927778">
              <w:rPr>
                <w:color w:val="333333"/>
              </w:rPr>
              <w:t xml:space="preserve"> un</w:t>
            </w:r>
            <w:r w:rsidR="0023305B" w:rsidRPr="00927778">
              <w:rPr>
                <w:color w:val="333333"/>
                <w:lang w:val="fr-FR"/>
              </w:rPr>
              <w:t xml:space="preserve"> rôle majeur</w:t>
            </w:r>
            <w:r w:rsidR="0023305B" w:rsidRPr="00927778">
              <w:rPr>
                <w:color w:val="333333"/>
              </w:rPr>
              <w:t xml:space="preserve"> à jouer dans la surveillance des opérations de ces organismes et </w:t>
            </w:r>
            <w:r w:rsidR="0023305B" w:rsidRPr="00927778">
              <w:rPr>
                <w:color w:val="333333"/>
                <w:lang w:val="fr-FR"/>
              </w:rPr>
              <w:t>l</w:t>
            </w:r>
            <w:r w:rsidR="00EA2C86" w:rsidRPr="00927778">
              <w:rPr>
                <w:color w:val="333333"/>
                <w:lang w:val="fr-FR"/>
              </w:rPr>
              <w:t>’</w:t>
            </w:r>
            <w:r w:rsidR="0023305B" w:rsidRPr="00927778">
              <w:rPr>
                <w:color w:val="333333"/>
                <w:lang w:val="fr-FR"/>
              </w:rPr>
              <w:t>application de la</w:t>
            </w:r>
            <w:r w:rsidR="00101BC5" w:rsidRPr="00927778">
              <w:rPr>
                <w:color w:val="333333"/>
                <w:lang w:val="fr-FR"/>
              </w:rPr>
              <w:t xml:space="preserve"> réglementation relative au secteur de l</w:t>
            </w:r>
            <w:r w:rsidR="00EA2C86" w:rsidRPr="00927778">
              <w:rPr>
                <w:color w:val="333333"/>
                <w:lang w:val="fr-FR"/>
              </w:rPr>
              <w:t>’</w:t>
            </w:r>
            <w:r w:rsidR="00101BC5" w:rsidRPr="00927778">
              <w:rPr>
                <w:color w:val="333333"/>
                <w:lang w:val="fr-FR"/>
              </w:rPr>
              <w:t xml:space="preserve">audiovisuel, notamment </w:t>
            </w:r>
            <w:r w:rsidR="00D66F10" w:rsidRPr="00927778">
              <w:rPr>
                <w:color w:val="333333"/>
                <w:lang w:val="fr-FR"/>
              </w:rPr>
              <w:t>du</w:t>
            </w:r>
            <w:r w:rsidR="00101BC5" w:rsidRPr="00927778">
              <w:rPr>
                <w:color w:val="333333"/>
                <w:lang w:val="fr-FR"/>
              </w:rPr>
              <w:t xml:space="preserve"> droit d</w:t>
            </w:r>
            <w:r w:rsidR="00EA2C86" w:rsidRPr="00927778">
              <w:rPr>
                <w:color w:val="333333"/>
                <w:lang w:val="fr-FR"/>
              </w:rPr>
              <w:t>’</w:t>
            </w:r>
            <w:r w:rsidR="00101BC5" w:rsidRPr="00927778">
              <w:rPr>
                <w:color w:val="333333"/>
                <w:lang w:val="fr-FR"/>
              </w:rPr>
              <w:t>auteur.</w:t>
            </w:r>
          </w:p>
          <w:p w:rsidR="005E6718" w:rsidRPr="00927778" w:rsidRDefault="005E6718" w:rsidP="00D527E8">
            <w:pPr>
              <w:rPr>
                <w:color w:val="333333"/>
                <w:lang w:val="fr-FR"/>
              </w:rPr>
            </w:pPr>
          </w:p>
          <w:p w:rsidR="00782DCC" w:rsidRPr="00927778" w:rsidRDefault="00F214F2" w:rsidP="00D527E8">
            <w:pPr>
              <w:rPr>
                <w:bCs/>
                <w:color w:val="333333"/>
                <w:szCs w:val="22"/>
                <w:lang w:val="fr-FR"/>
              </w:rPr>
            </w:pPr>
            <w:r w:rsidRPr="00927778">
              <w:rPr>
                <w:color w:val="333333"/>
                <w:lang w:val="fr-FR"/>
              </w:rPr>
              <w:t xml:space="preserve">Les </w:t>
            </w:r>
            <w:r w:rsidR="00862A59" w:rsidRPr="00927778">
              <w:rPr>
                <w:color w:val="333333"/>
                <w:lang w:val="fr-FR"/>
              </w:rPr>
              <w:t>titulaires</w:t>
            </w:r>
            <w:r w:rsidRPr="00927778">
              <w:rPr>
                <w:color w:val="333333"/>
                <w:lang w:val="fr-FR"/>
              </w:rPr>
              <w:t xml:space="preserve"> de droits audiovisuel</w:t>
            </w:r>
            <w:r w:rsidR="002478EB" w:rsidRPr="00927778">
              <w:rPr>
                <w:color w:val="333333"/>
                <w:lang w:val="fr-FR"/>
              </w:rPr>
              <w:t>s</w:t>
            </w:r>
            <w:r w:rsidRPr="00927778">
              <w:rPr>
                <w:color w:val="333333"/>
                <w:lang w:val="fr-FR"/>
              </w:rPr>
              <w:t xml:space="preserve"> n</w:t>
            </w:r>
            <w:r w:rsidR="002478EB" w:rsidRPr="00927778">
              <w:rPr>
                <w:color w:val="333333"/>
                <w:lang w:val="fr-FR"/>
              </w:rPr>
              <w:t>e s</w:t>
            </w:r>
            <w:r w:rsidRPr="00927778">
              <w:rPr>
                <w:color w:val="333333"/>
                <w:lang w:val="fr-FR"/>
              </w:rPr>
              <w:t>ont pas p</w:t>
            </w:r>
            <w:r w:rsidR="002478EB" w:rsidRPr="00927778">
              <w:rPr>
                <w:color w:val="333333"/>
                <w:lang w:val="fr-FR"/>
              </w:rPr>
              <w:t>arven</w:t>
            </w:r>
            <w:r w:rsidRPr="00927778">
              <w:rPr>
                <w:color w:val="333333"/>
                <w:lang w:val="fr-FR"/>
              </w:rPr>
              <w:t>u</w:t>
            </w:r>
            <w:r w:rsidR="002478EB" w:rsidRPr="00927778">
              <w:rPr>
                <w:color w:val="333333"/>
                <w:lang w:val="fr-FR"/>
              </w:rPr>
              <w:t>s</w:t>
            </w:r>
            <w:r w:rsidRPr="00927778">
              <w:rPr>
                <w:color w:val="333333"/>
                <w:lang w:val="fr-FR"/>
              </w:rPr>
              <w:t xml:space="preserve"> </w:t>
            </w:r>
            <w:r w:rsidR="002478EB" w:rsidRPr="00927778">
              <w:rPr>
                <w:color w:val="333333"/>
                <w:lang w:val="fr-FR"/>
              </w:rPr>
              <w:t>à concéder des</w:t>
            </w:r>
            <w:r w:rsidRPr="00927778">
              <w:rPr>
                <w:color w:val="333333"/>
                <w:lang w:val="fr-FR"/>
              </w:rPr>
              <w:t xml:space="preserve"> licences aux organismes de radiodiffusion </w:t>
            </w:r>
            <w:r w:rsidR="002478EB" w:rsidRPr="00927778">
              <w:rPr>
                <w:color w:val="333333"/>
                <w:lang w:val="fr-FR"/>
              </w:rPr>
              <w:t>qui leur permettraient de monnayer l</w:t>
            </w:r>
            <w:r w:rsidRPr="00927778">
              <w:rPr>
                <w:color w:val="333333"/>
                <w:lang w:val="fr-FR"/>
              </w:rPr>
              <w:t>eur</w:t>
            </w:r>
            <w:r w:rsidR="002478EB" w:rsidRPr="00927778">
              <w:rPr>
                <w:color w:val="333333"/>
                <w:lang w:val="fr-FR"/>
              </w:rPr>
              <w:t>s</w:t>
            </w:r>
            <w:r w:rsidRPr="00927778">
              <w:rPr>
                <w:color w:val="333333"/>
                <w:lang w:val="fr-FR"/>
              </w:rPr>
              <w:t xml:space="preserve"> </w:t>
            </w:r>
            <w:r w:rsidR="00D67195" w:rsidRPr="00927778">
              <w:rPr>
                <w:color w:val="333333"/>
                <w:lang w:val="fr-FR"/>
              </w:rPr>
              <w:t>créatio</w:t>
            </w:r>
            <w:r w:rsidR="00306E74" w:rsidRPr="00927778">
              <w:rPr>
                <w:color w:val="333333"/>
                <w:lang w:val="fr-FR"/>
              </w:rPr>
              <w:t>ns.  Ce</w:t>
            </w:r>
            <w:r w:rsidR="00D67195" w:rsidRPr="00927778">
              <w:rPr>
                <w:color w:val="333333"/>
                <w:lang w:val="fr-FR"/>
              </w:rPr>
              <w:t>tte situation exclut une source majeure de revenus tout comme la possibilité de négocier des financements de préachat avec les organismes de radiodiffusion</w:t>
            </w:r>
            <w:r w:rsidR="00782DCC" w:rsidRPr="00927778">
              <w:rPr>
                <w:bCs/>
                <w:color w:val="333333"/>
                <w:szCs w:val="22"/>
                <w:lang w:val="fr-FR"/>
              </w:rPr>
              <w:t>.</w:t>
            </w:r>
          </w:p>
          <w:p w:rsidR="005E6718" w:rsidRPr="006D4C53" w:rsidRDefault="005E6718" w:rsidP="00D527E8">
            <w:pPr>
              <w:rPr>
                <w:bCs/>
                <w:color w:val="333333"/>
                <w:sz w:val="16"/>
                <w:szCs w:val="22"/>
                <w:lang w:val="fr-FR"/>
              </w:rPr>
            </w:pPr>
          </w:p>
          <w:p w:rsidR="00EA2C86" w:rsidRPr="00927778" w:rsidRDefault="000858D8" w:rsidP="00D527E8">
            <w:pPr>
              <w:rPr>
                <w:bCs/>
                <w:color w:val="333333"/>
                <w:szCs w:val="22"/>
                <w:lang w:val="fr-FR"/>
              </w:rPr>
            </w:pPr>
            <w:r w:rsidRPr="00927778">
              <w:rPr>
                <w:bCs/>
                <w:color w:val="333333"/>
                <w:szCs w:val="22"/>
                <w:lang w:val="fr-FR"/>
              </w:rPr>
              <w:t>Dans le cadre du projet, une formation unique en son genre</w:t>
            </w:r>
            <w:r w:rsidR="007D556D" w:rsidRPr="00927778">
              <w:rPr>
                <w:bCs/>
                <w:color w:val="333333"/>
                <w:szCs w:val="22"/>
                <w:lang w:val="fr-FR"/>
              </w:rPr>
              <w:t xml:space="preserve"> destinée aux</w:t>
            </w:r>
            <w:r w:rsidRPr="00927778">
              <w:rPr>
                <w:bCs/>
                <w:color w:val="333333"/>
                <w:szCs w:val="22"/>
                <w:lang w:val="fr-FR"/>
              </w:rPr>
              <w:t xml:space="preserve"> organismes de radiodiffusion a été organisée en coopération avec l</w:t>
            </w:r>
            <w:r w:rsidR="00EA2C86" w:rsidRPr="00927778">
              <w:rPr>
                <w:bCs/>
                <w:color w:val="333333"/>
                <w:szCs w:val="22"/>
                <w:lang w:val="fr-FR"/>
              </w:rPr>
              <w:t>’</w:t>
            </w:r>
            <w:r w:rsidRPr="00927778">
              <w:rPr>
                <w:bCs/>
                <w:color w:val="333333"/>
                <w:szCs w:val="22"/>
                <w:lang w:val="fr-FR"/>
              </w:rPr>
              <w:t xml:space="preserve">Union africaine de radiodiffusion (UAR). </w:t>
            </w:r>
            <w:r w:rsidR="0057466D" w:rsidRPr="00927778">
              <w:rPr>
                <w:bCs/>
                <w:color w:val="333333"/>
                <w:szCs w:val="22"/>
                <w:lang w:val="fr-FR"/>
              </w:rPr>
              <w:t xml:space="preserve"> </w:t>
            </w:r>
            <w:r w:rsidR="007D556D" w:rsidRPr="00927778">
              <w:rPr>
                <w:bCs/>
                <w:color w:val="333333"/>
                <w:szCs w:val="22"/>
                <w:lang w:val="fr-FR"/>
              </w:rPr>
              <w:t xml:space="preserve">Il en est résulté une demande de contrats modèles </w:t>
            </w:r>
            <w:r w:rsidR="00B104C1" w:rsidRPr="00927778">
              <w:rPr>
                <w:bCs/>
                <w:color w:val="333333"/>
                <w:szCs w:val="22"/>
                <w:lang w:val="fr-FR"/>
              </w:rPr>
              <w:t>pouvant</w:t>
            </w:r>
            <w:r w:rsidR="007D556D" w:rsidRPr="00927778">
              <w:rPr>
                <w:bCs/>
                <w:color w:val="333333"/>
                <w:szCs w:val="22"/>
                <w:lang w:val="fr-FR"/>
              </w:rPr>
              <w:t xml:space="preserve"> servir de référence pour les concessions de licences entre les titulaires et les utilisateurs de droi</w:t>
            </w:r>
            <w:r w:rsidR="00306E74" w:rsidRPr="00927778">
              <w:rPr>
                <w:bCs/>
                <w:color w:val="333333"/>
                <w:szCs w:val="22"/>
                <w:lang w:val="fr-FR"/>
              </w:rPr>
              <w:t>ts.  De</w:t>
            </w:r>
            <w:r w:rsidR="00EA49EE" w:rsidRPr="00927778">
              <w:rPr>
                <w:bCs/>
                <w:color w:val="333333"/>
                <w:szCs w:val="22"/>
                <w:lang w:val="fr-FR"/>
              </w:rPr>
              <w:t xml:space="preserve">s formations de suivi ont été spécialement </w:t>
            </w:r>
            <w:r w:rsidR="000A5F86" w:rsidRPr="00927778">
              <w:rPr>
                <w:bCs/>
                <w:color w:val="333333"/>
                <w:szCs w:val="22"/>
                <w:lang w:val="fr-FR"/>
              </w:rPr>
              <w:t>sollicitées</w:t>
            </w:r>
            <w:r w:rsidR="00EA49EE" w:rsidRPr="00927778">
              <w:rPr>
                <w:bCs/>
                <w:color w:val="333333"/>
                <w:szCs w:val="22"/>
                <w:lang w:val="fr-FR"/>
              </w:rPr>
              <w:t xml:space="preserve"> pour les organismes de radiodiffusion anglophone</w:t>
            </w:r>
            <w:r w:rsidR="00371248" w:rsidRPr="00927778">
              <w:rPr>
                <w:bCs/>
                <w:color w:val="333333"/>
                <w:szCs w:val="22"/>
                <w:lang w:val="fr-FR"/>
              </w:rPr>
              <w:t>s</w:t>
            </w:r>
            <w:r w:rsidR="00EA49EE" w:rsidRPr="00927778">
              <w:rPr>
                <w:bCs/>
                <w:color w:val="333333"/>
                <w:szCs w:val="22"/>
                <w:lang w:val="fr-FR"/>
              </w:rPr>
              <w:t>.</w:t>
            </w:r>
          </w:p>
          <w:p w:rsidR="005E6718" w:rsidRPr="00927778" w:rsidRDefault="005E6718" w:rsidP="00D527E8">
            <w:pPr>
              <w:rPr>
                <w:bCs/>
                <w:color w:val="333333"/>
                <w:szCs w:val="22"/>
                <w:lang w:val="fr-FR"/>
              </w:rPr>
            </w:pPr>
          </w:p>
          <w:p w:rsidR="005E6718" w:rsidRPr="00927778" w:rsidRDefault="0027414A" w:rsidP="00EA1A2E">
            <w:pPr>
              <w:numPr>
                <w:ilvl w:val="0"/>
                <w:numId w:val="30"/>
              </w:numPr>
              <w:rPr>
                <w:bCs/>
                <w:color w:val="333333"/>
                <w:szCs w:val="22"/>
                <w:u w:val="single"/>
                <w:lang w:val="fr-FR"/>
              </w:rPr>
            </w:pPr>
            <w:r w:rsidRPr="00927778">
              <w:rPr>
                <w:bCs/>
                <w:color w:val="333333"/>
                <w:szCs w:val="22"/>
                <w:u w:val="single"/>
                <w:lang w:val="fr-FR"/>
              </w:rPr>
              <w:t>Magistrats et avocats</w:t>
            </w:r>
            <w:r w:rsidR="00EA2C86" w:rsidRPr="006D4C53">
              <w:rPr>
                <w:bCs/>
                <w:color w:val="333333"/>
                <w:szCs w:val="22"/>
                <w:lang w:val="fr-FR"/>
              </w:rPr>
              <w:t> :</w:t>
            </w:r>
          </w:p>
          <w:p w:rsidR="005E6718" w:rsidRPr="00927778" w:rsidRDefault="005E6718" w:rsidP="00D527E8">
            <w:pPr>
              <w:rPr>
                <w:bCs/>
                <w:color w:val="333333"/>
                <w:szCs w:val="22"/>
                <w:lang w:val="fr-FR"/>
              </w:rPr>
            </w:pPr>
          </w:p>
          <w:p w:rsidR="00EA2C86" w:rsidRPr="00927778" w:rsidRDefault="0027414A" w:rsidP="00D527E8">
            <w:pPr>
              <w:rPr>
                <w:bCs/>
                <w:color w:val="333333"/>
                <w:szCs w:val="22"/>
                <w:lang w:val="fr-FR"/>
              </w:rPr>
            </w:pPr>
            <w:r w:rsidRPr="00927778">
              <w:rPr>
                <w:bCs/>
                <w:color w:val="333333"/>
                <w:szCs w:val="22"/>
                <w:lang w:val="fr-FR"/>
              </w:rPr>
              <w:t>Deux sessions de formation portant sur le droit d</w:t>
            </w:r>
            <w:r w:rsidR="00EA2C86" w:rsidRPr="00927778">
              <w:rPr>
                <w:bCs/>
                <w:color w:val="333333"/>
                <w:szCs w:val="22"/>
                <w:lang w:val="fr-FR"/>
              </w:rPr>
              <w:t>’</w:t>
            </w:r>
            <w:r w:rsidRPr="00927778">
              <w:rPr>
                <w:bCs/>
                <w:color w:val="333333"/>
                <w:szCs w:val="22"/>
                <w:lang w:val="fr-FR"/>
              </w:rPr>
              <w:t>auteur et la jurisprudence spécifique au droit de l</w:t>
            </w:r>
            <w:r w:rsidR="00EA2C86" w:rsidRPr="00927778">
              <w:rPr>
                <w:bCs/>
                <w:color w:val="333333"/>
                <w:szCs w:val="22"/>
                <w:lang w:val="fr-FR"/>
              </w:rPr>
              <w:t>’</w:t>
            </w:r>
            <w:r w:rsidRPr="00927778">
              <w:rPr>
                <w:bCs/>
                <w:color w:val="333333"/>
                <w:szCs w:val="22"/>
                <w:lang w:val="fr-FR"/>
              </w:rPr>
              <w:t>audiovisuel ont été organisées pour les jurist</w:t>
            </w:r>
            <w:r w:rsidR="00306E74" w:rsidRPr="00927778">
              <w:rPr>
                <w:bCs/>
                <w:color w:val="333333"/>
                <w:szCs w:val="22"/>
                <w:lang w:val="fr-FR"/>
              </w:rPr>
              <w:t>es.  La</w:t>
            </w:r>
            <w:r w:rsidRPr="00927778">
              <w:rPr>
                <w:bCs/>
                <w:color w:val="333333"/>
                <w:szCs w:val="22"/>
                <w:lang w:val="fr-FR"/>
              </w:rPr>
              <w:t xml:space="preserve"> première</w:t>
            </w:r>
            <w:r w:rsidR="00251420" w:rsidRPr="00927778">
              <w:rPr>
                <w:bCs/>
                <w:color w:val="333333"/>
                <w:szCs w:val="22"/>
                <w:lang w:val="fr-FR"/>
              </w:rPr>
              <w:t>,</w:t>
            </w:r>
            <w:r w:rsidRPr="00927778">
              <w:rPr>
                <w:bCs/>
                <w:color w:val="333333"/>
                <w:szCs w:val="22"/>
                <w:lang w:val="fr-FR"/>
              </w:rPr>
              <w:t xml:space="preserve"> qui a eu lieu à la demande </w:t>
            </w:r>
            <w:r w:rsidR="00972D32" w:rsidRPr="00927778">
              <w:rPr>
                <w:bCs/>
                <w:color w:val="333333"/>
                <w:szCs w:val="22"/>
                <w:lang w:val="fr-FR"/>
              </w:rPr>
              <w:t>de procureurs du Sénégal</w:t>
            </w:r>
            <w:r w:rsidR="00251420" w:rsidRPr="00927778">
              <w:rPr>
                <w:bCs/>
                <w:color w:val="333333"/>
                <w:szCs w:val="22"/>
                <w:lang w:val="fr-FR"/>
              </w:rPr>
              <w:t>,</w:t>
            </w:r>
            <w:r w:rsidR="00AA6586" w:rsidRPr="00927778">
              <w:rPr>
                <w:bCs/>
                <w:color w:val="333333"/>
                <w:szCs w:val="22"/>
                <w:lang w:val="fr-FR"/>
              </w:rPr>
              <w:t xml:space="preserve"> </w:t>
            </w:r>
            <w:r w:rsidR="00972D32" w:rsidRPr="00927778">
              <w:rPr>
                <w:bCs/>
                <w:color w:val="333333"/>
                <w:szCs w:val="22"/>
                <w:lang w:val="fr-FR"/>
              </w:rPr>
              <w:t xml:space="preserve">a accueilli des </w:t>
            </w:r>
            <w:r w:rsidR="00595A91" w:rsidRPr="00927778">
              <w:rPr>
                <w:bCs/>
                <w:color w:val="333333"/>
                <w:szCs w:val="22"/>
                <w:lang w:val="fr-FR"/>
              </w:rPr>
              <w:t>juristes</w:t>
            </w:r>
            <w:r w:rsidR="00972D32" w:rsidRPr="00927778">
              <w:rPr>
                <w:bCs/>
                <w:color w:val="333333"/>
                <w:szCs w:val="22"/>
                <w:lang w:val="fr-FR"/>
              </w:rPr>
              <w:t xml:space="preserve"> en provenance des autres pays bénéficiair</w:t>
            </w:r>
            <w:r w:rsidR="00306E74" w:rsidRPr="00927778">
              <w:rPr>
                <w:bCs/>
                <w:color w:val="333333"/>
                <w:szCs w:val="22"/>
                <w:lang w:val="fr-FR"/>
              </w:rPr>
              <w:t>es.  La</w:t>
            </w:r>
            <w:r w:rsidR="00972D32" w:rsidRPr="00927778">
              <w:rPr>
                <w:bCs/>
                <w:color w:val="333333"/>
                <w:szCs w:val="22"/>
                <w:lang w:val="fr-FR"/>
              </w:rPr>
              <w:t xml:space="preserve"> seconde </w:t>
            </w:r>
            <w:r w:rsidR="00251420" w:rsidRPr="00927778">
              <w:rPr>
                <w:bCs/>
                <w:color w:val="333333"/>
                <w:szCs w:val="22"/>
                <w:lang w:val="fr-FR"/>
              </w:rPr>
              <w:t>s</w:t>
            </w:r>
            <w:r w:rsidR="00EA2C86" w:rsidRPr="00927778">
              <w:rPr>
                <w:bCs/>
                <w:color w:val="333333"/>
                <w:szCs w:val="22"/>
                <w:lang w:val="fr-FR"/>
              </w:rPr>
              <w:t>’</w:t>
            </w:r>
            <w:r w:rsidR="00251420" w:rsidRPr="00927778">
              <w:rPr>
                <w:bCs/>
                <w:color w:val="333333"/>
                <w:szCs w:val="22"/>
                <w:lang w:val="fr-FR"/>
              </w:rPr>
              <w:t>adressait</w:t>
            </w:r>
            <w:r w:rsidR="00972D32" w:rsidRPr="00927778">
              <w:rPr>
                <w:bCs/>
                <w:color w:val="333333"/>
                <w:szCs w:val="22"/>
                <w:lang w:val="fr-FR"/>
              </w:rPr>
              <w:t xml:space="preserve"> aux membres du barreau de Côte d</w:t>
            </w:r>
            <w:r w:rsidR="00EA2C86" w:rsidRPr="00927778">
              <w:rPr>
                <w:bCs/>
                <w:color w:val="333333"/>
                <w:szCs w:val="22"/>
                <w:lang w:val="fr-FR"/>
              </w:rPr>
              <w:t>’</w:t>
            </w:r>
            <w:r w:rsidR="00972D32" w:rsidRPr="00927778">
              <w:rPr>
                <w:bCs/>
                <w:color w:val="333333"/>
                <w:szCs w:val="22"/>
                <w:lang w:val="fr-FR"/>
              </w:rPr>
              <w:t>Ivoire.</w:t>
            </w:r>
          </w:p>
          <w:p w:rsidR="005E6718" w:rsidRPr="00927778" w:rsidRDefault="005E6718" w:rsidP="00D527E8">
            <w:pPr>
              <w:pStyle w:val="Default"/>
              <w:spacing w:after="148"/>
              <w:rPr>
                <w:bCs/>
                <w:color w:val="333333"/>
                <w:sz w:val="22"/>
                <w:szCs w:val="22"/>
                <w:lang w:val="fr-FR"/>
              </w:rPr>
            </w:pPr>
          </w:p>
          <w:p w:rsidR="00EA2C86" w:rsidRPr="00927778" w:rsidRDefault="001D1D7E" w:rsidP="00D527E8">
            <w:pPr>
              <w:pStyle w:val="Default"/>
              <w:spacing w:after="148"/>
              <w:rPr>
                <w:color w:val="333333"/>
                <w:sz w:val="22"/>
                <w:szCs w:val="22"/>
                <w:lang w:val="fr-FR"/>
              </w:rPr>
            </w:pPr>
            <w:r w:rsidRPr="00927778">
              <w:rPr>
                <w:bCs/>
                <w:color w:val="333333"/>
                <w:sz w:val="22"/>
                <w:szCs w:val="22"/>
                <w:lang w:val="fr-FR"/>
              </w:rPr>
              <w:t>L</w:t>
            </w:r>
            <w:r w:rsidR="00EA2C86" w:rsidRPr="00927778">
              <w:rPr>
                <w:bCs/>
                <w:color w:val="333333"/>
                <w:sz w:val="22"/>
                <w:szCs w:val="22"/>
                <w:lang w:val="fr-FR"/>
              </w:rPr>
              <w:t>’</w:t>
            </w:r>
            <w:r w:rsidRPr="00927778">
              <w:rPr>
                <w:bCs/>
                <w:color w:val="333333"/>
                <w:sz w:val="22"/>
                <w:szCs w:val="22"/>
                <w:lang w:val="fr-FR"/>
              </w:rPr>
              <w:t>augmentation du nombre de transactions commerciales dans le secteur de l</w:t>
            </w:r>
            <w:r w:rsidR="00EA2C86" w:rsidRPr="00927778">
              <w:rPr>
                <w:bCs/>
                <w:color w:val="333333"/>
                <w:sz w:val="22"/>
                <w:szCs w:val="22"/>
                <w:lang w:val="fr-FR"/>
              </w:rPr>
              <w:t>’</w:t>
            </w:r>
            <w:r w:rsidRPr="00927778">
              <w:rPr>
                <w:bCs/>
                <w:color w:val="333333"/>
                <w:sz w:val="22"/>
                <w:szCs w:val="22"/>
                <w:lang w:val="fr-FR"/>
              </w:rPr>
              <w:t xml:space="preserve">audiovisuel se heurte au manque de compétences du </w:t>
            </w:r>
            <w:r w:rsidR="00925E6E" w:rsidRPr="00927778">
              <w:rPr>
                <w:bCs/>
                <w:color w:val="333333"/>
                <w:sz w:val="22"/>
                <w:szCs w:val="22"/>
                <w:lang w:val="fr-FR"/>
              </w:rPr>
              <w:t>corps judiciaire et d</w:t>
            </w:r>
            <w:r w:rsidR="00EA2C86" w:rsidRPr="00927778">
              <w:rPr>
                <w:bCs/>
                <w:color w:val="333333"/>
                <w:sz w:val="22"/>
                <w:szCs w:val="22"/>
                <w:lang w:val="fr-FR"/>
              </w:rPr>
              <w:t>’</w:t>
            </w:r>
            <w:r w:rsidRPr="00927778">
              <w:rPr>
                <w:bCs/>
                <w:color w:val="333333"/>
                <w:sz w:val="22"/>
                <w:szCs w:val="22"/>
                <w:lang w:val="fr-FR"/>
              </w:rPr>
              <w:t xml:space="preserve">avocats </w:t>
            </w:r>
            <w:r w:rsidR="0056694E" w:rsidRPr="00927778">
              <w:rPr>
                <w:bCs/>
                <w:color w:val="333333"/>
                <w:sz w:val="22"/>
                <w:szCs w:val="22"/>
                <w:lang w:val="fr-FR"/>
              </w:rPr>
              <w:t>spécialistes du droit des contrats dans le secteur de l</w:t>
            </w:r>
            <w:r w:rsidR="00EA2C86" w:rsidRPr="00927778">
              <w:rPr>
                <w:bCs/>
                <w:color w:val="333333"/>
                <w:sz w:val="22"/>
                <w:szCs w:val="22"/>
                <w:lang w:val="fr-FR"/>
              </w:rPr>
              <w:t>’</w:t>
            </w:r>
            <w:r w:rsidR="0056694E" w:rsidRPr="00927778">
              <w:rPr>
                <w:bCs/>
                <w:color w:val="333333"/>
                <w:sz w:val="22"/>
                <w:szCs w:val="22"/>
                <w:lang w:val="fr-FR"/>
              </w:rPr>
              <w:t>audiovisu</w:t>
            </w:r>
            <w:r w:rsidR="00306E74" w:rsidRPr="00927778">
              <w:rPr>
                <w:bCs/>
                <w:color w:val="333333"/>
                <w:sz w:val="22"/>
                <w:szCs w:val="22"/>
                <w:lang w:val="fr-FR"/>
              </w:rPr>
              <w:t>el.  Le</w:t>
            </w:r>
            <w:r w:rsidR="0056694E" w:rsidRPr="00927778">
              <w:rPr>
                <w:bCs/>
                <w:color w:val="333333"/>
                <w:sz w:val="22"/>
                <w:szCs w:val="22"/>
                <w:lang w:val="fr-FR"/>
              </w:rPr>
              <w:t>s deux</w:t>
            </w:r>
            <w:r w:rsidR="0057466D" w:rsidRPr="00927778">
              <w:rPr>
                <w:bCs/>
                <w:color w:val="333333"/>
                <w:sz w:val="22"/>
                <w:szCs w:val="22"/>
                <w:lang w:val="fr-FR"/>
              </w:rPr>
              <w:t> </w:t>
            </w:r>
            <w:r w:rsidR="0056694E" w:rsidRPr="00927778">
              <w:rPr>
                <w:bCs/>
                <w:color w:val="333333"/>
                <w:sz w:val="22"/>
                <w:szCs w:val="22"/>
                <w:lang w:val="fr-FR"/>
              </w:rPr>
              <w:t>sessions étaient orientées vers la pratique et s</w:t>
            </w:r>
            <w:r w:rsidR="00EA2C86" w:rsidRPr="00927778">
              <w:rPr>
                <w:bCs/>
                <w:color w:val="333333"/>
                <w:sz w:val="22"/>
                <w:szCs w:val="22"/>
                <w:lang w:val="fr-FR"/>
              </w:rPr>
              <w:t>’</w:t>
            </w:r>
            <w:r w:rsidR="0056694E" w:rsidRPr="00927778">
              <w:rPr>
                <w:bCs/>
                <w:color w:val="333333"/>
                <w:sz w:val="22"/>
                <w:szCs w:val="22"/>
                <w:lang w:val="fr-FR"/>
              </w:rPr>
              <w:t>appuyai</w:t>
            </w:r>
            <w:r w:rsidR="00B95457" w:rsidRPr="00927778">
              <w:rPr>
                <w:bCs/>
                <w:color w:val="333333"/>
                <w:sz w:val="22"/>
                <w:szCs w:val="22"/>
                <w:lang w:val="fr-FR"/>
              </w:rPr>
              <w:t>en</w:t>
            </w:r>
            <w:r w:rsidR="0056694E" w:rsidRPr="00927778">
              <w:rPr>
                <w:bCs/>
                <w:color w:val="333333"/>
                <w:sz w:val="22"/>
                <w:szCs w:val="22"/>
                <w:lang w:val="fr-FR"/>
              </w:rPr>
              <w:t xml:space="preserve">t sur des études </w:t>
            </w:r>
            <w:r w:rsidR="00B95457" w:rsidRPr="00927778">
              <w:rPr>
                <w:bCs/>
                <w:color w:val="333333"/>
                <w:sz w:val="22"/>
                <w:szCs w:val="22"/>
                <w:lang w:val="fr-FR"/>
              </w:rPr>
              <w:t xml:space="preserve">de </w:t>
            </w:r>
            <w:r w:rsidR="0056694E" w:rsidRPr="00927778">
              <w:rPr>
                <w:bCs/>
                <w:color w:val="333333"/>
                <w:sz w:val="22"/>
                <w:szCs w:val="22"/>
                <w:lang w:val="fr-FR"/>
              </w:rPr>
              <w:t xml:space="preserve">cas, des contrats et de la </w:t>
            </w:r>
            <w:r w:rsidR="00B95457" w:rsidRPr="00927778">
              <w:rPr>
                <w:bCs/>
                <w:color w:val="333333"/>
                <w:sz w:val="22"/>
                <w:szCs w:val="22"/>
                <w:lang w:val="fr-FR"/>
              </w:rPr>
              <w:t>jurisprudence</w:t>
            </w:r>
            <w:r w:rsidR="0056694E" w:rsidRPr="00927778">
              <w:rPr>
                <w:bCs/>
                <w:color w:val="333333"/>
                <w:sz w:val="22"/>
                <w:szCs w:val="22"/>
                <w:lang w:val="fr-FR"/>
              </w:rPr>
              <w:t xml:space="preserve"> de portée locale et internationa</w:t>
            </w:r>
            <w:r w:rsidR="00306E74" w:rsidRPr="00927778">
              <w:rPr>
                <w:bCs/>
                <w:color w:val="333333"/>
                <w:sz w:val="22"/>
                <w:szCs w:val="22"/>
                <w:lang w:val="fr-FR"/>
              </w:rPr>
              <w:t>le.  El</w:t>
            </w:r>
            <w:r w:rsidR="0056694E" w:rsidRPr="00927778">
              <w:rPr>
                <w:bCs/>
                <w:color w:val="333333"/>
                <w:sz w:val="22"/>
                <w:szCs w:val="22"/>
                <w:lang w:val="fr-FR"/>
              </w:rPr>
              <w:t>les ont toutes deux</w:t>
            </w:r>
            <w:r w:rsidR="0057466D" w:rsidRPr="00927778">
              <w:rPr>
                <w:bCs/>
                <w:color w:val="333333"/>
                <w:sz w:val="22"/>
                <w:szCs w:val="22"/>
                <w:lang w:val="fr-FR"/>
              </w:rPr>
              <w:t> </w:t>
            </w:r>
            <w:r w:rsidR="0056694E" w:rsidRPr="00927778">
              <w:rPr>
                <w:bCs/>
                <w:color w:val="333333"/>
                <w:sz w:val="22"/>
                <w:szCs w:val="22"/>
                <w:lang w:val="fr-FR"/>
              </w:rPr>
              <w:t>rempli les attentes des professionne</w:t>
            </w:r>
            <w:r w:rsidR="00306E74" w:rsidRPr="00927778">
              <w:rPr>
                <w:bCs/>
                <w:color w:val="333333"/>
                <w:sz w:val="22"/>
                <w:szCs w:val="22"/>
                <w:lang w:val="fr-FR"/>
              </w:rPr>
              <w:t>ls.  Il</w:t>
            </w:r>
            <w:r w:rsidR="00AF36DE" w:rsidRPr="00927778">
              <w:rPr>
                <w:bCs/>
                <w:color w:val="333333"/>
                <w:sz w:val="22"/>
                <w:szCs w:val="22"/>
                <w:lang w:val="fr-FR"/>
              </w:rPr>
              <w:t>s</w:t>
            </w:r>
            <w:r w:rsidR="00B95457" w:rsidRPr="00927778">
              <w:rPr>
                <w:bCs/>
                <w:color w:val="333333"/>
                <w:sz w:val="22"/>
                <w:szCs w:val="22"/>
                <w:lang w:val="fr-FR"/>
              </w:rPr>
              <w:t xml:space="preserve"> y </w:t>
            </w:r>
            <w:r w:rsidR="00AF36DE" w:rsidRPr="00927778">
              <w:rPr>
                <w:bCs/>
                <w:color w:val="333333"/>
                <w:sz w:val="22"/>
                <w:szCs w:val="22"/>
                <w:lang w:val="fr-FR"/>
              </w:rPr>
              <w:t>ont</w:t>
            </w:r>
            <w:r w:rsidR="00B95457" w:rsidRPr="00927778">
              <w:rPr>
                <w:bCs/>
                <w:color w:val="333333"/>
                <w:sz w:val="22"/>
                <w:szCs w:val="22"/>
                <w:lang w:val="fr-FR"/>
              </w:rPr>
              <w:t xml:space="preserve"> sollicité d</w:t>
            </w:r>
            <w:r w:rsidR="00B95457" w:rsidRPr="00927778">
              <w:rPr>
                <w:color w:val="333333"/>
                <w:sz w:val="22"/>
                <w:szCs w:val="22"/>
                <w:lang w:val="fr-FR"/>
              </w:rPr>
              <w:t>es sessions</w:t>
            </w:r>
            <w:r w:rsidR="0056694E" w:rsidRPr="00927778">
              <w:rPr>
                <w:color w:val="333333"/>
                <w:sz w:val="22"/>
                <w:szCs w:val="22"/>
                <w:lang w:val="fr-FR"/>
              </w:rPr>
              <w:t xml:space="preserve"> de mise à jour des connaissances ainsi que la création d</w:t>
            </w:r>
            <w:r w:rsidR="00EA2C86" w:rsidRPr="00927778">
              <w:rPr>
                <w:color w:val="333333"/>
                <w:sz w:val="22"/>
                <w:szCs w:val="22"/>
                <w:lang w:val="fr-FR"/>
              </w:rPr>
              <w:t>’</w:t>
            </w:r>
            <w:r w:rsidR="0056694E" w:rsidRPr="00927778">
              <w:rPr>
                <w:color w:val="333333"/>
                <w:sz w:val="22"/>
                <w:szCs w:val="22"/>
                <w:lang w:val="fr-FR"/>
              </w:rPr>
              <w:t xml:space="preserve">un </w:t>
            </w:r>
            <w:r w:rsidR="003178E0" w:rsidRPr="00927778">
              <w:rPr>
                <w:color w:val="333333"/>
                <w:sz w:val="22"/>
                <w:szCs w:val="22"/>
                <w:lang w:val="fr-FR"/>
              </w:rPr>
              <w:t xml:space="preserve">recueil de jurisprudence commentée </w:t>
            </w:r>
            <w:r w:rsidR="00B95457" w:rsidRPr="00927778">
              <w:rPr>
                <w:color w:val="333333"/>
                <w:sz w:val="22"/>
                <w:szCs w:val="22"/>
                <w:lang w:val="fr-FR"/>
              </w:rPr>
              <w:t xml:space="preserve">en matière </w:t>
            </w:r>
            <w:r w:rsidR="003178E0" w:rsidRPr="00927778">
              <w:rPr>
                <w:color w:val="333333"/>
                <w:sz w:val="22"/>
                <w:szCs w:val="22"/>
                <w:lang w:val="fr-FR"/>
              </w:rPr>
              <w:t>audiovisuel</w:t>
            </w:r>
            <w:r w:rsidR="00B95457" w:rsidRPr="00927778">
              <w:rPr>
                <w:color w:val="333333"/>
                <w:sz w:val="22"/>
                <w:szCs w:val="22"/>
                <w:lang w:val="fr-FR"/>
              </w:rPr>
              <w:t>le</w:t>
            </w:r>
            <w:r w:rsidR="003178E0" w:rsidRPr="00927778">
              <w:rPr>
                <w:color w:val="333333"/>
                <w:sz w:val="22"/>
                <w:szCs w:val="22"/>
                <w:lang w:val="fr-FR"/>
              </w:rPr>
              <w:t xml:space="preserve">, qui </w:t>
            </w:r>
            <w:r w:rsidR="00B104C1" w:rsidRPr="00927778">
              <w:rPr>
                <w:color w:val="333333"/>
                <w:sz w:val="22"/>
                <w:szCs w:val="22"/>
                <w:lang w:val="fr-FR"/>
              </w:rPr>
              <w:t>pourraient</w:t>
            </w:r>
            <w:r w:rsidR="003178E0" w:rsidRPr="00927778">
              <w:rPr>
                <w:color w:val="333333"/>
                <w:sz w:val="22"/>
                <w:szCs w:val="22"/>
                <w:lang w:val="fr-FR"/>
              </w:rPr>
              <w:t xml:space="preserve"> aider les </w:t>
            </w:r>
            <w:r w:rsidR="00BD3D5F" w:rsidRPr="00927778">
              <w:rPr>
                <w:color w:val="333333"/>
                <w:sz w:val="22"/>
                <w:szCs w:val="22"/>
                <w:lang w:val="fr-FR"/>
              </w:rPr>
              <w:t>juristes</w:t>
            </w:r>
            <w:r w:rsidR="003178E0" w:rsidRPr="00927778">
              <w:rPr>
                <w:color w:val="333333"/>
                <w:sz w:val="22"/>
                <w:szCs w:val="22"/>
                <w:lang w:val="fr-FR"/>
              </w:rPr>
              <w:t xml:space="preserve"> dans leurs pratiques professionnelles et contractuell</w:t>
            </w:r>
            <w:r w:rsidR="00306E74" w:rsidRPr="00927778">
              <w:rPr>
                <w:color w:val="333333"/>
                <w:sz w:val="22"/>
                <w:szCs w:val="22"/>
                <w:lang w:val="fr-FR"/>
              </w:rPr>
              <w:t>es.  De</w:t>
            </w:r>
            <w:r w:rsidR="003178E0" w:rsidRPr="00927778">
              <w:rPr>
                <w:color w:val="333333"/>
                <w:sz w:val="22"/>
                <w:szCs w:val="22"/>
                <w:lang w:val="fr-FR"/>
              </w:rPr>
              <w:t>s contrats bien rédigés sont les garants d</w:t>
            </w:r>
            <w:r w:rsidR="00EA2C86" w:rsidRPr="00927778">
              <w:rPr>
                <w:color w:val="333333"/>
                <w:sz w:val="22"/>
                <w:szCs w:val="22"/>
                <w:lang w:val="fr-FR"/>
              </w:rPr>
              <w:t>’</w:t>
            </w:r>
            <w:r w:rsidR="003178E0" w:rsidRPr="00927778">
              <w:rPr>
                <w:color w:val="333333"/>
                <w:sz w:val="22"/>
                <w:szCs w:val="22"/>
                <w:lang w:val="fr-FR"/>
              </w:rPr>
              <w:t>une exploitation efficace, de la sécurité juridique des parties ainsi que d</w:t>
            </w:r>
            <w:r w:rsidR="00EA2C86" w:rsidRPr="00927778">
              <w:rPr>
                <w:color w:val="333333"/>
                <w:sz w:val="22"/>
                <w:szCs w:val="22"/>
                <w:lang w:val="fr-FR"/>
              </w:rPr>
              <w:t>’</w:t>
            </w:r>
            <w:r w:rsidR="003178E0" w:rsidRPr="00927778">
              <w:rPr>
                <w:color w:val="333333"/>
                <w:sz w:val="22"/>
                <w:szCs w:val="22"/>
                <w:lang w:val="fr-FR"/>
              </w:rPr>
              <w:t>une rémunération juste.</w:t>
            </w:r>
          </w:p>
          <w:p w:rsidR="005E6718" w:rsidRPr="00927778" w:rsidRDefault="005E6718" w:rsidP="00D527E8">
            <w:pPr>
              <w:rPr>
                <w:bCs/>
                <w:color w:val="333333"/>
                <w:szCs w:val="22"/>
                <w:u w:val="single"/>
                <w:lang w:val="fr-FR"/>
              </w:rPr>
            </w:pPr>
          </w:p>
          <w:p w:rsidR="00EA2C86" w:rsidRPr="00927778" w:rsidRDefault="00CC4C75" w:rsidP="00C06200">
            <w:pPr>
              <w:pStyle w:val="ListParagraph"/>
              <w:numPr>
                <w:ilvl w:val="0"/>
                <w:numId w:val="44"/>
              </w:numPr>
              <w:rPr>
                <w:bCs/>
                <w:color w:val="333333"/>
                <w:szCs w:val="22"/>
                <w:u w:val="single"/>
                <w:lang w:val="fr-FR"/>
              </w:rPr>
            </w:pPr>
            <w:r w:rsidRPr="00927778">
              <w:rPr>
                <w:bCs/>
                <w:color w:val="333333"/>
                <w:szCs w:val="22"/>
                <w:u w:val="single"/>
                <w:lang w:val="fr-FR"/>
              </w:rPr>
              <w:t>C</w:t>
            </w:r>
            <w:r w:rsidR="00B91873" w:rsidRPr="00927778">
              <w:rPr>
                <w:bCs/>
                <w:color w:val="333333"/>
                <w:szCs w:val="22"/>
                <w:u w:val="single"/>
                <w:lang w:val="fr-FR"/>
              </w:rPr>
              <w:t xml:space="preserve">adres </w:t>
            </w:r>
            <w:r w:rsidRPr="00927778">
              <w:rPr>
                <w:bCs/>
                <w:color w:val="333333"/>
                <w:szCs w:val="22"/>
                <w:u w:val="single"/>
                <w:lang w:val="fr-FR"/>
              </w:rPr>
              <w:t>institutionnels d</w:t>
            </w:r>
            <w:r w:rsidR="00EA2C86" w:rsidRPr="00927778">
              <w:rPr>
                <w:bCs/>
                <w:color w:val="333333"/>
                <w:szCs w:val="22"/>
                <w:u w:val="single"/>
                <w:lang w:val="fr-FR"/>
              </w:rPr>
              <w:t>’</w:t>
            </w:r>
            <w:r w:rsidRPr="00927778">
              <w:rPr>
                <w:bCs/>
                <w:color w:val="333333"/>
                <w:szCs w:val="22"/>
                <w:u w:val="single"/>
                <w:lang w:val="fr-FR"/>
              </w:rPr>
              <w:t>appui et gestion</w:t>
            </w:r>
          </w:p>
          <w:p w:rsidR="005E6718" w:rsidRPr="00927778" w:rsidRDefault="005E6718" w:rsidP="00D527E8">
            <w:pPr>
              <w:rPr>
                <w:bCs/>
                <w:color w:val="333333"/>
                <w:szCs w:val="22"/>
                <w:u w:val="single"/>
                <w:lang w:val="fr-FR"/>
              </w:rPr>
            </w:pPr>
          </w:p>
          <w:p w:rsidR="00EA2C86" w:rsidRPr="00927778" w:rsidRDefault="009340D9" w:rsidP="009340D9">
            <w:pPr>
              <w:rPr>
                <w:bCs/>
                <w:color w:val="333333"/>
                <w:szCs w:val="22"/>
                <w:lang w:val="fr-FR"/>
              </w:rPr>
            </w:pPr>
            <w:r w:rsidRPr="00927778">
              <w:rPr>
                <w:color w:val="333333"/>
                <w:szCs w:val="22"/>
                <w:lang w:val="fr-FR"/>
              </w:rPr>
              <w:t>L</w:t>
            </w:r>
            <w:r w:rsidR="00EA2C86" w:rsidRPr="00927778">
              <w:rPr>
                <w:color w:val="333333"/>
                <w:szCs w:val="22"/>
                <w:lang w:val="fr-FR"/>
              </w:rPr>
              <w:t>’</w:t>
            </w:r>
            <w:r w:rsidRPr="00927778">
              <w:rPr>
                <w:color w:val="333333"/>
                <w:szCs w:val="22"/>
                <w:lang w:val="fr-FR"/>
              </w:rPr>
              <w:t>un des object</w:t>
            </w:r>
            <w:r w:rsidR="00CC4C75" w:rsidRPr="00927778">
              <w:rPr>
                <w:color w:val="333333"/>
                <w:szCs w:val="22"/>
                <w:lang w:val="fr-FR"/>
              </w:rPr>
              <w:t>ifs principaux du projet est d</w:t>
            </w:r>
            <w:r w:rsidR="00EA2C86" w:rsidRPr="00927778">
              <w:rPr>
                <w:color w:val="333333"/>
                <w:szCs w:val="22"/>
                <w:lang w:val="fr-FR"/>
              </w:rPr>
              <w:t>’“</w:t>
            </w:r>
            <w:r w:rsidRPr="00927778">
              <w:rPr>
                <w:color w:val="333333"/>
                <w:szCs w:val="22"/>
                <w:lang w:val="fr-FR"/>
              </w:rPr>
              <w:t>accroître la création de recettes en améliorant les cadres juridiques et les infrastructures de gestion des transactions fondées sur les dro</w:t>
            </w:r>
            <w:r w:rsidR="00CC4C75" w:rsidRPr="00927778">
              <w:rPr>
                <w:color w:val="333333"/>
                <w:szCs w:val="22"/>
                <w:lang w:val="fr-FR"/>
              </w:rPr>
              <w:t>its de propriété intellectuelle</w:t>
            </w:r>
            <w:r w:rsidR="00EA2C86" w:rsidRPr="00927778">
              <w:rPr>
                <w:color w:val="333333"/>
                <w:szCs w:val="22"/>
                <w:lang w:val="fr-FR"/>
              </w:rPr>
              <w:t>”</w:t>
            </w:r>
            <w:r w:rsidRPr="00927778">
              <w:rPr>
                <w:color w:val="333333"/>
                <w:szCs w:val="22"/>
                <w:lang w:val="fr-FR"/>
              </w:rPr>
              <w:t>.</w:t>
            </w:r>
            <w:r w:rsidR="00D527E8" w:rsidRPr="00927778">
              <w:rPr>
                <w:color w:val="333333"/>
                <w:lang w:val="fr-FR"/>
              </w:rPr>
              <w:t xml:space="preserve"> </w:t>
            </w:r>
            <w:r w:rsidR="0057466D" w:rsidRPr="00927778">
              <w:rPr>
                <w:color w:val="333333"/>
                <w:szCs w:val="22"/>
                <w:lang w:val="fr-FR"/>
              </w:rPr>
              <w:t xml:space="preserve"> </w:t>
            </w:r>
            <w:r w:rsidR="00CC4C75" w:rsidRPr="00927778">
              <w:rPr>
                <w:color w:val="333333"/>
                <w:szCs w:val="22"/>
                <w:lang w:val="fr-FR"/>
              </w:rPr>
              <w:t>Jusqu</w:t>
            </w:r>
            <w:r w:rsidR="00EA2C86" w:rsidRPr="00927778">
              <w:rPr>
                <w:color w:val="333333"/>
                <w:szCs w:val="22"/>
                <w:lang w:val="fr-FR"/>
              </w:rPr>
              <w:t>’</w:t>
            </w:r>
            <w:r w:rsidR="00CC4C75" w:rsidRPr="00927778">
              <w:rPr>
                <w:color w:val="333333"/>
                <w:szCs w:val="22"/>
                <w:lang w:val="fr-FR"/>
              </w:rPr>
              <w:t>à présent, les auteurs du monde de l</w:t>
            </w:r>
            <w:r w:rsidR="00EA2C86" w:rsidRPr="00927778">
              <w:rPr>
                <w:color w:val="333333"/>
                <w:szCs w:val="22"/>
                <w:lang w:val="fr-FR"/>
              </w:rPr>
              <w:t>’</w:t>
            </w:r>
            <w:r w:rsidR="00CC4C75" w:rsidRPr="00927778">
              <w:rPr>
                <w:color w:val="333333"/>
                <w:szCs w:val="22"/>
                <w:lang w:val="fr-FR"/>
              </w:rPr>
              <w:t>audiovisuel et les artistes</w:t>
            </w:r>
            <w:r w:rsidR="00CB5AE0" w:rsidRPr="00927778">
              <w:rPr>
                <w:color w:val="333333"/>
                <w:szCs w:val="22"/>
                <w:lang w:val="fr-FR"/>
              </w:rPr>
              <w:noBreakHyphen/>
            </w:r>
            <w:r w:rsidR="00CC4C75" w:rsidRPr="00927778">
              <w:rPr>
                <w:color w:val="333333"/>
                <w:szCs w:val="22"/>
                <w:lang w:val="fr-FR"/>
              </w:rPr>
              <w:t>interprètes</w:t>
            </w:r>
            <w:r w:rsidR="00554991" w:rsidRPr="00927778">
              <w:rPr>
                <w:color w:val="333333"/>
                <w:szCs w:val="22"/>
                <w:lang w:val="fr-FR"/>
              </w:rPr>
              <w:t xml:space="preserve"> n</w:t>
            </w:r>
            <w:r w:rsidR="00EA2C86" w:rsidRPr="00927778">
              <w:rPr>
                <w:color w:val="333333"/>
                <w:szCs w:val="22"/>
                <w:lang w:val="fr-FR"/>
              </w:rPr>
              <w:t>’</w:t>
            </w:r>
            <w:r w:rsidR="00554991" w:rsidRPr="00927778">
              <w:rPr>
                <w:color w:val="333333"/>
                <w:szCs w:val="22"/>
                <w:lang w:val="fr-FR"/>
              </w:rPr>
              <w:t xml:space="preserve">ont pas réussi à </w:t>
            </w:r>
            <w:r w:rsidR="00455C34" w:rsidRPr="00927778">
              <w:rPr>
                <w:color w:val="333333"/>
                <w:szCs w:val="22"/>
                <w:lang w:val="fr-FR"/>
              </w:rPr>
              <w:t>trouver de sources de revenus</w:t>
            </w:r>
            <w:r w:rsidR="00554991" w:rsidRPr="00927778">
              <w:rPr>
                <w:color w:val="333333"/>
                <w:szCs w:val="22"/>
                <w:lang w:val="fr-FR"/>
              </w:rPr>
              <w:t xml:space="preserve"> permettant l</w:t>
            </w:r>
            <w:r w:rsidR="00EA2C86" w:rsidRPr="00927778">
              <w:rPr>
                <w:color w:val="333333"/>
                <w:szCs w:val="22"/>
                <w:lang w:val="fr-FR"/>
              </w:rPr>
              <w:t>’</w:t>
            </w:r>
            <w:r w:rsidR="00554991" w:rsidRPr="00927778">
              <w:rPr>
                <w:color w:val="333333"/>
                <w:szCs w:val="22"/>
                <w:lang w:val="fr-FR"/>
              </w:rPr>
              <w:t>exploitation du contenu audiovisuel sur les réseaux numériques et la radiodiffusion transfrontière d</w:t>
            </w:r>
            <w:r w:rsidR="00455C34" w:rsidRPr="00927778">
              <w:rPr>
                <w:color w:val="333333"/>
                <w:szCs w:val="22"/>
                <w:lang w:val="fr-FR"/>
              </w:rPr>
              <w:t xml:space="preserve">es </w:t>
            </w:r>
            <w:r w:rsidR="00554991" w:rsidRPr="00927778">
              <w:rPr>
                <w:color w:val="333333"/>
                <w:szCs w:val="22"/>
                <w:lang w:val="fr-FR"/>
              </w:rPr>
              <w:t xml:space="preserve">œuvres africaines, notamment en </w:t>
            </w:r>
            <w:r w:rsidR="00D527E8" w:rsidRPr="00927778">
              <w:rPr>
                <w:bCs/>
                <w:color w:val="333333"/>
                <w:szCs w:val="22"/>
                <w:lang w:val="fr-FR"/>
              </w:rPr>
              <w:t>Europe.</w:t>
            </w:r>
          </w:p>
          <w:p w:rsidR="005E6718" w:rsidRPr="00927778" w:rsidRDefault="005E6718" w:rsidP="00D527E8">
            <w:pPr>
              <w:rPr>
                <w:color w:val="333333"/>
                <w:szCs w:val="22"/>
                <w:lang w:val="fr-FR"/>
              </w:rPr>
            </w:pPr>
          </w:p>
          <w:p w:rsidR="00EA2C86" w:rsidRPr="00927778" w:rsidRDefault="00F60C3E" w:rsidP="00D527E8">
            <w:pPr>
              <w:rPr>
                <w:bCs/>
                <w:color w:val="333333"/>
                <w:szCs w:val="22"/>
                <w:lang w:val="fr-FR"/>
              </w:rPr>
            </w:pPr>
            <w:r w:rsidRPr="00927778">
              <w:rPr>
                <w:bCs/>
                <w:color w:val="333333"/>
                <w:szCs w:val="22"/>
                <w:lang w:val="fr-FR"/>
              </w:rPr>
              <w:t>Les difficultés et les défis sont nombreux, comme</w:t>
            </w:r>
            <w:r w:rsidR="00EA2C86" w:rsidRPr="00927778">
              <w:rPr>
                <w:bCs/>
                <w:color w:val="333333"/>
                <w:szCs w:val="22"/>
                <w:lang w:val="fr-FR"/>
              </w:rPr>
              <w:t> :</w:t>
            </w:r>
          </w:p>
          <w:p w:rsidR="005E6718" w:rsidRPr="006D4C53" w:rsidRDefault="005E6718" w:rsidP="00D527E8">
            <w:pPr>
              <w:rPr>
                <w:bCs/>
                <w:color w:val="333333"/>
                <w:sz w:val="14"/>
                <w:szCs w:val="22"/>
                <w:lang w:val="fr-FR"/>
              </w:rPr>
            </w:pPr>
          </w:p>
          <w:p w:rsidR="00EA2C86" w:rsidRPr="00927778" w:rsidRDefault="00F60C3E" w:rsidP="00EA1A2E">
            <w:pPr>
              <w:numPr>
                <w:ilvl w:val="0"/>
                <w:numId w:val="28"/>
              </w:numPr>
              <w:rPr>
                <w:bCs/>
                <w:color w:val="333333"/>
                <w:szCs w:val="22"/>
                <w:lang w:val="fr-FR"/>
              </w:rPr>
            </w:pPr>
            <w:r w:rsidRPr="00927778">
              <w:rPr>
                <w:bCs/>
                <w:color w:val="333333"/>
                <w:szCs w:val="22"/>
                <w:lang w:val="fr-FR"/>
              </w:rPr>
              <w:t>la création d</w:t>
            </w:r>
            <w:r w:rsidR="00EA2C86" w:rsidRPr="00927778">
              <w:rPr>
                <w:bCs/>
                <w:color w:val="333333"/>
                <w:szCs w:val="22"/>
                <w:lang w:val="fr-FR"/>
              </w:rPr>
              <w:t>’</w:t>
            </w:r>
            <w:r w:rsidRPr="00927778">
              <w:rPr>
                <w:bCs/>
                <w:color w:val="333333"/>
                <w:szCs w:val="22"/>
                <w:lang w:val="fr-FR"/>
              </w:rPr>
              <w:t xml:space="preserve">instruments efficaces de gestion des données pour rassembler et distribuer le contenu audiovisuel africain </w:t>
            </w:r>
            <w:r w:rsidR="00455C34" w:rsidRPr="00927778">
              <w:rPr>
                <w:bCs/>
                <w:color w:val="333333"/>
                <w:szCs w:val="22"/>
                <w:lang w:val="fr-FR"/>
              </w:rPr>
              <w:t>sur</w:t>
            </w:r>
            <w:r w:rsidRPr="00927778">
              <w:rPr>
                <w:bCs/>
                <w:color w:val="333333"/>
                <w:szCs w:val="22"/>
                <w:lang w:val="fr-FR"/>
              </w:rPr>
              <w:t xml:space="preserve"> les services numériques;</w:t>
            </w:r>
          </w:p>
          <w:p w:rsidR="00EA2C86" w:rsidRPr="00927778" w:rsidRDefault="005B68E4" w:rsidP="00EA1A2E">
            <w:pPr>
              <w:numPr>
                <w:ilvl w:val="0"/>
                <w:numId w:val="25"/>
              </w:numPr>
              <w:rPr>
                <w:bCs/>
                <w:color w:val="333333"/>
                <w:szCs w:val="22"/>
                <w:lang w:val="fr-FR"/>
              </w:rPr>
            </w:pPr>
            <w:r w:rsidRPr="00927778">
              <w:rPr>
                <w:bCs/>
                <w:color w:val="333333"/>
                <w:szCs w:val="22"/>
                <w:lang w:val="fr-FR"/>
              </w:rPr>
              <w:t>la faiblesse du pouvoir de négociation des auteurs face à de puissants services numériques;</w:t>
            </w:r>
          </w:p>
          <w:p w:rsidR="005E6718" w:rsidRPr="00927778" w:rsidRDefault="00955C95" w:rsidP="00EA1A2E">
            <w:pPr>
              <w:numPr>
                <w:ilvl w:val="0"/>
                <w:numId w:val="25"/>
              </w:numPr>
              <w:rPr>
                <w:bCs/>
                <w:color w:val="333333"/>
                <w:szCs w:val="22"/>
                <w:lang w:val="fr-FR"/>
              </w:rPr>
            </w:pPr>
            <w:r w:rsidRPr="00927778">
              <w:rPr>
                <w:bCs/>
                <w:color w:val="333333"/>
                <w:szCs w:val="22"/>
                <w:lang w:val="fr-FR"/>
              </w:rPr>
              <w:t xml:space="preserve">la </w:t>
            </w:r>
            <w:r w:rsidR="005B68E4" w:rsidRPr="00927778">
              <w:rPr>
                <w:bCs/>
                <w:color w:val="333333"/>
                <w:szCs w:val="22"/>
                <w:lang w:val="fr-FR"/>
              </w:rPr>
              <w:t>mauvaise rédaction des contrats liant les créateurs</w:t>
            </w:r>
            <w:r w:rsidR="00356C78" w:rsidRPr="00927778">
              <w:rPr>
                <w:bCs/>
                <w:color w:val="333333"/>
                <w:szCs w:val="22"/>
                <w:lang w:val="fr-FR"/>
              </w:rPr>
              <w:t xml:space="preserve"> audiovisuels</w:t>
            </w:r>
            <w:r w:rsidR="005B68E4" w:rsidRPr="00927778">
              <w:rPr>
                <w:bCs/>
                <w:color w:val="333333"/>
                <w:szCs w:val="22"/>
                <w:lang w:val="fr-FR"/>
              </w:rPr>
              <w:t>, les collaborateurs et les partenaires financiers;</w:t>
            </w:r>
          </w:p>
          <w:p w:rsidR="005E6718" w:rsidRPr="00927778" w:rsidRDefault="005B68E4" w:rsidP="00EA1A2E">
            <w:pPr>
              <w:numPr>
                <w:ilvl w:val="0"/>
                <w:numId w:val="25"/>
              </w:numPr>
              <w:rPr>
                <w:bCs/>
                <w:color w:val="333333"/>
                <w:szCs w:val="22"/>
                <w:lang w:val="fr-FR"/>
              </w:rPr>
            </w:pPr>
            <w:r w:rsidRPr="00927778">
              <w:rPr>
                <w:iCs/>
                <w:color w:val="333333"/>
                <w:szCs w:val="22"/>
                <w:lang w:val="fr-FR"/>
              </w:rPr>
              <w:t xml:space="preserve">la nécessité de renforcer la gestion collective des droits audiovisuels </w:t>
            </w:r>
            <w:r w:rsidR="00356C78" w:rsidRPr="00927778">
              <w:rPr>
                <w:iCs/>
                <w:color w:val="333333"/>
                <w:szCs w:val="22"/>
                <w:lang w:val="fr-FR"/>
              </w:rPr>
              <w:t xml:space="preserve">pour des utilisations précises </w:t>
            </w:r>
            <w:r w:rsidRPr="00927778">
              <w:rPr>
                <w:iCs/>
                <w:color w:val="333333"/>
                <w:szCs w:val="22"/>
                <w:lang w:val="fr-FR"/>
              </w:rPr>
              <w:t xml:space="preserve">comme la télédiffusion </w:t>
            </w:r>
            <w:r w:rsidR="00356C78" w:rsidRPr="00927778">
              <w:rPr>
                <w:iCs/>
                <w:color w:val="333333"/>
                <w:szCs w:val="22"/>
                <w:lang w:val="fr-FR"/>
              </w:rPr>
              <w:t>ou les dispositifs de copie privée.</w:t>
            </w:r>
          </w:p>
          <w:p w:rsidR="005E6718" w:rsidRDefault="005E6718" w:rsidP="00D527E8">
            <w:pPr>
              <w:rPr>
                <w:bCs/>
                <w:color w:val="333333"/>
                <w:szCs w:val="22"/>
                <w:lang w:val="fr-FR"/>
              </w:rPr>
            </w:pPr>
          </w:p>
          <w:p w:rsidR="005E6718" w:rsidRPr="00927778" w:rsidRDefault="00356C78" w:rsidP="00D527E8">
            <w:pPr>
              <w:rPr>
                <w:bCs/>
                <w:color w:val="333333"/>
                <w:szCs w:val="22"/>
                <w:lang w:val="fr-FR"/>
              </w:rPr>
            </w:pPr>
            <w:r w:rsidRPr="00927778">
              <w:rPr>
                <w:bCs/>
                <w:color w:val="333333"/>
                <w:szCs w:val="22"/>
                <w:lang w:val="fr-FR"/>
              </w:rPr>
              <w:t xml:space="preserve">Ces défis étaient déjà identifiés dans </w:t>
            </w:r>
            <w:r w:rsidRPr="006D4C53">
              <w:rPr>
                <w:bCs/>
                <w:color w:val="333333"/>
                <w:szCs w:val="22"/>
                <w:lang w:val="fr-FR"/>
              </w:rPr>
              <w:t>l</w:t>
            </w:r>
            <w:r w:rsidR="00EA2C86" w:rsidRPr="006D4C53">
              <w:rPr>
                <w:bCs/>
                <w:color w:val="333333"/>
                <w:szCs w:val="22"/>
                <w:lang w:val="fr-FR"/>
              </w:rPr>
              <w:t>’</w:t>
            </w:r>
            <w:r w:rsidR="006D4C53" w:rsidRPr="006D4C53">
              <w:rPr>
                <w:bCs/>
                <w:color w:val="333333"/>
                <w:szCs w:val="22"/>
                <w:lang w:val="fr-FR"/>
              </w:rPr>
              <w:t>Étude</w:t>
            </w:r>
            <w:r w:rsidRPr="006D4C53">
              <w:rPr>
                <w:bCs/>
                <w:color w:val="333333"/>
                <w:szCs w:val="22"/>
                <w:lang w:val="fr-FR"/>
              </w:rPr>
              <w:t xml:space="preserve"> sur la négociation collective des droits et la gestion collective des droits dans le secteur de l</w:t>
            </w:r>
            <w:r w:rsidR="00EA2C86" w:rsidRPr="006D4C53">
              <w:rPr>
                <w:bCs/>
                <w:color w:val="333333"/>
                <w:szCs w:val="22"/>
                <w:lang w:val="fr-FR"/>
              </w:rPr>
              <w:t>’</w:t>
            </w:r>
            <w:r w:rsidRPr="006D4C53">
              <w:rPr>
                <w:bCs/>
                <w:color w:val="333333"/>
                <w:szCs w:val="22"/>
                <w:lang w:val="fr-FR"/>
              </w:rPr>
              <w:t xml:space="preserve">audiovisuel </w:t>
            </w:r>
            <w:r w:rsidRPr="00927778">
              <w:rPr>
                <w:bCs/>
                <w:color w:val="333333"/>
                <w:szCs w:val="22"/>
                <w:lang w:val="fr-FR"/>
              </w:rPr>
              <w:t xml:space="preserve">figurant dans le document </w:t>
            </w:r>
            <w:r w:rsidR="00D527E8" w:rsidRPr="00927778">
              <w:rPr>
                <w:bCs/>
                <w:color w:val="333333"/>
                <w:szCs w:val="22"/>
                <w:lang w:val="fr-FR"/>
              </w:rPr>
              <w:t xml:space="preserve">CDIP/14/INF/2 </w:t>
            </w:r>
            <w:r w:rsidRPr="00927778">
              <w:rPr>
                <w:bCs/>
                <w:color w:val="333333"/>
                <w:szCs w:val="22"/>
                <w:lang w:val="fr-FR"/>
              </w:rPr>
              <w:t>disponible à l</w:t>
            </w:r>
            <w:r w:rsidR="00EA2C86" w:rsidRPr="00927778">
              <w:rPr>
                <w:bCs/>
                <w:color w:val="333333"/>
                <w:szCs w:val="22"/>
                <w:lang w:val="fr-FR"/>
              </w:rPr>
              <w:t>’</w:t>
            </w:r>
            <w:r w:rsidRPr="00927778">
              <w:rPr>
                <w:bCs/>
                <w:color w:val="333333"/>
                <w:szCs w:val="22"/>
                <w:lang w:val="fr-FR"/>
              </w:rPr>
              <w:t>adresse suivante</w:t>
            </w:r>
            <w:r w:rsidR="00EA2C86" w:rsidRPr="00927778">
              <w:rPr>
                <w:bCs/>
                <w:color w:val="333333"/>
                <w:szCs w:val="22"/>
                <w:lang w:val="fr-FR"/>
              </w:rPr>
              <w:t> :</w:t>
            </w:r>
            <w:r w:rsidRPr="00927778">
              <w:rPr>
                <w:bCs/>
                <w:color w:val="333333"/>
                <w:szCs w:val="22"/>
                <w:lang w:val="fr-FR"/>
              </w:rPr>
              <w:t xml:space="preserve"> </w:t>
            </w:r>
            <w:hyperlink r:id="rId22" w:history="1">
              <w:r w:rsidR="006D4C53">
                <w:rPr>
                  <w:spacing w:val="-4"/>
                  <w:szCs w:val="22"/>
                  <w:u w:val="single"/>
                  <w:lang w:val="fr-FR"/>
                </w:rPr>
                <w:t>http://www.wipo.int/edocs/mdocs/mdocs/fr/cdip_14/cdip_14_inf_2.pdf</w:t>
              </w:r>
            </w:hyperlink>
            <w:r w:rsidR="00D527E8" w:rsidRPr="006D4C53">
              <w:rPr>
                <w:bCs/>
                <w:szCs w:val="22"/>
                <w:lang w:val="fr-FR"/>
              </w:rPr>
              <w:t>.</w:t>
            </w:r>
          </w:p>
          <w:p w:rsidR="005E6718" w:rsidRPr="00927778" w:rsidRDefault="005E6718" w:rsidP="00D527E8">
            <w:pPr>
              <w:rPr>
                <w:bCs/>
                <w:color w:val="333333"/>
                <w:szCs w:val="22"/>
                <w:lang w:val="fr-FR"/>
              </w:rPr>
            </w:pPr>
          </w:p>
          <w:p w:rsidR="006D4C53" w:rsidRDefault="006D4C53" w:rsidP="00561EA1">
            <w:pPr>
              <w:rPr>
                <w:bCs/>
                <w:color w:val="333333"/>
                <w:szCs w:val="22"/>
                <w:lang w:val="fr-FR"/>
              </w:rPr>
            </w:pPr>
          </w:p>
          <w:p w:rsidR="00EA2C86" w:rsidRPr="00927778" w:rsidRDefault="00B04032" w:rsidP="00561EA1">
            <w:pPr>
              <w:rPr>
                <w:bCs/>
                <w:color w:val="333333"/>
                <w:szCs w:val="22"/>
                <w:lang w:val="fr-FR"/>
              </w:rPr>
            </w:pPr>
            <w:r w:rsidRPr="00927778">
              <w:rPr>
                <w:bCs/>
                <w:color w:val="333333"/>
                <w:szCs w:val="22"/>
                <w:lang w:val="fr-FR"/>
              </w:rPr>
              <w:t xml:space="preserve">Le projet continue à </w:t>
            </w:r>
            <w:r w:rsidR="00070838" w:rsidRPr="00927778">
              <w:rPr>
                <w:bCs/>
                <w:color w:val="333333"/>
                <w:szCs w:val="22"/>
                <w:lang w:val="fr-FR"/>
              </w:rPr>
              <w:t>fournir</w:t>
            </w:r>
            <w:r w:rsidRPr="00927778">
              <w:rPr>
                <w:bCs/>
                <w:color w:val="333333"/>
                <w:szCs w:val="22"/>
                <w:lang w:val="fr-FR"/>
              </w:rPr>
              <w:t xml:space="preserve"> des instruments et des compétences destinés à améliorer l</w:t>
            </w:r>
            <w:r w:rsidR="00EA2C86" w:rsidRPr="00927778">
              <w:rPr>
                <w:bCs/>
                <w:color w:val="333333"/>
                <w:szCs w:val="22"/>
                <w:lang w:val="fr-FR"/>
              </w:rPr>
              <w:t>’</w:t>
            </w:r>
            <w:r w:rsidRPr="00927778">
              <w:rPr>
                <w:bCs/>
                <w:color w:val="333333"/>
                <w:szCs w:val="22"/>
                <w:lang w:val="fr-FR"/>
              </w:rPr>
              <w:t>exercice individuel des droits et leur gestion collective</w:t>
            </w:r>
            <w:r w:rsidR="00561EA1" w:rsidRPr="00927778">
              <w:rPr>
                <w:bCs/>
                <w:color w:val="333333"/>
                <w:szCs w:val="22"/>
                <w:lang w:val="fr-FR"/>
              </w:rPr>
              <w:t>, dans la mesure où dans l</w:t>
            </w:r>
            <w:r w:rsidR="00EA2C86" w:rsidRPr="00927778">
              <w:rPr>
                <w:bCs/>
                <w:color w:val="333333"/>
                <w:szCs w:val="22"/>
                <w:lang w:val="fr-FR"/>
              </w:rPr>
              <w:t>’</w:t>
            </w:r>
            <w:r w:rsidR="00561EA1" w:rsidRPr="00927778">
              <w:rPr>
                <w:bCs/>
                <w:color w:val="333333"/>
                <w:szCs w:val="22"/>
                <w:lang w:val="fr-FR"/>
              </w:rPr>
              <w:t>industrie de l</w:t>
            </w:r>
            <w:r w:rsidR="00EA2C86" w:rsidRPr="00927778">
              <w:rPr>
                <w:bCs/>
                <w:color w:val="333333"/>
                <w:szCs w:val="22"/>
                <w:lang w:val="fr-FR"/>
              </w:rPr>
              <w:t>’</w:t>
            </w:r>
            <w:r w:rsidR="00561EA1" w:rsidRPr="00927778">
              <w:rPr>
                <w:bCs/>
                <w:color w:val="333333"/>
                <w:szCs w:val="22"/>
                <w:lang w:val="fr-FR"/>
              </w:rPr>
              <w:t>audiovisuel plusieurs droits sont, dans la pratique, détenus par les producteurs de films afin d</w:t>
            </w:r>
            <w:r w:rsidR="00EA2C86" w:rsidRPr="00927778">
              <w:rPr>
                <w:bCs/>
                <w:color w:val="333333"/>
                <w:szCs w:val="22"/>
                <w:lang w:val="fr-FR"/>
              </w:rPr>
              <w:t>’</w:t>
            </w:r>
            <w:r w:rsidR="00561EA1" w:rsidRPr="00927778">
              <w:rPr>
                <w:bCs/>
                <w:color w:val="333333"/>
                <w:szCs w:val="22"/>
                <w:lang w:val="fr-FR"/>
              </w:rPr>
              <w:t>offrir à ces derniers des possibilités de pleine exploitation.</w:t>
            </w:r>
          </w:p>
          <w:p w:rsidR="005E6718" w:rsidRPr="00927778" w:rsidRDefault="005E6718" w:rsidP="00D527E8">
            <w:pPr>
              <w:rPr>
                <w:bCs/>
                <w:color w:val="333333"/>
                <w:szCs w:val="22"/>
                <w:lang w:val="fr-FR"/>
              </w:rPr>
            </w:pPr>
          </w:p>
          <w:p w:rsidR="00EA2C86" w:rsidRPr="00927778" w:rsidRDefault="00561EA1" w:rsidP="00D527E8">
            <w:pPr>
              <w:rPr>
                <w:bCs/>
                <w:color w:val="333333"/>
                <w:szCs w:val="22"/>
                <w:lang w:val="fr-FR"/>
              </w:rPr>
            </w:pPr>
            <w:r w:rsidRPr="00927778">
              <w:rPr>
                <w:bCs/>
                <w:color w:val="333333"/>
                <w:szCs w:val="22"/>
                <w:lang w:val="fr-FR"/>
              </w:rPr>
              <w:t>Deux activités de formation ont été organisées</w:t>
            </w:r>
            <w:r w:rsidR="00EA2C86" w:rsidRPr="00927778">
              <w:rPr>
                <w:bCs/>
                <w:color w:val="333333"/>
                <w:szCs w:val="22"/>
                <w:lang w:val="fr-FR"/>
              </w:rPr>
              <w:t> :</w:t>
            </w:r>
          </w:p>
          <w:p w:rsidR="005E6718" w:rsidRPr="00927778" w:rsidRDefault="005E6718" w:rsidP="00D527E8">
            <w:pPr>
              <w:pStyle w:val="Default"/>
              <w:rPr>
                <w:bCs/>
                <w:color w:val="333333"/>
                <w:sz w:val="22"/>
                <w:szCs w:val="22"/>
                <w:lang w:val="fr-FR"/>
              </w:rPr>
            </w:pPr>
          </w:p>
          <w:p w:rsidR="00EA2C86" w:rsidRPr="00927778" w:rsidRDefault="007B290F" w:rsidP="00EA1A2E">
            <w:pPr>
              <w:pStyle w:val="Default"/>
              <w:numPr>
                <w:ilvl w:val="0"/>
                <w:numId w:val="29"/>
              </w:numPr>
              <w:rPr>
                <w:bCs/>
                <w:color w:val="333333"/>
                <w:sz w:val="22"/>
                <w:szCs w:val="22"/>
                <w:lang w:val="fr-FR"/>
              </w:rPr>
            </w:pPr>
            <w:r w:rsidRPr="00927778">
              <w:rPr>
                <w:bCs/>
                <w:color w:val="333333"/>
                <w:sz w:val="22"/>
                <w:szCs w:val="22"/>
                <w:lang w:val="fr-FR"/>
              </w:rPr>
              <w:t>Une formation transfrontière axée sur la gestion collective des droits dans le secteur de l</w:t>
            </w:r>
            <w:r w:rsidR="00EA2C86" w:rsidRPr="00927778">
              <w:rPr>
                <w:bCs/>
                <w:color w:val="333333"/>
                <w:sz w:val="22"/>
                <w:szCs w:val="22"/>
                <w:lang w:val="fr-FR"/>
              </w:rPr>
              <w:t>’</w:t>
            </w:r>
            <w:r w:rsidRPr="00927778">
              <w:rPr>
                <w:bCs/>
                <w:color w:val="333333"/>
                <w:sz w:val="22"/>
                <w:szCs w:val="22"/>
                <w:lang w:val="fr-FR"/>
              </w:rPr>
              <w:t>audiovisuel a eu lieu au Mar</w:t>
            </w:r>
            <w:r w:rsidR="00306E74" w:rsidRPr="00927778">
              <w:rPr>
                <w:bCs/>
                <w:color w:val="333333"/>
                <w:sz w:val="22"/>
                <w:szCs w:val="22"/>
                <w:lang w:val="fr-FR"/>
              </w:rPr>
              <w:t>oc.  El</w:t>
            </w:r>
            <w:r w:rsidRPr="00927778">
              <w:rPr>
                <w:bCs/>
                <w:color w:val="333333"/>
                <w:sz w:val="22"/>
                <w:szCs w:val="22"/>
                <w:lang w:val="fr-FR"/>
              </w:rPr>
              <w:t>le portait principalement sur la question de la gestion collective des droits dans le secteur de l</w:t>
            </w:r>
            <w:r w:rsidR="00EA2C86" w:rsidRPr="00927778">
              <w:rPr>
                <w:bCs/>
                <w:color w:val="333333"/>
                <w:sz w:val="22"/>
                <w:szCs w:val="22"/>
                <w:lang w:val="fr-FR"/>
              </w:rPr>
              <w:t>’</w:t>
            </w:r>
            <w:r w:rsidRPr="00927778">
              <w:rPr>
                <w:bCs/>
                <w:color w:val="333333"/>
                <w:sz w:val="22"/>
                <w:szCs w:val="22"/>
                <w:lang w:val="fr-FR"/>
              </w:rPr>
              <w:t xml:space="preserve">audiovisuel et sur les instruments pour la concession de licences </w:t>
            </w:r>
            <w:r w:rsidR="008E6F6B" w:rsidRPr="00927778">
              <w:rPr>
                <w:bCs/>
                <w:color w:val="333333"/>
                <w:sz w:val="22"/>
                <w:szCs w:val="22"/>
                <w:lang w:val="fr-FR"/>
              </w:rPr>
              <w:t xml:space="preserve">aux services en ligne de diffusion </w:t>
            </w:r>
            <w:r w:rsidRPr="00927778">
              <w:rPr>
                <w:bCs/>
                <w:color w:val="333333"/>
                <w:sz w:val="22"/>
                <w:szCs w:val="22"/>
                <w:lang w:val="fr-FR"/>
              </w:rPr>
              <w:t>à la deman</w:t>
            </w:r>
            <w:r w:rsidR="00306E74" w:rsidRPr="00927778">
              <w:rPr>
                <w:bCs/>
                <w:color w:val="333333"/>
                <w:sz w:val="22"/>
                <w:szCs w:val="22"/>
                <w:lang w:val="fr-FR"/>
              </w:rPr>
              <w:t>de.  Ce</w:t>
            </w:r>
            <w:r w:rsidR="005B2AA6" w:rsidRPr="00927778">
              <w:rPr>
                <w:bCs/>
                <w:color w:val="333333"/>
                <w:sz w:val="22"/>
                <w:szCs w:val="22"/>
                <w:lang w:val="fr-FR"/>
              </w:rPr>
              <w:t>tte activité a cond</w:t>
            </w:r>
            <w:r w:rsidR="008E6F6B" w:rsidRPr="00927778">
              <w:rPr>
                <w:bCs/>
                <w:color w:val="333333"/>
                <w:sz w:val="22"/>
                <w:szCs w:val="22"/>
                <w:lang w:val="fr-FR"/>
              </w:rPr>
              <w:t>u</w:t>
            </w:r>
            <w:r w:rsidR="005B2AA6" w:rsidRPr="00927778">
              <w:rPr>
                <w:bCs/>
                <w:color w:val="333333"/>
                <w:sz w:val="22"/>
                <w:szCs w:val="22"/>
                <w:lang w:val="fr-FR"/>
              </w:rPr>
              <w:t>it à l</w:t>
            </w:r>
            <w:r w:rsidR="00EA2C86" w:rsidRPr="00927778">
              <w:rPr>
                <w:bCs/>
                <w:color w:val="333333"/>
                <w:sz w:val="22"/>
                <w:szCs w:val="22"/>
                <w:lang w:val="fr-FR"/>
              </w:rPr>
              <w:t>’</w:t>
            </w:r>
            <w:r w:rsidR="005B2AA6" w:rsidRPr="00927778">
              <w:rPr>
                <w:bCs/>
                <w:color w:val="333333"/>
                <w:sz w:val="22"/>
                <w:szCs w:val="22"/>
                <w:lang w:val="fr-FR"/>
              </w:rPr>
              <w:t>adoption du plan d</w:t>
            </w:r>
            <w:r w:rsidR="00EA2C86" w:rsidRPr="00927778">
              <w:rPr>
                <w:bCs/>
                <w:color w:val="333333"/>
                <w:sz w:val="22"/>
                <w:szCs w:val="22"/>
                <w:lang w:val="fr-FR"/>
              </w:rPr>
              <w:t>’</w:t>
            </w:r>
            <w:r w:rsidR="005B2AA6" w:rsidRPr="00927778">
              <w:rPr>
                <w:bCs/>
                <w:color w:val="333333"/>
                <w:sz w:val="22"/>
                <w:szCs w:val="22"/>
                <w:lang w:val="fr-FR"/>
              </w:rPr>
              <w:t>action El Jadida</w:t>
            </w:r>
            <w:r w:rsidR="008E6F6B" w:rsidRPr="00927778">
              <w:rPr>
                <w:bCs/>
                <w:color w:val="333333"/>
                <w:sz w:val="22"/>
                <w:szCs w:val="22"/>
                <w:lang w:val="fr-FR"/>
              </w:rPr>
              <w:t>,</w:t>
            </w:r>
            <w:r w:rsidR="00E034ED" w:rsidRPr="00927778">
              <w:rPr>
                <w:bCs/>
                <w:color w:val="333333"/>
                <w:sz w:val="22"/>
                <w:szCs w:val="22"/>
                <w:lang w:val="fr-FR"/>
              </w:rPr>
              <w:t xml:space="preserve"> qui pose les jalons d</w:t>
            </w:r>
            <w:r w:rsidR="00EA2C86" w:rsidRPr="00927778">
              <w:rPr>
                <w:bCs/>
                <w:color w:val="333333"/>
                <w:sz w:val="22"/>
                <w:szCs w:val="22"/>
                <w:lang w:val="fr-FR"/>
              </w:rPr>
              <w:t>’</w:t>
            </w:r>
            <w:r w:rsidR="00E034ED" w:rsidRPr="00927778">
              <w:rPr>
                <w:bCs/>
                <w:color w:val="333333"/>
                <w:sz w:val="22"/>
                <w:szCs w:val="22"/>
                <w:lang w:val="fr-FR"/>
              </w:rPr>
              <w:t xml:space="preserve">une coopération approfondie entre </w:t>
            </w:r>
            <w:r w:rsidR="008E6F6B" w:rsidRPr="00927778">
              <w:rPr>
                <w:bCs/>
                <w:color w:val="333333"/>
                <w:sz w:val="22"/>
                <w:szCs w:val="22"/>
                <w:lang w:val="fr-FR"/>
              </w:rPr>
              <w:t xml:space="preserve">les </w:t>
            </w:r>
            <w:r w:rsidR="00E034ED" w:rsidRPr="00927778">
              <w:rPr>
                <w:bCs/>
                <w:color w:val="333333"/>
                <w:sz w:val="22"/>
                <w:szCs w:val="22"/>
                <w:lang w:val="fr-FR"/>
              </w:rPr>
              <w:t>pays d</w:t>
            </w:r>
            <w:r w:rsidR="00EA2C86" w:rsidRPr="00927778">
              <w:rPr>
                <w:bCs/>
                <w:color w:val="333333"/>
                <w:sz w:val="22"/>
                <w:szCs w:val="22"/>
                <w:lang w:val="fr-FR"/>
              </w:rPr>
              <w:t>’</w:t>
            </w:r>
            <w:r w:rsidR="00E034ED" w:rsidRPr="00927778">
              <w:rPr>
                <w:bCs/>
                <w:color w:val="333333"/>
                <w:sz w:val="22"/>
                <w:szCs w:val="22"/>
                <w:lang w:val="fr-FR"/>
              </w:rPr>
              <w:t>Afrique de l</w:t>
            </w:r>
            <w:r w:rsidR="00EA2C86" w:rsidRPr="00927778">
              <w:rPr>
                <w:bCs/>
                <w:color w:val="333333"/>
                <w:sz w:val="22"/>
                <w:szCs w:val="22"/>
                <w:lang w:val="fr-FR"/>
              </w:rPr>
              <w:t>’</w:t>
            </w:r>
            <w:r w:rsidR="00E034ED" w:rsidRPr="00927778">
              <w:rPr>
                <w:bCs/>
                <w:color w:val="333333"/>
                <w:sz w:val="22"/>
                <w:szCs w:val="22"/>
                <w:lang w:val="fr-FR"/>
              </w:rPr>
              <w:t>Ouest dans le domaine de la concession de licences dans l</w:t>
            </w:r>
            <w:r w:rsidR="00EA2C86" w:rsidRPr="00927778">
              <w:rPr>
                <w:bCs/>
                <w:color w:val="333333"/>
                <w:sz w:val="22"/>
                <w:szCs w:val="22"/>
                <w:lang w:val="fr-FR"/>
              </w:rPr>
              <w:t>’</w:t>
            </w:r>
            <w:r w:rsidR="00E034ED" w:rsidRPr="00927778">
              <w:rPr>
                <w:bCs/>
                <w:color w:val="333333"/>
                <w:sz w:val="22"/>
                <w:szCs w:val="22"/>
                <w:lang w:val="fr-FR"/>
              </w:rPr>
              <w:t>univers du numériq</w:t>
            </w:r>
            <w:r w:rsidR="00306E74" w:rsidRPr="00927778">
              <w:rPr>
                <w:bCs/>
                <w:color w:val="333333"/>
                <w:sz w:val="22"/>
                <w:szCs w:val="22"/>
                <w:lang w:val="fr-FR"/>
              </w:rPr>
              <w:t>ue.  En</w:t>
            </w:r>
            <w:r w:rsidR="00E034ED" w:rsidRPr="00927778">
              <w:rPr>
                <w:bCs/>
                <w:color w:val="333333"/>
                <w:sz w:val="22"/>
                <w:szCs w:val="22"/>
                <w:lang w:val="fr-FR"/>
              </w:rPr>
              <w:t xml:space="preserve"> </w:t>
            </w:r>
            <w:r w:rsidR="00EA2C86" w:rsidRPr="00927778">
              <w:rPr>
                <w:bCs/>
                <w:color w:val="333333"/>
                <w:sz w:val="22"/>
                <w:szCs w:val="22"/>
                <w:lang w:val="fr-FR"/>
              </w:rPr>
              <w:t>juillet 20</w:t>
            </w:r>
            <w:r w:rsidR="00D527E8" w:rsidRPr="00927778">
              <w:rPr>
                <w:bCs/>
                <w:color w:val="333333"/>
                <w:sz w:val="22"/>
                <w:szCs w:val="22"/>
                <w:lang w:val="fr-FR"/>
              </w:rPr>
              <w:t xml:space="preserve">18, </w:t>
            </w:r>
            <w:r w:rsidR="00E034ED" w:rsidRPr="00927778">
              <w:rPr>
                <w:bCs/>
                <w:color w:val="333333"/>
                <w:sz w:val="22"/>
                <w:szCs w:val="22"/>
                <w:lang w:val="fr-FR"/>
              </w:rPr>
              <w:t>cette formation a eu pour résultat concret la création par le Royaume du Maroc de l</w:t>
            </w:r>
            <w:r w:rsidR="00EA2C86" w:rsidRPr="00927778">
              <w:rPr>
                <w:bCs/>
                <w:color w:val="333333"/>
                <w:sz w:val="22"/>
                <w:szCs w:val="22"/>
                <w:lang w:val="fr-FR"/>
              </w:rPr>
              <w:t>’</w:t>
            </w:r>
            <w:r w:rsidR="00E034ED" w:rsidRPr="00927778">
              <w:rPr>
                <w:bCs/>
                <w:color w:val="333333"/>
                <w:sz w:val="22"/>
                <w:szCs w:val="22"/>
                <w:lang w:val="fr-FR"/>
              </w:rPr>
              <w:t>Institut d</w:t>
            </w:r>
            <w:r w:rsidR="00EA2C86" w:rsidRPr="00927778">
              <w:rPr>
                <w:bCs/>
                <w:color w:val="333333"/>
                <w:sz w:val="22"/>
                <w:szCs w:val="22"/>
                <w:lang w:val="fr-FR"/>
              </w:rPr>
              <w:t>’</w:t>
            </w:r>
            <w:r w:rsidR="00E034ED" w:rsidRPr="00927778">
              <w:rPr>
                <w:bCs/>
                <w:color w:val="333333"/>
                <w:sz w:val="22"/>
                <w:szCs w:val="22"/>
                <w:lang w:val="fr-FR"/>
              </w:rPr>
              <w:t>Afrique de l</w:t>
            </w:r>
            <w:r w:rsidR="00EA2C86" w:rsidRPr="00927778">
              <w:rPr>
                <w:bCs/>
                <w:color w:val="333333"/>
                <w:sz w:val="22"/>
                <w:szCs w:val="22"/>
                <w:lang w:val="fr-FR"/>
              </w:rPr>
              <w:t>’</w:t>
            </w:r>
            <w:r w:rsidR="00E034ED" w:rsidRPr="00927778">
              <w:rPr>
                <w:bCs/>
                <w:color w:val="333333"/>
                <w:sz w:val="22"/>
                <w:szCs w:val="22"/>
                <w:lang w:val="fr-FR"/>
              </w:rPr>
              <w:t>Ouest pour la recherche stratégique sur le droit d</w:t>
            </w:r>
            <w:r w:rsidR="00EA2C86" w:rsidRPr="00927778">
              <w:rPr>
                <w:bCs/>
                <w:color w:val="333333"/>
                <w:sz w:val="22"/>
                <w:szCs w:val="22"/>
                <w:lang w:val="fr-FR"/>
              </w:rPr>
              <w:t>’</w:t>
            </w:r>
            <w:r w:rsidR="00E034ED" w:rsidRPr="00927778">
              <w:rPr>
                <w:bCs/>
                <w:color w:val="333333"/>
                <w:sz w:val="22"/>
                <w:szCs w:val="22"/>
                <w:lang w:val="fr-FR"/>
              </w:rPr>
              <w:t>auteur et la gestion collective des droits</w:t>
            </w:r>
            <w:r w:rsidR="00110931" w:rsidRPr="00927778">
              <w:rPr>
                <w:bCs/>
                <w:color w:val="333333"/>
                <w:sz w:val="22"/>
                <w:szCs w:val="22"/>
                <w:lang w:val="fr-FR"/>
              </w:rPr>
              <w:t>,</w:t>
            </w:r>
            <w:r w:rsidR="00E034ED" w:rsidRPr="00927778">
              <w:rPr>
                <w:bCs/>
                <w:color w:val="333333"/>
                <w:sz w:val="22"/>
                <w:szCs w:val="22"/>
                <w:lang w:val="fr-FR"/>
              </w:rPr>
              <w:t xml:space="preserve"> </w:t>
            </w:r>
            <w:r w:rsidR="008E6F6B" w:rsidRPr="00927778">
              <w:rPr>
                <w:bCs/>
                <w:color w:val="333333"/>
                <w:sz w:val="22"/>
                <w:szCs w:val="22"/>
                <w:lang w:val="fr-FR"/>
              </w:rPr>
              <w:t xml:space="preserve">dont la mission consiste à </w:t>
            </w:r>
            <w:r w:rsidR="00E034ED" w:rsidRPr="00927778">
              <w:rPr>
                <w:bCs/>
                <w:color w:val="333333"/>
                <w:sz w:val="22"/>
                <w:szCs w:val="22"/>
                <w:lang w:val="fr-FR"/>
              </w:rPr>
              <w:t>renforce</w:t>
            </w:r>
            <w:r w:rsidR="008E6F6B" w:rsidRPr="00927778">
              <w:rPr>
                <w:bCs/>
                <w:color w:val="333333"/>
                <w:sz w:val="22"/>
                <w:szCs w:val="22"/>
                <w:lang w:val="fr-FR"/>
              </w:rPr>
              <w:t>r</w:t>
            </w:r>
            <w:r w:rsidR="00E034ED" w:rsidRPr="00927778">
              <w:rPr>
                <w:bCs/>
                <w:color w:val="333333"/>
                <w:sz w:val="22"/>
                <w:szCs w:val="22"/>
                <w:lang w:val="fr-FR"/>
              </w:rPr>
              <w:t xml:space="preserve"> la coopération dans les domaines</w:t>
            </w:r>
            <w:r w:rsidR="008E6F6B" w:rsidRPr="00927778">
              <w:rPr>
                <w:bCs/>
                <w:color w:val="333333"/>
                <w:sz w:val="22"/>
                <w:szCs w:val="22"/>
                <w:lang w:val="fr-FR"/>
              </w:rPr>
              <w:t xml:space="preserve"> </w:t>
            </w:r>
            <w:r w:rsidR="00E034ED" w:rsidRPr="00927778">
              <w:rPr>
                <w:bCs/>
                <w:color w:val="333333"/>
                <w:sz w:val="22"/>
                <w:szCs w:val="22"/>
                <w:lang w:val="fr-FR"/>
              </w:rPr>
              <w:t>touchant au secteur de l</w:t>
            </w:r>
            <w:r w:rsidR="00EA2C86" w:rsidRPr="00927778">
              <w:rPr>
                <w:bCs/>
                <w:color w:val="333333"/>
                <w:sz w:val="22"/>
                <w:szCs w:val="22"/>
                <w:lang w:val="fr-FR"/>
              </w:rPr>
              <w:t>’</w:t>
            </w:r>
            <w:r w:rsidR="00E034ED" w:rsidRPr="00927778">
              <w:rPr>
                <w:bCs/>
                <w:color w:val="333333"/>
                <w:sz w:val="22"/>
                <w:szCs w:val="22"/>
                <w:lang w:val="fr-FR"/>
              </w:rPr>
              <w:t>audiovisuel.</w:t>
            </w:r>
          </w:p>
          <w:p w:rsidR="00EA2C86" w:rsidRPr="00927778" w:rsidRDefault="00DB63D1" w:rsidP="00E1731F">
            <w:pPr>
              <w:pStyle w:val="Default"/>
              <w:numPr>
                <w:ilvl w:val="0"/>
                <w:numId w:val="29"/>
              </w:numPr>
              <w:rPr>
                <w:bCs/>
                <w:color w:val="333333"/>
                <w:sz w:val="22"/>
                <w:szCs w:val="22"/>
                <w:lang w:val="fr-FR"/>
              </w:rPr>
            </w:pPr>
            <w:r w:rsidRPr="00927778">
              <w:rPr>
                <w:bCs/>
                <w:color w:val="333333"/>
                <w:sz w:val="22"/>
                <w:szCs w:val="22"/>
                <w:lang w:val="fr-FR"/>
              </w:rPr>
              <w:t>Une deuxième formation spécialisée organisée à Dakar</w:t>
            </w:r>
            <w:r w:rsidR="00CF7BA0" w:rsidRPr="00927778">
              <w:rPr>
                <w:bCs/>
                <w:color w:val="333333"/>
                <w:sz w:val="22"/>
                <w:szCs w:val="22"/>
                <w:lang w:val="fr-FR"/>
              </w:rPr>
              <w:t>,</w:t>
            </w:r>
            <w:r w:rsidRPr="00927778">
              <w:rPr>
                <w:bCs/>
                <w:color w:val="333333"/>
                <w:sz w:val="22"/>
                <w:szCs w:val="22"/>
                <w:lang w:val="fr-FR"/>
              </w:rPr>
              <w:t xml:space="preserve"> au </w:t>
            </w:r>
            <w:r w:rsidR="00955C95" w:rsidRPr="00927778">
              <w:rPr>
                <w:bCs/>
                <w:color w:val="333333"/>
                <w:sz w:val="22"/>
                <w:szCs w:val="22"/>
                <w:lang w:val="fr-FR"/>
              </w:rPr>
              <w:t>S</w:t>
            </w:r>
            <w:r w:rsidRPr="00927778">
              <w:rPr>
                <w:bCs/>
                <w:color w:val="333333"/>
                <w:sz w:val="22"/>
                <w:szCs w:val="22"/>
                <w:lang w:val="fr-FR"/>
              </w:rPr>
              <w:t>énégal</w:t>
            </w:r>
            <w:r w:rsidR="00CF7BA0" w:rsidRPr="00927778">
              <w:rPr>
                <w:bCs/>
                <w:color w:val="333333"/>
                <w:sz w:val="22"/>
                <w:szCs w:val="22"/>
                <w:lang w:val="fr-FR"/>
              </w:rPr>
              <w:t>,</w:t>
            </w:r>
            <w:r w:rsidR="00955C95" w:rsidRPr="00927778">
              <w:rPr>
                <w:bCs/>
                <w:color w:val="333333"/>
                <w:sz w:val="22"/>
                <w:szCs w:val="22"/>
                <w:lang w:val="fr-FR"/>
              </w:rPr>
              <w:t xml:space="preserve"> a concouru au renforcement des compétences des pays bénéficiaires en matière de gestion des dispositifs rémunérateurs de copie priv</w:t>
            </w:r>
            <w:r w:rsidR="00306E74" w:rsidRPr="00927778">
              <w:rPr>
                <w:bCs/>
                <w:color w:val="333333"/>
                <w:sz w:val="22"/>
                <w:szCs w:val="22"/>
                <w:lang w:val="fr-FR"/>
              </w:rPr>
              <w:t>ée.  La</w:t>
            </w:r>
            <w:r w:rsidR="00955C95" w:rsidRPr="00927778">
              <w:rPr>
                <w:bCs/>
                <w:color w:val="333333"/>
                <w:sz w:val="22"/>
                <w:szCs w:val="22"/>
                <w:lang w:val="fr-FR"/>
              </w:rPr>
              <w:t xml:space="preserve"> </w:t>
            </w:r>
            <w:r w:rsidR="00D527E8" w:rsidRPr="00927778">
              <w:rPr>
                <w:bCs/>
                <w:color w:val="333333"/>
                <w:sz w:val="22"/>
                <w:szCs w:val="22"/>
                <w:lang w:val="fr-FR"/>
              </w:rPr>
              <w:t>C</w:t>
            </w:r>
            <w:r w:rsidR="00955C95" w:rsidRPr="00927778">
              <w:rPr>
                <w:bCs/>
                <w:color w:val="333333"/>
                <w:sz w:val="22"/>
                <w:szCs w:val="22"/>
                <w:lang w:val="fr-FR"/>
              </w:rPr>
              <w:t>ô</w:t>
            </w:r>
            <w:r w:rsidR="00D527E8" w:rsidRPr="00927778">
              <w:rPr>
                <w:bCs/>
                <w:color w:val="333333"/>
                <w:sz w:val="22"/>
                <w:szCs w:val="22"/>
                <w:lang w:val="fr-FR"/>
              </w:rPr>
              <w:t>te d</w:t>
            </w:r>
            <w:r w:rsidR="00EA2C86" w:rsidRPr="00927778">
              <w:rPr>
                <w:bCs/>
                <w:color w:val="333333"/>
                <w:sz w:val="22"/>
                <w:szCs w:val="22"/>
                <w:lang w:val="fr-FR"/>
              </w:rPr>
              <w:t>’</w:t>
            </w:r>
            <w:r w:rsidR="00D527E8" w:rsidRPr="00927778">
              <w:rPr>
                <w:bCs/>
                <w:color w:val="333333"/>
                <w:sz w:val="22"/>
                <w:szCs w:val="22"/>
                <w:lang w:val="fr-FR"/>
              </w:rPr>
              <w:t xml:space="preserve">Ivoire, </w:t>
            </w:r>
            <w:r w:rsidR="00955C95" w:rsidRPr="00927778">
              <w:rPr>
                <w:bCs/>
                <w:color w:val="333333"/>
                <w:sz w:val="22"/>
                <w:szCs w:val="22"/>
                <w:lang w:val="fr-FR"/>
              </w:rPr>
              <w:t>le Sé</w:t>
            </w:r>
            <w:r w:rsidR="00D527E8" w:rsidRPr="00927778">
              <w:rPr>
                <w:bCs/>
                <w:color w:val="333333"/>
                <w:sz w:val="22"/>
                <w:szCs w:val="22"/>
                <w:lang w:val="fr-FR"/>
              </w:rPr>
              <w:t>n</w:t>
            </w:r>
            <w:r w:rsidR="00955C95" w:rsidRPr="00927778">
              <w:rPr>
                <w:bCs/>
                <w:color w:val="333333"/>
                <w:sz w:val="22"/>
                <w:szCs w:val="22"/>
                <w:lang w:val="fr-FR"/>
              </w:rPr>
              <w:t>é</w:t>
            </w:r>
            <w:r w:rsidR="00D527E8" w:rsidRPr="00927778">
              <w:rPr>
                <w:bCs/>
                <w:color w:val="333333"/>
                <w:sz w:val="22"/>
                <w:szCs w:val="22"/>
                <w:lang w:val="fr-FR"/>
              </w:rPr>
              <w:t xml:space="preserve">gal </w:t>
            </w:r>
            <w:r w:rsidR="00955C95" w:rsidRPr="00927778">
              <w:rPr>
                <w:bCs/>
                <w:color w:val="333333"/>
                <w:sz w:val="22"/>
                <w:szCs w:val="22"/>
                <w:lang w:val="fr-FR"/>
              </w:rPr>
              <w:t xml:space="preserve">et le Maroc ont </w:t>
            </w:r>
            <w:r w:rsidR="00B104C1" w:rsidRPr="00927778">
              <w:rPr>
                <w:bCs/>
                <w:color w:val="333333"/>
                <w:sz w:val="22"/>
                <w:szCs w:val="22"/>
                <w:lang w:val="fr-FR"/>
              </w:rPr>
              <w:t>récemment</w:t>
            </w:r>
            <w:r w:rsidR="00955C95" w:rsidRPr="00927778">
              <w:rPr>
                <w:bCs/>
                <w:color w:val="333333"/>
                <w:sz w:val="22"/>
                <w:szCs w:val="22"/>
                <w:lang w:val="fr-FR"/>
              </w:rPr>
              <w:t xml:space="preserve"> imposé des obligations juridiques aux dispositifs de copie privée qui s</w:t>
            </w:r>
            <w:r w:rsidR="00EA2C86" w:rsidRPr="00927778">
              <w:rPr>
                <w:bCs/>
                <w:color w:val="333333"/>
                <w:sz w:val="22"/>
                <w:szCs w:val="22"/>
                <w:lang w:val="fr-FR"/>
              </w:rPr>
              <w:t>’</w:t>
            </w:r>
            <w:r w:rsidR="00955C95" w:rsidRPr="00927778">
              <w:rPr>
                <w:bCs/>
                <w:color w:val="333333"/>
                <w:sz w:val="22"/>
                <w:szCs w:val="22"/>
                <w:lang w:val="fr-FR"/>
              </w:rPr>
              <w:t>appliquent également au secteur de l</w:t>
            </w:r>
            <w:r w:rsidR="00EA2C86" w:rsidRPr="00927778">
              <w:rPr>
                <w:bCs/>
                <w:color w:val="333333"/>
                <w:sz w:val="22"/>
                <w:szCs w:val="22"/>
                <w:lang w:val="fr-FR"/>
              </w:rPr>
              <w:t>’</w:t>
            </w:r>
            <w:r w:rsidR="00955C95" w:rsidRPr="00927778">
              <w:rPr>
                <w:bCs/>
                <w:color w:val="333333"/>
                <w:sz w:val="22"/>
                <w:szCs w:val="22"/>
                <w:lang w:val="fr-FR"/>
              </w:rPr>
              <w:t>audiovisu</w:t>
            </w:r>
            <w:r w:rsidR="00306E74" w:rsidRPr="00927778">
              <w:rPr>
                <w:bCs/>
                <w:color w:val="333333"/>
                <w:sz w:val="22"/>
                <w:szCs w:val="22"/>
                <w:lang w:val="fr-FR"/>
              </w:rPr>
              <w:t>el.  To</w:t>
            </w:r>
            <w:r w:rsidR="00955C95" w:rsidRPr="00927778">
              <w:rPr>
                <w:bCs/>
                <w:color w:val="333333"/>
                <w:sz w:val="22"/>
                <w:szCs w:val="22"/>
                <w:lang w:val="fr-FR"/>
              </w:rPr>
              <w:t xml:space="preserve">utefois, des infrastructures efficaces et des compétences </w:t>
            </w:r>
            <w:r w:rsidR="00CF7BA0" w:rsidRPr="00927778">
              <w:rPr>
                <w:bCs/>
                <w:color w:val="333333"/>
                <w:sz w:val="22"/>
                <w:szCs w:val="22"/>
                <w:lang w:val="fr-FR"/>
              </w:rPr>
              <w:t>de</w:t>
            </w:r>
            <w:r w:rsidR="00955C95" w:rsidRPr="00927778">
              <w:rPr>
                <w:bCs/>
                <w:color w:val="333333"/>
                <w:sz w:val="22"/>
                <w:szCs w:val="22"/>
                <w:lang w:val="fr-FR"/>
              </w:rPr>
              <w:t xml:space="preserve"> gestion sont nécessaires pour </w:t>
            </w:r>
            <w:r w:rsidR="00CF7BA0" w:rsidRPr="00927778">
              <w:rPr>
                <w:bCs/>
                <w:color w:val="333333"/>
                <w:sz w:val="22"/>
                <w:szCs w:val="22"/>
                <w:lang w:val="fr-FR"/>
              </w:rPr>
              <w:t>les mettre</w:t>
            </w:r>
            <w:r w:rsidR="00955C95" w:rsidRPr="00927778">
              <w:rPr>
                <w:bCs/>
                <w:color w:val="333333"/>
                <w:sz w:val="22"/>
                <w:szCs w:val="22"/>
                <w:lang w:val="fr-FR"/>
              </w:rPr>
              <w:t xml:space="preserve"> en pratiq</w:t>
            </w:r>
            <w:r w:rsidR="00306E74" w:rsidRPr="00927778">
              <w:rPr>
                <w:bCs/>
                <w:color w:val="333333"/>
                <w:sz w:val="22"/>
                <w:szCs w:val="22"/>
                <w:lang w:val="fr-FR"/>
              </w:rPr>
              <w:t>ue.  Ce</w:t>
            </w:r>
            <w:r w:rsidR="00955C95" w:rsidRPr="00927778">
              <w:rPr>
                <w:bCs/>
                <w:color w:val="333333"/>
                <w:sz w:val="22"/>
                <w:szCs w:val="22"/>
                <w:lang w:val="fr-FR"/>
              </w:rPr>
              <w:t xml:space="preserve">tte activité a été réalisée en coopération avec </w:t>
            </w:r>
            <w:r w:rsidR="00E1731F" w:rsidRPr="00927778">
              <w:rPr>
                <w:bCs/>
                <w:color w:val="333333"/>
                <w:sz w:val="22"/>
                <w:szCs w:val="22"/>
                <w:lang w:val="fr-FR"/>
              </w:rPr>
              <w:t>la Confédération internationale des sociétés d</w:t>
            </w:r>
            <w:r w:rsidR="00EA2C86" w:rsidRPr="00927778">
              <w:rPr>
                <w:bCs/>
                <w:color w:val="333333"/>
                <w:sz w:val="22"/>
                <w:szCs w:val="22"/>
                <w:lang w:val="fr-FR"/>
              </w:rPr>
              <w:t>’</w:t>
            </w:r>
            <w:r w:rsidR="00E1731F" w:rsidRPr="00927778">
              <w:rPr>
                <w:bCs/>
                <w:color w:val="333333"/>
                <w:sz w:val="22"/>
                <w:szCs w:val="22"/>
                <w:lang w:val="fr-FR"/>
              </w:rPr>
              <w:t xml:space="preserve">auteurs et compositeurs (CISAC). </w:t>
            </w:r>
            <w:r w:rsidR="0057466D" w:rsidRPr="00927778">
              <w:rPr>
                <w:bCs/>
                <w:color w:val="333333"/>
                <w:sz w:val="22"/>
                <w:szCs w:val="22"/>
                <w:lang w:val="fr-FR"/>
              </w:rPr>
              <w:t xml:space="preserve"> </w:t>
            </w:r>
            <w:r w:rsidR="00E1731F" w:rsidRPr="00927778">
              <w:rPr>
                <w:bCs/>
                <w:color w:val="333333"/>
                <w:sz w:val="22"/>
                <w:szCs w:val="22"/>
                <w:lang w:val="fr-FR"/>
              </w:rPr>
              <w:t>Elle portait essentiellement sur l</w:t>
            </w:r>
            <w:r w:rsidR="00EA2C86" w:rsidRPr="00927778">
              <w:rPr>
                <w:bCs/>
                <w:color w:val="333333"/>
                <w:sz w:val="22"/>
                <w:szCs w:val="22"/>
                <w:lang w:val="fr-FR"/>
              </w:rPr>
              <w:t>’</w:t>
            </w:r>
            <w:r w:rsidR="00E1731F" w:rsidRPr="00927778">
              <w:rPr>
                <w:bCs/>
                <w:color w:val="333333"/>
                <w:sz w:val="22"/>
                <w:szCs w:val="22"/>
                <w:lang w:val="fr-FR"/>
              </w:rPr>
              <w:t>échange de connaissances issues des meilleures pratiques en matière de gestion de ce droit en Afrique</w:t>
            </w:r>
            <w:r w:rsidR="002E2400" w:rsidRPr="00927778">
              <w:rPr>
                <w:bCs/>
                <w:color w:val="333333"/>
                <w:sz w:val="22"/>
                <w:szCs w:val="22"/>
                <w:lang w:val="fr-FR"/>
              </w:rPr>
              <w:t xml:space="preserve">, comme au </w:t>
            </w:r>
            <w:r w:rsidR="00D527E8" w:rsidRPr="00927778">
              <w:rPr>
                <w:bCs/>
                <w:color w:val="333333"/>
                <w:sz w:val="22"/>
                <w:szCs w:val="22"/>
                <w:lang w:val="fr-FR"/>
              </w:rPr>
              <w:t xml:space="preserve">Burkina Faso </w:t>
            </w:r>
            <w:r w:rsidR="002E2400" w:rsidRPr="00927778">
              <w:rPr>
                <w:bCs/>
                <w:color w:val="333333"/>
                <w:sz w:val="22"/>
                <w:szCs w:val="22"/>
                <w:lang w:val="fr-FR"/>
              </w:rPr>
              <w:t xml:space="preserve">et en </w:t>
            </w:r>
            <w:r w:rsidR="00E1731F" w:rsidRPr="00927778">
              <w:rPr>
                <w:bCs/>
                <w:color w:val="333333"/>
                <w:sz w:val="22"/>
                <w:szCs w:val="22"/>
                <w:lang w:val="fr-FR"/>
              </w:rPr>
              <w:t>Algé</w:t>
            </w:r>
            <w:r w:rsidR="00D527E8" w:rsidRPr="00927778">
              <w:rPr>
                <w:bCs/>
                <w:color w:val="333333"/>
                <w:sz w:val="22"/>
                <w:szCs w:val="22"/>
                <w:lang w:val="fr-FR"/>
              </w:rPr>
              <w:t>ri</w:t>
            </w:r>
            <w:r w:rsidR="00E1731F" w:rsidRPr="00927778">
              <w:rPr>
                <w:bCs/>
                <w:color w:val="333333"/>
                <w:sz w:val="22"/>
                <w:szCs w:val="22"/>
                <w:lang w:val="fr-FR"/>
              </w:rPr>
              <w:t>e</w:t>
            </w:r>
            <w:r w:rsidR="00D527E8" w:rsidRPr="00927778">
              <w:rPr>
                <w:bCs/>
                <w:color w:val="333333"/>
                <w:sz w:val="22"/>
                <w:szCs w:val="22"/>
                <w:lang w:val="fr-FR"/>
              </w:rPr>
              <w:t>.</w:t>
            </w:r>
          </w:p>
          <w:p w:rsidR="005E6718" w:rsidRPr="00927778" w:rsidRDefault="005E6718" w:rsidP="00D527E8">
            <w:pPr>
              <w:rPr>
                <w:bCs/>
                <w:color w:val="333333"/>
                <w:szCs w:val="22"/>
                <w:lang w:val="fr-FR"/>
              </w:rPr>
            </w:pPr>
          </w:p>
          <w:p w:rsidR="006D4C53" w:rsidRDefault="003523FC" w:rsidP="00AE42A7">
            <w:pPr>
              <w:rPr>
                <w:color w:val="333333"/>
                <w:szCs w:val="22"/>
                <w:lang w:val="fr-FR"/>
              </w:rPr>
            </w:pPr>
            <w:r w:rsidRPr="00927778">
              <w:rPr>
                <w:bCs/>
                <w:color w:val="333333"/>
                <w:szCs w:val="22"/>
                <w:lang w:val="fr-FR"/>
              </w:rPr>
              <w:t>En outre, le projet a continué de fournir des consei</w:t>
            </w:r>
            <w:r w:rsidR="00B55827" w:rsidRPr="00927778">
              <w:rPr>
                <w:bCs/>
                <w:color w:val="333333"/>
                <w:szCs w:val="22"/>
                <w:lang w:val="fr-FR"/>
              </w:rPr>
              <w:t xml:space="preserve">ls en matière de législation au gré </w:t>
            </w:r>
            <w:r w:rsidRPr="00927778">
              <w:rPr>
                <w:bCs/>
                <w:color w:val="333333"/>
                <w:szCs w:val="22"/>
                <w:lang w:val="fr-FR"/>
              </w:rPr>
              <w:t xml:space="preserve">des demandes émanant des autorités nationales </w:t>
            </w:r>
            <w:r w:rsidR="00B55827" w:rsidRPr="00927778">
              <w:rPr>
                <w:bCs/>
                <w:color w:val="333333"/>
                <w:szCs w:val="22"/>
                <w:lang w:val="fr-FR"/>
              </w:rPr>
              <w:t>qui s</w:t>
            </w:r>
            <w:r w:rsidR="00EA2C86" w:rsidRPr="00927778">
              <w:rPr>
                <w:bCs/>
                <w:color w:val="333333"/>
                <w:szCs w:val="22"/>
                <w:lang w:val="fr-FR"/>
              </w:rPr>
              <w:t>’</w:t>
            </w:r>
            <w:r w:rsidR="00B55827" w:rsidRPr="00927778">
              <w:rPr>
                <w:bCs/>
                <w:color w:val="333333"/>
                <w:szCs w:val="22"/>
                <w:lang w:val="fr-FR"/>
              </w:rPr>
              <w:t>efforcent d</w:t>
            </w:r>
            <w:r w:rsidR="00EA2C86" w:rsidRPr="00927778">
              <w:rPr>
                <w:bCs/>
                <w:color w:val="333333"/>
                <w:szCs w:val="22"/>
                <w:lang w:val="fr-FR"/>
              </w:rPr>
              <w:t>’</w:t>
            </w:r>
            <w:r w:rsidRPr="00927778">
              <w:rPr>
                <w:bCs/>
                <w:color w:val="333333"/>
                <w:szCs w:val="22"/>
                <w:lang w:val="fr-FR"/>
              </w:rPr>
              <w:t>appuyer le secteur de l</w:t>
            </w:r>
            <w:r w:rsidR="00EA2C86" w:rsidRPr="00927778">
              <w:rPr>
                <w:bCs/>
                <w:color w:val="333333"/>
                <w:szCs w:val="22"/>
                <w:lang w:val="fr-FR"/>
              </w:rPr>
              <w:t>’</w:t>
            </w:r>
            <w:r w:rsidRPr="00927778">
              <w:rPr>
                <w:bCs/>
                <w:color w:val="333333"/>
                <w:szCs w:val="22"/>
                <w:lang w:val="fr-FR"/>
              </w:rPr>
              <w:t>audiovisuel, instaurant ainsi un cadre réglementaire sa</w:t>
            </w:r>
            <w:r w:rsidR="00306E74" w:rsidRPr="00927778">
              <w:rPr>
                <w:bCs/>
                <w:color w:val="333333"/>
                <w:szCs w:val="22"/>
                <w:lang w:val="fr-FR"/>
              </w:rPr>
              <w:t>in.  Ce</w:t>
            </w:r>
            <w:r w:rsidR="00A8096E" w:rsidRPr="00927778">
              <w:rPr>
                <w:bCs/>
                <w:color w:val="333333"/>
                <w:szCs w:val="22"/>
                <w:lang w:val="fr-FR"/>
              </w:rPr>
              <w:t xml:space="preserve">s </w:t>
            </w:r>
            <w:r w:rsidR="00B55827" w:rsidRPr="00927778">
              <w:rPr>
                <w:bCs/>
                <w:color w:val="333333"/>
                <w:szCs w:val="22"/>
                <w:lang w:val="fr-FR"/>
              </w:rPr>
              <w:t>efforts de la part des gouvernement</w:t>
            </w:r>
            <w:r w:rsidR="00A8096E" w:rsidRPr="00927778">
              <w:rPr>
                <w:bCs/>
                <w:color w:val="333333"/>
                <w:szCs w:val="22"/>
                <w:lang w:val="fr-FR"/>
              </w:rPr>
              <w:t xml:space="preserve">s comprenaient </w:t>
            </w:r>
            <w:r w:rsidR="00E7085F" w:rsidRPr="00927778">
              <w:rPr>
                <w:bCs/>
                <w:color w:val="333333"/>
                <w:szCs w:val="22"/>
                <w:lang w:val="fr-FR"/>
              </w:rPr>
              <w:t xml:space="preserve">la mise à jour </w:t>
            </w:r>
            <w:r w:rsidR="00A8096E" w:rsidRPr="00927778">
              <w:rPr>
                <w:bCs/>
                <w:color w:val="333333"/>
                <w:szCs w:val="22"/>
                <w:lang w:val="fr-FR"/>
              </w:rPr>
              <w:t>des cadres juridiques relatifs au droit d</w:t>
            </w:r>
            <w:r w:rsidR="00EA2C86" w:rsidRPr="00927778">
              <w:rPr>
                <w:bCs/>
                <w:color w:val="333333"/>
                <w:szCs w:val="22"/>
                <w:lang w:val="fr-FR"/>
              </w:rPr>
              <w:t>’</w:t>
            </w:r>
            <w:r w:rsidR="00A8096E" w:rsidRPr="00927778">
              <w:rPr>
                <w:bCs/>
                <w:color w:val="333333"/>
                <w:szCs w:val="22"/>
                <w:lang w:val="fr-FR"/>
              </w:rPr>
              <w:t>auteur ou aux communicatio</w:t>
            </w:r>
            <w:r w:rsidR="00306E74" w:rsidRPr="00927778">
              <w:rPr>
                <w:bCs/>
                <w:color w:val="333333"/>
                <w:szCs w:val="22"/>
                <w:lang w:val="fr-FR"/>
              </w:rPr>
              <w:t>ns.  Un</w:t>
            </w:r>
            <w:r w:rsidR="00BA5294" w:rsidRPr="00927778">
              <w:rPr>
                <w:bCs/>
                <w:color w:val="333333"/>
                <w:szCs w:val="22"/>
                <w:lang w:val="fr-FR"/>
              </w:rPr>
              <w:t xml:space="preserve"> atelier national a eu lieu à </w:t>
            </w:r>
            <w:r w:rsidR="00BA5294" w:rsidRPr="00927778">
              <w:rPr>
                <w:color w:val="333333"/>
                <w:szCs w:val="22"/>
                <w:lang w:val="fr-FR"/>
              </w:rPr>
              <w:t>Ouagadougou, au Burkina Faso, afin de dispenser des conseils sur la révision de la loi relative au droit d</w:t>
            </w:r>
            <w:r w:rsidR="00EA2C86" w:rsidRPr="00927778">
              <w:rPr>
                <w:color w:val="333333"/>
                <w:szCs w:val="22"/>
                <w:lang w:val="fr-FR"/>
              </w:rPr>
              <w:t>’</w:t>
            </w:r>
            <w:r w:rsidR="00BA5294" w:rsidRPr="00927778">
              <w:rPr>
                <w:color w:val="333333"/>
                <w:szCs w:val="22"/>
                <w:lang w:val="fr-FR"/>
              </w:rPr>
              <w:t>auteur et de valider l</w:t>
            </w:r>
            <w:r w:rsidR="00EA2C86" w:rsidRPr="00927778">
              <w:rPr>
                <w:color w:val="333333"/>
                <w:szCs w:val="22"/>
                <w:lang w:val="fr-FR"/>
              </w:rPr>
              <w:t>’</w:t>
            </w:r>
            <w:r w:rsidR="00BA5294" w:rsidRPr="00927778">
              <w:rPr>
                <w:color w:val="333333"/>
                <w:szCs w:val="22"/>
                <w:lang w:val="fr-FR"/>
              </w:rPr>
              <w:t>adoption de ladite révision qui permettra de rendre la loi conforme aux traités internationaux de l</w:t>
            </w:r>
            <w:r w:rsidR="00EA2C86" w:rsidRPr="00927778">
              <w:rPr>
                <w:color w:val="333333"/>
                <w:szCs w:val="22"/>
                <w:lang w:val="fr-FR"/>
              </w:rPr>
              <w:t>’</w:t>
            </w:r>
            <w:r w:rsidR="00BA5294" w:rsidRPr="00927778">
              <w:rPr>
                <w:color w:val="333333"/>
                <w:szCs w:val="22"/>
                <w:lang w:val="fr-FR"/>
              </w:rPr>
              <w:t>OMPI</w:t>
            </w:r>
            <w:r w:rsidR="004C5944" w:rsidRPr="00927778">
              <w:rPr>
                <w:color w:val="333333"/>
                <w:szCs w:val="22"/>
                <w:lang w:val="fr-FR"/>
              </w:rPr>
              <w:t>.</w:t>
            </w:r>
          </w:p>
          <w:p w:rsidR="00334A96" w:rsidRPr="00927778" w:rsidRDefault="004C5944" w:rsidP="00AE42A7">
            <w:pPr>
              <w:rPr>
                <w:color w:val="333333"/>
                <w:szCs w:val="22"/>
                <w:lang w:val="fr-FR"/>
              </w:rPr>
            </w:pPr>
            <w:r w:rsidRPr="00927778">
              <w:rPr>
                <w:color w:val="333333"/>
                <w:szCs w:val="22"/>
                <w:lang w:val="fr-FR"/>
              </w:rPr>
              <w:t xml:space="preserve"> </w:t>
            </w:r>
            <w:r w:rsidR="0057466D" w:rsidRPr="00927778">
              <w:rPr>
                <w:color w:val="333333"/>
                <w:szCs w:val="22"/>
                <w:lang w:val="fr-FR"/>
              </w:rPr>
              <w:t xml:space="preserve"> </w:t>
            </w:r>
          </w:p>
        </w:tc>
      </w:tr>
      <w:tr w:rsidR="00047C22" w:rsidRPr="00927778" w:rsidTr="00C42E48">
        <w:trPr>
          <w:trHeight w:val="826"/>
        </w:trPr>
        <w:tc>
          <w:tcPr>
            <w:tcW w:w="2340" w:type="dxa"/>
            <w:shd w:val="clear" w:color="auto" w:fill="auto"/>
          </w:tcPr>
          <w:p w:rsidR="00D527E8" w:rsidRPr="00927778" w:rsidRDefault="009340D9" w:rsidP="006D4C53">
            <w:pPr>
              <w:pStyle w:val="Heading3"/>
              <w:keepLines/>
              <w:rPr>
                <w:color w:val="333333"/>
                <w:lang w:val="fr-FR"/>
              </w:rPr>
            </w:pPr>
            <w:r w:rsidRPr="00927778">
              <w:rPr>
                <w:color w:val="333333"/>
                <w:lang w:val="fr-FR"/>
              </w:rPr>
              <w:t>Exemples de succès ou d</w:t>
            </w:r>
            <w:r w:rsidR="00EA2C86" w:rsidRPr="00927778">
              <w:rPr>
                <w:color w:val="333333"/>
                <w:lang w:val="fr-FR"/>
              </w:rPr>
              <w:t>’</w:t>
            </w:r>
            <w:r w:rsidRPr="00927778">
              <w:rPr>
                <w:color w:val="333333"/>
                <w:lang w:val="fr-FR"/>
              </w:rPr>
              <w:t>effets positifs et principaux enseignements</w:t>
            </w:r>
          </w:p>
        </w:tc>
        <w:tc>
          <w:tcPr>
            <w:tcW w:w="6930" w:type="dxa"/>
            <w:vAlign w:val="center"/>
          </w:tcPr>
          <w:p w:rsidR="005E6718" w:rsidRPr="00927778" w:rsidRDefault="005E6718" w:rsidP="006D4C53">
            <w:pPr>
              <w:keepNext/>
              <w:keepLines/>
              <w:rPr>
                <w:color w:val="333333"/>
                <w:szCs w:val="22"/>
                <w:lang w:val="fr-FR"/>
              </w:rPr>
            </w:pPr>
          </w:p>
          <w:p w:rsidR="00EA2C86" w:rsidRPr="00927778" w:rsidRDefault="004C5944" w:rsidP="006D4C53">
            <w:pPr>
              <w:keepNext/>
              <w:keepLines/>
              <w:rPr>
                <w:color w:val="333333"/>
                <w:szCs w:val="22"/>
                <w:lang w:val="fr-FR"/>
              </w:rPr>
            </w:pPr>
            <w:r w:rsidRPr="00927778">
              <w:rPr>
                <w:color w:val="333333"/>
                <w:szCs w:val="22"/>
                <w:lang w:val="fr-FR"/>
              </w:rPr>
              <w:t>Les deux</w:t>
            </w:r>
            <w:r w:rsidR="0057466D" w:rsidRPr="00927778">
              <w:rPr>
                <w:color w:val="333333"/>
                <w:szCs w:val="22"/>
                <w:lang w:val="fr-FR"/>
              </w:rPr>
              <w:t> </w:t>
            </w:r>
            <w:r w:rsidRPr="00927778">
              <w:rPr>
                <w:color w:val="333333"/>
                <w:szCs w:val="22"/>
                <w:lang w:val="fr-FR"/>
              </w:rPr>
              <w:t xml:space="preserve">importantes évolutions suivantes caractérisent les transitions </w:t>
            </w:r>
            <w:r w:rsidR="00C458D1" w:rsidRPr="00927778">
              <w:rPr>
                <w:color w:val="333333"/>
                <w:szCs w:val="22"/>
                <w:lang w:val="fr-FR"/>
              </w:rPr>
              <w:t>amorcées sur le marché</w:t>
            </w:r>
            <w:r w:rsidR="00EA2C86" w:rsidRPr="00927778">
              <w:rPr>
                <w:color w:val="333333"/>
                <w:szCs w:val="22"/>
                <w:lang w:val="fr-FR"/>
              </w:rPr>
              <w:t> :</w:t>
            </w:r>
          </w:p>
          <w:p w:rsidR="00EA2C86" w:rsidRPr="006D4C53" w:rsidRDefault="00EA2C86" w:rsidP="006D4C53">
            <w:pPr>
              <w:keepNext/>
              <w:keepLines/>
              <w:rPr>
                <w:color w:val="333333"/>
                <w:sz w:val="14"/>
                <w:szCs w:val="22"/>
                <w:lang w:val="fr-FR"/>
              </w:rPr>
            </w:pPr>
          </w:p>
          <w:p w:rsidR="005E6718" w:rsidRPr="00927778" w:rsidRDefault="00C458D1" w:rsidP="006D4C53">
            <w:pPr>
              <w:keepNext/>
              <w:keepLines/>
              <w:numPr>
                <w:ilvl w:val="1"/>
                <w:numId w:val="26"/>
              </w:numPr>
              <w:suppressAutoHyphens/>
              <w:autoSpaceDN w:val="0"/>
              <w:ind w:left="903" w:hanging="426"/>
              <w:textAlignment w:val="baseline"/>
              <w:rPr>
                <w:color w:val="333333"/>
                <w:lang w:val="fr-FR"/>
              </w:rPr>
            </w:pPr>
            <w:r w:rsidRPr="00927778">
              <w:rPr>
                <w:color w:val="333333"/>
                <w:lang w:val="fr-FR"/>
              </w:rPr>
              <w:t>La transition vers la télévision numérique n</w:t>
            </w:r>
            <w:r w:rsidR="00EA2C86" w:rsidRPr="00927778">
              <w:rPr>
                <w:color w:val="333333"/>
                <w:lang w:val="fr-FR"/>
              </w:rPr>
              <w:t>’</w:t>
            </w:r>
            <w:r w:rsidRPr="00927778">
              <w:rPr>
                <w:color w:val="333333"/>
                <w:lang w:val="fr-FR"/>
              </w:rPr>
              <w:t>est pas encore complètement achevée</w:t>
            </w:r>
            <w:r w:rsidR="00254DBB" w:rsidRPr="00927778">
              <w:rPr>
                <w:color w:val="333333"/>
                <w:lang w:val="fr-FR"/>
              </w:rPr>
              <w:t xml:space="preserve"> et</w:t>
            </w:r>
            <w:r w:rsidR="00106464" w:rsidRPr="00927778">
              <w:rPr>
                <w:color w:val="333333"/>
                <w:lang w:val="fr-FR"/>
              </w:rPr>
              <w:t xml:space="preserve"> s</w:t>
            </w:r>
            <w:r w:rsidR="00EA2C86" w:rsidRPr="00927778">
              <w:rPr>
                <w:color w:val="333333"/>
                <w:lang w:val="fr-FR"/>
              </w:rPr>
              <w:t>’</w:t>
            </w:r>
            <w:r w:rsidR="00106464" w:rsidRPr="00927778">
              <w:rPr>
                <w:color w:val="333333"/>
                <w:lang w:val="fr-FR"/>
              </w:rPr>
              <w:t>accompagne de difficultés et d</w:t>
            </w:r>
            <w:r w:rsidR="00EA2C86" w:rsidRPr="00927778">
              <w:rPr>
                <w:color w:val="333333"/>
                <w:lang w:val="fr-FR"/>
              </w:rPr>
              <w:t>’</w:t>
            </w:r>
            <w:r w:rsidR="00106464" w:rsidRPr="00927778">
              <w:rPr>
                <w:color w:val="333333"/>
                <w:lang w:val="fr-FR"/>
              </w:rPr>
              <w:t>impératifs non négligeables;</w:t>
            </w:r>
          </w:p>
          <w:p w:rsidR="005E6718" w:rsidRPr="006D4C53" w:rsidRDefault="005E6718" w:rsidP="006D4C53">
            <w:pPr>
              <w:keepNext/>
              <w:keepLines/>
              <w:suppressAutoHyphens/>
              <w:autoSpaceDN w:val="0"/>
              <w:ind w:left="1440"/>
              <w:textAlignment w:val="baseline"/>
              <w:rPr>
                <w:color w:val="333333"/>
                <w:sz w:val="14"/>
                <w:lang w:val="fr-FR"/>
              </w:rPr>
            </w:pPr>
          </w:p>
          <w:p w:rsidR="00EA2C86" w:rsidRPr="00927778" w:rsidRDefault="00254DBB" w:rsidP="006D4C53">
            <w:pPr>
              <w:keepNext/>
              <w:keepLines/>
              <w:numPr>
                <w:ilvl w:val="1"/>
                <w:numId w:val="26"/>
              </w:numPr>
              <w:suppressAutoHyphens/>
              <w:autoSpaceDN w:val="0"/>
              <w:ind w:left="903" w:hanging="426"/>
              <w:textAlignment w:val="baseline"/>
              <w:rPr>
                <w:color w:val="333333"/>
                <w:lang w:val="fr-FR"/>
              </w:rPr>
            </w:pPr>
            <w:r w:rsidRPr="00927778">
              <w:rPr>
                <w:color w:val="333333"/>
                <w:lang w:val="fr-FR"/>
              </w:rPr>
              <w:t>En Afrique, l</w:t>
            </w:r>
            <w:r w:rsidR="000C1C07" w:rsidRPr="00927778">
              <w:rPr>
                <w:color w:val="333333"/>
                <w:lang w:val="fr-FR"/>
              </w:rPr>
              <w:t>es services de vidéo à la demande et de radiodiffusion transfrontière comme Netflix, Africa Magic, Iroko et Canal A entre autres, connaissent une croissance stable, bien que les mécanismes nécessaires de concession de licences ne so</w:t>
            </w:r>
            <w:r w:rsidRPr="00927778">
              <w:rPr>
                <w:color w:val="333333"/>
                <w:lang w:val="fr-FR"/>
              </w:rPr>
              <w:t>ie</w:t>
            </w:r>
            <w:r w:rsidR="00B9729A" w:rsidRPr="00927778">
              <w:rPr>
                <w:color w:val="333333"/>
                <w:lang w:val="fr-FR"/>
              </w:rPr>
              <w:t>nt pas encore en place</w:t>
            </w:r>
            <w:r w:rsidR="0057466D" w:rsidRPr="00927778">
              <w:rPr>
                <w:color w:val="333333"/>
                <w:lang w:val="fr-FR"/>
              </w:rPr>
              <w:t xml:space="preserve">; </w:t>
            </w:r>
            <w:r w:rsidR="00B9729A" w:rsidRPr="00927778">
              <w:rPr>
                <w:color w:val="333333"/>
                <w:lang w:val="fr-FR"/>
              </w:rPr>
              <w:t xml:space="preserve"> par</w:t>
            </w:r>
            <w:r w:rsidR="006D4C53">
              <w:rPr>
                <w:color w:val="333333"/>
                <w:lang w:val="fr-FR"/>
              </w:rPr>
              <w:t> </w:t>
            </w:r>
            <w:r w:rsidR="00B9729A" w:rsidRPr="00927778">
              <w:rPr>
                <w:color w:val="333333"/>
                <w:lang w:val="fr-FR"/>
              </w:rPr>
              <w:t xml:space="preserve">ailleurs, </w:t>
            </w:r>
            <w:r w:rsidRPr="00927778">
              <w:rPr>
                <w:color w:val="333333"/>
                <w:lang w:val="fr-FR"/>
              </w:rPr>
              <w:t xml:space="preserve">des lacunes en matière de gestion des compétences demeurent, </w:t>
            </w:r>
            <w:r w:rsidR="000C1C07" w:rsidRPr="00927778">
              <w:rPr>
                <w:color w:val="333333"/>
                <w:lang w:val="fr-FR"/>
              </w:rPr>
              <w:t>en dépit d</w:t>
            </w:r>
            <w:r w:rsidR="00EA2C86" w:rsidRPr="00927778">
              <w:rPr>
                <w:color w:val="333333"/>
                <w:lang w:val="fr-FR"/>
              </w:rPr>
              <w:t>’</w:t>
            </w:r>
            <w:r w:rsidR="000C1C07" w:rsidRPr="00927778">
              <w:rPr>
                <w:color w:val="333333"/>
                <w:lang w:val="fr-FR"/>
              </w:rPr>
              <w:t xml:space="preserve">une insatiable demande de services internationaux en ligne </w:t>
            </w:r>
            <w:r w:rsidRPr="00927778">
              <w:rPr>
                <w:color w:val="333333"/>
                <w:lang w:val="fr-FR"/>
              </w:rPr>
              <w:t>fournissant du contenu africain</w:t>
            </w:r>
            <w:r w:rsidR="000C1C07" w:rsidRPr="00927778">
              <w:rPr>
                <w:color w:val="333333"/>
                <w:lang w:val="fr-FR"/>
              </w:rPr>
              <w:t>.</w:t>
            </w:r>
          </w:p>
          <w:p w:rsidR="000C1C07" w:rsidRPr="006D4C53" w:rsidRDefault="000C1C07" w:rsidP="006D4C53">
            <w:pPr>
              <w:keepNext/>
              <w:keepLines/>
              <w:rPr>
                <w:color w:val="333333"/>
                <w:sz w:val="14"/>
                <w:lang w:val="fr-FR"/>
              </w:rPr>
            </w:pPr>
          </w:p>
          <w:p w:rsidR="00EA2C86" w:rsidRPr="00927778" w:rsidRDefault="008C666E" w:rsidP="006D4C53">
            <w:pPr>
              <w:keepNext/>
              <w:keepLines/>
              <w:rPr>
                <w:color w:val="333333"/>
                <w:lang w:val="fr-FR"/>
              </w:rPr>
            </w:pPr>
            <w:r w:rsidRPr="00927778">
              <w:rPr>
                <w:color w:val="333333"/>
                <w:lang w:val="fr-FR"/>
              </w:rPr>
              <w:t>Ces nouveaux canaux de distribution</w:t>
            </w:r>
            <w:r w:rsidR="00446A90" w:rsidRPr="00927778">
              <w:rPr>
                <w:color w:val="333333"/>
                <w:lang w:val="fr-FR"/>
              </w:rPr>
              <w:t xml:space="preserve"> incitent également les producteurs locaux à exiger des clauses plus strictes dans la documentation relative à la propriété intellectuelle pour </w:t>
            </w:r>
            <w:r w:rsidR="00C5338B" w:rsidRPr="00927778">
              <w:rPr>
                <w:color w:val="333333"/>
                <w:lang w:val="fr-FR"/>
              </w:rPr>
              <w:t xml:space="preserve">garantir la </w:t>
            </w:r>
            <w:r w:rsidR="00446A90" w:rsidRPr="00927778">
              <w:rPr>
                <w:color w:val="333333"/>
                <w:lang w:val="fr-FR"/>
              </w:rPr>
              <w:t>chaîne de</w:t>
            </w:r>
            <w:r w:rsidR="00C5338B" w:rsidRPr="00927778">
              <w:rPr>
                <w:color w:val="333333"/>
                <w:lang w:val="fr-FR"/>
              </w:rPr>
              <w:t xml:space="preserve">s droits </w:t>
            </w:r>
            <w:r w:rsidR="00446A90" w:rsidRPr="00927778">
              <w:rPr>
                <w:color w:val="333333"/>
                <w:lang w:val="fr-FR"/>
              </w:rPr>
              <w:t>et à adopter les normes internationales</w:t>
            </w:r>
            <w:r w:rsidR="002A2243" w:rsidRPr="00927778">
              <w:rPr>
                <w:color w:val="333333"/>
                <w:lang w:val="fr-FR"/>
              </w:rPr>
              <w:t xml:space="preserve"> de documentation de la titularité des droits d</w:t>
            </w:r>
            <w:r w:rsidR="00C5338B" w:rsidRPr="00927778">
              <w:rPr>
                <w:color w:val="333333"/>
                <w:lang w:val="fr-FR"/>
              </w:rPr>
              <w:t>e propriété intellectuelle et de</w:t>
            </w:r>
            <w:r w:rsidR="002A2243" w:rsidRPr="00927778">
              <w:rPr>
                <w:color w:val="333333"/>
                <w:lang w:val="fr-FR"/>
              </w:rPr>
              <w:t xml:space="preserve"> contrôle des droits de distribution.</w:t>
            </w:r>
          </w:p>
          <w:p w:rsidR="005E6718" w:rsidRPr="006D4C53" w:rsidRDefault="005E6718" w:rsidP="006D4C53">
            <w:pPr>
              <w:keepNext/>
              <w:keepLines/>
              <w:rPr>
                <w:color w:val="333333"/>
                <w:sz w:val="14"/>
                <w:lang w:val="fr-FR"/>
              </w:rPr>
            </w:pPr>
          </w:p>
          <w:p w:rsidR="00EA2C86" w:rsidRPr="00927778" w:rsidRDefault="00E340FD" w:rsidP="006D4C53">
            <w:pPr>
              <w:keepNext/>
              <w:keepLines/>
              <w:rPr>
                <w:color w:val="333333"/>
                <w:lang w:val="fr-FR"/>
              </w:rPr>
            </w:pPr>
            <w:r w:rsidRPr="00927778">
              <w:rPr>
                <w:color w:val="333333"/>
                <w:lang w:val="fr-FR"/>
              </w:rPr>
              <w:t>Au cours de la période de mise en œuvre, il a été constaté que le dialogue s</w:t>
            </w:r>
            <w:r w:rsidR="00EA2C86" w:rsidRPr="00927778">
              <w:rPr>
                <w:color w:val="333333"/>
                <w:lang w:val="fr-FR"/>
              </w:rPr>
              <w:t>’</w:t>
            </w:r>
            <w:r w:rsidRPr="00927778">
              <w:rPr>
                <w:color w:val="333333"/>
                <w:lang w:val="fr-FR"/>
              </w:rPr>
              <w:t>est amélioré entre les différents secteurs de l</w:t>
            </w:r>
            <w:r w:rsidR="00EA2C86" w:rsidRPr="00927778">
              <w:rPr>
                <w:color w:val="333333"/>
                <w:lang w:val="fr-FR"/>
              </w:rPr>
              <w:t>’</w:t>
            </w:r>
            <w:r w:rsidRPr="00927778">
              <w:rPr>
                <w:color w:val="333333"/>
                <w:lang w:val="fr-FR"/>
              </w:rPr>
              <w:t>industrie, qui ont davantage conscience de la nécessité des accords écrits, des licences de musique, e</w:t>
            </w:r>
            <w:r w:rsidR="00306E74" w:rsidRPr="00927778">
              <w:rPr>
                <w:color w:val="333333"/>
                <w:lang w:val="fr-FR"/>
              </w:rPr>
              <w:t>tc.  Le</w:t>
            </w:r>
            <w:r w:rsidRPr="00927778">
              <w:rPr>
                <w:color w:val="333333"/>
                <w:lang w:val="fr-FR"/>
              </w:rPr>
              <w:t>s activités doivent renforcer davantage cette prise de conscience</w:t>
            </w:r>
            <w:r w:rsidR="006C35E0" w:rsidRPr="00927778">
              <w:rPr>
                <w:color w:val="333333"/>
                <w:lang w:val="fr-FR"/>
              </w:rPr>
              <w:t>,</w:t>
            </w:r>
            <w:r w:rsidRPr="00927778">
              <w:rPr>
                <w:color w:val="333333"/>
                <w:lang w:val="fr-FR"/>
              </w:rPr>
              <w:t xml:space="preserve"> qui contribuera à long terme à accroître les recettes de cette industr</w:t>
            </w:r>
            <w:r w:rsidR="00306E74" w:rsidRPr="00927778">
              <w:rPr>
                <w:color w:val="333333"/>
                <w:lang w:val="fr-FR"/>
              </w:rPr>
              <w:t>ie.  Le</w:t>
            </w:r>
            <w:r w:rsidR="00BC3101" w:rsidRPr="00927778">
              <w:rPr>
                <w:color w:val="333333"/>
                <w:lang w:val="fr-FR"/>
              </w:rPr>
              <w:t>s organismes de radiodiffusion et les acteurs du numérique enregistrent d</w:t>
            </w:r>
            <w:r w:rsidR="00EA2C86" w:rsidRPr="00927778">
              <w:rPr>
                <w:color w:val="333333"/>
                <w:lang w:val="fr-FR"/>
              </w:rPr>
              <w:t>’</w:t>
            </w:r>
            <w:r w:rsidR="00BC3101" w:rsidRPr="00927778">
              <w:rPr>
                <w:color w:val="333333"/>
                <w:lang w:val="fr-FR"/>
              </w:rPr>
              <w:t>ores et déjà une hausse des recettes tirées des licences.</w:t>
            </w:r>
          </w:p>
          <w:p w:rsidR="005E6718" w:rsidRPr="006D4C53" w:rsidRDefault="005E6718" w:rsidP="006D4C53">
            <w:pPr>
              <w:keepNext/>
              <w:keepLines/>
              <w:rPr>
                <w:color w:val="333333"/>
                <w:sz w:val="14"/>
                <w:szCs w:val="22"/>
                <w:lang w:val="fr-FR"/>
              </w:rPr>
            </w:pPr>
          </w:p>
          <w:p w:rsidR="00EA2C86" w:rsidRPr="00927778" w:rsidRDefault="00B077EE" w:rsidP="006D4C53">
            <w:pPr>
              <w:keepNext/>
              <w:keepLines/>
              <w:rPr>
                <w:color w:val="333333"/>
                <w:szCs w:val="22"/>
                <w:lang w:val="fr-FR"/>
              </w:rPr>
            </w:pPr>
            <w:r w:rsidRPr="00927778">
              <w:rPr>
                <w:color w:val="333333"/>
                <w:szCs w:val="22"/>
                <w:lang w:val="fr-FR"/>
              </w:rPr>
              <w:t>En outre, le projet a continué à renforcer le dialogue entre les professionnels du film et les autorités national</w:t>
            </w:r>
            <w:r w:rsidR="00306E74" w:rsidRPr="00927778">
              <w:rPr>
                <w:color w:val="333333"/>
                <w:szCs w:val="22"/>
                <w:lang w:val="fr-FR"/>
              </w:rPr>
              <w:t>es.  Le</w:t>
            </w:r>
            <w:r w:rsidRPr="00927778">
              <w:rPr>
                <w:color w:val="333333"/>
                <w:szCs w:val="22"/>
                <w:lang w:val="fr-FR"/>
              </w:rPr>
              <w:t xml:space="preserve"> rôle actif joué par les autorité</w:t>
            </w:r>
            <w:r w:rsidR="00C6093C" w:rsidRPr="00927778">
              <w:rPr>
                <w:color w:val="333333"/>
                <w:szCs w:val="22"/>
                <w:lang w:val="fr-FR"/>
              </w:rPr>
              <w:t>s</w:t>
            </w:r>
            <w:r w:rsidRPr="00927778">
              <w:rPr>
                <w:color w:val="333333"/>
                <w:szCs w:val="22"/>
                <w:lang w:val="fr-FR"/>
              </w:rPr>
              <w:t xml:space="preserve"> de réglementation de l</w:t>
            </w:r>
            <w:r w:rsidR="00EA2C86" w:rsidRPr="00927778">
              <w:rPr>
                <w:color w:val="333333"/>
                <w:szCs w:val="22"/>
                <w:lang w:val="fr-FR"/>
              </w:rPr>
              <w:t>’</w:t>
            </w:r>
            <w:r w:rsidRPr="00927778">
              <w:rPr>
                <w:color w:val="333333"/>
                <w:szCs w:val="22"/>
                <w:lang w:val="fr-FR"/>
              </w:rPr>
              <w:t>ensemble des pays bénéficiaires</w:t>
            </w:r>
            <w:r w:rsidR="00C6093C" w:rsidRPr="00927778">
              <w:rPr>
                <w:color w:val="333333"/>
                <w:szCs w:val="22"/>
                <w:lang w:val="fr-FR"/>
              </w:rPr>
              <w:t xml:space="preserve"> est un exemple parmi d</w:t>
            </w:r>
            <w:r w:rsidR="00EA2C86" w:rsidRPr="00927778">
              <w:rPr>
                <w:color w:val="333333"/>
                <w:szCs w:val="22"/>
                <w:lang w:val="fr-FR"/>
              </w:rPr>
              <w:t>’</w:t>
            </w:r>
            <w:r w:rsidR="00C6093C" w:rsidRPr="00927778">
              <w:rPr>
                <w:color w:val="333333"/>
                <w:szCs w:val="22"/>
                <w:lang w:val="fr-FR"/>
              </w:rPr>
              <w:t>autres</w:t>
            </w:r>
            <w:r w:rsidRPr="00927778">
              <w:rPr>
                <w:color w:val="333333"/>
                <w:szCs w:val="22"/>
                <w:lang w:val="fr-FR"/>
              </w:rPr>
              <w:t>, notamment en Côte d</w:t>
            </w:r>
            <w:r w:rsidR="00EA2C86" w:rsidRPr="00927778">
              <w:rPr>
                <w:color w:val="333333"/>
                <w:szCs w:val="22"/>
                <w:lang w:val="fr-FR"/>
              </w:rPr>
              <w:t>’</w:t>
            </w:r>
            <w:r w:rsidRPr="00927778">
              <w:rPr>
                <w:color w:val="333333"/>
                <w:szCs w:val="22"/>
                <w:lang w:val="fr-FR"/>
              </w:rPr>
              <w:t xml:space="preserve">Ivoire où </w:t>
            </w:r>
            <w:r w:rsidR="00C6093C" w:rsidRPr="00927778">
              <w:rPr>
                <w:color w:val="333333"/>
                <w:szCs w:val="22"/>
                <w:lang w:val="fr-FR"/>
              </w:rPr>
              <w:t>la Haute Autorité de la communication audiovisuelle (</w:t>
            </w:r>
            <w:r w:rsidR="009E643E" w:rsidRPr="00927778">
              <w:rPr>
                <w:color w:val="333333"/>
                <w:szCs w:val="22"/>
                <w:lang w:val="fr-FR"/>
              </w:rPr>
              <w:t>HACA</w:t>
            </w:r>
            <w:r w:rsidR="00C6093C" w:rsidRPr="00927778">
              <w:rPr>
                <w:color w:val="333333"/>
                <w:szCs w:val="22"/>
                <w:lang w:val="fr-FR"/>
              </w:rPr>
              <w:t>)</w:t>
            </w:r>
            <w:r w:rsidR="009E643E" w:rsidRPr="00927778">
              <w:rPr>
                <w:color w:val="333333"/>
                <w:szCs w:val="22"/>
                <w:lang w:val="fr-FR"/>
              </w:rPr>
              <w:t xml:space="preserve"> a pris des mesures concrètes pour veiller à ce que les organismes de radiodiffusion respectent le droit d</w:t>
            </w:r>
            <w:r w:rsidR="00EA2C86" w:rsidRPr="00927778">
              <w:rPr>
                <w:color w:val="333333"/>
                <w:szCs w:val="22"/>
                <w:lang w:val="fr-FR"/>
              </w:rPr>
              <w:t>’</w:t>
            </w:r>
            <w:r w:rsidR="009E643E" w:rsidRPr="00927778">
              <w:rPr>
                <w:color w:val="333333"/>
                <w:szCs w:val="22"/>
                <w:lang w:val="fr-FR"/>
              </w:rPr>
              <w:t>aute</w:t>
            </w:r>
            <w:r w:rsidR="00306E74" w:rsidRPr="00927778">
              <w:rPr>
                <w:color w:val="333333"/>
                <w:szCs w:val="22"/>
                <w:lang w:val="fr-FR"/>
              </w:rPr>
              <w:t>ur.  La</w:t>
            </w:r>
            <w:r w:rsidR="009E643E" w:rsidRPr="00927778">
              <w:rPr>
                <w:color w:val="333333"/>
                <w:szCs w:val="22"/>
                <w:lang w:val="fr-FR"/>
              </w:rPr>
              <w:t xml:space="preserve"> consolidation par KECOBO des mécanismes de règlement extrajudiciaire des litiges au Kenya constitue un autre exemple.</w:t>
            </w:r>
          </w:p>
          <w:p w:rsidR="005E6718" w:rsidRPr="006D4C53" w:rsidRDefault="005E6718" w:rsidP="006D4C53">
            <w:pPr>
              <w:keepNext/>
              <w:keepLines/>
              <w:rPr>
                <w:color w:val="333333"/>
                <w:sz w:val="14"/>
                <w:szCs w:val="22"/>
                <w:lang w:val="fr-FR"/>
              </w:rPr>
            </w:pPr>
          </w:p>
          <w:p w:rsidR="005E6718" w:rsidRPr="00927778" w:rsidRDefault="009E643E" w:rsidP="006D4C53">
            <w:pPr>
              <w:keepNext/>
              <w:keepLines/>
              <w:rPr>
                <w:color w:val="333333"/>
                <w:szCs w:val="22"/>
                <w:lang w:val="fr-FR"/>
              </w:rPr>
            </w:pPr>
            <w:r w:rsidRPr="00927778">
              <w:rPr>
                <w:color w:val="333333"/>
                <w:szCs w:val="22"/>
                <w:lang w:val="fr-FR"/>
              </w:rPr>
              <w:t>Dans tous les pays, des mécanismes et dispositifs financiers ont été mis en place pour soutenir l</w:t>
            </w:r>
            <w:r w:rsidR="00EA2C86" w:rsidRPr="00927778">
              <w:rPr>
                <w:color w:val="333333"/>
                <w:szCs w:val="22"/>
                <w:lang w:val="fr-FR"/>
              </w:rPr>
              <w:t>’</w:t>
            </w:r>
            <w:r w:rsidRPr="00927778">
              <w:rPr>
                <w:color w:val="333333"/>
                <w:szCs w:val="22"/>
                <w:lang w:val="fr-FR"/>
              </w:rPr>
              <w:t xml:space="preserve">industrie et des </w:t>
            </w:r>
            <w:r w:rsidR="00DB29C0" w:rsidRPr="00927778">
              <w:rPr>
                <w:color w:val="333333"/>
                <w:szCs w:val="22"/>
                <w:lang w:val="fr-FR"/>
              </w:rPr>
              <w:t>collaborations durables avec des institutions financières ont été rendues possibles</w:t>
            </w:r>
            <w:r w:rsidR="00D527E8" w:rsidRPr="00927778">
              <w:rPr>
                <w:color w:val="333333"/>
                <w:szCs w:val="22"/>
                <w:lang w:val="fr-FR"/>
              </w:rPr>
              <w:t>.</w:t>
            </w:r>
          </w:p>
          <w:p w:rsidR="005E6718" w:rsidRPr="006D4C53" w:rsidRDefault="005E6718" w:rsidP="006D4C53">
            <w:pPr>
              <w:keepNext/>
              <w:keepLines/>
              <w:rPr>
                <w:color w:val="333333"/>
                <w:sz w:val="14"/>
                <w:lang w:val="fr-FR"/>
              </w:rPr>
            </w:pPr>
          </w:p>
          <w:p w:rsidR="00EA2C86" w:rsidRPr="00927778" w:rsidRDefault="00DB29C0" w:rsidP="006D4C53">
            <w:pPr>
              <w:keepNext/>
              <w:keepLines/>
              <w:rPr>
                <w:color w:val="333333"/>
                <w:lang w:val="fr-FR"/>
              </w:rPr>
            </w:pPr>
            <w:r w:rsidRPr="00927778">
              <w:rPr>
                <w:color w:val="333333"/>
                <w:lang w:val="fr-FR"/>
              </w:rPr>
              <w:t>Trois processus sont encore en cou</w:t>
            </w:r>
            <w:r w:rsidR="00306E74" w:rsidRPr="00927778">
              <w:rPr>
                <w:color w:val="333333"/>
                <w:lang w:val="fr-FR"/>
              </w:rPr>
              <w:t>rs.  Ta</w:t>
            </w:r>
            <w:r w:rsidRPr="00927778">
              <w:rPr>
                <w:color w:val="333333"/>
                <w:lang w:val="fr-FR"/>
              </w:rPr>
              <w:t>nt la technologie que le marché évoluent rapideme</w:t>
            </w:r>
            <w:r w:rsidR="00306E74" w:rsidRPr="00927778">
              <w:rPr>
                <w:color w:val="333333"/>
                <w:lang w:val="fr-FR"/>
              </w:rPr>
              <w:t>nt.  Pa</w:t>
            </w:r>
            <w:r w:rsidRPr="00927778">
              <w:rPr>
                <w:color w:val="333333"/>
                <w:lang w:val="fr-FR"/>
              </w:rPr>
              <w:t>r conséquent, la demande de conseils et de soutien de la part des acteu</w:t>
            </w:r>
            <w:r w:rsidR="00C6093C" w:rsidRPr="00927778">
              <w:rPr>
                <w:color w:val="333333"/>
                <w:lang w:val="fr-FR"/>
              </w:rPr>
              <w:t xml:space="preserve">rs clés du marché cherchant à </w:t>
            </w:r>
            <w:r w:rsidRPr="00927778">
              <w:rPr>
                <w:color w:val="333333"/>
                <w:lang w:val="fr-FR"/>
              </w:rPr>
              <w:t>exploiter stratégiquement la croissance durable du secteur de l</w:t>
            </w:r>
            <w:r w:rsidR="00EA2C86" w:rsidRPr="00927778">
              <w:rPr>
                <w:color w:val="333333"/>
                <w:lang w:val="fr-FR"/>
              </w:rPr>
              <w:t>’</w:t>
            </w:r>
            <w:r w:rsidRPr="00927778">
              <w:rPr>
                <w:color w:val="333333"/>
                <w:lang w:val="fr-FR"/>
              </w:rPr>
              <w:t>audiovisuel s</w:t>
            </w:r>
            <w:r w:rsidR="00EA2C86" w:rsidRPr="00927778">
              <w:rPr>
                <w:color w:val="333333"/>
                <w:lang w:val="fr-FR"/>
              </w:rPr>
              <w:t>’</w:t>
            </w:r>
            <w:r w:rsidRPr="00927778">
              <w:rPr>
                <w:color w:val="333333"/>
                <w:lang w:val="fr-FR"/>
              </w:rPr>
              <w:t>est mainten</w:t>
            </w:r>
            <w:r w:rsidR="00306E74" w:rsidRPr="00927778">
              <w:rPr>
                <w:color w:val="333333"/>
                <w:lang w:val="fr-FR"/>
              </w:rPr>
              <w:t>ue.  Co</w:t>
            </w:r>
            <w:r w:rsidRPr="00927778">
              <w:rPr>
                <w:color w:val="333333"/>
                <w:lang w:val="fr-FR"/>
              </w:rPr>
              <w:t>mpte tenu des ressources limitées et du temps imparti, toutes les demandes n</w:t>
            </w:r>
            <w:r w:rsidR="00EA2C86" w:rsidRPr="00927778">
              <w:rPr>
                <w:color w:val="333333"/>
                <w:lang w:val="fr-FR"/>
              </w:rPr>
              <w:t>’</w:t>
            </w:r>
            <w:r w:rsidRPr="00927778">
              <w:rPr>
                <w:color w:val="333333"/>
                <w:lang w:val="fr-FR"/>
              </w:rPr>
              <w:t xml:space="preserve">ont </w:t>
            </w:r>
            <w:r w:rsidR="00C6093C" w:rsidRPr="00927778">
              <w:rPr>
                <w:color w:val="333333"/>
                <w:lang w:val="fr-FR"/>
              </w:rPr>
              <w:t>pas pu être satisfait</w:t>
            </w:r>
            <w:r w:rsidR="00306E74" w:rsidRPr="00927778">
              <w:rPr>
                <w:color w:val="333333"/>
                <w:lang w:val="fr-FR"/>
              </w:rPr>
              <w:t>es.  Le</w:t>
            </w:r>
            <w:r w:rsidR="00C6093C" w:rsidRPr="00927778">
              <w:rPr>
                <w:color w:val="333333"/>
                <w:lang w:val="fr-FR"/>
              </w:rPr>
              <w:t>s modules d</w:t>
            </w:r>
            <w:r w:rsidR="00EA2C86" w:rsidRPr="00927778">
              <w:rPr>
                <w:color w:val="333333"/>
                <w:lang w:val="fr-FR"/>
              </w:rPr>
              <w:t>’</w:t>
            </w:r>
            <w:r w:rsidR="00C6093C" w:rsidRPr="00927778">
              <w:rPr>
                <w:color w:val="333333"/>
                <w:lang w:val="fr-FR"/>
              </w:rPr>
              <w:t>ense</w:t>
            </w:r>
            <w:r w:rsidRPr="00927778">
              <w:rPr>
                <w:color w:val="333333"/>
                <w:lang w:val="fr-FR"/>
              </w:rPr>
              <w:t>ignement à distance devraient</w:t>
            </w:r>
            <w:r w:rsidR="00746931" w:rsidRPr="00927778">
              <w:rPr>
                <w:color w:val="333333"/>
                <w:lang w:val="fr-FR"/>
              </w:rPr>
              <w:t xml:space="preserve"> fournir aux professionnels une formation durable.</w:t>
            </w:r>
          </w:p>
          <w:p w:rsidR="00D527E8" w:rsidRPr="00927778" w:rsidRDefault="00D527E8" w:rsidP="006D4C53">
            <w:pPr>
              <w:keepNext/>
              <w:keepLines/>
              <w:rPr>
                <w:color w:val="333333"/>
                <w:szCs w:val="22"/>
                <w:lang w:val="fr-FR"/>
              </w:rPr>
            </w:pPr>
          </w:p>
        </w:tc>
      </w:tr>
      <w:tr w:rsidR="00047C22" w:rsidRPr="00927778" w:rsidTr="00D527E8">
        <w:trPr>
          <w:trHeight w:val="713"/>
        </w:trPr>
        <w:tc>
          <w:tcPr>
            <w:tcW w:w="2340" w:type="dxa"/>
            <w:shd w:val="clear" w:color="auto" w:fill="auto"/>
          </w:tcPr>
          <w:p w:rsidR="00D527E8" w:rsidRPr="00927778" w:rsidRDefault="009340D9" w:rsidP="009340D9">
            <w:pPr>
              <w:pStyle w:val="Heading3"/>
              <w:keepNext w:val="0"/>
              <w:rPr>
                <w:color w:val="333333"/>
                <w:lang w:val="fr-FR"/>
              </w:rPr>
            </w:pPr>
            <w:r w:rsidRPr="00927778">
              <w:rPr>
                <w:color w:val="333333"/>
                <w:lang w:val="fr-FR"/>
              </w:rPr>
              <w:t>Risques et mesures de prévention</w:t>
            </w:r>
          </w:p>
        </w:tc>
        <w:tc>
          <w:tcPr>
            <w:tcW w:w="6930" w:type="dxa"/>
            <w:vAlign w:val="center"/>
          </w:tcPr>
          <w:p w:rsidR="005E6718" w:rsidRPr="00927778" w:rsidRDefault="005E6718" w:rsidP="00BE07C7">
            <w:pPr>
              <w:rPr>
                <w:color w:val="333333"/>
                <w:lang w:val="fr-FR"/>
              </w:rPr>
            </w:pPr>
          </w:p>
          <w:p w:rsidR="00C32F2A" w:rsidRPr="00927778" w:rsidRDefault="001B2C50" w:rsidP="00C32F2A">
            <w:pPr>
              <w:rPr>
                <w:color w:val="333333"/>
                <w:lang w:val="fr-FR"/>
              </w:rPr>
            </w:pPr>
            <w:r w:rsidRPr="00927778">
              <w:rPr>
                <w:color w:val="333333"/>
                <w:lang w:val="fr-FR"/>
              </w:rPr>
              <w:t>Tel qu</w:t>
            </w:r>
            <w:r w:rsidR="00EA2C86" w:rsidRPr="00927778">
              <w:rPr>
                <w:color w:val="333333"/>
                <w:lang w:val="fr-FR"/>
              </w:rPr>
              <w:t>’</w:t>
            </w:r>
            <w:r w:rsidRPr="00927778">
              <w:rPr>
                <w:color w:val="333333"/>
                <w:lang w:val="fr-FR"/>
              </w:rPr>
              <w:t xml:space="preserve">il a été mentionné dans le </w:t>
            </w:r>
            <w:r w:rsidR="009B15AE" w:rsidRPr="00927778">
              <w:rPr>
                <w:color w:val="333333"/>
                <w:lang w:val="fr-FR"/>
              </w:rPr>
              <w:t>descriptif de</w:t>
            </w:r>
            <w:r w:rsidRPr="00927778">
              <w:rPr>
                <w:color w:val="333333"/>
                <w:lang w:val="fr-FR"/>
              </w:rPr>
              <w:t xml:space="preserve"> projet, l</w:t>
            </w:r>
            <w:r w:rsidR="00EA2C86" w:rsidRPr="00927778">
              <w:rPr>
                <w:color w:val="333333"/>
                <w:lang w:val="fr-FR"/>
              </w:rPr>
              <w:t>’</w:t>
            </w:r>
            <w:r w:rsidRPr="00927778">
              <w:rPr>
                <w:color w:val="333333"/>
                <w:lang w:val="fr-FR"/>
              </w:rPr>
              <w:t>effet et l</w:t>
            </w:r>
            <w:r w:rsidR="00EA2C86" w:rsidRPr="00927778">
              <w:rPr>
                <w:color w:val="333333"/>
                <w:lang w:val="fr-FR"/>
              </w:rPr>
              <w:t>’</w:t>
            </w:r>
            <w:r w:rsidRPr="00927778">
              <w:rPr>
                <w:color w:val="333333"/>
                <w:lang w:val="fr-FR"/>
              </w:rPr>
              <w:t>efficacité du projet sont fortement corrélés à l</w:t>
            </w:r>
            <w:r w:rsidR="00EA2C86" w:rsidRPr="00927778">
              <w:rPr>
                <w:color w:val="333333"/>
                <w:lang w:val="fr-FR"/>
              </w:rPr>
              <w:t>’</w:t>
            </w:r>
            <w:r w:rsidRPr="00927778">
              <w:rPr>
                <w:color w:val="333333"/>
                <w:lang w:val="fr-FR"/>
              </w:rPr>
              <w:t>appui des gouvernements qui participe d</w:t>
            </w:r>
            <w:r w:rsidR="00EA2C86" w:rsidRPr="00927778">
              <w:rPr>
                <w:color w:val="333333"/>
                <w:lang w:val="fr-FR"/>
              </w:rPr>
              <w:t>’</w:t>
            </w:r>
            <w:r w:rsidRPr="00927778">
              <w:rPr>
                <w:color w:val="333333"/>
                <w:lang w:val="fr-FR"/>
              </w:rPr>
              <w:t>un cadre propice caractérisé par une ratio</w:t>
            </w:r>
            <w:r w:rsidR="00A15889" w:rsidRPr="00927778">
              <w:rPr>
                <w:color w:val="333333"/>
                <w:lang w:val="fr-FR"/>
              </w:rPr>
              <w:t xml:space="preserve">nalisation des politiques </w:t>
            </w:r>
            <w:r w:rsidR="005D0BA5" w:rsidRPr="00927778">
              <w:rPr>
                <w:color w:val="333333"/>
                <w:lang w:val="fr-FR"/>
              </w:rPr>
              <w:t>de</w:t>
            </w:r>
            <w:r w:rsidR="00A15889" w:rsidRPr="00927778">
              <w:rPr>
                <w:color w:val="333333"/>
                <w:lang w:val="fr-FR"/>
              </w:rPr>
              <w:t xml:space="preserve"> c</w:t>
            </w:r>
            <w:r w:rsidRPr="00927778">
              <w:rPr>
                <w:color w:val="333333"/>
                <w:lang w:val="fr-FR"/>
              </w:rPr>
              <w:t>e secte</w:t>
            </w:r>
            <w:r w:rsidR="00306E74" w:rsidRPr="00927778">
              <w:rPr>
                <w:color w:val="333333"/>
                <w:lang w:val="fr-FR"/>
              </w:rPr>
              <w:t>ur.  Il</w:t>
            </w:r>
            <w:r w:rsidRPr="00927778">
              <w:rPr>
                <w:color w:val="333333"/>
                <w:lang w:val="fr-FR"/>
              </w:rPr>
              <w:t xml:space="preserve">s sont également </w:t>
            </w:r>
            <w:r w:rsidR="00166451" w:rsidRPr="00927778">
              <w:rPr>
                <w:color w:val="333333"/>
                <w:lang w:val="fr-FR"/>
              </w:rPr>
              <w:t>corrélés</w:t>
            </w:r>
            <w:r w:rsidRPr="00927778">
              <w:rPr>
                <w:color w:val="333333"/>
                <w:lang w:val="fr-FR"/>
              </w:rPr>
              <w:t xml:space="preserve"> à une coordination efficace au niveau national des différents organismes</w:t>
            </w:r>
            <w:r w:rsidR="00945130" w:rsidRPr="00927778">
              <w:rPr>
                <w:color w:val="333333"/>
                <w:lang w:val="fr-FR"/>
              </w:rPr>
              <w:t xml:space="preserve"> qui</w:t>
            </w:r>
            <w:r w:rsidRPr="00927778">
              <w:rPr>
                <w:color w:val="333333"/>
                <w:lang w:val="fr-FR"/>
              </w:rPr>
              <w:t xml:space="preserve"> </w:t>
            </w:r>
            <w:r w:rsidR="004C79AA" w:rsidRPr="00927778">
              <w:rPr>
                <w:color w:val="333333"/>
                <w:lang w:val="fr-FR"/>
              </w:rPr>
              <w:t>permet</w:t>
            </w:r>
            <w:r w:rsidRPr="00927778">
              <w:rPr>
                <w:color w:val="333333"/>
                <w:lang w:val="fr-FR"/>
              </w:rPr>
              <w:t xml:space="preserve"> de </w:t>
            </w:r>
            <w:r w:rsidR="009E2053" w:rsidRPr="00927778">
              <w:rPr>
                <w:color w:val="333333"/>
                <w:lang w:val="fr-FR"/>
              </w:rPr>
              <w:t>gagner la</w:t>
            </w:r>
            <w:r w:rsidRPr="00927778">
              <w:rPr>
                <w:color w:val="333333"/>
                <w:lang w:val="fr-FR"/>
              </w:rPr>
              <w:t xml:space="preserve"> confiance </w:t>
            </w:r>
            <w:r w:rsidR="009E2053" w:rsidRPr="00927778">
              <w:rPr>
                <w:color w:val="333333"/>
                <w:lang w:val="fr-FR"/>
              </w:rPr>
              <w:t>des</w:t>
            </w:r>
            <w:r w:rsidR="00761C61" w:rsidRPr="00927778">
              <w:rPr>
                <w:color w:val="333333"/>
                <w:lang w:val="fr-FR"/>
              </w:rPr>
              <w:t xml:space="preserve"> institutions financièr</w:t>
            </w:r>
            <w:r w:rsidR="00306E74" w:rsidRPr="00927778">
              <w:rPr>
                <w:color w:val="333333"/>
                <w:lang w:val="fr-FR"/>
              </w:rPr>
              <w:t xml:space="preserve">es.  À </w:t>
            </w:r>
            <w:r w:rsidRPr="00927778">
              <w:rPr>
                <w:color w:val="333333"/>
                <w:lang w:val="fr-FR"/>
              </w:rPr>
              <w:t xml:space="preserve">cet égard, le </w:t>
            </w:r>
            <w:r w:rsidR="009B15AE" w:rsidRPr="00927778">
              <w:rPr>
                <w:color w:val="333333"/>
                <w:lang w:val="fr-FR"/>
              </w:rPr>
              <w:t xml:space="preserve">descriptif de </w:t>
            </w:r>
            <w:r w:rsidRPr="00927778">
              <w:rPr>
                <w:color w:val="333333"/>
                <w:lang w:val="fr-FR"/>
              </w:rPr>
              <w:t xml:space="preserve">projet incluait </w:t>
            </w:r>
            <w:r w:rsidR="002F6C9E" w:rsidRPr="00927778">
              <w:rPr>
                <w:color w:val="333333"/>
                <w:lang w:val="fr-FR"/>
              </w:rPr>
              <w:t xml:space="preserve">des mesures de prévention </w:t>
            </w:r>
            <w:r w:rsidR="00761C61" w:rsidRPr="00927778">
              <w:rPr>
                <w:color w:val="333333"/>
                <w:lang w:val="fr-FR"/>
              </w:rPr>
              <w:t xml:space="preserve">qui </w:t>
            </w:r>
            <w:r w:rsidR="00B104C1" w:rsidRPr="00927778">
              <w:rPr>
                <w:color w:val="333333"/>
                <w:lang w:val="fr-FR"/>
              </w:rPr>
              <w:t>envisageaient</w:t>
            </w:r>
            <w:r w:rsidR="00761C61" w:rsidRPr="00927778">
              <w:rPr>
                <w:color w:val="333333"/>
                <w:lang w:val="fr-FR"/>
              </w:rPr>
              <w:t xml:space="preserve"> </w:t>
            </w:r>
            <w:r w:rsidR="002F6C9E" w:rsidRPr="00927778">
              <w:rPr>
                <w:color w:val="333333"/>
                <w:lang w:val="fr-FR"/>
              </w:rPr>
              <w:t>une collaboration soutenue entre les autorités nationales et les coordon</w:t>
            </w:r>
            <w:r w:rsidR="0010120A" w:rsidRPr="00927778">
              <w:rPr>
                <w:color w:val="333333"/>
                <w:lang w:val="fr-FR"/>
              </w:rPr>
              <w:t>na</w:t>
            </w:r>
            <w:r w:rsidR="002F6C9E" w:rsidRPr="00927778">
              <w:rPr>
                <w:color w:val="333333"/>
                <w:lang w:val="fr-FR"/>
              </w:rPr>
              <w:t>teurs nécessitant des consultations approfondies et le plein engagement des partenaires locaux dans la mise en œuvre des activit</w:t>
            </w:r>
            <w:r w:rsidR="00306E74" w:rsidRPr="00927778">
              <w:rPr>
                <w:color w:val="333333"/>
                <w:lang w:val="fr-FR"/>
              </w:rPr>
              <w:t>és.  L’e</w:t>
            </w:r>
            <w:r w:rsidR="002F6C9E" w:rsidRPr="00927778">
              <w:rPr>
                <w:color w:val="333333"/>
                <w:lang w:val="fr-FR"/>
              </w:rPr>
              <w:t>fficacité des coordon</w:t>
            </w:r>
            <w:r w:rsidR="0010120A" w:rsidRPr="00927778">
              <w:rPr>
                <w:color w:val="333333"/>
                <w:lang w:val="fr-FR"/>
              </w:rPr>
              <w:t>na</w:t>
            </w:r>
            <w:r w:rsidR="002F6C9E" w:rsidRPr="00927778">
              <w:rPr>
                <w:color w:val="333333"/>
                <w:lang w:val="fr-FR"/>
              </w:rPr>
              <w:t>teurs locaux a effectivement contribué à prévenir certains des risques dans la plupart des pa</w:t>
            </w:r>
            <w:r w:rsidR="00306E74" w:rsidRPr="00927778">
              <w:rPr>
                <w:color w:val="333333"/>
                <w:lang w:val="fr-FR"/>
              </w:rPr>
              <w:t xml:space="preserve">ys.  </w:t>
            </w:r>
            <w:r w:rsidR="00C32F2A" w:rsidRPr="00927778">
              <w:rPr>
                <w:color w:val="333333"/>
                <w:lang w:val="fr-FR"/>
              </w:rPr>
              <w:t>En outre, le projet doit s’adapter à certains facteurs exogènes, liés notamment à des changements politiques au niveau local ayant une incidence sur sa mise en œuvre sur le terrain.</w:t>
            </w:r>
          </w:p>
          <w:p w:rsidR="00334A96" w:rsidRPr="00927778" w:rsidRDefault="00334A96" w:rsidP="00BE07C7">
            <w:pPr>
              <w:rPr>
                <w:color w:val="333333"/>
                <w:lang w:val="fr-FR"/>
              </w:rPr>
            </w:pPr>
          </w:p>
        </w:tc>
      </w:tr>
      <w:tr w:rsidR="00047C22" w:rsidRPr="00927778" w:rsidTr="00D527E8">
        <w:trPr>
          <w:trHeight w:val="901"/>
        </w:trPr>
        <w:tc>
          <w:tcPr>
            <w:tcW w:w="2340" w:type="dxa"/>
            <w:shd w:val="clear" w:color="auto" w:fill="auto"/>
          </w:tcPr>
          <w:p w:rsidR="00D527E8" w:rsidRPr="00927778" w:rsidRDefault="009340D9" w:rsidP="009340D9">
            <w:pPr>
              <w:pStyle w:val="Heading3"/>
              <w:keepNext w:val="0"/>
              <w:rPr>
                <w:color w:val="333333"/>
                <w:lang w:val="fr-FR"/>
              </w:rPr>
            </w:pPr>
            <w:r w:rsidRPr="00927778">
              <w:rPr>
                <w:color w:val="333333"/>
                <w:lang w:val="fr-FR"/>
              </w:rPr>
              <w:t>Questions nécessitant un appui ou une attention immédiats</w:t>
            </w:r>
          </w:p>
        </w:tc>
        <w:tc>
          <w:tcPr>
            <w:tcW w:w="6930" w:type="dxa"/>
          </w:tcPr>
          <w:p w:rsidR="003F2E28" w:rsidRPr="00927778" w:rsidRDefault="003F2E28" w:rsidP="00BE07C7">
            <w:pPr>
              <w:rPr>
                <w:color w:val="333333"/>
                <w:lang w:val="fr-FR"/>
              </w:rPr>
            </w:pPr>
          </w:p>
          <w:p w:rsidR="00EA2C86" w:rsidRPr="00927778" w:rsidRDefault="00F31ABE" w:rsidP="00BE07C7">
            <w:pPr>
              <w:rPr>
                <w:color w:val="333333"/>
                <w:lang w:val="fr-FR"/>
              </w:rPr>
            </w:pPr>
            <w:r w:rsidRPr="00927778">
              <w:rPr>
                <w:color w:val="333333"/>
                <w:lang w:val="fr-FR"/>
              </w:rPr>
              <w:t>L</w:t>
            </w:r>
            <w:r w:rsidR="0056519E" w:rsidRPr="00927778">
              <w:rPr>
                <w:color w:val="333333"/>
                <w:lang w:val="fr-FR"/>
              </w:rPr>
              <w:t>a réalisation</w:t>
            </w:r>
            <w:r w:rsidR="003F2E28" w:rsidRPr="00927778">
              <w:rPr>
                <w:color w:val="333333"/>
                <w:lang w:val="fr-FR"/>
              </w:rPr>
              <w:t xml:space="preserve"> d</w:t>
            </w:r>
            <w:r w:rsidR="00EA2C86" w:rsidRPr="00927778">
              <w:rPr>
                <w:color w:val="333333"/>
                <w:lang w:val="fr-FR"/>
              </w:rPr>
              <w:t>’</w:t>
            </w:r>
            <w:r w:rsidRPr="00927778">
              <w:rPr>
                <w:color w:val="333333"/>
                <w:lang w:val="fr-FR"/>
              </w:rPr>
              <w:t xml:space="preserve">importants </w:t>
            </w:r>
            <w:r w:rsidR="003F2E28" w:rsidRPr="00927778">
              <w:rPr>
                <w:color w:val="333333"/>
                <w:lang w:val="fr-FR"/>
              </w:rPr>
              <w:t>changement</w:t>
            </w:r>
            <w:r w:rsidR="0056519E" w:rsidRPr="00927778">
              <w:rPr>
                <w:color w:val="333333"/>
                <w:lang w:val="fr-FR"/>
              </w:rPr>
              <w:t>s</w:t>
            </w:r>
            <w:r w:rsidR="003F2E28" w:rsidRPr="00927778">
              <w:rPr>
                <w:color w:val="333333"/>
                <w:lang w:val="fr-FR"/>
              </w:rPr>
              <w:t xml:space="preserve"> dans les délais impartis est remis</w:t>
            </w:r>
            <w:r w:rsidR="000D2831" w:rsidRPr="00927778">
              <w:rPr>
                <w:color w:val="333333"/>
                <w:lang w:val="fr-FR"/>
              </w:rPr>
              <w:t>e en cause par l</w:t>
            </w:r>
            <w:r w:rsidR="00EA2C86" w:rsidRPr="00927778">
              <w:rPr>
                <w:color w:val="333333"/>
                <w:lang w:val="fr-FR"/>
              </w:rPr>
              <w:t>’</w:t>
            </w:r>
            <w:r w:rsidR="000D2831" w:rsidRPr="00927778">
              <w:rPr>
                <w:color w:val="333333"/>
                <w:lang w:val="fr-FR"/>
              </w:rPr>
              <w:t>actuel</w:t>
            </w:r>
            <w:r w:rsidRPr="00927778">
              <w:rPr>
                <w:color w:val="333333"/>
                <w:lang w:val="fr-FR"/>
              </w:rPr>
              <w:t xml:space="preserve"> manque </w:t>
            </w:r>
            <w:r w:rsidR="003F2E28" w:rsidRPr="00927778">
              <w:rPr>
                <w:color w:val="333333"/>
                <w:lang w:val="fr-FR"/>
              </w:rPr>
              <w:t>de sensibilisation, le nombre restreint d</w:t>
            </w:r>
            <w:r w:rsidR="00EA2C86" w:rsidRPr="00927778">
              <w:rPr>
                <w:color w:val="333333"/>
                <w:lang w:val="fr-FR"/>
              </w:rPr>
              <w:t>’</w:t>
            </w:r>
            <w:r w:rsidR="003F2E28" w:rsidRPr="00927778">
              <w:rPr>
                <w:color w:val="333333"/>
                <w:lang w:val="fr-FR"/>
              </w:rPr>
              <w:t>institutions et de partenaires impliqués et la faiblesse des infrastructures.</w:t>
            </w:r>
          </w:p>
          <w:p w:rsidR="005E6718" w:rsidRPr="00927778" w:rsidRDefault="005E6718" w:rsidP="00BE07C7">
            <w:pPr>
              <w:rPr>
                <w:color w:val="333333"/>
                <w:lang w:val="fr-FR"/>
              </w:rPr>
            </w:pPr>
          </w:p>
          <w:p w:rsidR="00EA2C86" w:rsidRPr="00927778" w:rsidRDefault="003F5360" w:rsidP="00BE07C7">
            <w:pPr>
              <w:rPr>
                <w:color w:val="333333"/>
                <w:lang w:val="fr-FR"/>
              </w:rPr>
            </w:pPr>
            <w:r w:rsidRPr="00927778">
              <w:rPr>
                <w:color w:val="333333"/>
                <w:lang w:val="fr-FR"/>
              </w:rPr>
              <w:t>Bien que certains des changements désirés aient été concrétisés, des interventions différentes mais complémentaires devraient encore être nécessaires longtemps après les délais impartis pour le proj</w:t>
            </w:r>
            <w:r w:rsidR="00306E74" w:rsidRPr="00927778">
              <w:rPr>
                <w:color w:val="333333"/>
                <w:lang w:val="fr-FR"/>
              </w:rPr>
              <w:t>et.  El</w:t>
            </w:r>
            <w:r w:rsidRPr="00927778">
              <w:rPr>
                <w:color w:val="333333"/>
                <w:lang w:val="fr-FR"/>
              </w:rPr>
              <w:t>les permettraient de généraliser sur le long terme l</w:t>
            </w:r>
            <w:r w:rsidR="00EA2C86" w:rsidRPr="00927778">
              <w:rPr>
                <w:color w:val="333333"/>
                <w:lang w:val="fr-FR"/>
              </w:rPr>
              <w:t>’</w:t>
            </w:r>
            <w:r w:rsidRPr="00927778">
              <w:rPr>
                <w:color w:val="333333"/>
                <w:lang w:val="fr-FR"/>
              </w:rPr>
              <w:t>utilisation de contrats et de consolider les dispositifs financiers favorables à la croissance du secteur qui se font jour</w:t>
            </w:r>
            <w:r w:rsidR="00AC315B" w:rsidRPr="00927778">
              <w:rPr>
                <w:color w:val="333333"/>
                <w:lang w:val="fr-FR"/>
              </w:rPr>
              <w:t xml:space="preserve"> et donnent confiance aux institutions financières et les incitent à accorder leur soutien.</w:t>
            </w:r>
          </w:p>
          <w:p w:rsidR="00334A96" w:rsidRPr="00927778" w:rsidRDefault="00334A96" w:rsidP="00BE07C7">
            <w:pPr>
              <w:rPr>
                <w:color w:val="333333"/>
                <w:lang w:val="fr-FR"/>
              </w:rPr>
            </w:pPr>
          </w:p>
        </w:tc>
      </w:tr>
      <w:tr w:rsidR="00047C22" w:rsidRPr="00927778" w:rsidTr="00D527E8">
        <w:trPr>
          <w:trHeight w:val="1081"/>
        </w:trPr>
        <w:tc>
          <w:tcPr>
            <w:tcW w:w="2340" w:type="dxa"/>
            <w:shd w:val="clear" w:color="auto" w:fill="auto"/>
          </w:tcPr>
          <w:p w:rsidR="00D527E8" w:rsidRPr="00927778" w:rsidRDefault="009340D9" w:rsidP="009340D9">
            <w:pPr>
              <w:pStyle w:val="Heading3"/>
              <w:keepNext w:val="0"/>
              <w:rPr>
                <w:color w:val="333333"/>
                <w:lang w:val="fr-FR"/>
              </w:rPr>
            </w:pPr>
            <w:r w:rsidRPr="00927778">
              <w:rPr>
                <w:color w:val="333333"/>
                <w:lang w:val="fr-FR"/>
              </w:rPr>
              <w:t>Mesures à prendre</w:t>
            </w:r>
          </w:p>
        </w:tc>
        <w:tc>
          <w:tcPr>
            <w:tcW w:w="6930" w:type="dxa"/>
          </w:tcPr>
          <w:p w:rsidR="005E6718" w:rsidRPr="00927778" w:rsidRDefault="005E6718" w:rsidP="00BE07C7">
            <w:pPr>
              <w:rPr>
                <w:iCs/>
                <w:color w:val="333333"/>
                <w:lang w:val="fr-FR"/>
              </w:rPr>
            </w:pPr>
          </w:p>
          <w:p w:rsidR="00FB6AD7" w:rsidRPr="00927778" w:rsidRDefault="00FB6AD7" w:rsidP="00FB6AD7">
            <w:pPr>
              <w:rPr>
                <w:color w:val="333333"/>
                <w:lang w:val="fr-FR"/>
              </w:rPr>
            </w:pPr>
            <w:r w:rsidRPr="00927778">
              <w:rPr>
                <w:color w:val="333333"/>
                <w:lang w:val="fr-FR"/>
              </w:rPr>
              <w:t>Le projet sera achevé dans les délais impartis, tandis que le lancement des modules pilotes d’enseignement à distance est toujours en cours.</w:t>
            </w:r>
          </w:p>
          <w:p w:rsidR="00D527E8" w:rsidRPr="00927778" w:rsidRDefault="00D527E8" w:rsidP="00BE07C7">
            <w:pPr>
              <w:rPr>
                <w:iCs/>
                <w:color w:val="333333"/>
                <w:lang w:val="fr-FR"/>
              </w:rPr>
            </w:pPr>
          </w:p>
        </w:tc>
      </w:tr>
      <w:tr w:rsidR="00047C22" w:rsidRPr="00927778" w:rsidTr="00C732AB">
        <w:trPr>
          <w:trHeight w:val="982"/>
        </w:trPr>
        <w:tc>
          <w:tcPr>
            <w:tcW w:w="2340" w:type="dxa"/>
            <w:shd w:val="clear" w:color="auto" w:fill="auto"/>
          </w:tcPr>
          <w:p w:rsidR="00D527E8" w:rsidRPr="00927778" w:rsidRDefault="009340D9" w:rsidP="009340D9">
            <w:pPr>
              <w:pStyle w:val="Heading3"/>
              <w:keepNext w:val="0"/>
              <w:rPr>
                <w:color w:val="333333"/>
                <w:lang w:val="fr-FR"/>
              </w:rPr>
            </w:pPr>
            <w:r w:rsidRPr="00927778">
              <w:rPr>
                <w:color w:val="333333"/>
                <w:lang w:val="fr-FR"/>
              </w:rPr>
              <w:t>Calendrier de mise en œuvre</w:t>
            </w:r>
          </w:p>
        </w:tc>
        <w:tc>
          <w:tcPr>
            <w:tcW w:w="6930" w:type="dxa"/>
          </w:tcPr>
          <w:p w:rsidR="005E6718" w:rsidRPr="00927778" w:rsidRDefault="005E6718" w:rsidP="00BE07C7">
            <w:pPr>
              <w:rPr>
                <w:iCs/>
                <w:color w:val="333333"/>
                <w:lang w:val="fr-FR"/>
              </w:rPr>
            </w:pPr>
          </w:p>
          <w:p w:rsidR="00D527E8" w:rsidRPr="00927778" w:rsidRDefault="009340D9" w:rsidP="009340D9">
            <w:pPr>
              <w:rPr>
                <w:iCs/>
                <w:color w:val="333333"/>
                <w:lang w:val="fr-FR"/>
              </w:rPr>
            </w:pPr>
            <w:r w:rsidRPr="00927778">
              <w:rPr>
                <w:iCs/>
                <w:color w:val="333333"/>
                <w:lang w:val="fr-FR"/>
              </w:rPr>
              <w:t>Le projet est mis en œuvre selon le calendrier figurant dans le descriptif de projet.</w:t>
            </w:r>
          </w:p>
        </w:tc>
      </w:tr>
      <w:tr w:rsidR="00047C22" w:rsidRPr="00927778" w:rsidTr="00D527E8">
        <w:trPr>
          <w:trHeight w:val="848"/>
        </w:trPr>
        <w:tc>
          <w:tcPr>
            <w:tcW w:w="2340" w:type="dxa"/>
            <w:shd w:val="clear" w:color="auto" w:fill="auto"/>
          </w:tcPr>
          <w:p w:rsidR="00D527E8" w:rsidRPr="00927778" w:rsidRDefault="009340D9" w:rsidP="009340D9">
            <w:pPr>
              <w:pStyle w:val="Heading3"/>
              <w:keepNext w:val="0"/>
              <w:rPr>
                <w:color w:val="333333"/>
                <w:lang w:val="fr-FR"/>
              </w:rPr>
            </w:pPr>
            <w:r w:rsidRPr="00927778">
              <w:rPr>
                <w:color w:val="333333"/>
                <w:lang w:val="fr-FR"/>
              </w:rPr>
              <w:t>Taux d</w:t>
            </w:r>
            <w:r w:rsidR="00EA2C86" w:rsidRPr="00927778">
              <w:rPr>
                <w:color w:val="333333"/>
                <w:lang w:val="fr-FR"/>
              </w:rPr>
              <w:t>’</w:t>
            </w:r>
            <w:r w:rsidRPr="00927778">
              <w:rPr>
                <w:color w:val="333333"/>
                <w:lang w:val="fr-FR"/>
              </w:rPr>
              <w:t>exécution du projet</w:t>
            </w:r>
            <w:r w:rsidR="00D527E8" w:rsidRPr="00927778">
              <w:rPr>
                <w:color w:val="333333"/>
                <w:lang w:val="fr-FR"/>
              </w:rPr>
              <w:t xml:space="preserve"> </w:t>
            </w:r>
          </w:p>
        </w:tc>
        <w:tc>
          <w:tcPr>
            <w:tcW w:w="6930" w:type="dxa"/>
          </w:tcPr>
          <w:p w:rsidR="005E6718" w:rsidRPr="00927778" w:rsidRDefault="005E6718" w:rsidP="00BE07C7">
            <w:pPr>
              <w:rPr>
                <w:iCs/>
                <w:color w:val="333333"/>
                <w:lang w:val="fr-FR"/>
              </w:rPr>
            </w:pPr>
          </w:p>
          <w:p w:rsidR="00D9129E" w:rsidRPr="00927778" w:rsidRDefault="00954FA8" w:rsidP="00BE07C7">
            <w:pPr>
              <w:rPr>
                <w:iCs/>
                <w:color w:val="333333"/>
                <w:lang w:val="fr-FR"/>
              </w:rPr>
            </w:pPr>
            <w:r w:rsidRPr="00927778">
              <w:rPr>
                <w:iCs/>
                <w:color w:val="333333"/>
                <w:lang w:val="fr-FR"/>
              </w:rPr>
              <w:t>Taux d</w:t>
            </w:r>
            <w:r w:rsidR="00EA2C86" w:rsidRPr="00927778">
              <w:rPr>
                <w:iCs/>
                <w:color w:val="333333"/>
                <w:lang w:val="fr-FR"/>
              </w:rPr>
              <w:t>’</w:t>
            </w:r>
            <w:r w:rsidRPr="00927778">
              <w:rPr>
                <w:iCs/>
                <w:color w:val="333333"/>
                <w:lang w:val="fr-FR"/>
              </w:rPr>
              <w:t>utilisation du budget à la fin du mois d</w:t>
            </w:r>
            <w:r w:rsidR="00EA2C86" w:rsidRPr="00927778">
              <w:rPr>
                <w:iCs/>
                <w:color w:val="333333"/>
                <w:lang w:val="fr-FR"/>
              </w:rPr>
              <w:t>’août 20</w:t>
            </w:r>
            <w:r w:rsidRPr="00927778">
              <w:rPr>
                <w:iCs/>
                <w:color w:val="333333"/>
                <w:lang w:val="fr-FR"/>
              </w:rPr>
              <w:t>18</w:t>
            </w:r>
            <w:r w:rsidR="00EA2C86" w:rsidRPr="00927778">
              <w:rPr>
                <w:iCs/>
                <w:color w:val="333333"/>
                <w:lang w:val="fr-FR"/>
              </w:rPr>
              <w:t> :</w:t>
            </w:r>
            <w:r w:rsidRPr="00927778">
              <w:rPr>
                <w:iCs/>
                <w:color w:val="333333"/>
                <w:lang w:val="fr-FR"/>
              </w:rPr>
              <w:t xml:space="preserve"> </w:t>
            </w:r>
            <w:r w:rsidR="00EE410A" w:rsidRPr="00927778">
              <w:rPr>
                <w:iCs/>
                <w:color w:val="333333"/>
                <w:lang w:val="fr-FR"/>
              </w:rPr>
              <w:t>89%</w:t>
            </w:r>
          </w:p>
        </w:tc>
      </w:tr>
      <w:tr w:rsidR="00047C22" w:rsidRPr="00927778" w:rsidTr="00D527E8">
        <w:trPr>
          <w:trHeight w:val="848"/>
        </w:trPr>
        <w:tc>
          <w:tcPr>
            <w:tcW w:w="2340" w:type="dxa"/>
            <w:shd w:val="clear" w:color="auto" w:fill="auto"/>
          </w:tcPr>
          <w:p w:rsidR="00D527E8" w:rsidRPr="00927778" w:rsidRDefault="009340D9" w:rsidP="009340D9">
            <w:pPr>
              <w:pStyle w:val="Heading3"/>
              <w:keepNext w:val="0"/>
              <w:rPr>
                <w:color w:val="333333"/>
                <w:lang w:val="fr-FR"/>
              </w:rPr>
            </w:pPr>
            <w:r w:rsidRPr="00927778">
              <w:rPr>
                <w:color w:val="333333"/>
                <w:lang w:val="fr-FR"/>
              </w:rPr>
              <w:t>Rapports précédents</w:t>
            </w:r>
          </w:p>
        </w:tc>
        <w:tc>
          <w:tcPr>
            <w:tcW w:w="6930" w:type="dxa"/>
          </w:tcPr>
          <w:p w:rsidR="005E6718" w:rsidRPr="00927778" w:rsidRDefault="005E6718" w:rsidP="00BE07C7">
            <w:pPr>
              <w:rPr>
                <w:iCs/>
                <w:color w:val="333333"/>
                <w:lang w:val="fr-FR"/>
              </w:rPr>
            </w:pPr>
          </w:p>
          <w:p w:rsidR="00EA2C86" w:rsidRPr="00927778" w:rsidRDefault="009340D9" w:rsidP="009340D9">
            <w:pPr>
              <w:rPr>
                <w:iCs/>
                <w:color w:val="333333"/>
                <w:lang w:val="fr-FR"/>
              </w:rPr>
            </w:pPr>
            <w:r w:rsidRPr="00927778">
              <w:rPr>
                <w:iCs/>
                <w:color w:val="333333"/>
                <w:lang w:val="fr-FR"/>
              </w:rPr>
              <w:t>Ceci est le troisième rapport présenté</w:t>
            </w:r>
            <w:r w:rsidR="00EA2C86" w:rsidRPr="00927778">
              <w:rPr>
                <w:iCs/>
                <w:color w:val="333333"/>
                <w:lang w:val="fr-FR"/>
              </w:rPr>
              <w:t xml:space="preserve"> au CDI</w:t>
            </w:r>
            <w:r w:rsidRPr="00927778">
              <w:rPr>
                <w:iCs/>
                <w:color w:val="333333"/>
                <w:lang w:val="fr-FR"/>
              </w:rPr>
              <w:t>P.</w:t>
            </w:r>
          </w:p>
          <w:p w:rsidR="005E6718" w:rsidRPr="00927778" w:rsidRDefault="005E6718" w:rsidP="00BE07C7">
            <w:pPr>
              <w:rPr>
                <w:iCs/>
                <w:color w:val="333333"/>
                <w:lang w:val="fr-FR"/>
              </w:rPr>
            </w:pPr>
          </w:p>
          <w:p w:rsidR="00843A08" w:rsidRDefault="00556E0D" w:rsidP="00916FA3">
            <w:pPr>
              <w:rPr>
                <w:iCs/>
                <w:color w:val="333333"/>
                <w:lang w:val="fr-FR"/>
              </w:rPr>
            </w:pPr>
            <w:r w:rsidRPr="00927778">
              <w:rPr>
                <w:iCs/>
                <w:color w:val="333333"/>
                <w:lang w:val="fr-FR"/>
              </w:rPr>
              <w:t>Le premier rapport, figurant à l</w:t>
            </w:r>
            <w:r w:rsidR="00EA2C86" w:rsidRPr="00927778">
              <w:rPr>
                <w:iCs/>
                <w:color w:val="333333"/>
                <w:lang w:val="fr-FR"/>
              </w:rPr>
              <w:t>’annexe V</w:t>
            </w:r>
            <w:r w:rsidRPr="00927778">
              <w:rPr>
                <w:iCs/>
                <w:color w:val="333333"/>
                <w:lang w:val="fr-FR"/>
              </w:rPr>
              <w:t>I du document</w:t>
            </w:r>
            <w:r w:rsidR="00CB5AE0" w:rsidRPr="00927778">
              <w:rPr>
                <w:iCs/>
                <w:color w:val="333333"/>
                <w:lang w:val="fr-FR"/>
              </w:rPr>
              <w:t> </w:t>
            </w:r>
            <w:r w:rsidRPr="00927778">
              <w:rPr>
                <w:iCs/>
                <w:color w:val="333333"/>
                <w:lang w:val="fr-FR"/>
              </w:rPr>
              <w:t>CDIP/18/2, a été présenté</w:t>
            </w:r>
            <w:r w:rsidR="00EA2C86" w:rsidRPr="00927778">
              <w:rPr>
                <w:iCs/>
                <w:color w:val="333333"/>
                <w:lang w:val="fr-FR"/>
              </w:rPr>
              <w:t xml:space="preserve"> au CDI</w:t>
            </w:r>
            <w:r w:rsidRPr="00927778">
              <w:rPr>
                <w:iCs/>
                <w:color w:val="333333"/>
                <w:lang w:val="fr-FR"/>
              </w:rPr>
              <w:t>P lors de sa dix</w:t>
            </w:r>
            <w:r w:rsidR="00CB5AE0" w:rsidRPr="00927778">
              <w:rPr>
                <w:iCs/>
                <w:color w:val="333333"/>
                <w:lang w:val="fr-FR"/>
              </w:rPr>
              <w:noBreakHyphen/>
            </w:r>
            <w:r w:rsidRPr="00927778">
              <w:rPr>
                <w:iCs/>
                <w:color w:val="333333"/>
                <w:lang w:val="fr-FR"/>
              </w:rPr>
              <w:t>huit</w:t>
            </w:r>
            <w:r w:rsidR="00EA2C86" w:rsidRPr="00927778">
              <w:rPr>
                <w:iCs/>
                <w:color w:val="333333"/>
                <w:lang w:val="fr-FR"/>
              </w:rPr>
              <w:t>ième sessi</w:t>
            </w:r>
            <w:r w:rsidR="00306E74" w:rsidRPr="00927778">
              <w:rPr>
                <w:iCs/>
                <w:color w:val="333333"/>
                <w:lang w:val="fr-FR"/>
              </w:rPr>
              <w:t>on.  Le</w:t>
            </w:r>
            <w:r w:rsidR="009340D9" w:rsidRPr="00927778">
              <w:rPr>
                <w:iCs/>
                <w:color w:val="333333"/>
                <w:lang w:val="fr-FR"/>
              </w:rPr>
              <w:t xml:space="preserve"> deuxième rapport est présent à l</w:t>
            </w:r>
            <w:r w:rsidR="00EA2C86" w:rsidRPr="00927778">
              <w:rPr>
                <w:iCs/>
                <w:color w:val="333333"/>
                <w:lang w:val="fr-FR"/>
              </w:rPr>
              <w:t>’annexe I</w:t>
            </w:r>
            <w:r w:rsidR="009340D9" w:rsidRPr="00927778">
              <w:rPr>
                <w:iCs/>
                <w:color w:val="333333"/>
                <w:lang w:val="fr-FR"/>
              </w:rPr>
              <w:t>V du document</w:t>
            </w:r>
            <w:r w:rsidR="00CB5AE0" w:rsidRPr="00927778">
              <w:rPr>
                <w:iCs/>
                <w:color w:val="333333"/>
                <w:lang w:val="fr-FR"/>
              </w:rPr>
              <w:t> </w:t>
            </w:r>
            <w:r w:rsidR="009340D9" w:rsidRPr="00927778">
              <w:rPr>
                <w:iCs/>
                <w:color w:val="333333"/>
                <w:lang w:val="fr-FR"/>
              </w:rPr>
              <w:t>CDIP/20/2 et a été soumis</w:t>
            </w:r>
            <w:r w:rsidR="00EA2C86" w:rsidRPr="00927778">
              <w:rPr>
                <w:iCs/>
                <w:color w:val="333333"/>
                <w:lang w:val="fr-FR"/>
              </w:rPr>
              <w:t xml:space="preserve"> au CDI</w:t>
            </w:r>
            <w:r w:rsidR="009340D9" w:rsidRPr="00927778">
              <w:rPr>
                <w:iCs/>
                <w:color w:val="333333"/>
                <w:lang w:val="fr-FR"/>
              </w:rPr>
              <w:t>P à sa vingt</w:t>
            </w:r>
            <w:r w:rsidR="00EA2C86" w:rsidRPr="00927778">
              <w:rPr>
                <w:iCs/>
                <w:color w:val="333333"/>
                <w:lang w:val="fr-FR"/>
              </w:rPr>
              <w:t>ième session</w:t>
            </w:r>
            <w:r w:rsidR="009340D9" w:rsidRPr="00927778">
              <w:rPr>
                <w:iCs/>
                <w:color w:val="333333"/>
                <w:lang w:val="fr-FR"/>
              </w:rPr>
              <w:t>.</w:t>
            </w:r>
          </w:p>
          <w:p w:rsidR="006D4C53" w:rsidRPr="00927778" w:rsidRDefault="006D4C53" w:rsidP="00916FA3">
            <w:pPr>
              <w:rPr>
                <w:iCs/>
                <w:color w:val="333333"/>
                <w:lang w:val="fr-FR"/>
              </w:rPr>
            </w:pPr>
          </w:p>
        </w:tc>
      </w:tr>
    </w:tbl>
    <w:p w:rsidR="00A74832" w:rsidRPr="00927778" w:rsidRDefault="00A74832" w:rsidP="004044B7">
      <w:pPr>
        <w:rPr>
          <w:rFonts w:eastAsia="SimSun"/>
          <w:color w:val="333333"/>
          <w:lang w:val="fr-FR" w:eastAsia="zh-CN"/>
        </w:rPr>
      </w:pPr>
      <w:r w:rsidRPr="00927778">
        <w:rPr>
          <w:rFonts w:eastAsia="SimSun"/>
          <w:color w:val="333333"/>
          <w:lang w:val="fr-FR" w:eastAsia="zh-CN"/>
        </w:rPr>
        <w:br w:type="page"/>
      </w:r>
    </w:p>
    <w:tbl>
      <w:tblPr>
        <w:tblW w:w="0" w:type="auto"/>
        <w:tblLook w:val="01E0" w:firstRow="1" w:lastRow="1" w:firstColumn="1" w:lastColumn="1" w:noHBand="0" w:noVBand="0"/>
      </w:tblPr>
      <w:tblGrid>
        <w:gridCol w:w="9287"/>
      </w:tblGrid>
      <w:tr w:rsidR="00D527E8" w:rsidRPr="00927778" w:rsidTr="00D527E8">
        <w:trPr>
          <w:trHeight w:val="494"/>
        </w:trPr>
        <w:tc>
          <w:tcPr>
            <w:tcW w:w="9287" w:type="dxa"/>
            <w:vAlign w:val="center"/>
          </w:tcPr>
          <w:p w:rsidR="00D527E8" w:rsidRPr="00927778" w:rsidRDefault="00D527E8" w:rsidP="009340D9">
            <w:pPr>
              <w:rPr>
                <w:color w:val="333333"/>
                <w:lang w:val="fr-FR"/>
              </w:rPr>
            </w:pPr>
            <w:r w:rsidRPr="00927778">
              <w:rPr>
                <w:color w:val="333333"/>
                <w:lang w:val="fr-FR"/>
              </w:rPr>
              <w:br w:type="page"/>
            </w:r>
            <w:r w:rsidR="009340D9" w:rsidRPr="00927778">
              <w:rPr>
                <w:color w:val="333333"/>
                <w:lang w:val="fr-FR"/>
              </w:rPr>
              <w:t>AUTO</w:t>
            </w:r>
            <w:r w:rsidR="00CB5AE0" w:rsidRPr="00927778">
              <w:rPr>
                <w:color w:val="333333"/>
                <w:lang w:val="fr-FR"/>
              </w:rPr>
              <w:noBreakHyphen/>
            </w:r>
            <w:r w:rsidR="009340D9" w:rsidRPr="00927778">
              <w:rPr>
                <w:color w:val="333333"/>
                <w:lang w:val="fr-FR"/>
              </w:rPr>
              <w:t>ÉVALUATION DU PROJET</w:t>
            </w:r>
          </w:p>
        </w:tc>
      </w:tr>
    </w:tbl>
    <w:p w:rsidR="005E6718" w:rsidRPr="00927778" w:rsidRDefault="005E6718" w:rsidP="00D527E8">
      <w:pPr>
        <w:rPr>
          <w:color w:val="333333"/>
          <w:lang w:val="fr-FR"/>
        </w:rPr>
      </w:pPr>
    </w:p>
    <w:p w:rsidR="005E6718" w:rsidRPr="00927778" w:rsidRDefault="009340D9" w:rsidP="009340D9">
      <w:pPr>
        <w:rPr>
          <w:color w:val="333333"/>
          <w:lang w:val="fr-FR"/>
        </w:rPr>
      </w:pPr>
      <w:r w:rsidRPr="00927778">
        <w:rPr>
          <w:color w:val="333333"/>
          <w:lang w:val="fr-FR"/>
        </w:rPr>
        <w:t>Code d</w:t>
      </w:r>
      <w:r w:rsidR="00EA2C86" w:rsidRPr="00927778">
        <w:rPr>
          <w:color w:val="333333"/>
          <w:lang w:val="fr-FR"/>
        </w:rPr>
        <w:t>’</w:t>
      </w:r>
      <w:r w:rsidRPr="00927778">
        <w:rPr>
          <w:color w:val="333333"/>
          <w:lang w:val="fr-FR"/>
        </w:rPr>
        <w:t>évaluation</w:t>
      </w:r>
    </w:p>
    <w:p w:rsidR="00D527E8" w:rsidRPr="00927778" w:rsidRDefault="00D527E8" w:rsidP="00D527E8">
      <w:pPr>
        <w:rPr>
          <w:color w:val="333333"/>
          <w:lang w:val="fr-FR"/>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927778" w:rsidRPr="00927778" w:rsidTr="00D527E8">
        <w:trPr>
          <w:trHeight w:val="469"/>
        </w:trPr>
        <w:tc>
          <w:tcPr>
            <w:tcW w:w="1416" w:type="dxa"/>
            <w:shd w:val="clear" w:color="auto" w:fill="auto"/>
            <w:vAlign w:val="center"/>
          </w:tcPr>
          <w:p w:rsidR="00D527E8" w:rsidRPr="00927778" w:rsidRDefault="00D527E8" w:rsidP="00D527E8">
            <w:pPr>
              <w:rPr>
                <w:color w:val="333333"/>
                <w:lang w:val="fr-FR"/>
              </w:rPr>
            </w:pPr>
            <w:r w:rsidRPr="00927778">
              <w:rPr>
                <w:color w:val="333333"/>
                <w:lang w:val="fr-FR"/>
              </w:rPr>
              <w:t>****</w:t>
            </w:r>
          </w:p>
        </w:tc>
        <w:tc>
          <w:tcPr>
            <w:tcW w:w="1677" w:type="dxa"/>
            <w:shd w:val="clear" w:color="auto" w:fill="auto"/>
            <w:vAlign w:val="center"/>
          </w:tcPr>
          <w:p w:rsidR="00D527E8" w:rsidRPr="00927778" w:rsidRDefault="00D527E8" w:rsidP="00D527E8">
            <w:pPr>
              <w:rPr>
                <w:color w:val="333333"/>
                <w:lang w:val="fr-FR"/>
              </w:rPr>
            </w:pPr>
            <w:r w:rsidRPr="00927778">
              <w:rPr>
                <w:color w:val="333333"/>
                <w:lang w:val="fr-FR"/>
              </w:rPr>
              <w:t>***</w:t>
            </w:r>
          </w:p>
        </w:tc>
        <w:tc>
          <w:tcPr>
            <w:tcW w:w="1797" w:type="dxa"/>
            <w:shd w:val="clear" w:color="auto" w:fill="auto"/>
            <w:vAlign w:val="center"/>
          </w:tcPr>
          <w:p w:rsidR="00D527E8" w:rsidRPr="00927778" w:rsidRDefault="00D527E8" w:rsidP="00D527E8">
            <w:pPr>
              <w:rPr>
                <w:color w:val="333333"/>
                <w:lang w:val="fr-FR"/>
              </w:rPr>
            </w:pPr>
            <w:r w:rsidRPr="00927778">
              <w:rPr>
                <w:color w:val="333333"/>
                <w:lang w:val="fr-FR"/>
              </w:rPr>
              <w:t>**</w:t>
            </w:r>
          </w:p>
        </w:tc>
        <w:tc>
          <w:tcPr>
            <w:tcW w:w="1895" w:type="dxa"/>
            <w:shd w:val="clear" w:color="auto" w:fill="auto"/>
            <w:vAlign w:val="center"/>
          </w:tcPr>
          <w:p w:rsidR="00D527E8" w:rsidRPr="00927778" w:rsidRDefault="009340D9" w:rsidP="009340D9">
            <w:pPr>
              <w:rPr>
                <w:color w:val="333333"/>
                <w:lang w:val="fr-FR"/>
              </w:rPr>
            </w:pPr>
            <w:r w:rsidRPr="00927778">
              <w:rPr>
                <w:color w:val="333333"/>
                <w:lang w:val="fr-FR"/>
              </w:rPr>
              <w:t>AP</w:t>
            </w:r>
          </w:p>
        </w:tc>
        <w:tc>
          <w:tcPr>
            <w:tcW w:w="2563" w:type="dxa"/>
            <w:shd w:val="clear" w:color="auto" w:fill="auto"/>
            <w:vAlign w:val="center"/>
          </w:tcPr>
          <w:p w:rsidR="00D527E8" w:rsidRPr="00927778" w:rsidRDefault="009340D9" w:rsidP="009340D9">
            <w:pPr>
              <w:rPr>
                <w:color w:val="333333"/>
                <w:lang w:val="fr-FR"/>
              </w:rPr>
            </w:pPr>
            <w:r w:rsidRPr="00927778">
              <w:rPr>
                <w:color w:val="333333"/>
                <w:lang w:val="fr-FR"/>
              </w:rPr>
              <w:t>s.o.</w:t>
            </w:r>
          </w:p>
        </w:tc>
      </w:tr>
      <w:tr w:rsidR="00D527E8" w:rsidRPr="00927778" w:rsidTr="00D527E8">
        <w:tc>
          <w:tcPr>
            <w:tcW w:w="1416" w:type="dxa"/>
            <w:shd w:val="clear" w:color="auto" w:fill="auto"/>
          </w:tcPr>
          <w:p w:rsidR="00D527E8" w:rsidRPr="00927778" w:rsidRDefault="009340D9" w:rsidP="009340D9">
            <w:pPr>
              <w:rPr>
                <w:color w:val="333333"/>
                <w:lang w:val="fr-FR"/>
              </w:rPr>
            </w:pPr>
            <w:r w:rsidRPr="00927778">
              <w:rPr>
                <w:color w:val="333333"/>
                <w:lang w:val="fr-FR"/>
              </w:rPr>
              <w:t>Objectifs pleinement atteints</w:t>
            </w:r>
          </w:p>
        </w:tc>
        <w:tc>
          <w:tcPr>
            <w:tcW w:w="1677" w:type="dxa"/>
            <w:shd w:val="clear" w:color="auto" w:fill="auto"/>
          </w:tcPr>
          <w:p w:rsidR="00D527E8" w:rsidRPr="00927778" w:rsidRDefault="009340D9" w:rsidP="009340D9">
            <w:pPr>
              <w:rPr>
                <w:color w:val="333333"/>
                <w:lang w:val="fr-FR"/>
              </w:rPr>
            </w:pPr>
            <w:r w:rsidRPr="00927778">
              <w:rPr>
                <w:color w:val="333333"/>
                <w:lang w:val="fr-FR"/>
              </w:rPr>
              <w:t>Progrès considérables</w:t>
            </w:r>
          </w:p>
        </w:tc>
        <w:tc>
          <w:tcPr>
            <w:tcW w:w="1797" w:type="dxa"/>
            <w:shd w:val="clear" w:color="auto" w:fill="auto"/>
          </w:tcPr>
          <w:p w:rsidR="00D527E8" w:rsidRPr="00927778" w:rsidRDefault="009340D9" w:rsidP="009340D9">
            <w:pPr>
              <w:rPr>
                <w:color w:val="333333"/>
                <w:lang w:val="fr-FR"/>
              </w:rPr>
            </w:pPr>
            <w:r w:rsidRPr="00927778">
              <w:rPr>
                <w:color w:val="333333"/>
                <w:lang w:val="fr-FR"/>
              </w:rPr>
              <w:t>Quelques progrès</w:t>
            </w:r>
          </w:p>
        </w:tc>
        <w:tc>
          <w:tcPr>
            <w:tcW w:w="1895" w:type="dxa"/>
            <w:shd w:val="clear" w:color="auto" w:fill="auto"/>
          </w:tcPr>
          <w:p w:rsidR="00D527E8" w:rsidRPr="00927778" w:rsidRDefault="009340D9" w:rsidP="009340D9">
            <w:pPr>
              <w:rPr>
                <w:color w:val="333333"/>
                <w:lang w:val="fr-FR"/>
              </w:rPr>
            </w:pPr>
            <w:r w:rsidRPr="00927778">
              <w:rPr>
                <w:color w:val="333333"/>
                <w:lang w:val="fr-FR"/>
              </w:rPr>
              <w:t>Aucun progrès</w:t>
            </w:r>
          </w:p>
        </w:tc>
        <w:tc>
          <w:tcPr>
            <w:tcW w:w="2563" w:type="dxa"/>
            <w:shd w:val="clear" w:color="auto" w:fill="auto"/>
          </w:tcPr>
          <w:p w:rsidR="00D527E8" w:rsidRPr="00927778" w:rsidRDefault="009340D9" w:rsidP="009340D9">
            <w:pPr>
              <w:rPr>
                <w:color w:val="333333"/>
                <w:lang w:val="fr-FR"/>
              </w:rPr>
            </w:pPr>
            <w:r w:rsidRPr="00927778">
              <w:rPr>
                <w:color w:val="333333"/>
                <w:lang w:val="fr-FR"/>
              </w:rPr>
              <w:t>Non évalué/abandonné</w:t>
            </w:r>
          </w:p>
        </w:tc>
      </w:tr>
    </w:tbl>
    <w:p w:rsidR="00D527E8" w:rsidRPr="00927778" w:rsidRDefault="00D527E8" w:rsidP="00D527E8">
      <w:pPr>
        <w:rPr>
          <w:color w:val="333333"/>
          <w:lang w:val="fr-FR"/>
        </w:rPr>
      </w:pPr>
    </w:p>
    <w:tbl>
      <w:tblPr>
        <w:tblW w:w="9356" w:type="dxa"/>
        <w:tblInd w:w="-34" w:type="dxa"/>
        <w:tblLayout w:type="fixed"/>
        <w:tblLook w:val="01E0" w:firstRow="1" w:lastRow="1" w:firstColumn="1" w:lastColumn="1" w:noHBand="0" w:noVBand="0"/>
      </w:tblPr>
      <w:tblGrid>
        <w:gridCol w:w="2410"/>
        <w:gridCol w:w="2694"/>
        <w:gridCol w:w="3118"/>
        <w:gridCol w:w="1134"/>
      </w:tblGrid>
      <w:tr w:rsidR="00047C22" w:rsidRPr="00927778" w:rsidTr="006D4C53">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E6718" w:rsidRPr="00927778" w:rsidRDefault="005E6718" w:rsidP="00D527E8">
            <w:pPr>
              <w:rPr>
                <w:rFonts w:eastAsia="SimSun"/>
                <w:bCs/>
                <w:color w:val="333333"/>
                <w:szCs w:val="26"/>
                <w:u w:val="single"/>
                <w:lang w:val="fr-FR"/>
              </w:rPr>
            </w:pPr>
          </w:p>
          <w:p w:rsidR="00D527E8" w:rsidRPr="00927778" w:rsidRDefault="009340D9" w:rsidP="009340D9">
            <w:pPr>
              <w:rPr>
                <w:color w:val="333333"/>
                <w:lang w:val="fr-FR"/>
              </w:rPr>
            </w:pPr>
            <w:r w:rsidRPr="00927778">
              <w:rPr>
                <w:color w:val="333333"/>
                <w:u w:val="single"/>
                <w:lang w:val="fr-FR"/>
              </w:rPr>
              <w:t>Résultats du projet</w:t>
            </w:r>
            <w:r w:rsidRPr="00927778">
              <w:rPr>
                <w:rStyle w:val="FootnoteReference"/>
                <w:color w:val="333333"/>
                <w:lang w:val="fr-FR"/>
              </w:rPr>
              <w:footnoteReference w:id="9"/>
            </w:r>
            <w:r w:rsidRPr="00927778">
              <w:rPr>
                <w:color w:val="333333"/>
                <w:lang w:val="fr-FR"/>
              </w:rPr>
              <w:t xml:space="preserve"> (résultat escompté)</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E6718" w:rsidRPr="00927778" w:rsidRDefault="005E6718" w:rsidP="00D527E8">
            <w:pPr>
              <w:rPr>
                <w:rFonts w:eastAsia="SimSun"/>
                <w:bCs/>
                <w:color w:val="333333"/>
                <w:szCs w:val="26"/>
                <w:u w:val="single"/>
                <w:lang w:val="fr-FR"/>
              </w:rPr>
            </w:pPr>
          </w:p>
          <w:p w:rsidR="005E6718" w:rsidRPr="00927778" w:rsidRDefault="009340D9" w:rsidP="009340D9">
            <w:pPr>
              <w:rPr>
                <w:color w:val="333333"/>
                <w:lang w:val="fr-FR"/>
              </w:rPr>
            </w:pPr>
            <w:r w:rsidRPr="00927778">
              <w:rPr>
                <w:color w:val="333333"/>
                <w:u w:val="single"/>
                <w:lang w:val="fr-FR"/>
              </w:rPr>
              <w:t>Indicateurs d</w:t>
            </w:r>
            <w:r w:rsidR="00EA2C86" w:rsidRPr="00927778">
              <w:rPr>
                <w:color w:val="333333"/>
                <w:u w:val="single"/>
                <w:lang w:val="fr-FR"/>
              </w:rPr>
              <w:t>’</w:t>
            </w:r>
            <w:r w:rsidRPr="00927778">
              <w:rPr>
                <w:color w:val="333333"/>
                <w:u w:val="single"/>
                <w:lang w:val="fr-FR"/>
              </w:rPr>
              <w:t>exécution</w:t>
            </w:r>
            <w:r w:rsidRPr="00927778">
              <w:rPr>
                <w:color w:val="333333"/>
                <w:lang w:val="fr-FR"/>
              </w:rPr>
              <w:t xml:space="preserve"> (indicateurs de résultats)</w:t>
            </w:r>
          </w:p>
          <w:p w:rsidR="00D527E8" w:rsidRPr="00927778" w:rsidRDefault="00D527E8" w:rsidP="00D527E8">
            <w:pPr>
              <w:rPr>
                <w:color w:val="333333"/>
                <w:lang w:val="fr-FR"/>
              </w:rPr>
            </w:pP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rsidR="00D527E8" w:rsidRPr="00927778" w:rsidRDefault="009340D9" w:rsidP="009340D9">
            <w:pPr>
              <w:keepNext/>
              <w:spacing w:before="240" w:after="60"/>
              <w:outlineLvl w:val="2"/>
              <w:rPr>
                <w:rFonts w:eastAsia="SimSun"/>
                <w:bCs/>
                <w:color w:val="333333"/>
                <w:szCs w:val="26"/>
                <w:u w:val="single"/>
                <w:lang w:val="fr-FR"/>
              </w:rPr>
            </w:pPr>
            <w:r w:rsidRPr="00927778">
              <w:rPr>
                <w:rFonts w:eastAsia="SimSun"/>
                <w:bCs/>
                <w:color w:val="333333"/>
                <w:szCs w:val="26"/>
                <w:u w:val="single"/>
                <w:lang w:val="fr-FR"/>
              </w:rPr>
              <w:t>Données relatives à l</w:t>
            </w:r>
            <w:r w:rsidR="00EA2C86" w:rsidRPr="00927778">
              <w:rPr>
                <w:rFonts w:eastAsia="SimSun"/>
                <w:bCs/>
                <w:color w:val="333333"/>
                <w:szCs w:val="26"/>
                <w:u w:val="single"/>
                <w:lang w:val="fr-FR"/>
              </w:rPr>
              <w:t>’</w:t>
            </w:r>
            <w:r w:rsidRPr="00927778">
              <w:rPr>
                <w:rFonts w:eastAsia="SimSun"/>
                <w:bCs/>
                <w:color w:val="333333"/>
                <w:szCs w:val="26"/>
                <w:u w:val="single"/>
                <w:lang w:val="fr-FR"/>
              </w:rPr>
              <w:t>exécution</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D527E8" w:rsidRPr="006D4C53" w:rsidRDefault="009340D9" w:rsidP="009340D9">
            <w:pPr>
              <w:keepNext/>
              <w:spacing w:before="240" w:after="60"/>
              <w:outlineLvl w:val="2"/>
              <w:rPr>
                <w:rFonts w:eastAsia="SimSun"/>
                <w:bCs/>
                <w:color w:val="333333"/>
                <w:sz w:val="20"/>
                <w:szCs w:val="26"/>
                <w:u w:val="single"/>
                <w:lang w:val="fr-FR"/>
              </w:rPr>
            </w:pPr>
            <w:r w:rsidRPr="006D4C53">
              <w:rPr>
                <w:rFonts w:eastAsia="SimSun"/>
                <w:bCs/>
                <w:color w:val="333333"/>
                <w:sz w:val="20"/>
                <w:szCs w:val="26"/>
                <w:u w:val="single"/>
                <w:lang w:val="fr-FR"/>
              </w:rPr>
              <w:t>Code d</w:t>
            </w:r>
            <w:r w:rsidR="00EA2C86" w:rsidRPr="006D4C53">
              <w:rPr>
                <w:rFonts w:eastAsia="SimSun"/>
                <w:bCs/>
                <w:color w:val="333333"/>
                <w:sz w:val="20"/>
                <w:szCs w:val="26"/>
                <w:u w:val="single"/>
                <w:lang w:val="fr-FR"/>
              </w:rPr>
              <w:t>’</w:t>
            </w:r>
            <w:r w:rsidRPr="006D4C53">
              <w:rPr>
                <w:rFonts w:eastAsia="SimSun"/>
                <w:bCs/>
                <w:color w:val="333333"/>
                <w:sz w:val="20"/>
                <w:szCs w:val="26"/>
                <w:u w:val="single"/>
                <w:lang w:val="fr-FR"/>
              </w:rPr>
              <w:t>évaluation</w:t>
            </w:r>
          </w:p>
        </w:tc>
      </w:tr>
      <w:tr w:rsidR="00047C22" w:rsidRPr="00927778" w:rsidTr="006D4C53">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5E6718" w:rsidRPr="00927778" w:rsidRDefault="009340D9" w:rsidP="009340D9">
            <w:pPr>
              <w:rPr>
                <w:color w:val="333333"/>
                <w:lang w:val="fr-FR"/>
              </w:rPr>
            </w:pPr>
            <w:r w:rsidRPr="00927778">
              <w:rPr>
                <w:color w:val="333333"/>
                <w:lang w:val="fr-FR"/>
              </w:rPr>
              <w:t>Document d</w:t>
            </w:r>
            <w:r w:rsidR="00EA2C86" w:rsidRPr="00927778">
              <w:rPr>
                <w:color w:val="333333"/>
                <w:lang w:val="fr-FR"/>
              </w:rPr>
              <w:t>’</w:t>
            </w:r>
            <w:r w:rsidRPr="00927778">
              <w:rPr>
                <w:color w:val="333333"/>
                <w:lang w:val="fr-FR"/>
              </w:rPr>
              <w:t>orientation et étude</w:t>
            </w:r>
          </w:p>
          <w:p w:rsidR="00D527E8" w:rsidRPr="00927778" w:rsidRDefault="00D527E8" w:rsidP="00D527E8">
            <w:pPr>
              <w:rPr>
                <w:color w:val="333333"/>
                <w:lang w:val="fr-FR"/>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D527E8" w:rsidRPr="00927778" w:rsidRDefault="00916FA3" w:rsidP="00D527E8">
            <w:pPr>
              <w:rPr>
                <w:color w:val="333333"/>
                <w:lang w:val="fr-FR"/>
              </w:rPr>
            </w:pPr>
            <w:r w:rsidRPr="00927778">
              <w:rPr>
                <w:color w:val="333333"/>
                <w:lang w:val="fr-FR"/>
              </w:rPr>
              <w:t>Achevés.</w:t>
            </w:r>
            <w:r w:rsidR="00D527E8" w:rsidRPr="00927778">
              <w:rPr>
                <w:color w:val="333333"/>
                <w:lang w:val="fr-FR"/>
              </w:rPr>
              <w:t xml:space="preserve"> </w:t>
            </w:r>
            <w:r w:rsidR="0057466D" w:rsidRPr="00927778">
              <w:rPr>
                <w:color w:val="333333"/>
                <w:lang w:val="fr-FR"/>
              </w:rPr>
              <w:t xml:space="preserve"> </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927778" w:rsidRDefault="00916FA3" w:rsidP="00916FA3">
            <w:pPr>
              <w:rPr>
                <w:color w:val="333333"/>
                <w:lang w:val="fr-FR"/>
              </w:rPr>
            </w:pPr>
            <w:r w:rsidRPr="00927778">
              <w:rPr>
                <w:color w:val="333333"/>
                <w:lang w:val="fr-FR"/>
              </w:rPr>
              <w:t>Étude présentée et débattue</w:t>
            </w:r>
            <w:r w:rsidR="0057466D" w:rsidRPr="00927778">
              <w:rPr>
                <w:color w:val="333333"/>
                <w:lang w:val="fr-FR"/>
              </w:rPr>
              <w:t xml:space="preserve">; </w:t>
            </w:r>
            <w:r w:rsidRPr="00927778">
              <w:rPr>
                <w:color w:val="333333"/>
                <w:lang w:val="fr-FR"/>
              </w:rPr>
              <w:t xml:space="preserve"> proposition de nouvelles </w:t>
            </w:r>
            <w:r w:rsidR="00B104C1" w:rsidRPr="00927778">
              <w:rPr>
                <w:color w:val="333333"/>
                <w:lang w:val="fr-FR"/>
              </w:rPr>
              <w:t>perspectives</w:t>
            </w:r>
            <w:r w:rsidRPr="00927778">
              <w:rPr>
                <w:color w:val="333333"/>
                <w:lang w:val="fr-FR"/>
              </w:rPr>
              <w:t xml:space="preserve"> de travail. </w:t>
            </w:r>
            <w:r w:rsidR="0057466D" w:rsidRPr="00927778">
              <w:rPr>
                <w:color w:val="333333"/>
                <w:lang w:val="fr-FR"/>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rsidR="00D527E8" w:rsidRPr="006D4C53" w:rsidRDefault="00D527E8" w:rsidP="00D527E8">
            <w:pPr>
              <w:rPr>
                <w:color w:val="333333"/>
                <w:sz w:val="20"/>
                <w:lang w:val="fr-FR"/>
              </w:rPr>
            </w:pPr>
            <w:r w:rsidRPr="006D4C53">
              <w:rPr>
                <w:color w:val="333333"/>
                <w:sz w:val="20"/>
                <w:lang w:val="fr-FR"/>
              </w:rPr>
              <w:t>****</w:t>
            </w:r>
          </w:p>
        </w:tc>
      </w:tr>
      <w:tr w:rsidR="00047C22" w:rsidRPr="00927778" w:rsidTr="006D4C53">
        <w:trPr>
          <w:trHeight w:val="509"/>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D527E8" w:rsidRPr="00927778" w:rsidRDefault="009340D9" w:rsidP="009340D9">
            <w:pPr>
              <w:rPr>
                <w:bCs/>
                <w:color w:val="333333"/>
                <w:lang w:val="fr-FR"/>
              </w:rPr>
            </w:pPr>
            <w:r w:rsidRPr="00927778">
              <w:rPr>
                <w:bCs/>
                <w:color w:val="333333"/>
                <w:lang w:val="fr-FR"/>
              </w:rPr>
              <w:t>Ateliers d</w:t>
            </w:r>
            <w:r w:rsidR="00EA2C86" w:rsidRPr="00927778">
              <w:rPr>
                <w:bCs/>
                <w:color w:val="333333"/>
                <w:lang w:val="fr-FR"/>
              </w:rPr>
              <w:t>’</w:t>
            </w:r>
            <w:r w:rsidRPr="00927778">
              <w:rPr>
                <w:bCs/>
                <w:color w:val="333333"/>
                <w:lang w:val="fr-FR"/>
              </w:rPr>
              <w:t>experts</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5E6718" w:rsidRPr="00927778" w:rsidRDefault="009340D9" w:rsidP="009340D9">
            <w:pPr>
              <w:rPr>
                <w:color w:val="333333"/>
                <w:lang w:val="fr-FR"/>
              </w:rPr>
            </w:pPr>
            <w:r w:rsidRPr="00927778">
              <w:rPr>
                <w:color w:val="333333"/>
                <w:lang w:val="fr-FR"/>
              </w:rPr>
              <w:t>Ateliers organisés avec une évaluation positive par les participants</w:t>
            </w:r>
          </w:p>
          <w:p w:rsidR="00D527E8" w:rsidRPr="00927778" w:rsidRDefault="004677E3" w:rsidP="004677E3">
            <w:pPr>
              <w:keepNext/>
              <w:rPr>
                <w:bCs/>
                <w:color w:val="333333"/>
                <w:lang w:val="fr-FR"/>
              </w:rPr>
            </w:pPr>
            <w:r w:rsidRPr="00927778">
              <w:rPr>
                <w:bCs/>
                <w:color w:val="333333"/>
                <w:lang w:val="fr-FR"/>
              </w:rPr>
              <w:t>La majorité des bénéficiaires ont indiqué que leurs compétences s</w:t>
            </w:r>
            <w:r w:rsidR="00EA2C86" w:rsidRPr="00927778">
              <w:rPr>
                <w:bCs/>
                <w:color w:val="333333"/>
                <w:lang w:val="fr-FR"/>
              </w:rPr>
              <w:t>’</w:t>
            </w:r>
            <w:r w:rsidRPr="00927778">
              <w:rPr>
                <w:bCs/>
                <w:color w:val="333333"/>
                <w:lang w:val="fr-FR"/>
              </w:rPr>
              <w:t>étaient améliorées et seraient mises à</w:t>
            </w:r>
            <w:r w:rsidR="00260FE0" w:rsidRPr="00927778">
              <w:rPr>
                <w:bCs/>
                <w:color w:val="333333"/>
                <w:lang w:val="fr-FR"/>
              </w:rPr>
              <w:t xml:space="preserve"> </w:t>
            </w:r>
            <w:r w:rsidRPr="00927778">
              <w:rPr>
                <w:bCs/>
                <w:color w:val="333333"/>
                <w:lang w:val="fr-FR"/>
              </w:rPr>
              <w:t>profit dans leur pratique professionnelle</w:t>
            </w:r>
            <w:r w:rsidR="00D527E8" w:rsidRPr="00927778">
              <w:rPr>
                <w:bCs/>
                <w:color w:val="333333"/>
                <w:lang w:val="fr-FR"/>
              </w:rPr>
              <w:t>.</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927778" w:rsidRDefault="00260FE0" w:rsidP="00CC3F5E">
            <w:pPr>
              <w:rPr>
                <w:rFonts w:cs="Times New Roman"/>
                <w:color w:val="333333"/>
                <w:szCs w:val="37"/>
                <w:lang w:val="fr-FR"/>
              </w:rPr>
            </w:pPr>
            <w:r w:rsidRPr="00927778">
              <w:rPr>
                <w:rFonts w:cs="Times New Roman"/>
                <w:color w:val="333333"/>
                <w:szCs w:val="37"/>
                <w:lang w:val="fr-FR"/>
              </w:rPr>
              <w:t>Compétences professionnelles de plus haut niveau</w:t>
            </w:r>
            <w:r w:rsidR="0057466D" w:rsidRPr="00927778">
              <w:rPr>
                <w:rFonts w:cs="Times New Roman"/>
                <w:color w:val="333333"/>
                <w:szCs w:val="37"/>
                <w:lang w:val="fr-FR"/>
              </w:rPr>
              <w:t xml:space="preserve">; </w:t>
            </w:r>
            <w:r w:rsidRPr="00927778">
              <w:rPr>
                <w:rFonts w:cs="Times New Roman"/>
                <w:color w:val="333333"/>
                <w:szCs w:val="37"/>
                <w:lang w:val="fr-FR"/>
              </w:rPr>
              <w:t xml:space="preserve"> plus grande organisation du secteur</w:t>
            </w:r>
            <w:r w:rsidR="0057466D" w:rsidRPr="00927778">
              <w:rPr>
                <w:rFonts w:cs="Times New Roman"/>
                <w:color w:val="333333"/>
                <w:szCs w:val="37"/>
                <w:lang w:val="fr-FR"/>
              </w:rPr>
              <w:t xml:space="preserve">; </w:t>
            </w:r>
            <w:r w:rsidRPr="00927778">
              <w:rPr>
                <w:rFonts w:cs="Times New Roman"/>
                <w:color w:val="333333"/>
                <w:szCs w:val="37"/>
                <w:lang w:val="fr-FR"/>
              </w:rPr>
              <w:t xml:space="preserve"> utilisation accrue des </w:t>
            </w:r>
            <w:r w:rsidR="00CC3F5E" w:rsidRPr="00927778">
              <w:rPr>
                <w:rFonts w:cs="Times New Roman"/>
                <w:color w:val="333333"/>
                <w:szCs w:val="37"/>
                <w:lang w:val="fr-FR"/>
              </w:rPr>
              <w:t>usages</w:t>
            </w:r>
            <w:r w:rsidRPr="00927778">
              <w:rPr>
                <w:rFonts w:cs="Times New Roman"/>
                <w:color w:val="333333"/>
                <w:szCs w:val="37"/>
                <w:lang w:val="fr-FR"/>
              </w:rPr>
              <w:t xml:space="preserve"> professionnels</w:t>
            </w:r>
            <w:r w:rsidR="0057466D" w:rsidRPr="00927778">
              <w:rPr>
                <w:rFonts w:cs="Times New Roman"/>
                <w:color w:val="333333"/>
                <w:szCs w:val="37"/>
                <w:lang w:val="fr-FR"/>
              </w:rPr>
              <w:t xml:space="preserve">; </w:t>
            </w:r>
            <w:r w:rsidRPr="00927778">
              <w:rPr>
                <w:rFonts w:cs="Times New Roman"/>
                <w:color w:val="333333"/>
                <w:szCs w:val="37"/>
                <w:lang w:val="fr-FR"/>
              </w:rPr>
              <w:t xml:space="preserve"> compréhension du rôle du droit d</w:t>
            </w:r>
            <w:r w:rsidR="00EA2C86" w:rsidRPr="00927778">
              <w:rPr>
                <w:rFonts w:cs="Times New Roman"/>
                <w:color w:val="333333"/>
                <w:szCs w:val="37"/>
                <w:lang w:val="fr-FR"/>
              </w:rPr>
              <w:t>’</w:t>
            </w:r>
            <w:r w:rsidRPr="00927778">
              <w:rPr>
                <w:rFonts w:cs="Times New Roman"/>
                <w:color w:val="333333"/>
                <w:szCs w:val="37"/>
                <w:lang w:val="fr-FR"/>
              </w:rPr>
              <w:t>auteur pour soutenir l</w:t>
            </w:r>
            <w:r w:rsidR="00EA2C86" w:rsidRPr="00927778">
              <w:rPr>
                <w:rFonts w:cs="Times New Roman"/>
                <w:color w:val="333333"/>
                <w:szCs w:val="37"/>
                <w:lang w:val="fr-FR"/>
              </w:rPr>
              <w:t>’</w:t>
            </w:r>
            <w:r w:rsidRPr="00927778">
              <w:rPr>
                <w:rFonts w:cs="Times New Roman"/>
                <w:color w:val="333333"/>
                <w:szCs w:val="37"/>
                <w:lang w:val="fr-FR"/>
              </w:rPr>
              <w:t xml:space="preserve">industrie. </w:t>
            </w:r>
            <w:r w:rsidR="0057466D" w:rsidRPr="00927778">
              <w:rPr>
                <w:rFonts w:cs="Times New Roman"/>
                <w:color w:val="333333"/>
                <w:szCs w:val="37"/>
                <w:lang w:val="fr-FR"/>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rsidR="00D527E8" w:rsidRPr="006D4C53" w:rsidRDefault="00D527E8" w:rsidP="00D527E8">
            <w:pPr>
              <w:rPr>
                <w:color w:val="333333"/>
                <w:sz w:val="20"/>
                <w:lang w:val="fr-FR"/>
              </w:rPr>
            </w:pPr>
            <w:r w:rsidRPr="006D4C53">
              <w:rPr>
                <w:color w:val="333333"/>
                <w:sz w:val="20"/>
                <w:lang w:val="fr-FR"/>
              </w:rPr>
              <w:t>****</w:t>
            </w:r>
          </w:p>
        </w:tc>
      </w:tr>
      <w:tr w:rsidR="00047C22" w:rsidRPr="00927778" w:rsidTr="006D4C53">
        <w:trPr>
          <w:trHeight w:val="509"/>
        </w:trPr>
        <w:tc>
          <w:tcPr>
            <w:tcW w:w="2410" w:type="dxa"/>
            <w:tcBorders>
              <w:left w:val="single" w:sz="2" w:space="0" w:color="000000"/>
              <w:bottom w:val="single" w:sz="2" w:space="0" w:color="000000"/>
              <w:right w:val="single" w:sz="6" w:space="0" w:color="000000"/>
            </w:tcBorders>
            <w:shd w:val="clear" w:color="auto" w:fill="auto"/>
          </w:tcPr>
          <w:p w:rsidR="005E6718" w:rsidRPr="00927778" w:rsidRDefault="009340D9" w:rsidP="009340D9">
            <w:pPr>
              <w:rPr>
                <w:color w:val="333333"/>
                <w:lang w:val="fr-FR"/>
              </w:rPr>
            </w:pPr>
            <w:r w:rsidRPr="00927778">
              <w:rPr>
                <w:color w:val="333333"/>
                <w:lang w:val="fr-FR"/>
              </w:rPr>
              <w:t>Formation donnée sur place sur la concession de licences collectives et la gestion collective</w:t>
            </w:r>
          </w:p>
          <w:p w:rsidR="00D527E8" w:rsidRPr="00927778" w:rsidRDefault="00D527E8" w:rsidP="00D527E8">
            <w:pPr>
              <w:rPr>
                <w:color w:val="333333"/>
                <w:lang w:val="fr-FR"/>
              </w:rPr>
            </w:pP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D527E8" w:rsidRPr="00927778" w:rsidRDefault="00D93B77" w:rsidP="00D93B77">
            <w:pPr>
              <w:rPr>
                <w:color w:val="333333"/>
                <w:lang w:val="fr-FR"/>
              </w:rPr>
            </w:pPr>
            <w:r w:rsidRPr="00927778">
              <w:rPr>
                <w:color w:val="333333"/>
                <w:lang w:val="fr-FR"/>
              </w:rPr>
              <w:t>Activités</w:t>
            </w:r>
            <w:r w:rsidRPr="00927778">
              <w:rPr>
                <w:color w:val="333333"/>
              </w:rPr>
              <w:t xml:space="preserve"> </w:t>
            </w:r>
            <w:r w:rsidRPr="00927778">
              <w:rPr>
                <w:color w:val="333333"/>
                <w:lang w:val="fr-FR"/>
              </w:rPr>
              <w:t>organisées avec une évaluation positive par les participants</w:t>
            </w:r>
            <w:r w:rsidR="00D527E8" w:rsidRPr="00927778">
              <w:rPr>
                <w:color w:val="333333"/>
                <w:lang w:val="fr-FR"/>
              </w:rPr>
              <w:t xml:space="preserve"> </w:t>
            </w:r>
            <w:r w:rsidRPr="00927778">
              <w:rPr>
                <w:color w:val="333333"/>
                <w:lang w:val="fr-FR"/>
              </w:rPr>
              <w:t xml:space="preserve">dont la majorité </w:t>
            </w:r>
            <w:r w:rsidR="00782DCC" w:rsidRPr="00927778">
              <w:rPr>
                <w:color w:val="333333"/>
                <w:lang w:val="fr-FR"/>
              </w:rPr>
              <w:t>a</w:t>
            </w:r>
            <w:r w:rsidRPr="00927778">
              <w:rPr>
                <w:color w:val="333333"/>
                <w:lang w:val="fr-FR"/>
              </w:rPr>
              <w:t xml:space="preserve"> indiqué que les compétences présentent un réel </w:t>
            </w:r>
            <w:r w:rsidR="00F80349" w:rsidRPr="00927778">
              <w:rPr>
                <w:color w:val="333333"/>
                <w:lang w:val="fr-FR"/>
              </w:rPr>
              <w:t xml:space="preserve">intérêt </w:t>
            </w:r>
            <w:r w:rsidRPr="00927778">
              <w:rPr>
                <w:color w:val="333333"/>
                <w:lang w:val="fr-FR"/>
              </w:rPr>
              <w:t>pour l</w:t>
            </w:r>
            <w:r w:rsidR="00EA2C86" w:rsidRPr="00927778">
              <w:rPr>
                <w:color w:val="333333"/>
                <w:lang w:val="fr-FR"/>
              </w:rPr>
              <w:t>’</w:t>
            </w:r>
            <w:r w:rsidRPr="00927778">
              <w:rPr>
                <w:color w:val="333333"/>
                <w:lang w:val="fr-FR"/>
              </w:rPr>
              <w:t xml:space="preserve">amélioration de leur travail. </w:t>
            </w:r>
            <w:r w:rsidR="0057466D" w:rsidRPr="00927778">
              <w:rPr>
                <w:color w:val="333333"/>
                <w:lang w:val="fr-FR"/>
              </w:rPr>
              <w:t xml:space="preserve"> </w:t>
            </w:r>
          </w:p>
        </w:tc>
        <w:tc>
          <w:tcPr>
            <w:tcW w:w="3118"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927778" w:rsidRDefault="00D93B77" w:rsidP="00D93B77">
            <w:pPr>
              <w:rPr>
                <w:color w:val="333333"/>
                <w:lang w:val="fr-FR"/>
              </w:rPr>
            </w:pPr>
            <w:r w:rsidRPr="00927778">
              <w:rPr>
                <w:color w:val="333333"/>
                <w:lang w:val="fr-FR"/>
              </w:rPr>
              <w:t>Amélioration des compétences liées à la concession de licences</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rsidR="00D527E8" w:rsidRPr="006D4C53" w:rsidRDefault="00D527E8" w:rsidP="00D527E8">
            <w:pPr>
              <w:rPr>
                <w:color w:val="333333"/>
                <w:sz w:val="20"/>
                <w:lang w:val="fr-FR"/>
              </w:rPr>
            </w:pPr>
            <w:r w:rsidRPr="006D4C53">
              <w:rPr>
                <w:color w:val="333333"/>
                <w:sz w:val="20"/>
                <w:lang w:val="fr-FR"/>
              </w:rPr>
              <w:t>***</w:t>
            </w:r>
          </w:p>
        </w:tc>
      </w:tr>
      <w:tr w:rsidR="00047C22" w:rsidRPr="00927778" w:rsidTr="006D4C53">
        <w:trPr>
          <w:trHeight w:val="509"/>
        </w:trPr>
        <w:tc>
          <w:tcPr>
            <w:tcW w:w="2410" w:type="dxa"/>
            <w:tcBorders>
              <w:left w:val="single" w:sz="2" w:space="0" w:color="000000"/>
              <w:bottom w:val="single" w:sz="2" w:space="0" w:color="000000"/>
              <w:right w:val="single" w:sz="6" w:space="0" w:color="000000"/>
            </w:tcBorders>
            <w:shd w:val="clear" w:color="auto" w:fill="auto"/>
          </w:tcPr>
          <w:p w:rsidR="005E6718" w:rsidRPr="00927778" w:rsidRDefault="009340D9" w:rsidP="009340D9">
            <w:pPr>
              <w:rPr>
                <w:color w:val="333333"/>
                <w:lang w:val="fr-FR"/>
              </w:rPr>
            </w:pPr>
            <w:r w:rsidRPr="00927778">
              <w:rPr>
                <w:color w:val="333333"/>
                <w:lang w:val="fr-FR"/>
              </w:rPr>
              <w:t>Développement de l</w:t>
            </w:r>
            <w:r w:rsidR="00EA2C86" w:rsidRPr="00927778">
              <w:rPr>
                <w:color w:val="333333"/>
                <w:lang w:val="fr-FR"/>
              </w:rPr>
              <w:t>’</w:t>
            </w:r>
            <w:r w:rsidRPr="00927778">
              <w:rPr>
                <w:color w:val="333333"/>
                <w:lang w:val="fr-FR"/>
              </w:rPr>
              <w:t>infrastructure, renforcement des compétences et des demandes de gestion des droits audiovisuels</w:t>
            </w:r>
          </w:p>
          <w:p w:rsidR="00EA2C86" w:rsidRPr="00927778" w:rsidRDefault="00EA2C86" w:rsidP="00630D03">
            <w:pPr>
              <w:rPr>
                <w:color w:val="333333"/>
                <w:lang w:val="fr-FR"/>
              </w:rPr>
            </w:pPr>
          </w:p>
          <w:p w:rsidR="00EA2C86" w:rsidRPr="00927778" w:rsidRDefault="009340D9" w:rsidP="009340D9">
            <w:pPr>
              <w:rPr>
                <w:color w:val="333333"/>
                <w:lang w:val="fr-FR"/>
              </w:rPr>
            </w:pPr>
            <w:r w:rsidRPr="00927778">
              <w:rPr>
                <w:color w:val="333333"/>
                <w:lang w:val="fr-FR"/>
              </w:rPr>
              <w:t>Élaboration de méthodes et du programme d</w:t>
            </w:r>
            <w:r w:rsidR="00EA2C86" w:rsidRPr="00927778">
              <w:rPr>
                <w:color w:val="333333"/>
                <w:lang w:val="fr-FR"/>
              </w:rPr>
              <w:t>’</w:t>
            </w:r>
            <w:r w:rsidRPr="00927778">
              <w:rPr>
                <w:color w:val="333333"/>
                <w:lang w:val="fr-FR"/>
              </w:rPr>
              <w:t>enseignement à distance</w:t>
            </w:r>
          </w:p>
          <w:p w:rsidR="00244EF8" w:rsidRPr="00927778" w:rsidRDefault="00244EF8" w:rsidP="00CD224A">
            <w:pPr>
              <w:rPr>
                <w:color w:val="333333"/>
                <w:lang w:val="fr-FR"/>
              </w:rPr>
            </w:pP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5E6718" w:rsidRPr="00927778" w:rsidRDefault="009340D9" w:rsidP="009340D9">
            <w:pPr>
              <w:rPr>
                <w:color w:val="333333"/>
                <w:lang w:val="fr-FR"/>
              </w:rPr>
            </w:pPr>
            <w:r w:rsidRPr="00927778">
              <w:rPr>
                <w:color w:val="333333"/>
                <w:lang w:val="fr-FR"/>
              </w:rPr>
              <w:t>Les systèmes et les outils créés sont acceptés et mis en service</w:t>
            </w:r>
          </w:p>
          <w:p w:rsidR="00244EF8" w:rsidRPr="00927778" w:rsidRDefault="00244EF8" w:rsidP="00A5587A">
            <w:pPr>
              <w:rPr>
                <w:color w:val="333333"/>
                <w:lang w:val="fr-FR"/>
              </w:rPr>
            </w:pPr>
          </w:p>
        </w:tc>
        <w:tc>
          <w:tcPr>
            <w:tcW w:w="3118" w:type="dxa"/>
            <w:tcBorders>
              <w:top w:val="single" w:sz="2" w:space="0" w:color="000000"/>
              <w:left w:val="single" w:sz="2" w:space="0" w:color="000000"/>
              <w:bottom w:val="single" w:sz="2" w:space="0" w:color="000000"/>
              <w:right w:val="single" w:sz="2" w:space="0" w:color="000000"/>
            </w:tcBorders>
            <w:shd w:val="clear" w:color="auto" w:fill="auto"/>
          </w:tcPr>
          <w:p w:rsidR="00EA2C86" w:rsidRPr="00927778" w:rsidRDefault="00206E06" w:rsidP="000E46F5">
            <w:pPr>
              <w:rPr>
                <w:color w:val="333333"/>
                <w:lang w:val="fr-FR"/>
              </w:rPr>
            </w:pPr>
            <w:r w:rsidRPr="00927778">
              <w:rPr>
                <w:color w:val="333333"/>
                <w:lang w:val="fr-FR"/>
              </w:rPr>
              <w:t>En cours – davantage de droits</w:t>
            </w:r>
          </w:p>
          <w:p w:rsidR="005E6718" w:rsidRPr="00927778" w:rsidRDefault="005E6718" w:rsidP="00FE6D7D">
            <w:pPr>
              <w:rPr>
                <w:color w:val="333333"/>
                <w:lang w:val="fr-FR"/>
              </w:rPr>
            </w:pPr>
          </w:p>
          <w:p w:rsidR="005E6718" w:rsidRPr="00927778" w:rsidRDefault="005E6718" w:rsidP="00B515BF">
            <w:pPr>
              <w:rPr>
                <w:color w:val="333333"/>
                <w:lang w:val="fr-FR"/>
              </w:rPr>
            </w:pPr>
          </w:p>
          <w:p w:rsidR="005E6718" w:rsidRPr="00927778" w:rsidRDefault="005E6718" w:rsidP="00D559A9">
            <w:pPr>
              <w:rPr>
                <w:color w:val="333333"/>
                <w:lang w:val="fr-FR"/>
              </w:rPr>
            </w:pPr>
          </w:p>
          <w:p w:rsidR="005E6718" w:rsidRPr="00927778" w:rsidRDefault="005E6718" w:rsidP="0022498D">
            <w:pPr>
              <w:rPr>
                <w:color w:val="333333"/>
                <w:lang w:val="fr-FR"/>
              </w:rPr>
            </w:pPr>
          </w:p>
          <w:p w:rsidR="00244EF8" w:rsidRPr="00927778" w:rsidRDefault="00B152D2" w:rsidP="00B152D2">
            <w:pPr>
              <w:rPr>
                <w:color w:val="333333"/>
                <w:lang w:val="fr-FR"/>
              </w:rPr>
            </w:pPr>
            <w:r w:rsidRPr="00927778">
              <w:rPr>
                <w:color w:val="333333"/>
                <w:lang w:val="fr-FR"/>
              </w:rPr>
              <w:t>Adaptation en cours de l</w:t>
            </w:r>
            <w:r w:rsidR="00EA2C86" w:rsidRPr="00927778">
              <w:rPr>
                <w:color w:val="333333"/>
                <w:lang w:val="fr-FR"/>
              </w:rPr>
              <w:t>’</w:t>
            </w:r>
            <w:r w:rsidRPr="00927778">
              <w:rPr>
                <w:color w:val="333333"/>
                <w:lang w:val="fr-FR"/>
              </w:rPr>
              <w:t xml:space="preserve">enseignement à distance </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rsidR="005E6718" w:rsidRPr="006D4C53" w:rsidRDefault="00244EF8">
            <w:pPr>
              <w:rPr>
                <w:color w:val="333333"/>
                <w:sz w:val="20"/>
                <w:lang w:val="fr-FR"/>
              </w:rPr>
            </w:pPr>
            <w:r w:rsidRPr="006D4C53">
              <w:rPr>
                <w:color w:val="333333"/>
                <w:sz w:val="20"/>
                <w:lang w:val="fr-FR"/>
              </w:rPr>
              <w:t>**</w:t>
            </w:r>
          </w:p>
          <w:p w:rsidR="005E6718" w:rsidRPr="006D4C53" w:rsidRDefault="005E6718">
            <w:pPr>
              <w:rPr>
                <w:color w:val="333333"/>
                <w:sz w:val="20"/>
                <w:lang w:val="fr-FR"/>
              </w:rPr>
            </w:pPr>
          </w:p>
          <w:p w:rsidR="005E6718" w:rsidRPr="006D4C53" w:rsidRDefault="005E6718">
            <w:pPr>
              <w:rPr>
                <w:color w:val="333333"/>
                <w:sz w:val="20"/>
                <w:lang w:val="fr-FR"/>
              </w:rPr>
            </w:pPr>
          </w:p>
          <w:p w:rsidR="005E6718" w:rsidRPr="006D4C53" w:rsidRDefault="005E6718">
            <w:pPr>
              <w:rPr>
                <w:color w:val="333333"/>
                <w:sz w:val="20"/>
                <w:lang w:val="fr-FR"/>
              </w:rPr>
            </w:pPr>
          </w:p>
          <w:p w:rsidR="005E6718" w:rsidRPr="006D4C53" w:rsidRDefault="005E6718">
            <w:pPr>
              <w:rPr>
                <w:color w:val="333333"/>
                <w:sz w:val="20"/>
                <w:lang w:val="fr-FR"/>
              </w:rPr>
            </w:pPr>
          </w:p>
          <w:p w:rsidR="005E6718" w:rsidRPr="006D4C53" w:rsidRDefault="005E6718">
            <w:pPr>
              <w:rPr>
                <w:color w:val="333333"/>
                <w:sz w:val="20"/>
                <w:lang w:val="fr-FR"/>
              </w:rPr>
            </w:pPr>
          </w:p>
          <w:p w:rsidR="00244EF8" w:rsidRPr="006D4C53" w:rsidRDefault="00244EF8">
            <w:pPr>
              <w:rPr>
                <w:color w:val="333333"/>
                <w:sz w:val="20"/>
                <w:lang w:val="fr-FR"/>
              </w:rPr>
            </w:pPr>
            <w:r w:rsidRPr="006D4C53">
              <w:rPr>
                <w:color w:val="333333"/>
                <w:sz w:val="20"/>
                <w:lang w:val="fr-FR"/>
              </w:rPr>
              <w:t>***</w:t>
            </w:r>
          </w:p>
        </w:tc>
      </w:tr>
    </w:tbl>
    <w:p w:rsidR="005E6718" w:rsidRPr="00927778" w:rsidRDefault="005E6718" w:rsidP="00D527E8">
      <w:pPr>
        <w:rPr>
          <w:color w:val="333333"/>
          <w:lang w:val="fr-FR"/>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084"/>
        <w:gridCol w:w="1168"/>
      </w:tblGrid>
      <w:tr w:rsidR="00047C22" w:rsidRPr="00927778" w:rsidTr="00F972E3">
        <w:trPr>
          <w:trHeight w:val="616"/>
        </w:trPr>
        <w:tc>
          <w:tcPr>
            <w:tcW w:w="2410" w:type="dxa"/>
            <w:tcBorders>
              <w:bottom w:val="single" w:sz="4" w:space="0" w:color="auto"/>
            </w:tcBorders>
            <w:shd w:val="clear" w:color="auto" w:fill="auto"/>
          </w:tcPr>
          <w:p w:rsidR="00D527E8" w:rsidRPr="00927778" w:rsidRDefault="009340D9" w:rsidP="009340D9">
            <w:pPr>
              <w:keepNext/>
              <w:spacing w:before="240" w:after="60"/>
              <w:outlineLvl w:val="2"/>
              <w:rPr>
                <w:rFonts w:eastAsia="SimSun"/>
                <w:bCs/>
                <w:color w:val="333333"/>
                <w:szCs w:val="26"/>
                <w:u w:val="single"/>
                <w:lang w:val="fr-FR"/>
              </w:rPr>
            </w:pPr>
            <w:r w:rsidRPr="00927778">
              <w:rPr>
                <w:rFonts w:eastAsia="SimSun"/>
                <w:bCs/>
                <w:color w:val="333333"/>
                <w:szCs w:val="26"/>
                <w:u w:val="single"/>
                <w:lang w:val="fr-FR"/>
              </w:rPr>
              <w:t>Objectifs du projet</w:t>
            </w:r>
          </w:p>
        </w:tc>
        <w:tc>
          <w:tcPr>
            <w:tcW w:w="2694" w:type="dxa"/>
            <w:shd w:val="clear" w:color="auto" w:fill="auto"/>
          </w:tcPr>
          <w:p w:rsidR="005E6718" w:rsidRPr="00927778" w:rsidRDefault="009340D9" w:rsidP="009340D9">
            <w:pPr>
              <w:autoSpaceDE w:val="0"/>
              <w:autoSpaceDN w:val="0"/>
              <w:adjustRightInd w:val="0"/>
              <w:rPr>
                <w:bCs/>
                <w:color w:val="333333"/>
                <w:szCs w:val="22"/>
                <w:u w:val="single"/>
                <w:lang w:val="fr-FR"/>
              </w:rPr>
            </w:pPr>
            <w:r w:rsidRPr="00927778">
              <w:rPr>
                <w:bCs/>
                <w:color w:val="333333"/>
                <w:szCs w:val="22"/>
                <w:u w:val="single"/>
                <w:lang w:val="fr-FR"/>
              </w:rPr>
              <w:t>Indicateur(s) de réussite dans la réalisation de l</w:t>
            </w:r>
            <w:r w:rsidR="00EA2C86" w:rsidRPr="00927778">
              <w:rPr>
                <w:bCs/>
                <w:color w:val="333333"/>
                <w:szCs w:val="22"/>
                <w:u w:val="single"/>
                <w:lang w:val="fr-FR"/>
              </w:rPr>
              <w:t>’</w:t>
            </w:r>
            <w:r w:rsidRPr="00927778">
              <w:rPr>
                <w:bCs/>
                <w:color w:val="333333"/>
                <w:szCs w:val="22"/>
                <w:u w:val="single"/>
                <w:lang w:val="fr-FR"/>
              </w:rPr>
              <w:t>objectif du projet</w:t>
            </w:r>
          </w:p>
          <w:p w:rsidR="005E6718" w:rsidRPr="00927778" w:rsidRDefault="009340D9" w:rsidP="009340D9">
            <w:pPr>
              <w:autoSpaceDE w:val="0"/>
              <w:autoSpaceDN w:val="0"/>
              <w:adjustRightInd w:val="0"/>
              <w:rPr>
                <w:bCs/>
                <w:color w:val="333333"/>
                <w:szCs w:val="22"/>
                <w:u w:val="single"/>
                <w:lang w:val="fr-FR"/>
              </w:rPr>
            </w:pPr>
            <w:r w:rsidRPr="00927778">
              <w:rPr>
                <w:bCs/>
                <w:color w:val="333333"/>
                <w:szCs w:val="22"/>
                <w:u w:val="single"/>
                <w:lang w:val="fr-FR"/>
              </w:rPr>
              <w:t>(indicateurs de réussite)</w:t>
            </w:r>
          </w:p>
          <w:p w:rsidR="00D527E8" w:rsidRPr="00927778" w:rsidRDefault="00D527E8" w:rsidP="00D527E8">
            <w:pPr>
              <w:rPr>
                <w:color w:val="333333"/>
                <w:lang w:val="fr-FR"/>
              </w:rPr>
            </w:pPr>
          </w:p>
        </w:tc>
        <w:tc>
          <w:tcPr>
            <w:tcW w:w="3084" w:type="dxa"/>
            <w:shd w:val="clear" w:color="auto" w:fill="auto"/>
          </w:tcPr>
          <w:p w:rsidR="00D527E8" w:rsidRPr="00927778" w:rsidRDefault="009340D9" w:rsidP="009340D9">
            <w:pPr>
              <w:keepNext/>
              <w:spacing w:before="240" w:after="60"/>
              <w:outlineLvl w:val="2"/>
              <w:rPr>
                <w:rFonts w:eastAsia="SimSun"/>
                <w:bCs/>
                <w:color w:val="333333"/>
                <w:szCs w:val="26"/>
                <w:u w:val="single"/>
                <w:lang w:val="fr-FR"/>
              </w:rPr>
            </w:pPr>
            <w:r w:rsidRPr="00927778">
              <w:rPr>
                <w:rFonts w:eastAsia="SimSun"/>
                <w:bCs/>
                <w:color w:val="333333"/>
                <w:szCs w:val="26"/>
                <w:u w:val="single"/>
                <w:lang w:val="fr-FR"/>
              </w:rPr>
              <w:t>Données relatives à l</w:t>
            </w:r>
            <w:r w:rsidR="00EA2C86" w:rsidRPr="00927778">
              <w:rPr>
                <w:rFonts w:eastAsia="SimSun"/>
                <w:bCs/>
                <w:color w:val="333333"/>
                <w:szCs w:val="26"/>
                <w:u w:val="single"/>
                <w:lang w:val="fr-FR"/>
              </w:rPr>
              <w:t>’</w:t>
            </w:r>
            <w:r w:rsidRPr="00927778">
              <w:rPr>
                <w:rFonts w:eastAsia="SimSun"/>
                <w:bCs/>
                <w:color w:val="333333"/>
                <w:szCs w:val="26"/>
                <w:u w:val="single"/>
                <w:lang w:val="fr-FR"/>
              </w:rPr>
              <w:t>exécution</w:t>
            </w:r>
          </w:p>
        </w:tc>
        <w:tc>
          <w:tcPr>
            <w:tcW w:w="1168" w:type="dxa"/>
            <w:shd w:val="clear" w:color="auto" w:fill="auto"/>
            <w:tcMar>
              <w:left w:w="0" w:type="dxa"/>
              <w:right w:w="0" w:type="dxa"/>
            </w:tcMar>
          </w:tcPr>
          <w:p w:rsidR="00D527E8" w:rsidRPr="00F972E3" w:rsidRDefault="000E3BF3" w:rsidP="009340D9">
            <w:pPr>
              <w:keepNext/>
              <w:spacing w:before="240" w:after="60"/>
              <w:outlineLvl w:val="2"/>
              <w:rPr>
                <w:rFonts w:eastAsia="SimSun"/>
                <w:bCs/>
                <w:color w:val="333333"/>
                <w:sz w:val="20"/>
                <w:szCs w:val="26"/>
                <w:u w:val="single"/>
                <w:lang w:val="fr-FR"/>
              </w:rPr>
            </w:pPr>
            <w:r w:rsidRPr="00F972E3">
              <w:rPr>
                <w:rFonts w:eastAsia="SimSun"/>
                <w:bCs/>
                <w:color w:val="333333"/>
                <w:sz w:val="20"/>
                <w:szCs w:val="26"/>
                <w:u w:val="single"/>
                <w:lang w:val="fr-FR"/>
              </w:rPr>
              <w:t>Code d</w:t>
            </w:r>
            <w:r w:rsidR="00EA2C86" w:rsidRPr="00F972E3">
              <w:rPr>
                <w:rFonts w:eastAsia="SimSun"/>
                <w:bCs/>
                <w:color w:val="333333"/>
                <w:sz w:val="20"/>
                <w:szCs w:val="26"/>
                <w:u w:val="single"/>
                <w:lang w:val="fr-FR"/>
              </w:rPr>
              <w:t>’</w:t>
            </w:r>
            <w:r w:rsidRPr="00F972E3">
              <w:rPr>
                <w:rFonts w:eastAsia="SimSun"/>
                <w:bCs/>
                <w:color w:val="333333"/>
                <w:sz w:val="20"/>
                <w:szCs w:val="26"/>
                <w:u w:val="single"/>
                <w:lang w:val="fr-FR"/>
              </w:rPr>
              <w:t>évaluation</w:t>
            </w:r>
          </w:p>
        </w:tc>
      </w:tr>
      <w:tr w:rsidR="00047C22" w:rsidRPr="00927778" w:rsidTr="00F972E3">
        <w:trPr>
          <w:trHeight w:val="509"/>
        </w:trPr>
        <w:tc>
          <w:tcPr>
            <w:tcW w:w="2410" w:type="dxa"/>
            <w:tcBorders>
              <w:bottom w:val="single" w:sz="4" w:space="0" w:color="auto"/>
            </w:tcBorders>
            <w:shd w:val="clear" w:color="auto" w:fill="auto"/>
          </w:tcPr>
          <w:p w:rsidR="005E6718" w:rsidRPr="00927778" w:rsidRDefault="009340D9" w:rsidP="009340D9">
            <w:pPr>
              <w:rPr>
                <w:color w:val="333333"/>
                <w:lang w:val="fr-FR"/>
              </w:rPr>
            </w:pPr>
            <w:r w:rsidRPr="00927778">
              <w:rPr>
                <w:color w:val="333333"/>
                <w:lang w:val="fr-FR"/>
              </w:rPr>
              <w:t>Contribuer à améliorer l</w:t>
            </w:r>
            <w:r w:rsidR="00EA2C86" w:rsidRPr="00927778">
              <w:rPr>
                <w:color w:val="333333"/>
                <w:lang w:val="fr-FR"/>
              </w:rPr>
              <w:t>’</w:t>
            </w:r>
            <w:r w:rsidRPr="00927778">
              <w:rPr>
                <w:color w:val="333333"/>
                <w:lang w:val="fr-FR"/>
              </w:rPr>
              <w:t>utilisation du système de propriété intellectuelle aux fins du financement, de la production et de la diffusion des œuvres audiovisuelles</w:t>
            </w:r>
          </w:p>
          <w:p w:rsidR="005E6718" w:rsidRPr="00927778" w:rsidRDefault="005E6718" w:rsidP="00D527E8">
            <w:pPr>
              <w:ind w:left="1134" w:hanging="567"/>
              <w:rPr>
                <w:color w:val="333333"/>
                <w:lang w:val="fr-FR"/>
              </w:rPr>
            </w:pPr>
          </w:p>
          <w:p w:rsidR="00D527E8" w:rsidRPr="00927778" w:rsidRDefault="00D527E8" w:rsidP="00D527E8">
            <w:pPr>
              <w:rPr>
                <w:bCs/>
                <w:color w:val="333333"/>
                <w:lang w:val="fr-FR"/>
              </w:rPr>
            </w:pPr>
          </w:p>
        </w:tc>
        <w:tc>
          <w:tcPr>
            <w:tcW w:w="2694" w:type="dxa"/>
            <w:shd w:val="clear" w:color="auto" w:fill="auto"/>
          </w:tcPr>
          <w:p w:rsidR="005E6718" w:rsidRPr="00927778" w:rsidRDefault="004677E3" w:rsidP="00D527E8">
            <w:pPr>
              <w:rPr>
                <w:bCs/>
                <w:color w:val="333333"/>
                <w:lang w:val="fr-FR"/>
              </w:rPr>
            </w:pPr>
            <w:r w:rsidRPr="00927778">
              <w:rPr>
                <w:bCs/>
                <w:color w:val="333333"/>
                <w:lang w:val="fr-FR"/>
              </w:rPr>
              <w:t xml:space="preserve">Les participants se servent </w:t>
            </w:r>
            <w:r w:rsidR="00B104C1" w:rsidRPr="00927778">
              <w:rPr>
                <w:bCs/>
                <w:color w:val="333333"/>
                <w:lang w:val="fr-FR"/>
              </w:rPr>
              <w:t>davantage</w:t>
            </w:r>
            <w:r w:rsidRPr="00927778">
              <w:rPr>
                <w:bCs/>
                <w:color w:val="333333"/>
                <w:lang w:val="fr-FR"/>
              </w:rPr>
              <w:t xml:space="preserve"> des compétences acquises aux fins du financement, de la production et de la diffusion des œuvres audiovisuelles</w:t>
            </w:r>
          </w:p>
          <w:p w:rsidR="005E6718" w:rsidRPr="00927778" w:rsidRDefault="005E6718" w:rsidP="00D527E8">
            <w:pPr>
              <w:rPr>
                <w:bCs/>
                <w:color w:val="333333"/>
                <w:lang w:val="fr-FR"/>
              </w:rPr>
            </w:pPr>
          </w:p>
          <w:p w:rsidR="00EA2C86" w:rsidRPr="00927778" w:rsidRDefault="009340D9" w:rsidP="009340D9">
            <w:pPr>
              <w:rPr>
                <w:bCs/>
                <w:color w:val="333333"/>
                <w:lang w:val="fr-FR"/>
              </w:rPr>
            </w:pPr>
            <w:r w:rsidRPr="00927778">
              <w:rPr>
                <w:bCs/>
                <w:color w:val="333333"/>
                <w:lang w:val="fr-FR"/>
              </w:rPr>
              <w:t>Hausse du nombre de transactions de propriété intellectuelle dans le secteur de l</w:t>
            </w:r>
            <w:r w:rsidR="00EA2C86" w:rsidRPr="00927778">
              <w:rPr>
                <w:bCs/>
                <w:color w:val="333333"/>
                <w:lang w:val="fr-FR"/>
              </w:rPr>
              <w:t>’</w:t>
            </w:r>
            <w:r w:rsidRPr="00927778">
              <w:rPr>
                <w:bCs/>
                <w:color w:val="333333"/>
                <w:lang w:val="fr-FR"/>
              </w:rPr>
              <w:t>audiovisuel concernant la production et la distribution</w:t>
            </w:r>
          </w:p>
          <w:p w:rsidR="005E6718" w:rsidRPr="00927778" w:rsidRDefault="005E6718" w:rsidP="00D527E8">
            <w:pPr>
              <w:rPr>
                <w:bCs/>
                <w:color w:val="333333"/>
                <w:lang w:val="fr-FR"/>
              </w:rPr>
            </w:pPr>
          </w:p>
          <w:p w:rsidR="00EA2C86" w:rsidRPr="00927778" w:rsidRDefault="00FC18C1" w:rsidP="00D527E8">
            <w:pPr>
              <w:rPr>
                <w:color w:val="333333"/>
                <w:lang w:val="fr-FR"/>
              </w:rPr>
            </w:pPr>
            <w:r w:rsidRPr="00927778">
              <w:rPr>
                <w:bCs/>
                <w:color w:val="333333"/>
                <w:lang w:val="fr-FR"/>
              </w:rPr>
              <w:t>Augmentation du nombre de canaux légitime</w:t>
            </w:r>
            <w:r w:rsidR="00C21064" w:rsidRPr="00927778">
              <w:rPr>
                <w:bCs/>
                <w:color w:val="333333"/>
                <w:lang w:val="fr-FR"/>
              </w:rPr>
              <w:t>s</w:t>
            </w:r>
            <w:r w:rsidRPr="00927778">
              <w:rPr>
                <w:bCs/>
                <w:color w:val="333333"/>
                <w:lang w:val="fr-FR"/>
              </w:rPr>
              <w:t xml:space="preserve"> de vente des droits des films africains</w:t>
            </w:r>
          </w:p>
          <w:p w:rsidR="005E6718" w:rsidRPr="00927778" w:rsidRDefault="005E6718" w:rsidP="00D527E8">
            <w:pPr>
              <w:rPr>
                <w:bCs/>
                <w:color w:val="333333"/>
                <w:lang w:val="fr-FR"/>
              </w:rPr>
            </w:pPr>
          </w:p>
          <w:p w:rsidR="00D527E8" w:rsidRPr="00927778" w:rsidRDefault="00D527E8" w:rsidP="00D527E8">
            <w:pPr>
              <w:rPr>
                <w:bCs/>
                <w:color w:val="333333"/>
                <w:lang w:val="fr-FR"/>
              </w:rPr>
            </w:pPr>
          </w:p>
        </w:tc>
        <w:tc>
          <w:tcPr>
            <w:tcW w:w="3084" w:type="dxa"/>
            <w:shd w:val="clear" w:color="auto" w:fill="auto"/>
          </w:tcPr>
          <w:p w:rsidR="00EA2C86" w:rsidRPr="00927778" w:rsidRDefault="00F80349" w:rsidP="00D527E8">
            <w:pPr>
              <w:rPr>
                <w:color w:val="333333"/>
                <w:lang w:val="fr-FR"/>
              </w:rPr>
            </w:pPr>
            <w:r w:rsidRPr="00927778">
              <w:rPr>
                <w:color w:val="333333"/>
                <w:lang w:val="fr-FR"/>
              </w:rPr>
              <w:t>Les ateliers d</w:t>
            </w:r>
            <w:r w:rsidR="00EA2C86" w:rsidRPr="00927778">
              <w:rPr>
                <w:color w:val="333333"/>
                <w:lang w:val="fr-FR"/>
              </w:rPr>
              <w:t>’</w:t>
            </w:r>
            <w:r w:rsidRPr="00927778">
              <w:rPr>
                <w:color w:val="333333"/>
                <w:lang w:val="fr-FR"/>
              </w:rPr>
              <w:t xml:space="preserve">experts et les </w:t>
            </w:r>
            <w:r w:rsidR="00CA4EB1" w:rsidRPr="00927778">
              <w:rPr>
                <w:color w:val="333333"/>
                <w:lang w:val="fr-FR"/>
              </w:rPr>
              <w:t>activités de formation ciblées relatives aux meilleures pratiques qui ont été</w:t>
            </w:r>
            <w:r w:rsidRPr="00927778">
              <w:rPr>
                <w:color w:val="333333"/>
                <w:lang w:val="fr-FR"/>
              </w:rPr>
              <w:t xml:space="preserve"> organisés ont été</w:t>
            </w:r>
            <w:r w:rsidR="00CA4EB1" w:rsidRPr="00927778">
              <w:rPr>
                <w:color w:val="333333"/>
                <w:lang w:val="fr-FR"/>
              </w:rPr>
              <w:t xml:space="preserve"> très appréci</w:t>
            </w:r>
            <w:r w:rsidR="00306E74" w:rsidRPr="00927778">
              <w:rPr>
                <w:color w:val="333333"/>
                <w:lang w:val="fr-FR"/>
              </w:rPr>
              <w:t>és.  Le</w:t>
            </w:r>
            <w:r w:rsidR="00CA4EB1" w:rsidRPr="00927778">
              <w:rPr>
                <w:color w:val="333333"/>
                <w:lang w:val="fr-FR"/>
              </w:rPr>
              <w:t>s bénéficiaires recensés ont été formés.</w:t>
            </w:r>
          </w:p>
          <w:p w:rsidR="005E6718" w:rsidRPr="00927778" w:rsidRDefault="005E6718" w:rsidP="00D527E8">
            <w:pPr>
              <w:rPr>
                <w:color w:val="333333"/>
                <w:lang w:val="fr-FR"/>
              </w:rPr>
            </w:pPr>
          </w:p>
          <w:p w:rsidR="005E6718" w:rsidRPr="00927778" w:rsidRDefault="005E6718" w:rsidP="00D527E8">
            <w:pPr>
              <w:rPr>
                <w:color w:val="333333"/>
                <w:lang w:val="fr-FR"/>
              </w:rPr>
            </w:pPr>
          </w:p>
          <w:p w:rsidR="00EA2C86" w:rsidRPr="00927778" w:rsidRDefault="00F955CD" w:rsidP="00D527E8">
            <w:pPr>
              <w:rPr>
                <w:color w:val="333333"/>
                <w:lang w:val="fr-FR"/>
              </w:rPr>
            </w:pPr>
            <w:r w:rsidRPr="00927778">
              <w:rPr>
                <w:color w:val="333333"/>
                <w:lang w:val="fr-FR"/>
              </w:rPr>
              <w:t>L</w:t>
            </w:r>
            <w:r w:rsidR="00CD5C3A" w:rsidRPr="00927778">
              <w:rPr>
                <w:color w:val="333333"/>
                <w:lang w:val="fr-FR"/>
              </w:rPr>
              <w:t xml:space="preserve">es connaissances en matière de propriété intellectuelle </w:t>
            </w:r>
            <w:r w:rsidRPr="00927778">
              <w:rPr>
                <w:color w:val="333333"/>
                <w:lang w:val="fr-FR"/>
              </w:rPr>
              <w:t xml:space="preserve">se sont améliorées et ont été </w:t>
            </w:r>
            <w:r w:rsidR="00CD5C3A" w:rsidRPr="00927778">
              <w:rPr>
                <w:color w:val="333333"/>
                <w:lang w:val="fr-FR"/>
              </w:rPr>
              <w:t>mise</w:t>
            </w:r>
            <w:r w:rsidRPr="00927778">
              <w:rPr>
                <w:color w:val="333333"/>
                <w:lang w:val="fr-FR"/>
              </w:rPr>
              <w:t>s</w:t>
            </w:r>
            <w:r w:rsidR="00CD5C3A" w:rsidRPr="00927778">
              <w:rPr>
                <w:color w:val="333333"/>
                <w:lang w:val="fr-FR"/>
              </w:rPr>
              <w:t xml:space="preserve"> à profit dans les contra</w:t>
            </w:r>
            <w:r w:rsidR="00306E74" w:rsidRPr="00927778">
              <w:rPr>
                <w:color w:val="333333"/>
                <w:lang w:val="fr-FR"/>
              </w:rPr>
              <w:t>ts.  La</w:t>
            </w:r>
            <w:r w:rsidR="00CD5C3A" w:rsidRPr="00927778">
              <w:rPr>
                <w:color w:val="333333"/>
                <w:lang w:val="fr-FR"/>
              </w:rPr>
              <w:t xml:space="preserve"> documentation relative au droit d</w:t>
            </w:r>
            <w:r w:rsidR="00EA2C86" w:rsidRPr="00927778">
              <w:rPr>
                <w:color w:val="333333"/>
                <w:lang w:val="fr-FR"/>
              </w:rPr>
              <w:t>’</w:t>
            </w:r>
            <w:r w:rsidR="00CD5C3A" w:rsidRPr="00927778">
              <w:rPr>
                <w:color w:val="333333"/>
                <w:lang w:val="fr-FR"/>
              </w:rPr>
              <w:t>auteur et la chaîne de droits sont de plus en plus pris en compte.</w:t>
            </w:r>
          </w:p>
          <w:p w:rsidR="005E6718" w:rsidRPr="00927778" w:rsidRDefault="005E6718" w:rsidP="00D527E8">
            <w:pPr>
              <w:rPr>
                <w:color w:val="333333"/>
                <w:lang w:val="fr-FR"/>
              </w:rPr>
            </w:pPr>
          </w:p>
          <w:p w:rsidR="005E6718" w:rsidRPr="00927778" w:rsidRDefault="005E6718" w:rsidP="00D527E8">
            <w:pPr>
              <w:rPr>
                <w:color w:val="333333"/>
                <w:lang w:val="fr-FR"/>
              </w:rPr>
            </w:pPr>
          </w:p>
          <w:p w:rsidR="00D527E8" w:rsidRPr="00927778" w:rsidRDefault="00B5067B" w:rsidP="00B5067B">
            <w:pPr>
              <w:rPr>
                <w:color w:val="333333"/>
                <w:lang w:val="fr-FR"/>
              </w:rPr>
            </w:pPr>
            <w:r w:rsidRPr="00927778">
              <w:rPr>
                <w:color w:val="333333"/>
                <w:lang w:val="fr-FR"/>
              </w:rPr>
              <w:t xml:space="preserve">Le projet </w:t>
            </w:r>
            <w:r w:rsidR="00D527E8" w:rsidRPr="00927778">
              <w:rPr>
                <w:color w:val="333333"/>
                <w:lang w:val="fr-FR"/>
              </w:rPr>
              <w:t>a contribu</w:t>
            </w:r>
            <w:r w:rsidRPr="00927778">
              <w:rPr>
                <w:color w:val="333333"/>
                <w:lang w:val="fr-FR"/>
              </w:rPr>
              <w:t xml:space="preserve">é à influer </w:t>
            </w:r>
            <w:r w:rsidR="001C57E2" w:rsidRPr="00927778">
              <w:rPr>
                <w:color w:val="333333"/>
                <w:lang w:val="fr-FR"/>
              </w:rPr>
              <w:t xml:space="preserve">sur </w:t>
            </w:r>
            <w:r w:rsidRPr="00927778">
              <w:rPr>
                <w:color w:val="333333"/>
                <w:lang w:val="fr-FR"/>
              </w:rPr>
              <w:t>la réglementation et les réformes dans le secteur audiovisue</w:t>
            </w:r>
            <w:r w:rsidR="00D527E8" w:rsidRPr="00927778">
              <w:rPr>
                <w:color w:val="333333"/>
                <w:lang w:val="fr-FR"/>
              </w:rPr>
              <w:t xml:space="preserve">l. </w:t>
            </w:r>
            <w:r w:rsidR="0057466D" w:rsidRPr="00927778">
              <w:rPr>
                <w:color w:val="333333"/>
                <w:lang w:val="fr-FR"/>
              </w:rPr>
              <w:t xml:space="preserve"> </w:t>
            </w:r>
          </w:p>
        </w:tc>
        <w:tc>
          <w:tcPr>
            <w:tcW w:w="1168" w:type="dxa"/>
            <w:shd w:val="clear" w:color="auto" w:fill="auto"/>
            <w:tcMar>
              <w:left w:w="0" w:type="dxa"/>
              <w:right w:w="0" w:type="dxa"/>
            </w:tcMar>
          </w:tcPr>
          <w:p w:rsidR="00D527E8" w:rsidRPr="00F972E3" w:rsidRDefault="00D527E8" w:rsidP="00D527E8">
            <w:pPr>
              <w:rPr>
                <w:color w:val="333333"/>
                <w:sz w:val="20"/>
                <w:lang w:val="fr-FR"/>
              </w:rPr>
            </w:pPr>
            <w:r w:rsidRPr="00F972E3">
              <w:rPr>
                <w:color w:val="333333"/>
                <w:sz w:val="20"/>
                <w:lang w:val="fr-FR"/>
              </w:rPr>
              <w:t>***</w:t>
            </w:r>
          </w:p>
        </w:tc>
      </w:tr>
      <w:tr w:rsidR="00D527E8" w:rsidRPr="00927778" w:rsidTr="00F972E3">
        <w:trPr>
          <w:trHeight w:val="509"/>
        </w:trPr>
        <w:tc>
          <w:tcPr>
            <w:tcW w:w="2410" w:type="dxa"/>
            <w:tcBorders>
              <w:bottom w:val="single" w:sz="4" w:space="0" w:color="auto"/>
            </w:tcBorders>
            <w:shd w:val="clear" w:color="auto" w:fill="auto"/>
          </w:tcPr>
          <w:p w:rsidR="00D527E8" w:rsidRPr="00927778" w:rsidRDefault="009340D9" w:rsidP="009340D9">
            <w:pPr>
              <w:rPr>
                <w:bCs/>
                <w:color w:val="333333"/>
                <w:lang w:val="fr-FR"/>
              </w:rPr>
            </w:pPr>
            <w:r w:rsidRPr="00927778">
              <w:rPr>
                <w:bCs/>
                <w:color w:val="333333"/>
                <w:lang w:val="fr-FR"/>
              </w:rPr>
              <w:t>Faire avancer la mise en place d</w:t>
            </w:r>
            <w:r w:rsidR="00EA2C86" w:rsidRPr="00927778">
              <w:rPr>
                <w:bCs/>
                <w:color w:val="333333"/>
                <w:lang w:val="fr-FR"/>
              </w:rPr>
              <w:t>’</w:t>
            </w:r>
            <w:r w:rsidRPr="00927778">
              <w:rPr>
                <w:bCs/>
                <w:color w:val="333333"/>
                <w:lang w:val="fr-FR"/>
              </w:rPr>
              <w:t>une infrastructure efficace pour les transactions de propriété intellectuelle et la concession de licences et renforcer les compétences en la matière afin d</w:t>
            </w:r>
            <w:r w:rsidR="00EA2C86" w:rsidRPr="00927778">
              <w:rPr>
                <w:bCs/>
                <w:color w:val="333333"/>
                <w:lang w:val="fr-FR"/>
              </w:rPr>
              <w:t>’</w:t>
            </w:r>
            <w:r w:rsidRPr="00927778">
              <w:rPr>
                <w:bCs/>
                <w:color w:val="333333"/>
                <w:lang w:val="fr-FR"/>
              </w:rPr>
              <w:t>accroître les gains financiers des créateurs et de l</w:t>
            </w:r>
            <w:r w:rsidR="00EA2C86" w:rsidRPr="00927778">
              <w:rPr>
                <w:bCs/>
                <w:color w:val="333333"/>
                <w:lang w:val="fr-FR"/>
              </w:rPr>
              <w:t>’</w:t>
            </w:r>
            <w:r w:rsidRPr="00927778">
              <w:rPr>
                <w:bCs/>
                <w:color w:val="333333"/>
                <w:lang w:val="fr-FR"/>
              </w:rPr>
              <w:t>industrie de l</w:t>
            </w:r>
            <w:r w:rsidR="00EA2C86" w:rsidRPr="00927778">
              <w:rPr>
                <w:bCs/>
                <w:color w:val="333333"/>
                <w:lang w:val="fr-FR"/>
              </w:rPr>
              <w:t>’</w:t>
            </w:r>
            <w:r w:rsidRPr="00927778">
              <w:rPr>
                <w:bCs/>
                <w:color w:val="333333"/>
                <w:lang w:val="fr-FR"/>
              </w:rPr>
              <w:t>audiovisuel.</w:t>
            </w:r>
          </w:p>
        </w:tc>
        <w:tc>
          <w:tcPr>
            <w:tcW w:w="2694" w:type="dxa"/>
            <w:shd w:val="clear" w:color="auto" w:fill="auto"/>
          </w:tcPr>
          <w:p w:rsidR="005E6718" w:rsidRPr="00927778" w:rsidRDefault="00744CF7" w:rsidP="00C96B5C">
            <w:pPr>
              <w:rPr>
                <w:bCs/>
                <w:color w:val="333333"/>
                <w:szCs w:val="22"/>
                <w:highlight w:val="red"/>
                <w:lang w:val="fr-FR"/>
              </w:rPr>
            </w:pPr>
            <w:r w:rsidRPr="00927778">
              <w:rPr>
                <w:bCs/>
                <w:color w:val="333333"/>
                <w:szCs w:val="22"/>
                <w:lang w:val="fr-FR"/>
              </w:rPr>
              <w:t>Augmentation du nombre de transactions</w:t>
            </w:r>
            <w:r w:rsidRPr="00927778">
              <w:rPr>
                <w:color w:val="333333"/>
              </w:rPr>
              <w:t xml:space="preserve"> </w:t>
            </w:r>
            <w:r w:rsidRPr="00927778">
              <w:rPr>
                <w:bCs/>
                <w:color w:val="333333"/>
                <w:szCs w:val="22"/>
                <w:lang w:val="fr-FR"/>
              </w:rPr>
              <w:t>de propriété intellectuelle dans le secteur de l</w:t>
            </w:r>
            <w:r w:rsidR="00EA2C86" w:rsidRPr="00927778">
              <w:rPr>
                <w:bCs/>
                <w:color w:val="333333"/>
                <w:szCs w:val="22"/>
                <w:lang w:val="fr-FR"/>
              </w:rPr>
              <w:t>’</w:t>
            </w:r>
            <w:r w:rsidRPr="00927778">
              <w:rPr>
                <w:bCs/>
                <w:color w:val="333333"/>
                <w:szCs w:val="22"/>
                <w:lang w:val="fr-FR"/>
              </w:rPr>
              <w:t>audiovisuel pour la concession de licences de droits audiovisuels grâce à des négociations collectives, à la</w:t>
            </w:r>
            <w:r w:rsidR="00063DA0" w:rsidRPr="00927778">
              <w:rPr>
                <w:bCs/>
                <w:color w:val="333333"/>
                <w:szCs w:val="22"/>
                <w:lang w:val="fr-FR"/>
              </w:rPr>
              <w:t xml:space="preserve"> </w:t>
            </w:r>
            <w:r w:rsidRPr="00927778">
              <w:rPr>
                <w:bCs/>
                <w:color w:val="333333"/>
                <w:szCs w:val="22"/>
                <w:lang w:val="fr-FR"/>
              </w:rPr>
              <w:t>pratique de concession de licences collectives et à la mise en œuvre de lignes directrices.</w:t>
            </w:r>
          </w:p>
          <w:p w:rsidR="005E6718" w:rsidRPr="00927778" w:rsidRDefault="005E6718" w:rsidP="00C96B5C">
            <w:pPr>
              <w:rPr>
                <w:bCs/>
                <w:color w:val="333333"/>
                <w:szCs w:val="22"/>
                <w:lang w:val="fr-FR"/>
              </w:rPr>
            </w:pPr>
          </w:p>
          <w:p w:rsidR="00EA2C86" w:rsidRPr="00927778" w:rsidRDefault="009340D9" w:rsidP="009340D9">
            <w:pPr>
              <w:rPr>
                <w:color w:val="333333"/>
                <w:szCs w:val="22"/>
                <w:lang w:val="fr-FR"/>
              </w:rPr>
            </w:pPr>
            <w:r w:rsidRPr="00927778">
              <w:rPr>
                <w:color w:val="333333"/>
                <w:szCs w:val="22"/>
                <w:lang w:val="fr-FR"/>
              </w:rPr>
              <w:t>Développement et renforcement de l</w:t>
            </w:r>
            <w:r w:rsidR="00EA2C86" w:rsidRPr="00927778">
              <w:rPr>
                <w:color w:val="333333"/>
                <w:szCs w:val="22"/>
                <w:lang w:val="fr-FR"/>
              </w:rPr>
              <w:t>’</w:t>
            </w:r>
            <w:r w:rsidRPr="00927778">
              <w:rPr>
                <w:color w:val="333333"/>
                <w:szCs w:val="22"/>
                <w:lang w:val="fr-FR"/>
              </w:rPr>
              <w:t>infrastructure pour l</w:t>
            </w:r>
            <w:r w:rsidR="00EA2C86" w:rsidRPr="00927778">
              <w:rPr>
                <w:color w:val="333333"/>
                <w:szCs w:val="22"/>
                <w:lang w:val="fr-FR"/>
              </w:rPr>
              <w:t>’</w:t>
            </w:r>
            <w:r w:rsidRPr="00927778">
              <w:rPr>
                <w:color w:val="333333"/>
                <w:szCs w:val="22"/>
                <w:lang w:val="fr-FR"/>
              </w:rPr>
              <w:t>octroi de licences des droits audiovisuels compatible avec les normes internationales, notamment par l</w:t>
            </w:r>
            <w:r w:rsidR="00EA2C86" w:rsidRPr="00927778">
              <w:rPr>
                <w:color w:val="333333"/>
                <w:szCs w:val="22"/>
                <w:lang w:val="fr-FR"/>
              </w:rPr>
              <w:t>’</w:t>
            </w:r>
            <w:r w:rsidRPr="00927778">
              <w:rPr>
                <w:color w:val="333333"/>
                <w:szCs w:val="22"/>
                <w:lang w:val="fr-FR"/>
              </w:rPr>
              <w:t xml:space="preserve">intermédiaire des </w:t>
            </w:r>
            <w:r w:rsidR="0057466D" w:rsidRPr="00927778">
              <w:rPr>
                <w:color w:val="333333"/>
                <w:szCs w:val="22"/>
                <w:lang w:val="fr-FR"/>
              </w:rPr>
              <w:t>organisations</w:t>
            </w:r>
            <w:r w:rsidRPr="00927778">
              <w:rPr>
                <w:color w:val="333333"/>
                <w:szCs w:val="22"/>
                <w:lang w:val="fr-FR"/>
              </w:rPr>
              <w:t xml:space="preserve"> de gestion collective</w:t>
            </w:r>
          </w:p>
          <w:p w:rsidR="005E6718" w:rsidRPr="00927778" w:rsidRDefault="005E6718" w:rsidP="00C96B5C">
            <w:pPr>
              <w:rPr>
                <w:bCs/>
                <w:color w:val="333333"/>
                <w:szCs w:val="22"/>
                <w:lang w:val="fr-FR"/>
              </w:rPr>
            </w:pPr>
          </w:p>
          <w:p w:rsidR="005E6718" w:rsidRPr="00927778" w:rsidRDefault="009340D9" w:rsidP="009340D9">
            <w:pPr>
              <w:rPr>
                <w:color w:val="333333"/>
                <w:szCs w:val="22"/>
                <w:lang w:val="fr-FR"/>
              </w:rPr>
            </w:pPr>
            <w:r w:rsidRPr="00927778">
              <w:rPr>
                <w:color w:val="333333"/>
                <w:szCs w:val="22"/>
                <w:lang w:val="fr-FR"/>
              </w:rPr>
              <w:t>Mise en œuvre progressive des outils appropriés et des règles commerciales pour la gestion des œuvres audiovisuelles compatibles avec les normes internationales (le niveau de référence doit être déterminé par le document d</w:t>
            </w:r>
            <w:r w:rsidR="00EA2C86" w:rsidRPr="00927778">
              <w:rPr>
                <w:color w:val="333333"/>
                <w:szCs w:val="22"/>
                <w:lang w:val="fr-FR"/>
              </w:rPr>
              <w:t>’</w:t>
            </w:r>
            <w:r w:rsidRPr="00927778">
              <w:rPr>
                <w:color w:val="333333"/>
                <w:szCs w:val="22"/>
                <w:lang w:val="fr-FR"/>
              </w:rPr>
              <w:t>orientation).</w:t>
            </w:r>
          </w:p>
          <w:p w:rsidR="00D527E8" w:rsidRPr="00927778" w:rsidRDefault="00D527E8" w:rsidP="00C96B5C">
            <w:pPr>
              <w:rPr>
                <w:bCs/>
                <w:color w:val="333333"/>
                <w:lang w:val="fr-FR"/>
              </w:rPr>
            </w:pPr>
          </w:p>
        </w:tc>
        <w:tc>
          <w:tcPr>
            <w:tcW w:w="3084" w:type="dxa"/>
            <w:shd w:val="clear" w:color="auto" w:fill="auto"/>
          </w:tcPr>
          <w:p w:rsidR="00EA2C86" w:rsidRPr="00927778" w:rsidRDefault="00CC3F5E" w:rsidP="00C96B5C">
            <w:pPr>
              <w:rPr>
                <w:color w:val="333333"/>
                <w:lang w:val="fr-FR"/>
              </w:rPr>
            </w:pPr>
            <w:r w:rsidRPr="00927778">
              <w:rPr>
                <w:color w:val="333333"/>
                <w:lang w:val="fr-FR"/>
              </w:rPr>
              <w:t>Réalisation de p</w:t>
            </w:r>
            <w:r w:rsidR="00744CF7" w:rsidRPr="00927778">
              <w:rPr>
                <w:color w:val="333333"/>
                <w:lang w:val="fr-FR"/>
              </w:rPr>
              <w:t xml:space="preserve">rogrès devant </w:t>
            </w:r>
            <w:r w:rsidRPr="00927778">
              <w:rPr>
                <w:color w:val="333333"/>
                <w:lang w:val="fr-FR"/>
              </w:rPr>
              <w:t xml:space="preserve">toutefois </w:t>
            </w:r>
            <w:r w:rsidR="00744CF7" w:rsidRPr="00927778">
              <w:rPr>
                <w:color w:val="333333"/>
                <w:lang w:val="fr-FR"/>
              </w:rPr>
              <w:t xml:space="preserve">être poursuivis en ce qui </w:t>
            </w:r>
            <w:r w:rsidR="00B104C1" w:rsidRPr="00927778">
              <w:rPr>
                <w:color w:val="333333"/>
                <w:lang w:val="fr-FR"/>
              </w:rPr>
              <w:t>concerne</w:t>
            </w:r>
            <w:r w:rsidR="00744CF7" w:rsidRPr="00927778">
              <w:rPr>
                <w:color w:val="333333"/>
                <w:lang w:val="fr-FR"/>
              </w:rPr>
              <w:t xml:space="preserve"> la gestion des droits audiovisuels.</w:t>
            </w:r>
          </w:p>
          <w:p w:rsidR="005E6718" w:rsidRPr="00927778" w:rsidRDefault="005E6718" w:rsidP="00C96B5C">
            <w:pPr>
              <w:rPr>
                <w:color w:val="333333"/>
                <w:lang w:val="fr-FR"/>
              </w:rPr>
            </w:pPr>
          </w:p>
          <w:p w:rsidR="00D527E8" w:rsidRPr="00927778" w:rsidRDefault="00CC3F5E" w:rsidP="00D517C9">
            <w:pPr>
              <w:rPr>
                <w:color w:val="333333"/>
                <w:lang w:val="fr-FR"/>
              </w:rPr>
            </w:pPr>
            <w:r w:rsidRPr="00927778">
              <w:rPr>
                <w:color w:val="333333"/>
                <w:lang w:val="fr-FR"/>
              </w:rPr>
              <w:t>Instruments et règles relatifs au commerce en cours d</w:t>
            </w:r>
            <w:r w:rsidR="00EA2C86" w:rsidRPr="00927778">
              <w:rPr>
                <w:color w:val="333333"/>
                <w:lang w:val="fr-FR"/>
              </w:rPr>
              <w:t>’</w:t>
            </w:r>
            <w:r w:rsidRPr="00927778">
              <w:rPr>
                <w:color w:val="333333"/>
                <w:lang w:val="fr-FR"/>
              </w:rPr>
              <w:t>élaboration et renforcement de la coordination au niveau de l</w:t>
            </w:r>
            <w:r w:rsidR="00EA2C86" w:rsidRPr="00927778">
              <w:rPr>
                <w:color w:val="333333"/>
                <w:lang w:val="fr-FR"/>
              </w:rPr>
              <w:t>’</w:t>
            </w:r>
            <w:r w:rsidRPr="00927778">
              <w:rPr>
                <w:color w:val="333333"/>
                <w:lang w:val="fr-FR"/>
              </w:rPr>
              <w:t>Afrique de l</w:t>
            </w:r>
            <w:r w:rsidR="00EA2C86" w:rsidRPr="00927778">
              <w:rPr>
                <w:color w:val="333333"/>
                <w:lang w:val="fr-FR"/>
              </w:rPr>
              <w:t>’</w:t>
            </w:r>
            <w:r w:rsidRPr="00927778">
              <w:rPr>
                <w:color w:val="333333"/>
                <w:lang w:val="fr-FR"/>
              </w:rPr>
              <w:t>Oue</w:t>
            </w:r>
            <w:r w:rsidR="00306E74" w:rsidRPr="00927778">
              <w:rPr>
                <w:color w:val="333333"/>
                <w:lang w:val="fr-FR"/>
              </w:rPr>
              <w:t>st.  Au</w:t>
            </w:r>
            <w:r w:rsidR="00D517C9" w:rsidRPr="00927778">
              <w:rPr>
                <w:color w:val="333333"/>
                <w:lang w:val="fr-FR"/>
              </w:rPr>
              <w:t>gmentation du nombre d</w:t>
            </w:r>
            <w:r w:rsidR="00EA2C86" w:rsidRPr="00927778">
              <w:rPr>
                <w:color w:val="333333"/>
                <w:lang w:val="fr-FR"/>
              </w:rPr>
              <w:t>’</w:t>
            </w:r>
            <w:r w:rsidR="00D517C9" w:rsidRPr="00927778">
              <w:rPr>
                <w:color w:val="333333"/>
                <w:lang w:val="fr-FR"/>
              </w:rPr>
              <w:t>auteurs de l</w:t>
            </w:r>
            <w:r w:rsidR="00EA2C86" w:rsidRPr="00927778">
              <w:rPr>
                <w:color w:val="333333"/>
                <w:lang w:val="fr-FR"/>
              </w:rPr>
              <w:t>’</w:t>
            </w:r>
            <w:r w:rsidR="00D517C9" w:rsidRPr="00927778">
              <w:rPr>
                <w:color w:val="333333"/>
                <w:lang w:val="fr-FR"/>
              </w:rPr>
              <w:t xml:space="preserve">audiovisuel à </w:t>
            </w:r>
            <w:r w:rsidR="00B104C1" w:rsidRPr="00927778">
              <w:rPr>
                <w:color w:val="333333"/>
                <w:lang w:val="fr-FR"/>
              </w:rPr>
              <w:t>être</w:t>
            </w:r>
            <w:r w:rsidR="00D517C9" w:rsidRPr="00927778">
              <w:rPr>
                <w:color w:val="333333"/>
                <w:lang w:val="fr-FR"/>
              </w:rPr>
              <w:t xml:space="preserve"> membre d</w:t>
            </w:r>
            <w:r w:rsidR="00EA2C86" w:rsidRPr="00927778">
              <w:rPr>
                <w:color w:val="333333"/>
                <w:lang w:val="fr-FR"/>
              </w:rPr>
              <w:t>’</w:t>
            </w:r>
            <w:r w:rsidR="00D517C9" w:rsidRPr="00927778">
              <w:rPr>
                <w:color w:val="333333"/>
                <w:lang w:val="fr-FR"/>
              </w:rPr>
              <w:t>une organisation de gestion collective.</w:t>
            </w:r>
          </w:p>
        </w:tc>
        <w:tc>
          <w:tcPr>
            <w:tcW w:w="1168" w:type="dxa"/>
            <w:shd w:val="clear" w:color="auto" w:fill="auto"/>
            <w:tcMar>
              <w:left w:w="0" w:type="dxa"/>
              <w:right w:w="0" w:type="dxa"/>
            </w:tcMar>
          </w:tcPr>
          <w:p w:rsidR="00D527E8" w:rsidRPr="00F972E3" w:rsidRDefault="00D527E8" w:rsidP="00D527E8">
            <w:pPr>
              <w:rPr>
                <w:color w:val="333333"/>
                <w:sz w:val="20"/>
                <w:lang w:val="fr-FR"/>
              </w:rPr>
            </w:pPr>
            <w:r w:rsidRPr="00F972E3">
              <w:rPr>
                <w:color w:val="333333"/>
                <w:sz w:val="20"/>
                <w:lang w:val="fr-FR"/>
              </w:rPr>
              <w:t>***</w:t>
            </w:r>
          </w:p>
        </w:tc>
      </w:tr>
    </w:tbl>
    <w:p w:rsidR="005E6718" w:rsidRPr="00927778" w:rsidRDefault="005E6718" w:rsidP="00D527E8">
      <w:pPr>
        <w:rPr>
          <w:rFonts w:eastAsia="SimSun"/>
          <w:color w:val="333333"/>
          <w:lang w:val="fr-FR" w:eastAsia="zh-CN"/>
        </w:rPr>
      </w:pPr>
    </w:p>
    <w:p w:rsidR="005E6718" w:rsidRPr="00927778" w:rsidRDefault="005E6718" w:rsidP="00D527E8">
      <w:pPr>
        <w:rPr>
          <w:rFonts w:eastAsia="SimSun"/>
          <w:color w:val="333333"/>
          <w:lang w:val="fr-FR" w:eastAsia="zh-CN"/>
        </w:rPr>
      </w:pPr>
    </w:p>
    <w:p w:rsidR="005E6718" w:rsidRPr="00927778" w:rsidRDefault="005E6718" w:rsidP="00D527E8">
      <w:pPr>
        <w:rPr>
          <w:rFonts w:eastAsia="SimSun"/>
          <w:color w:val="333333"/>
          <w:lang w:val="fr-FR" w:eastAsia="zh-CN"/>
        </w:rPr>
      </w:pPr>
    </w:p>
    <w:p w:rsidR="005E6718" w:rsidRPr="00927778" w:rsidRDefault="009340D9" w:rsidP="009340D9">
      <w:pPr>
        <w:jc w:val="right"/>
        <w:rPr>
          <w:rFonts w:eastAsia="SimSun"/>
          <w:color w:val="333333"/>
          <w:lang w:val="fr-FR" w:eastAsia="zh-CN"/>
        </w:rPr>
      </w:pPr>
      <w:r w:rsidRPr="00927778">
        <w:rPr>
          <w:rFonts w:eastAsia="SimSun"/>
          <w:color w:val="333333"/>
          <w:lang w:val="fr-FR" w:eastAsia="zh-CN"/>
        </w:rPr>
        <w:t>[L</w:t>
      </w:r>
      <w:r w:rsidR="00EA2C86" w:rsidRPr="00927778">
        <w:rPr>
          <w:rFonts w:eastAsia="SimSun"/>
          <w:color w:val="333333"/>
          <w:lang w:val="fr-FR" w:eastAsia="zh-CN"/>
        </w:rPr>
        <w:t>’annexe V</w:t>
      </w:r>
      <w:r w:rsidRPr="00927778">
        <w:rPr>
          <w:rFonts w:eastAsia="SimSun"/>
          <w:color w:val="333333"/>
          <w:lang w:val="fr-FR" w:eastAsia="zh-CN"/>
        </w:rPr>
        <w:t>I suit]</w:t>
      </w:r>
    </w:p>
    <w:p w:rsidR="005E6718" w:rsidRPr="00927778" w:rsidRDefault="005E6718" w:rsidP="00D527E8">
      <w:pPr>
        <w:rPr>
          <w:rFonts w:eastAsia="SimSun"/>
          <w:color w:val="333333"/>
          <w:lang w:val="fr-FR" w:eastAsia="zh-CN"/>
        </w:rPr>
      </w:pPr>
    </w:p>
    <w:p w:rsidR="00A74832" w:rsidRPr="00927778" w:rsidRDefault="00A74832" w:rsidP="00C3651B">
      <w:pPr>
        <w:pStyle w:val="Heading2"/>
        <w:rPr>
          <w:color w:val="333333"/>
          <w:lang w:val="fr-FR"/>
        </w:rPr>
        <w:sectPr w:rsidR="00A74832" w:rsidRPr="00927778" w:rsidSect="00047C22">
          <w:headerReference w:type="default" r:id="rId23"/>
          <w:headerReference w:type="first" r:id="rId24"/>
          <w:pgSz w:w="11906" w:h="16840" w:code="9"/>
          <w:pgMar w:top="567" w:right="1134" w:bottom="1417" w:left="1417" w:header="510" w:footer="1020"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047C22" w:rsidRPr="00927778" w:rsidTr="00C3651B">
        <w:trPr>
          <w:trHeight w:val="432"/>
        </w:trPr>
        <w:tc>
          <w:tcPr>
            <w:tcW w:w="9288" w:type="dxa"/>
            <w:gridSpan w:val="2"/>
            <w:shd w:val="clear" w:color="auto" w:fill="auto"/>
            <w:vAlign w:val="center"/>
          </w:tcPr>
          <w:p w:rsidR="00F91F66" w:rsidRPr="00927778" w:rsidRDefault="009340D9" w:rsidP="009340D9">
            <w:pPr>
              <w:pStyle w:val="Heading2"/>
              <w:rPr>
                <w:color w:val="333333"/>
                <w:lang w:val="fr-FR"/>
              </w:rPr>
            </w:pPr>
            <w:r w:rsidRPr="00927778">
              <w:rPr>
                <w:rFonts w:eastAsia="Times New Roman"/>
                <w:bCs w:val="0"/>
                <w:iCs w:val="0"/>
                <w:caps w:val="0"/>
                <w:color w:val="333333"/>
                <w:szCs w:val="22"/>
                <w:lang w:val="fr-FR"/>
              </w:rPr>
              <w:t>RÉSUMÉ DU PROJET</w:t>
            </w:r>
          </w:p>
        </w:tc>
      </w:tr>
      <w:tr w:rsidR="00047C22" w:rsidRPr="00927778" w:rsidTr="00C3651B">
        <w:trPr>
          <w:trHeight w:val="496"/>
        </w:trPr>
        <w:tc>
          <w:tcPr>
            <w:tcW w:w="2376" w:type="dxa"/>
            <w:shd w:val="clear" w:color="auto" w:fill="auto"/>
          </w:tcPr>
          <w:p w:rsidR="00F91F66" w:rsidRPr="00927778" w:rsidRDefault="009340D9" w:rsidP="009340D9">
            <w:pPr>
              <w:pStyle w:val="Heading3"/>
              <w:rPr>
                <w:color w:val="333333"/>
                <w:lang w:val="fr-FR"/>
              </w:rPr>
            </w:pPr>
            <w:r w:rsidRPr="00927778">
              <w:rPr>
                <w:color w:val="333333"/>
                <w:lang w:val="fr-FR"/>
              </w:rPr>
              <w:t>Cote du projet</w:t>
            </w:r>
          </w:p>
        </w:tc>
        <w:tc>
          <w:tcPr>
            <w:tcW w:w="6912" w:type="dxa"/>
            <w:shd w:val="clear" w:color="auto" w:fill="auto"/>
            <w:vAlign w:val="center"/>
          </w:tcPr>
          <w:p w:rsidR="00F91F66" w:rsidRPr="00927778" w:rsidRDefault="009340D9" w:rsidP="009340D9">
            <w:pPr>
              <w:rPr>
                <w:i/>
                <w:color w:val="333333"/>
                <w:lang w:val="fr-FR"/>
              </w:rPr>
            </w:pPr>
            <w:r w:rsidRPr="00927778">
              <w:rPr>
                <w:i/>
                <w:color w:val="333333"/>
                <w:lang w:val="fr-FR"/>
              </w:rPr>
              <w:t>DA_35_37_02</w:t>
            </w:r>
          </w:p>
        </w:tc>
      </w:tr>
      <w:tr w:rsidR="00047C22" w:rsidRPr="00927778" w:rsidTr="00C3651B">
        <w:trPr>
          <w:trHeight w:val="404"/>
        </w:trPr>
        <w:tc>
          <w:tcPr>
            <w:tcW w:w="2376" w:type="dxa"/>
            <w:shd w:val="clear" w:color="auto" w:fill="auto"/>
          </w:tcPr>
          <w:p w:rsidR="005E6718" w:rsidRPr="00927778" w:rsidRDefault="009340D9" w:rsidP="009340D9">
            <w:pPr>
              <w:pStyle w:val="Heading3"/>
              <w:rPr>
                <w:color w:val="333333"/>
                <w:lang w:val="fr-FR"/>
              </w:rPr>
            </w:pPr>
            <w:r w:rsidRPr="00927778">
              <w:rPr>
                <w:color w:val="333333"/>
                <w:lang w:val="fr-FR"/>
              </w:rPr>
              <w:t>Titre</w:t>
            </w:r>
          </w:p>
          <w:p w:rsidR="00F91F66" w:rsidRPr="00927778" w:rsidRDefault="00F91F66" w:rsidP="00C3651B">
            <w:pPr>
              <w:rPr>
                <w:color w:val="333333"/>
                <w:lang w:val="fr-FR"/>
              </w:rPr>
            </w:pPr>
          </w:p>
        </w:tc>
        <w:tc>
          <w:tcPr>
            <w:tcW w:w="6912" w:type="dxa"/>
            <w:shd w:val="clear" w:color="auto" w:fill="auto"/>
            <w:vAlign w:val="center"/>
          </w:tcPr>
          <w:p w:rsidR="00F91F66" w:rsidRPr="00927778" w:rsidRDefault="009340D9" w:rsidP="009340D9">
            <w:pPr>
              <w:rPr>
                <w:i/>
                <w:color w:val="333333"/>
                <w:lang w:val="fr-FR"/>
              </w:rPr>
            </w:pPr>
            <w:r w:rsidRPr="00927778">
              <w:rPr>
                <w:i/>
                <w:color w:val="333333"/>
                <w:lang w:val="fr-FR"/>
              </w:rPr>
              <w:t>Propriété intellectuelle et développement socioéconomique – phase</w:t>
            </w:r>
            <w:r w:rsidR="00002037" w:rsidRPr="00927778">
              <w:rPr>
                <w:i/>
                <w:color w:val="333333"/>
                <w:lang w:val="fr-FR"/>
              </w:rPr>
              <w:t> </w:t>
            </w:r>
            <w:r w:rsidRPr="00927778">
              <w:rPr>
                <w:i/>
                <w:color w:val="333333"/>
                <w:lang w:val="fr-FR"/>
              </w:rPr>
              <w:t>II</w:t>
            </w:r>
          </w:p>
        </w:tc>
      </w:tr>
      <w:tr w:rsidR="00047C22" w:rsidRPr="00927778" w:rsidTr="00C3651B">
        <w:tc>
          <w:tcPr>
            <w:tcW w:w="2376" w:type="dxa"/>
            <w:shd w:val="clear" w:color="auto" w:fill="auto"/>
          </w:tcPr>
          <w:p w:rsidR="005E6718" w:rsidRPr="00927778" w:rsidRDefault="009340D9" w:rsidP="009340D9">
            <w:pPr>
              <w:pStyle w:val="Heading3"/>
              <w:rPr>
                <w:color w:val="333333"/>
                <w:lang w:val="fr-FR"/>
              </w:rPr>
            </w:pPr>
            <w:r w:rsidRPr="00927778">
              <w:rPr>
                <w:color w:val="333333"/>
                <w:lang w:val="fr-FR"/>
              </w:rPr>
              <w:t>Recommandation du Plan d</w:t>
            </w:r>
            <w:r w:rsidR="00EA2C86" w:rsidRPr="00927778">
              <w:rPr>
                <w:color w:val="333333"/>
                <w:lang w:val="fr-FR"/>
              </w:rPr>
              <w:t>’</w:t>
            </w:r>
            <w:r w:rsidRPr="00927778">
              <w:rPr>
                <w:color w:val="333333"/>
                <w:lang w:val="fr-FR"/>
              </w:rPr>
              <w:t>action pour le développement</w:t>
            </w:r>
          </w:p>
          <w:p w:rsidR="00F91F66" w:rsidRPr="00927778" w:rsidRDefault="00F91F66" w:rsidP="00C3651B">
            <w:pPr>
              <w:rPr>
                <w:color w:val="333333"/>
                <w:lang w:val="fr-FR"/>
              </w:rPr>
            </w:pPr>
          </w:p>
        </w:tc>
        <w:tc>
          <w:tcPr>
            <w:tcW w:w="6912" w:type="dxa"/>
            <w:shd w:val="clear" w:color="auto" w:fill="auto"/>
          </w:tcPr>
          <w:p w:rsidR="005E6718" w:rsidRPr="00927778" w:rsidRDefault="005E6718" w:rsidP="00C3651B">
            <w:pPr>
              <w:autoSpaceDE w:val="0"/>
              <w:autoSpaceDN w:val="0"/>
              <w:adjustRightInd w:val="0"/>
              <w:rPr>
                <w:i/>
                <w:iCs/>
                <w:color w:val="333333"/>
                <w:szCs w:val="22"/>
                <w:lang w:val="fr-FR"/>
              </w:rPr>
            </w:pPr>
          </w:p>
          <w:p w:rsidR="00EA2C86" w:rsidRPr="00927778" w:rsidRDefault="009340D9" w:rsidP="009340D9">
            <w:pPr>
              <w:autoSpaceDE w:val="0"/>
              <w:autoSpaceDN w:val="0"/>
              <w:adjustRightInd w:val="0"/>
              <w:rPr>
                <w:color w:val="333333"/>
                <w:szCs w:val="22"/>
                <w:lang w:val="fr-FR"/>
              </w:rPr>
            </w:pPr>
            <w:r w:rsidRPr="00927778">
              <w:rPr>
                <w:i/>
                <w:color w:val="333333"/>
                <w:szCs w:val="22"/>
                <w:lang w:val="fr-FR"/>
              </w:rPr>
              <w:t>Recommandation n°</w:t>
            </w:r>
            <w:r w:rsidR="0057466D" w:rsidRPr="00927778">
              <w:rPr>
                <w:i/>
                <w:color w:val="333333"/>
                <w:szCs w:val="22"/>
                <w:lang w:val="fr-FR"/>
              </w:rPr>
              <w:t> </w:t>
            </w:r>
            <w:r w:rsidRPr="00927778">
              <w:rPr>
                <w:i/>
                <w:color w:val="333333"/>
                <w:szCs w:val="22"/>
                <w:lang w:val="fr-FR"/>
              </w:rPr>
              <w:t>35</w:t>
            </w:r>
            <w:r w:rsidR="00EA2C86" w:rsidRPr="00927778">
              <w:rPr>
                <w:i/>
                <w:color w:val="333333"/>
                <w:szCs w:val="22"/>
                <w:lang w:val="fr-FR"/>
              </w:rPr>
              <w:t> :</w:t>
            </w:r>
            <w:r w:rsidRPr="00927778">
              <w:rPr>
                <w:color w:val="333333"/>
                <w:szCs w:val="22"/>
                <w:lang w:val="fr-FR"/>
              </w:rPr>
              <w:t xml:space="preserve"> Demander à l</w:t>
            </w:r>
            <w:r w:rsidR="00EA2C86" w:rsidRPr="00927778">
              <w:rPr>
                <w:color w:val="333333"/>
                <w:szCs w:val="22"/>
                <w:lang w:val="fr-FR"/>
              </w:rPr>
              <w:t>’</w:t>
            </w:r>
            <w:r w:rsidRPr="00927778">
              <w:rPr>
                <w:color w:val="333333"/>
                <w:szCs w:val="22"/>
                <w:lang w:val="fr-FR"/>
              </w:rPr>
              <w:t>OMPI de réaliser, à la demande des États membres, de nouvelles études pour évaluer l</w:t>
            </w:r>
            <w:r w:rsidR="00EA2C86" w:rsidRPr="00927778">
              <w:rPr>
                <w:color w:val="333333"/>
                <w:szCs w:val="22"/>
                <w:lang w:val="fr-FR"/>
              </w:rPr>
              <w:t>’</w:t>
            </w:r>
            <w:r w:rsidRPr="00927778">
              <w:rPr>
                <w:color w:val="333333"/>
                <w:szCs w:val="22"/>
                <w:lang w:val="fr-FR"/>
              </w:rPr>
              <w:t>incidence économique, sociale et culturelle de l</w:t>
            </w:r>
            <w:r w:rsidR="00EA2C86" w:rsidRPr="00927778">
              <w:rPr>
                <w:color w:val="333333"/>
                <w:szCs w:val="22"/>
                <w:lang w:val="fr-FR"/>
              </w:rPr>
              <w:t>’</w:t>
            </w:r>
            <w:r w:rsidRPr="00927778">
              <w:rPr>
                <w:color w:val="333333"/>
                <w:szCs w:val="22"/>
                <w:lang w:val="fr-FR"/>
              </w:rPr>
              <w:t>utilisation des systèmes de propriété intellectuelle dans ces États</w:t>
            </w:r>
            <w:r w:rsidRPr="00927778">
              <w:rPr>
                <w:i/>
                <w:color w:val="333333"/>
                <w:szCs w:val="22"/>
                <w:lang w:val="fr-FR"/>
              </w:rPr>
              <w:t>.</w:t>
            </w:r>
          </w:p>
          <w:p w:rsidR="005E6718" w:rsidRPr="00927778" w:rsidRDefault="005E6718" w:rsidP="00C3651B">
            <w:pPr>
              <w:autoSpaceDE w:val="0"/>
              <w:autoSpaceDN w:val="0"/>
              <w:adjustRightInd w:val="0"/>
              <w:rPr>
                <w:color w:val="333333"/>
                <w:szCs w:val="22"/>
                <w:lang w:val="fr-FR"/>
              </w:rPr>
            </w:pPr>
          </w:p>
          <w:p w:rsidR="00EA2C86" w:rsidRPr="00927778" w:rsidRDefault="009340D9" w:rsidP="009340D9">
            <w:pPr>
              <w:rPr>
                <w:color w:val="333333"/>
                <w:szCs w:val="22"/>
                <w:lang w:val="fr-FR"/>
              </w:rPr>
            </w:pPr>
            <w:r w:rsidRPr="00927778">
              <w:rPr>
                <w:i/>
                <w:color w:val="333333"/>
                <w:szCs w:val="22"/>
                <w:lang w:val="fr-FR"/>
              </w:rPr>
              <w:t>Recommandation n°</w:t>
            </w:r>
            <w:r w:rsidR="0057466D" w:rsidRPr="00927778">
              <w:rPr>
                <w:i/>
                <w:color w:val="333333"/>
                <w:szCs w:val="22"/>
                <w:lang w:val="fr-FR"/>
              </w:rPr>
              <w:t> </w:t>
            </w:r>
            <w:r w:rsidRPr="00927778">
              <w:rPr>
                <w:i/>
                <w:color w:val="333333"/>
                <w:szCs w:val="22"/>
                <w:lang w:val="fr-FR"/>
              </w:rPr>
              <w:t>37</w:t>
            </w:r>
            <w:r w:rsidR="00EA2C86" w:rsidRPr="00927778">
              <w:rPr>
                <w:i/>
                <w:color w:val="333333"/>
                <w:szCs w:val="22"/>
                <w:lang w:val="fr-FR"/>
              </w:rPr>
              <w:t> :</w:t>
            </w:r>
            <w:r w:rsidRPr="00927778">
              <w:rPr>
                <w:color w:val="333333"/>
                <w:szCs w:val="22"/>
                <w:lang w:val="fr-FR"/>
              </w:rPr>
              <w:t xml:space="preserve"> À la demande des États membres et selon leurs instructions, l</w:t>
            </w:r>
            <w:r w:rsidR="00EA2C86" w:rsidRPr="00927778">
              <w:rPr>
                <w:color w:val="333333"/>
                <w:szCs w:val="22"/>
                <w:lang w:val="fr-FR"/>
              </w:rPr>
              <w:t>’</w:t>
            </w:r>
            <w:r w:rsidRPr="00927778">
              <w:rPr>
                <w:color w:val="333333"/>
                <w:szCs w:val="22"/>
                <w:lang w:val="fr-FR"/>
              </w:rPr>
              <w:t>OMPI peut réaliser des études sur la protection de la propriété intellectuelle afin de déterminer les liens et les incidences possibles entre propriété intellectuelle et développement.</w:t>
            </w:r>
          </w:p>
          <w:p w:rsidR="00F91F66" w:rsidRPr="00927778" w:rsidRDefault="00F91F66" w:rsidP="00C3651B">
            <w:pPr>
              <w:rPr>
                <w:i/>
                <w:color w:val="333333"/>
                <w:lang w:val="fr-FR"/>
              </w:rPr>
            </w:pPr>
          </w:p>
        </w:tc>
      </w:tr>
      <w:tr w:rsidR="00047C22" w:rsidRPr="00927778" w:rsidTr="00C3651B">
        <w:tc>
          <w:tcPr>
            <w:tcW w:w="2376" w:type="dxa"/>
            <w:shd w:val="clear" w:color="auto" w:fill="auto"/>
          </w:tcPr>
          <w:p w:rsidR="005E6718" w:rsidRPr="00927778" w:rsidRDefault="009340D9" w:rsidP="009340D9">
            <w:pPr>
              <w:pStyle w:val="Heading3"/>
              <w:rPr>
                <w:color w:val="333333"/>
                <w:lang w:val="fr-FR"/>
              </w:rPr>
            </w:pPr>
            <w:r w:rsidRPr="00927778">
              <w:rPr>
                <w:color w:val="333333"/>
                <w:lang w:val="fr-FR"/>
              </w:rPr>
              <w:t>Budget du projet</w:t>
            </w:r>
          </w:p>
          <w:p w:rsidR="00F91F66" w:rsidRPr="00927778" w:rsidRDefault="00F91F66" w:rsidP="00C3651B">
            <w:pPr>
              <w:rPr>
                <w:color w:val="333333"/>
                <w:lang w:val="fr-FR"/>
              </w:rPr>
            </w:pPr>
          </w:p>
        </w:tc>
        <w:tc>
          <w:tcPr>
            <w:tcW w:w="6912" w:type="dxa"/>
            <w:shd w:val="clear" w:color="auto" w:fill="auto"/>
          </w:tcPr>
          <w:p w:rsidR="005E6718" w:rsidRPr="00927778" w:rsidRDefault="005E6718" w:rsidP="00C3651B">
            <w:pPr>
              <w:autoSpaceDE w:val="0"/>
              <w:autoSpaceDN w:val="0"/>
              <w:adjustRightInd w:val="0"/>
              <w:rPr>
                <w:iCs/>
                <w:color w:val="333333"/>
                <w:szCs w:val="22"/>
                <w:lang w:val="fr-FR"/>
              </w:rPr>
            </w:pPr>
          </w:p>
          <w:p w:rsidR="005E6718" w:rsidRPr="00927778" w:rsidRDefault="009340D9" w:rsidP="009340D9">
            <w:pPr>
              <w:autoSpaceDE w:val="0"/>
              <w:autoSpaceDN w:val="0"/>
              <w:adjustRightInd w:val="0"/>
              <w:rPr>
                <w:iCs/>
                <w:color w:val="333333"/>
                <w:szCs w:val="22"/>
                <w:lang w:val="fr-FR"/>
              </w:rPr>
            </w:pPr>
            <w:r w:rsidRPr="00927778">
              <w:rPr>
                <w:iCs/>
                <w:color w:val="333333"/>
                <w:szCs w:val="22"/>
                <w:lang w:val="fr-FR"/>
              </w:rPr>
              <w:t>Dépenses autres que les dépenses de personnel</w:t>
            </w:r>
            <w:r w:rsidR="00EA2C86" w:rsidRPr="00927778">
              <w:rPr>
                <w:iCs/>
                <w:color w:val="333333"/>
                <w:szCs w:val="22"/>
                <w:lang w:val="fr-FR"/>
              </w:rPr>
              <w:t> :</w:t>
            </w:r>
            <w:r w:rsidRPr="00927778">
              <w:rPr>
                <w:iCs/>
                <w:color w:val="333333"/>
                <w:szCs w:val="22"/>
                <w:lang w:val="fr-FR"/>
              </w:rPr>
              <w:t xml:space="preserve"> 485</w:t>
            </w:r>
            <w:r w:rsidR="0057466D" w:rsidRPr="00927778">
              <w:rPr>
                <w:iCs/>
                <w:color w:val="333333"/>
                <w:szCs w:val="22"/>
                <w:lang w:val="fr-FR"/>
              </w:rPr>
              <w:t> </w:t>
            </w:r>
            <w:r w:rsidRPr="00927778">
              <w:rPr>
                <w:iCs/>
                <w:color w:val="333333"/>
                <w:szCs w:val="22"/>
                <w:lang w:val="fr-FR"/>
              </w:rPr>
              <w:t>00</w:t>
            </w:r>
            <w:r w:rsidR="00EA2C86" w:rsidRPr="00927778">
              <w:rPr>
                <w:iCs/>
                <w:color w:val="333333"/>
                <w:szCs w:val="22"/>
                <w:lang w:val="fr-FR"/>
              </w:rPr>
              <w:t>0 franc</w:t>
            </w:r>
            <w:r w:rsidRPr="00927778">
              <w:rPr>
                <w:iCs/>
                <w:color w:val="333333"/>
                <w:szCs w:val="22"/>
                <w:lang w:val="fr-FR"/>
              </w:rPr>
              <w:t>s suisses</w:t>
            </w:r>
          </w:p>
          <w:p w:rsidR="005E6718" w:rsidRPr="00927778" w:rsidRDefault="005E6718" w:rsidP="00C3651B">
            <w:pPr>
              <w:autoSpaceDE w:val="0"/>
              <w:autoSpaceDN w:val="0"/>
              <w:adjustRightInd w:val="0"/>
              <w:rPr>
                <w:color w:val="333333"/>
                <w:szCs w:val="22"/>
                <w:lang w:val="fr-FR"/>
              </w:rPr>
            </w:pPr>
          </w:p>
          <w:p w:rsidR="005E6718" w:rsidRPr="00927778" w:rsidRDefault="009340D9" w:rsidP="009340D9">
            <w:pPr>
              <w:autoSpaceDE w:val="0"/>
              <w:autoSpaceDN w:val="0"/>
              <w:adjustRightInd w:val="0"/>
              <w:rPr>
                <w:iCs/>
                <w:color w:val="333333"/>
                <w:szCs w:val="22"/>
                <w:lang w:val="fr-FR"/>
              </w:rPr>
            </w:pPr>
            <w:r w:rsidRPr="00927778">
              <w:rPr>
                <w:iCs/>
                <w:color w:val="333333"/>
                <w:szCs w:val="22"/>
                <w:lang w:val="fr-FR"/>
              </w:rPr>
              <w:t>Dépenses de personnel*</w:t>
            </w:r>
            <w:r w:rsidR="00EA2C86" w:rsidRPr="00927778">
              <w:rPr>
                <w:iCs/>
                <w:color w:val="333333"/>
                <w:szCs w:val="22"/>
                <w:lang w:val="fr-FR"/>
              </w:rPr>
              <w:t> :</w:t>
            </w:r>
            <w:r w:rsidRPr="00927778">
              <w:rPr>
                <w:iCs/>
                <w:color w:val="333333"/>
                <w:szCs w:val="22"/>
                <w:lang w:val="fr-FR"/>
              </w:rPr>
              <w:t xml:space="preserve"> 316</w:t>
            </w:r>
            <w:r w:rsidR="0057466D" w:rsidRPr="00927778">
              <w:rPr>
                <w:iCs/>
                <w:color w:val="333333"/>
                <w:szCs w:val="22"/>
                <w:lang w:val="fr-FR"/>
              </w:rPr>
              <w:t> </w:t>
            </w:r>
            <w:r w:rsidRPr="00927778">
              <w:rPr>
                <w:iCs/>
                <w:color w:val="333333"/>
                <w:szCs w:val="22"/>
                <w:lang w:val="fr-FR"/>
              </w:rPr>
              <w:t>00</w:t>
            </w:r>
            <w:r w:rsidR="00EA2C86" w:rsidRPr="00927778">
              <w:rPr>
                <w:iCs/>
                <w:color w:val="333333"/>
                <w:szCs w:val="22"/>
                <w:lang w:val="fr-FR"/>
              </w:rPr>
              <w:t>0 franc</w:t>
            </w:r>
            <w:r w:rsidRPr="00927778">
              <w:rPr>
                <w:iCs/>
                <w:color w:val="333333"/>
                <w:szCs w:val="22"/>
                <w:lang w:val="fr-FR"/>
              </w:rPr>
              <w:t>s suisses</w:t>
            </w:r>
          </w:p>
          <w:p w:rsidR="005E6718" w:rsidRPr="00927778" w:rsidRDefault="005E6718" w:rsidP="00C3651B">
            <w:pPr>
              <w:autoSpaceDE w:val="0"/>
              <w:autoSpaceDN w:val="0"/>
              <w:adjustRightInd w:val="0"/>
              <w:rPr>
                <w:color w:val="333333"/>
                <w:szCs w:val="22"/>
                <w:lang w:val="fr-FR"/>
              </w:rPr>
            </w:pPr>
          </w:p>
          <w:p w:rsidR="005E6718" w:rsidRPr="00927778" w:rsidRDefault="009340D9" w:rsidP="009340D9">
            <w:pPr>
              <w:rPr>
                <w:iCs/>
                <w:color w:val="333333"/>
                <w:szCs w:val="22"/>
                <w:lang w:val="fr-FR"/>
              </w:rPr>
            </w:pPr>
            <w:r w:rsidRPr="00927778">
              <w:rPr>
                <w:iCs/>
                <w:color w:val="333333"/>
                <w:szCs w:val="22"/>
                <w:lang w:val="fr-FR"/>
              </w:rPr>
              <w:t>*Sont comprises les dépenses liées au poste d</w:t>
            </w:r>
            <w:r w:rsidR="00EA2C86" w:rsidRPr="00927778">
              <w:rPr>
                <w:iCs/>
                <w:color w:val="333333"/>
                <w:szCs w:val="22"/>
                <w:lang w:val="fr-FR"/>
              </w:rPr>
              <w:t>’</w:t>
            </w:r>
            <w:r w:rsidRPr="00927778">
              <w:rPr>
                <w:iCs/>
                <w:color w:val="333333"/>
                <w:szCs w:val="22"/>
                <w:lang w:val="fr-FR"/>
              </w:rPr>
              <w:t>administrateur de projet, mais pas les contributions des membres du personnel de l</w:t>
            </w:r>
            <w:r w:rsidR="00EA2C86" w:rsidRPr="00927778">
              <w:rPr>
                <w:iCs/>
                <w:color w:val="333333"/>
                <w:szCs w:val="22"/>
                <w:lang w:val="fr-FR"/>
              </w:rPr>
              <w:t>’</w:t>
            </w:r>
            <w:r w:rsidRPr="00927778">
              <w:rPr>
                <w:iCs/>
                <w:color w:val="333333"/>
                <w:szCs w:val="22"/>
                <w:lang w:val="fr-FR"/>
              </w:rPr>
              <w:t>OMPI.</w:t>
            </w:r>
          </w:p>
          <w:p w:rsidR="00F91F66" w:rsidRPr="00927778" w:rsidRDefault="00F91F66" w:rsidP="00C3651B">
            <w:pPr>
              <w:rPr>
                <w:color w:val="333333"/>
                <w:lang w:val="fr-FR"/>
              </w:rPr>
            </w:pPr>
          </w:p>
        </w:tc>
      </w:tr>
      <w:tr w:rsidR="00047C22" w:rsidRPr="00927778" w:rsidTr="00C3651B">
        <w:tc>
          <w:tcPr>
            <w:tcW w:w="2376" w:type="dxa"/>
            <w:shd w:val="clear" w:color="auto" w:fill="auto"/>
          </w:tcPr>
          <w:p w:rsidR="005E6718" w:rsidRPr="00927778" w:rsidRDefault="009340D9" w:rsidP="009340D9">
            <w:pPr>
              <w:pStyle w:val="Heading3"/>
              <w:rPr>
                <w:color w:val="333333"/>
                <w:lang w:val="fr-FR"/>
              </w:rPr>
            </w:pPr>
            <w:r w:rsidRPr="00927778">
              <w:rPr>
                <w:color w:val="333333"/>
                <w:lang w:val="fr-FR"/>
              </w:rPr>
              <w:t>Durée du projet</w:t>
            </w:r>
          </w:p>
          <w:p w:rsidR="00F91F66" w:rsidRPr="00927778" w:rsidRDefault="00F91F66" w:rsidP="00C3651B">
            <w:pPr>
              <w:rPr>
                <w:color w:val="333333"/>
                <w:lang w:val="fr-FR"/>
              </w:rPr>
            </w:pPr>
          </w:p>
        </w:tc>
        <w:tc>
          <w:tcPr>
            <w:tcW w:w="6912" w:type="dxa"/>
            <w:shd w:val="clear" w:color="auto" w:fill="auto"/>
          </w:tcPr>
          <w:p w:rsidR="005E6718" w:rsidRPr="00927778" w:rsidRDefault="005E6718" w:rsidP="00C3651B">
            <w:pPr>
              <w:rPr>
                <w:color w:val="333333"/>
                <w:lang w:val="fr-FR"/>
              </w:rPr>
            </w:pPr>
          </w:p>
          <w:p w:rsidR="00F91F66" w:rsidRPr="00927778" w:rsidRDefault="009340D9" w:rsidP="009340D9">
            <w:pPr>
              <w:rPr>
                <w:color w:val="333333"/>
                <w:lang w:val="fr-FR"/>
              </w:rPr>
            </w:pPr>
            <w:r w:rsidRPr="00927778">
              <w:rPr>
                <w:color w:val="333333"/>
                <w:lang w:val="fr-FR"/>
              </w:rPr>
              <w:t>42 mois</w:t>
            </w:r>
          </w:p>
        </w:tc>
      </w:tr>
      <w:tr w:rsidR="00047C22" w:rsidRPr="00927778" w:rsidTr="00C3651B">
        <w:tc>
          <w:tcPr>
            <w:tcW w:w="2376" w:type="dxa"/>
            <w:shd w:val="clear" w:color="auto" w:fill="auto"/>
          </w:tcPr>
          <w:p w:rsidR="00F91F66" w:rsidRPr="00927778" w:rsidRDefault="009340D9" w:rsidP="009340D9">
            <w:pPr>
              <w:pStyle w:val="Heading3"/>
              <w:rPr>
                <w:color w:val="333333"/>
                <w:lang w:val="fr-FR"/>
              </w:rPr>
            </w:pPr>
            <w:r w:rsidRPr="00927778">
              <w:rPr>
                <w:color w:val="333333"/>
                <w:lang w:val="fr-FR"/>
              </w:rPr>
              <w:t>Principaux secteurs de l</w:t>
            </w:r>
            <w:r w:rsidR="00EA2C86" w:rsidRPr="00927778">
              <w:rPr>
                <w:color w:val="333333"/>
                <w:lang w:val="fr-FR"/>
              </w:rPr>
              <w:t>’</w:t>
            </w:r>
            <w:r w:rsidRPr="00927778">
              <w:rPr>
                <w:color w:val="333333"/>
                <w:lang w:val="fr-FR"/>
              </w:rPr>
              <w:t>OMPI concernés et liens avec les programmes de l</w:t>
            </w:r>
            <w:r w:rsidR="00EA2C86" w:rsidRPr="00927778">
              <w:rPr>
                <w:color w:val="333333"/>
                <w:lang w:val="fr-FR"/>
              </w:rPr>
              <w:t>’</w:t>
            </w:r>
            <w:r w:rsidRPr="00927778">
              <w:rPr>
                <w:color w:val="333333"/>
                <w:lang w:val="fr-FR"/>
              </w:rPr>
              <w:t>OMPI</w:t>
            </w:r>
          </w:p>
        </w:tc>
        <w:tc>
          <w:tcPr>
            <w:tcW w:w="6912" w:type="dxa"/>
            <w:shd w:val="clear" w:color="auto" w:fill="auto"/>
          </w:tcPr>
          <w:p w:rsidR="005E6718" w:rsidRPr="00927778" w:rsidRDefault="005E6718" w:rsidP="00C3651B">
            <w:pPr>
              <w:rPr>
                <w:color w:val="333333"/>
                <w:lang w:val="fr-FR"/>
              </w:rPr>
            </w:pPr>
          </w:p>
          <w:p w:rsidR="00F91F66" w:rsidRPr="00927778" w:rsidRDefault="009340D9" w:rsidP="009340D9">
            <w:pPr>
              <w:rPr>
                <w:color w:val="333333"/>
                <w:lang w:val="fr-FR"/>
              </w:rPr>
            </w:pPr>
            <w:r w:rsidRPr="00927778">
              <w:rPr>
                <w:color w:val="333333"/>
                <w:szCs w:val="22"/>
                <w:lang w:val="fr-FR"/>
              </w:rPr>
              <w:t>Liens avec les programmes</w:t>
            </w:r>
            <w:r w:rsidR="00002037" w:rsidRPr="00927778">
              <w:rPr>
                <w:color w:val="333333"/>
                <w:szCs w:val="22"/>
                <w:lang w:val="fr-FR"/>
              </w:rPr>
              <w:t> </w:t>
            </w:r>
            <w:r w:rsidRPr="00927778">
              <w:rPr>
                <w:color w:val="333333"/>
                <w:szCs w:val="22"/>
                <w:lang w:val="fr-FR"/>
              </w:rPr>
              <w:t>8, 9, et 10.</w:t>
            </w:r>
            <w:r w:rsidR="00F91F66" w:rsidRPr="00927778">
              <w:rPr>
                <w:color w:val="333333"/>
                <w:lang w:val="fr-FR"/>
              </w:rPr>
              <w:t xml:space="preserve"> </w:t>
            </w:r>
            <w:r w:rsidR="0057466D" w:rsidRPr="00927778">
              <w:rPr>
                <w:color w:val="333333"/>
                <w:szCs w:val="22"/>
                <w:lang w:val="fr-FR"/>
              </w:rPr>
              <w:t xml:space="preserve"> </w:t>
            </w:r>
          </w:p>
        </w:tc>
      </w:tr>
      <w:tr w:rsidR="00F91F66" w:rsidRPr="00927778" w:rsidTr="00C3651B">
        <w:trPr>
          <w:trHeight w:val="2664"/>
        </w:trPr>
        <w:tc>
          <w:tcPr>
            <w:tcW w:w="2376" w:type="dxa"/>
            <w:shd w:val="clear" w:color="auto" w:fill="auto"/>
          </w:tcPr>
          <w:p w:rsidR="00F91F66" w:rsidRPr="00927778" w:rsidRDefault="009752E6" w:rsidP="009752E6">
            <w:pPr>
              <w:pStyle w:val="Heading3"/>
              <w:rPr>
                <w:color w:val="333333"/>
                <w:lang w:val="fr-FR"/>
              </w:rPr>
            </w:pPr>
            <w:r w:rsidRPr="00927778">
              <w:rPr>
                <w:color w:val="333333"/>
                <w:lang w:val="fr-FR"/>
              </w:rPr>
              <w:t>Brève description du projet</w:t>
            </w:r>
          </w:p>
        </w:tc>
        <w:tc>
          <w:tcPr>
            <w:tcW w:w="6912" w:type="dxa"/>
            <w:shd w:val="clear" w:color="auto" w:fill="auto"/>
          </w:tcPr>
          <w:p w:rsidR="005E6718" w:rsidRPr="00927778" w:rsidRDefault="005E6718" w:rsidP="00C3651B">
            <w:pPr>
              <w:autoSpaceDE w:val="0"/>
              <w:autoSpaceDN w:val="0"/>
              <w:adjustRightInd w:val="0"/>
              <w:rPr>
                <w:color w:val="333333"/>
                <w:szCs w:val="22"/>
                <w:lang w:val="fr-FR"/>
              </w:rPr>
            </w:pPr>
          </w:p>
          <w:p w:rsidR="00EA2C86" w:rsidRPr="00927778" w:rsidRDefault="009752E6" w:rsidP="009752E6">
            <w:pPr>
              <w:autoSpaceDE w:val="0"/>
              <w:autoSpaceDN w:val="0"/>
              <w:adjustRightInd w:val="0"/>
              <w:rPr>
                <w:color w:val="333333"/>
                <w:szCs w:val="22"/>
                <w:lang w:val="fr-FR"/>
              </w:rPr>
            </w:pPr>
            <w:r w:rsidRPr="00927778">
              <w:rPr>
                <w:color w:val="333333"/>
                <w:szCs w:val="22"/>
                <w:lang w:val="fr-FR"/>
              </w:rPr>
              <w:t>Ce projet constituait un suivi du projet relatif à la propriété intellectuelle et au développement socioéconomique (CDIP/5/7</w:t>
            </w:r>
            <w:r w:rsidR="0057466D" w:rsidRPr="00927778">
              <w:rPr>
                <w:color w:val="333333"/>
                <w:szCs w:val="22"/>
                <w:lang w:val="fr-FR"/>
              </w:rPr>
              <w:t> </w:t>
            </w:r>
            <w:r w:rsidRPr="00927778">
              <w:rPr>
                <w:color w:val="333333"/>
                <w:szCs w:val="22"/>
                <w:lang w:val="fr-FR"/>
              </w:rPr>
              <w:t>Rev.1), achevé à la fin de l</w:t>
            </w:r>
            <w:r w:rsidR="00EA2C86" w:rsidRPr="00927778">
              <w:rPr>
                <w:color w:val="333333"/>
                <w:szCs w:val="22"/>
                <w:lang w:val="fr-FR"/>
              </w:rPr>
              <w:t>’</w:t>
            </w:r>
            <w:r w:rsidRPr="00927778">
              <w:rPr>
                <w:color w:val="333333"/>
                <w:szCs w:val="22"/>
                <w:lang w:val="fr-FR"/>
              </w:rPr>
              <w:t>année</w:t>
            </w:r>
            <w:r w:rsidR="00002037" w:rsidRPr="00927778">
              <w:rPr>
                <w:color w:val="333333"/>
                <w:szCs w:val="22"/>
                <w:lang w:val="fr-FR"/>
              </w:rPr>
              <w:t> </w:t>
            </w:r>
            <w:r w:rsidRPr="00927778">
              <w:rPr>
                <w:color w:val="333333"/>
                <w:szCs w:val="22"/>
                <w:lang w:val="fr-FR"/>
              </w:rPr>
              <w:t>2013.</w:t>
            </w:r>
            <w:r w:rsidR="0057466D" w:rsidRPr="00927778">
              <w:rPr>
                <w:color w:val="333333"/>
                <w:szCs w:val="22"/>
                <w:lang w:val="fr-FR"/>
              </w:rPr>
              <w:t xml:space="preserve"> </w:t>
            </w:r>
            <w:r w:rsidR="00063DA0" w:rsidRPr="00927778">
              <w:rPr>
                <w:color w:val="333333"/>
                <w:lang w:val="fr-FR"/>
              </w:rPr>
              <w:t xml:space="preserve"> </w:t>
            </w:r>
            <w:r w:rsidRPr="00927778">
              <w:rPr>
                <w:color w:val="333333"/>
                <w:szCs w:val="22"/>
                <w:lang w:val="fr-FR"/>
              </w:rPr>
              <w:t>Il continuait de servir de projet</w:t>
            </w:r>
            <w:r w:rsidR="00CB5AE0" w:rsidRPr="00927778">
              <w:rPr>
                <w:color w:val="333333"/>
                <w:szCs w:val="22"/>
                <w:lang w:val="fr-FR"/>
              </w:rPr>
              <w:noBreakHyphen/>
            </w:r>
            <w:r w:rsidRPr="00927778">
              <w:rPr>
                <w:color w:val="333333"/>
                <w:szCs w:val="22"/>
                <w:lang w:val="fr-FR"/>
              </w:rPr>
              <w:t>cadre pour des études nationales et régionales visant à réduire le déséquilibre de connaissances auquel sont confrontés les décideurs en ce qui concerne l</w:t>
            </w:r>
            <w:r w:rsidR="00EA2C86" w:rsidRPr="00927778">
              <w:rPr>
                <w:color w:val="333333"/>
                <w:szCs w:val="22"/>
                <w:lang w:val="fr-FR"/>
              </w:rPr>
              <w:t>’</w:t>
            </w:r>
            <w:r w:rsidRPr="00927778">
              <w:rPr>
                <w:color w:val="333333"/>
                <w:szCs w:val="22"/>
                <w:lang w:val="fr-FR"/>
              </w:rPr>
              <w:t>élaboration et la mise en œuvre d</w:t>
            </w:r>
            <w:r w:rsidR="00EA2C86" w:rsidRPr="00927778">
              <w:rPr>
                <w:color w:val="333333"/>
                <w:szCs w:val="22"/>
                <w:lang w:val="fr-FR"/>
              </w:rPr>
              <w:t>’</w:t>
            </w:r>
            <w:r w:rsidRPr="00927778">
              <w:rPr>
                <w:color w:val="333333"/>
                <w:szCs w:val="22"/>
                <w:lang w:val="fr-FR"/>
              </w:rPr>
              <w:t>un régime de propriété intellectuelle favorisant le développement.</w:t>
            </w:r>
          </w:p>
          <w:p w:rsidR="005E6718" w:rsidRPr="00927778" w:rsidRDefault="005E6718" w:rsidP="00C3651B">
            <w:pPr>
              <w:autoSpaceDE w:val="0"/>
              <w:autoSpaceDN w:val="0"/>
              <w:adjustRightInd w:val="0"/>
              <w:rPr>
                <w:color w:val="333333"/>
                <w:szCs w:val="22"/>
                <w:lang w:val="fr-FR"/>
              </w:rPr>
            </w:pPr>
          </w:p>
          <w:p w:rsidR="00EA2C86" w:rsidRPr="00927778" w:rsidRDefault="009752E6" w:rsidP="009752E6">
            <w:pPr>
              <w:rPr>
                <w:color w:val="333333"/>
                <w:szCs w:val="22"/>
                <w:lang w:val="fr-FR"/>
              </w:rPr>
            </w:pPr>
            <w:r w:rsidRPr="00927778">
              <w:rPr>
                <w:color w:val="333333"/>
                <w:szCs w:val="22"/>
                <w:lang w:val="fr-FR"/>
              </w:rPr>
              <w:t>Tout en cherchant à atteindre les mêmes objectifs que le projet initial, la phase</w:t>
            </w:r>
            <w:r w:rsidR="00002037" w:rsidRPr="00927778">
              <w:rPr>
                <w:color w:val="333333"/>
                <w:szCs w:val="22"/>
                <w:lang w:val="fr-FR"/>
              </w:rPr>
              <w:t> </w:t>
            </w:r>
            <w:r w:rsidRPr="00927778">
              <w:rPr>
                <w:color w:val="333333"/>
                <w:szCs w:val="22"/>
                <w:lang w:val="fr-FR"/>
              </w:rPr>
              <w:t>II visait à promouvoir la continuité des recherches entamées lors de la première phase du projet et à étendre l</w:t>
            </w:r>
            <w:r w:rsidR="00EA2C86" w:rsidRPr="00927778">
              <w:rPr>
                <w:color w:val="333333"/>
                <w:szCs w:val="22"/>
                <w:lang w:val="fr-FR"/>
              </w:rPr>
              <w:t>’</w:t>
            </w:r>
            <w:r w:rsidRPr="00927778">
              <w:rPr>
                <w:color w:val="333333"/>
                <w:szCs w:val="22"/>
                <w:lang w:val="fr-FR"/>
              </w:rPr>
              <w:t>étude à de nouveaux pays et régions, et à des sujets non traités au cours de la phase I.</w:t>
            </w:r>
          </w:p>
          <w:p w:rsidR="00F91F66" w:rsidRPr="00927778" w:rsidRDefault="00F91F66" w:rsidP="00C3651B">
            <w:pPr>
              <w:rPr>
                <w:color w:val="333333"/>
                <w:lang w:val="fr-FR"/>
              </w:rPr>
            </w:pPr>
          </w:p>
        </w:tc>
      </w:tr>
    </w:tbl>
    <w:p w:rsidR="00F91F66" w:rsidRPr="00927778" w:rsidRDefault="00F91F66" w:rsidP="00F91F66">
      <w:pPr>
        <w:rPr>
          <w:color w:val="333333"/>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047C22" w:rsidRPr="00927778" w:rsidTr="00C3651B">
        <w:trPr>
          <w:trHeight w:val="484"/>
        </w:trPr>
        <w:tc>
          <w:tcPr>
            <w:tcW w:w="2376" w:type="dxa"/>
            <w:shd w:val="clear" w:color="auto" w:fill="auto"/>
          </w:tcPr>
          <w:p w:rsidR="00F91F66" w:rsidRPr="00927778" w:rsidRDefault="009752E6" w:rsidP="009752E6">
            <w:pPr>
              <w:pStyle w:val="Heading3"/>
              <w:rPr>
                <w:color w:val="333333"/>
                <w:lang w:val="fr-FR"/>
              </w:rPr>
            </w:pPr>
            <w:r w:rsidRPr="00927778">
              <w:rPr>
                <w:color w:val="333333"/>
                <w:lang w:val="fr-FR"/>
              </w:rPr>
              <w:t>Chef de projet</w:t>
            </w:r>
          </w:p>
        </w:tc>
        <w:tc>
          <w:tcPr>
            <w:tcW w:w="6912" w:type="dxa"/>
            <w:vAlign w:val="center"/>
          </w:tcPr>
          <w:p w:rsidR="005E6718" w:rsidRPr="00927778" w:rsidRDefault="005E6718" w:rsidP="00C3651B">
            <w:pPr>
              <w:rPr>
                <w:iCs/>
                <w:color w:val="333333"/>
                <w:lang w:val="fr-FR"/>
              </w:rPr>
            </w:pPr>
          </w:p>
          <w:p w:rsidR="005E6718" w:rsidRPr="00927778" w:rsidRDefault="009752E6" w:rsidP="009752E6">
            <w:pPr>
              <w:rPr>
                <w:iCs/>
                <w:color w:val="333333"/>
                <w:lang w:val="fr-FR"/>
              </w:rPr>
            </w:pPr>
            <w:r w:rsidRPr="00927778">
              <w:rPr>
                <w:iCs/>
                <w:color w:val="333333"/>
                <w:lang w:val="fr-FR"/>
              </w:rPr>
              <w:t>M.</w:t>
            </w:r>
            <w:r w:rsidR="0057466D" w:rsidRPr="00927778">
              <w:rPr>
                <w:iCs/>
                <w:color w:val="333333"/>
                <w:lang w:val="fr-FR"/>
              </w:rPr>
              <w:t> </w:t>
            </w:r>
            <w:r w:rsidRPr="00927778">
              <w:rPr>
                <w:iCs/>
                <w:color w:val="333333"/>
                <w:lang w:val="fr-FR"/>
              </w:rPr>
              <w:t>Carsten Fink</w:t>
            </w:r>
          </w:p>
          <w:p w:rsidR="00F91F66" w:rsidRPr="00927778" w:rsidRDefault="00F91F66" w:rsidP="00C3651B">
            <w:pPr>
              <w:rPr>
                <w:iCs/>
                <w:color w:val="333333"/>
                <w:lang w:val="fr-FR"/>
              </w:rPr>
            </w:pPr>
          </w:p>
        </w:tc>
      </w:tr>
      <w:tr w:rsidR="00047C22" w:rsidRPr="00927778" w:rsidTr="00C3651B">
        <w:trPr>
          <w:trHeight w:val="1165"/>
        </w:trPr>
        <w:tc>
          <w:tcPr>
            <w:tcW w:w="2376" w:type="dxa"/>
            <w:shd w:val="clear" w:color="auto" w:fill="auto"/>
          </w:tcPr>
          <w:p w:rsidR="00EA2C86" w:rsidRPr="00927778" w:rsidRDefault="009752E6" w:rsidP="009752E6">
            <w:pPr>
              <w:pStyle w:val="Heading3"/>
              <w:rPr>
                <w:color w:val="333333"/>
                <w:lang w:val="fr-FR"/>
              </w:rPr>
            </w:pPr>
            <w:r w:rsidRPr="00927778">
              <w:rPr>
                <w:color w:val="333333"/>
                <w:lang w:val="fr-FR"/>
              </w:rPr>
              <w:t>Liens avec les résultats escomptés dans le programme et budget</w:t>
            </w:r>
          </w:p>
          <w:p w:rsidR="00F91F66" w:rsidRPr="00927778" w:rsidDel="00196374" w:rsidRDefault="00F91F66" w:rsidP="00C3651B">
            <w:pPr>
              <w:rPr>
                <w:color w:val="333333"/>
                <w:lang w:val="fr-FR"/>
              </w:rPr>
            </w:pPr>
          </w:p>
        </w:tc>
        <w:tc>
          <w:tcPr>
            <w:tcW w:w="6912" w:type="dxa"/>
          </w:tcPr>
          <w:p w:rsidR="005E6718" w:rsidRPr="00927778" w:rsidRDefault="005E6718" w:rsidP="00C3651B">
            <w:pPr>
              <w:rPr>
                <w:iCs/>
                <w:color w:val="333333"/>
                <w:lang w:val="fr-FR"/>
              </w:rPr>
            </w:pPr>
          </w:p>
          <w:p w:rsidR="00EA2C86" w:rsidRPr="00927778" w:rsidRDefault="009752E6" w:rsidP="009752E6">
            <w:pPr>
              <w:autoSpaceDE w:val="0"/>
              <w:autoSpaceDN w:val="0"/>
              <w:adjustRightInd w:val="0"/>
              <w:rPr>
                <w:color w:val="333333"/>
                <w:szCs w:val="22"/>
                <w:lang w:val="fr-FR"/>
              </w:rPr>
            </w:pPr>
            <w:r w:rsidRPr="00927778">
              <w:rPr>
                <w:color w:val="333333"/>
                <w:szCs w:val="22"/>
                <w:lang w:val="fr-FR"/>
              </w:rPr>
              <w:t>V.2 Utilisation plus large et plus efficace des analyses économiques de l</w:t>
            </w:r>
            <w:r w:rsidR="00EA2C86" w:rsidRPr="00927778">
              <w:rPr>
                <w:color w:val="333333"/>
                <w:szCs w:val="22"/>
                <w:lang w:val="fr-FR"/>
              </w:rPr>
              <w:t>’</w:t>
            </w:r>
            <w:r w:rsidRPr="00927778">
              <w:rPr>
                <w:color w:val="333333"/>
                <w:szCs w:val="22"/>
                <w:lang w:val="fr-FR"/>
              </w:rPr>
              <w:t>OMPI aux fins de l</w:t>
            </w:r>
            <w:r w:rsidR="00EA2C86" w:rsidRPr="00927778">
              <w:rPr>
                <w:color w:val="333333"/>
                <w:szCs w:val="22"/>
                <w:lang w:val="fr-FR"/>
              </w:rPr>
              <w:t>’</w:t>
            </w:r>
            <w:r w:rsidRPr="00927778">
              <w:rPr>
                <w:color w:val="333333"/>
                <w:szCs w:val="22"/>
                <w:lang w:val="fr-FR"/>
              </w:rPr>
              <w:t>élaboration des politiques</w:t>
            </w:r>
          </w:p>
          <w:p w:rsidR="00F91F66" w:rsidRPr="00927778" w:rsidDel="00196374" w:rsidRDefault="00F91F66" w:rsidP="00C3651B">
            <w:pPr>
              <w:rPr>
                <w:b/>
                <w:iCs/>
                <w:color w:val="333333"/>
                <w:lang w:val="fr-FR"/>
              </w:rPr>
            </w:pPr>
          </w:p>
        </w:tc>
      </w:tr>
      <w:tr w:rsidR="00047C22" w:rsidRPr="00927778" w:rsidTr="00C3651B">
        <w:trPr>
          <w:trHeight w:val="1735"/>
        </w:trPr>
        <w:tc>
          <w:tcPr>
            <w:tcW w:w="2376" w:type="dxa"/>
            <w:shd w:val="clear" w:color="auto" w:fill="auto"/>
          </w:tcPr>
          <w:p w:rsidR="005E6718" w:rsidRPr="00927778" w:rsidRDefault="005E6718" w:rsidP="00C3651B">
            <w:pPr>
              <w:rPr>
                <w:rFonts w:eastAsia="SimSun"/>
                <w:bCs/>
                <w:color w:val="333333"/>
                <w:szCs w:val="26"/>
                <w:u w:val="single"/>
                <w:lang w:val="fr-FR"/>
              </w:rPr>
            </w:pPr>
          </w:p>
          <w:p w:rsidR="00F91F66" w:rsidRPr="00927778" w:rsidRDefault="009752E6" w:rsidP="009752E6">
            <w:pPr>
              <w:rPr>
                <w:color w:val="333333"/>
                <w:lang w:val="fr-FR"/>
              </w:rPr>
            </w:pPr>
            <w:r w:rsidRPr="00927778">
              <w:rPr>
                <w:color w:val="333333"/>
                <w:u w:val="single"/>
                <w:lang w:val="fr-FR"/>
              </w:rPr>
              <w:t>État d</w:t>
            </w:r>
            <w:r w:rsidR="00EA2C86" w:rsidRPr="00927778">
              <w:rPr>
                <w:color w:val="333333"/>
                <w:u w:val="single"/>
                <w:lang w:val="fr-FR"/>
              </w:rPr>
              <w:t>’</w:t>
            </w:r>
            <w:r w:rsidRPr="00927778">
              <w:rPr>
                <w:color w:val="333333"/>
                <w:u w:val="single"/>
                <w:lang w:val="fr-FR"/>
              </w:rPr>
              <w:t>avancement du projet</w:t>
            </w:r>
          </w:p>
        </w:tc>
        <w:tc>
          <w:tcPr>
            <w:tcW w:w="6912" w:type="dxa"/>
          </w:tcPr>
          <w:p w:rsidR="005E6718" w:rsidRPr="00927778" w:rsidRDefault="005E6718" w:rsidP="00C3651B">
            <w:pPr>
              <w:rPr>
                <w:color w:val="333333"/>
                <w:lang w:val="fr-FR"/>
              </w:rPr>
            </w:pPr>
          </w:p>
          <w:p w:rsidR="00EA2C86" w:rsidRPr="00927778" w:rsidRDefault="00B65E72" w:rsidP="00C3651B">
            <w:pPr>
              <w:rPr>
                <w:color w:val="333333"/>
                <w:lang w:val="fr-FR"/>
              </w:rPr>
            </w:pPr>
            <w:r w:rsidRPr="00927778">
              <w:rPr>
                <w:color w:val="333333"/>
                <w:lang w:val="fr-FR"/>
              </w:rPr>
              <w:t>Toutes les études nationales et régionales ont été réalisées comme prévu au dépa</w:t>
            </w:r>
            <w:r w:rsidR="00306E74" w:rsidRPr="00927778">
              <w:rPr>
                <w:color w:val="333333"/>
                <w:lang w:val="fr-FR"/>
              </w:rPr>
              <w:t>rt.  Le</w:t>
            </w:r>
            <w:r w:rsidRPr="00927778">
              <w:rPr>
                <w:color w:val="333333"/>
                <w:lang w:val="fr-FR"/>
              </w:rPr>
              <w:t xml:space="preserve">s </w:t>
            </w:r>
            <w:r w:rsidR="004817B6" w:rsidRPr="00927778">
              <w:rPr>
                <w:color w:val="333333"/>
                <w:lang w:val="fr-FR"/>
              </w:rPr>
              <w:t>résultats clé</w:t>
            </w:r>
            <w:r w:rsidR="00782DCC" w:rsidRPr="00927778">
              <w:rPr>
                <w:color w:val="333333"/>
                <w:lang w:val="fr-FR"/>
              </w:rPr>
              <w:t xml:space="preserve">s </w:t>
            </w:r>
            <w:r w:rsidRPr="00927778">
              <w:rPr>
                <w:color w:val="333333"/>
                <w:lang w:val="fr-FR"/>
              </w:rPr>
              <w:t>de chaque étude sont résumés ci</w:t>
            </w:r>
            <w:r w:rsidR="00CB5AE0" w:rsidRPr="00927778">
              <w:rPr>
                <w:color w:val="333333"/>
                <w:lang w:val="fr-FR"/>
              </w:rPr>
              <w:noBreakHyphen/>
            </w:r>
            <w:r w:rsidRPr="00927778">
              <w:rPr>
                <w:color w:val="333333"/>
                <w:lang w:val="fr-FR"/>
              </w:rPr>
              <w:t>après</w:t>
            </w:r>
            <w:r w:rsidR="00EA2C86" w:rsidRPr="00927778">
              <w:rPr>
                <w:color w:val="333333"/>
                <w:lang w:val="fr-FR"/>
              </w:rPr>
              <w:t> :</w:t>
            </w:r>
          </w:p>
          <w:p w:rsidR="005E6718" w:rsidRPr="00927778" w:rsidRDefault="005E6718" w:rsidP="00C3651B">
            <w:pPr>
              <w:rPr>
                <w:color w:val="333333"/>
                <w:lang w:val="fr-FR"/>
              </w:rPr>
            </w:pPr>
          </w:p>
          <w:p w:rsidR="005E6718" w:rsidRPr="00927778" w:rsidRDefault="009752E6" w:rsidP="009752E6">
            <w:pPr>
              <w:rPr>
                <w:rFonts w:eastAsia="SimSun"/>
                <w:bCs/>
                <w:color w:val="333333"/>
                <w:szCs w:val="26"/>
                <w:u w:val="single"/>
                <w:lang w:val="fr-FR"/>
              </w:rPr>
            </w:pPr>
            <w:r w:rsidRPr="00927778">
              <w:rPr>
                <w:rFonts w:eastAsia="SimSun"/>
                <w:bCs/>
                <w:color w:val="333333"/>
                <w:szCs w:val="26"/>
                <w:u w:val="single"/>
                <w:lang w:val="fr-FR"/>
              </w:rPr>
              <w:t>Colombie</w:t>
            </w:r>
          </w:p>
          <w:p w:rsidR="00EA2C86" w:rsidRPr="00927778" w:rsidRDefault="009752E6" w:rsidP="009752E6">
            <w:pPr>
              <w:rPr>
                <w:color w:val="333333"/>
                <w:lang w:val="fr-FR"/>
              </w:rPr>
            </w:pPr>
            <w:r w:rsidRPr="00927778">
              <w:rPr>
                <w:color w:val="333333"/>
                <w:lang w:val="fr-FR"/>
              </w:rPr>
              <w:t>Comme indiqué dans les documents CDIP/16/2, CDIP/18/2 et CDIP/20/2, l</w:t>
            </w:r>
            <w:r w:rsidR="00EA2C86" w:rsidRPr="00927778">
              <w:rPr>
                <w:color w:val="333333"/>
                <w:lang w:val="fr-FR"/>
              </w:rPr>
              <w:t>’</w:t>
            </w:r>
            <w:r w:rsidRPr="00927778">
              <w:rPr>
                <w:color w:val="333333"/>
                <w:lang w:val="fr-FR"/>
              </w:rPr>
              <w:t>étude menée en Colombie comprenait la création d</w:t>
            </w:r>
            <w:r w:rsidR="00EA2C86" w:rsidRPr="00927778">
              <w:rPr>
                <w:color w:val="333333"/>
                <w:lang w:val="fr-FR"/>
              </w:rPr>
              <w:t>’</w:t>
            </w:r>
            <w:r w:rsidRPr="00927778">
              <w:rPr>
                <w:color w:val="333333"/>
                <w:lang w:val="fr-FR"/>
              </w:rPr>
              <w:t>une base de données sur l</w:t>
            </w:r>
            <w:r w:rsidR="00EA2C86" w:rsidRPr="00927778">
              <w:rPr>
                <w:color w:val="333333"/>
                <w:lang w:val="fr-FR"/>
              </w:rPr>
              <w:t>’</w:t>
            </w:r>
            <w:r w:rsidRPr="00927778">
              <w:rPr>
                <w:color w:val="333333"/>
                <w:lang w:val="fr-FR"/>
              </w:rPr>
              <w:t>enregistrement d</w:t>
            </w:r>
            <w:r w:rsidR="00EA2C86" w:rsidRPr="00927778">
              <w:rPr>
                <w:color w:val="333333"/>
                <w:lang w:val="fr-FR"/>
              </w:rPr>
              <w:t>’</w:t>
            </w:r>
            <w:r w:rsidRPr="00927778">
              <w:rPr>
                <w:color w:val="333333"/>
                <w:lang w:val="fr-FR"/>
              </w:rPr>
              <w:t>actifs de propriété intellectuelle à des fins d</w:t>
            </w:r>
            <w:r w:rsidR="00EA2C86" w:rsidRPr="00927778">
              <w:rPr>
                <w:color w:val="333333"/>
                <w:lang w:val="fr-FR"/>
              </w:rPr>
              <w:t>’</w:t>
            </w:r>
            <w:r w:rsidRPr="00927778">
              <w:rPr>
                <w:color w:val="333333"/>
                <w:lang w:val="fr-FR"/>
              </w:rPr>
              <w:t>analyse économique, une analyse de l</w:t>
            </w:r>
            <w:r w:rsidR="00EA2C86" w:rsidRPr="00927778">
              <w:rPr>
                <w:color w:val="333333"/>
                <w:lang w:val="fr-FR"/>
              </w:rPr>
              <w:t>’</w:t>
            </w:r>
            <w:r w:rsidRPr="00927778">
              <w:rPr>
                <w:color w:val="333333"/>
                <w:lang w:val="fr-FR"/>
              </w:rPr>
              <w:t>utilisation de la propriété intellectuelle en Colombie et une évaluation empirique des récentes initiatives relatives à la politique en matière de propriété intellectuel</w:t>
            </w:r>
            <w:r w:rsidR="00306E74" w:rsidRPr="00927778">
              <w:rPr>
                <w:color w:val="333333"/>
                <w:lang w:val="fr-FR"/>
              </w:rPr>
              <w:t>le.  Le</w:t>
            </w:r>
            <w:r w:rsidR="00EB7FA7" w:rsidRPr="00927778">
              <w:rPr>
                <w:color w:val="333333"/>
                <w:lang w:val="fr-FR"/>
              </w:rPr>
              <w:t>s résultats de l</w:t>
            </w:r>
            <w:r w:rsidR="00EA2C86" w:rsidRPr="00927778">
              <w:rPr>
                <w:color w:val="333333"/>
                <w:lang w:val="fr-FR"/>
              </w:rPr>
              <w:t>’</w:t>
            </w:r>
            <w:r w:rsidR="00EB7FA7" w:rsidRPr="00927778">
              <w:rPr>
                <w:color w:val="333333"/>
                <w:lang w:val="fr-FR"/>
              </w:rPr>
              <w:t>étude ont été présentés aux États membres à l</w:t>
            </w:r>
            <w:r w:rsidR="00EA2C86" w:rsidRPr="00927778">
              <w:rPr>
                <w:color w:val="333333"/>
                <w:lang w:val="fr-FR"/>
              </w:rPr>
              <w:t>’</w:t>
            </w:r>
            <w:r w:rsidR="00EB7FA7" w:rsidRPr="00927778">
              <w:rPr>
                <w:color w:val="333333"/>
                <w:lang w:val="fr-FR"/>
              </w:rPr>
              <w:t>occasion de la vingt</w:t>
            </w:r>
            <w:r w:rsidR="00EA2C86" w:rsidRPr="00927778">
              <w:rPr>
                <w:color w:val="333333"/>
                <w:lang w:val="fr-FR"/>
              </w:rPr>
              <w:t>ième session du C</w:t>
            </w:r>
            <w:r w:rsidR="00306E74" w:rsidRPr="00927778">
              <w:rPr>
                <w:color w:val="333333"/>
                <w:lang w:val="fr-FR"/>
              </w:rPr>
              <w:t>DIP.  Le</w:t>
            </w:r>
            <w:r w:rsidR="00EB7FA7" w:rsidRPr="00927778">
              <w:rPr>
                <w:color w:val="333333"/>
                <w:lang w:val="fr-FR"/>
              </w:rPr>
              <w:t xml:space="preserve"> résumé de l</w:t>
            </w:r>
            <w:r w:rsidR="00EA2C86" w:rsidRPr="00927778">
              <w:rPr>
                <w:color w:val="333333"/>
                <w:lang w:val="fr-FR"/>
              </w:rPr>
              <w:t>’</w:t>
            </w:r>
            <w:r w:rsidR="00EB7FA7" w:rsidRPr="00927778">
              <w:rPr>
                <w:color w:val="333333"/>
                <w:lang w:val="fr-FR"/>
              </w:rPr>
              <w:t xml:space="preserve">étude </w:t>
            </w:r>
            <w:r w:rsidR="00BF5BFB" w:rsidRPr="00927778">
              <w:rPr>
                <w:color w:val="333333"/>
                <w:lang w:val="fr-FR"/>
              </w:rPr>
              <w:t>figure</w:t>
            </w:r>
            <w:r w:rsidR="00EB7FA7" w:rsidRPr="00927778">
              <w:rPr>
                <w:color w:val="333333"/>
                <w:lang w:val="fr-FR"/>
              </w:rPr>
              <w:t xml:space="preserve"> dans le document</w:t>
            </w:r>
            <w:r w:rsidR="00CB5AE0" w:rsidRPr="00927778">
              <w:rPr>
                <w:color w:val="333333"/>
                <w:lang w:val="fr-FR"/>
              </w:rPr>
              <w:t> </w:t>
            </w:r>
            <w:r w:rsidR="00F91F66" w:rsidRPr="00927778">
              <w:rPr>
                <w:color w:val="333333"/>
                <w:lang w:val="fr-FR"/>
              </w:rPr>
              <w:t>CDIP/20/INF/2.</w:t>
            </w:r>
          </w:p>
          <w:p w:rsidR="005E6718" w:rsidRPr="00927778" w:rsidRDefault="005E6718" w:rsidP="00C3651B">
            <w:pPr>
              <w:rPr>
                <w:color w:val="333333"/>
                <w:lang w:val="fr-FR"/>
              </w:rPr>
            </w:pPr>
          </w:p>
          <w:p w:rsidR="005E6718" w:rsidRPr="00927778" w:rsidRDefault="009752E6" w:rsidP="009752E6">
            <w:pPr>
              <w:rPr>
                <w:rFonts w:eastAsia="SimSun"/>
                <w:bCs/>
                <w:color w:val="333333"/>
                <w:szCs w:val="26"/>
                <w:u w:val="single"/>
                <w:lang w:val="fr-FR"/>
              </w:rPr>
            </w:pPr>
            <w:r w:rsidRPr="00927778">
              <w:rPr>
                <w:rFonts w:eastAsia="SimSun"/>
                <w:bCs/>
                <w:color w:val="333333"/>
                <w:szCs w:val="26"/>
                <w:u w:val="single"/>
                <w:lang w:val="fr-FR"/>
              </w:rPr>
              <w:t>Pologne</w:t>
            </w:r>
          </w:p>
          <w:p w:rsidR="005E6718" w:rsidRPr="00927778" w:rsidRDefault="009752E6" w:rsidP="009752E6">
            <w:pPr>
              <w:rPr>
                <w:color w:val="333333"/>
                <w:lang w:val="fr-FR"/>
              </w:rPr>
            </w:pPr>
            <w:r w:rsidRPr="00927778">
              <w:rPr>
                <w:color w:val="333333"/>
                <w:lang w:val="fr-FR"/>
              </w:rPr>
              <w:t>Comme indiqué dans les documents</w:t>
            </w:r>
            <w:r w:rsidR="00CB5AE0" w:rsidRPr="00927778">
              <w:rPr>
                <w:color w:val="333333"/>
                <w:lang w:val="fr-FR"/>
              </w:rPr>
              <w:t> </w:t>
            </w:r>
            <w:r w:rsidRPr="00927778">
              <w:rPr>
                <w:color w:val="333333"/>
                <w:lang w:val="fr-FR"/>
              </w:rPr>
              <w:t>CDIP/16/2, CDIP/18/2 et CDIP/20/2, l</w:t>
            </w:r>
            <w:r w:rsidR="00EA2C86" w:rsidRPr="00927778">
              <w:rPr>
                <w:color w:val="333333"/>
                <w:lang w:val="fr-FR"/>
              </w:rPr>
              <w:t>’</w:t>
            </w:r>
            <w:r w:rsidRPr="00927778">
              <w:rPr>
                <w:color w:val="333333"/>
                <w:lang w:val="fr-FR"/>
              </w:rPr>
              <w:t>étude menée en Pologne avait pour but d</w:t>
            </w:r>
            <w:r w:rsidR="00EA2C86" w:rsidRPr="00927778">
              <w:rPr>
                <w:color w:val="333333"/>
                <w:lang w:val="fr-FR"/>
              </w:rPr>
              <w:t>’</w:t>
            </w:r>
            <w:r w:rsidRPr="00927778">
              <w:rPr>
                <w:color w:val="333333"/>
                <w:lang w:val="fr-FR"/>
              </w:rPr>
              <w:t>examiner le rôle du système de propriété intellectuelle relatif à l</w:t>
            </w:r>
            <w:r w:rsidR="00EA2C86" w:rsidRPr="00927778">
              <w:rPr>
                <w:color w:val="333333"/>
                <w:lang w:val="fr-FR"/>
              </w:rPr>
              <w:t>’</w:t>
            </w:r>
            <w:r w:rsidRPr="00927778">
              <w:rPr>
                <w:color w:val="333333"/>
                <w:lang w:val="fr-FR"/>
              </w:rPr>
              <w:t>innovation dans le secteur de la san</w:t>
            </w:r>
            <w:r w:rsidR="00306E74" w:rsidRPr="00927778">
              <w:rPr>
                <w:color w:val="333333"/>
                <w:lang w:val="fr-FR"/>
              </w:rPr>
              <w:t>té.  Da</w:t>
            </w:r>
            <w:r w:rsidRPr="00927778">
              <w:rPr>
                <w:color w:val="333333"/>
                <w:lang w:val="fr-FR"/>
              </w:rPr>
              <w:t>ns le cadre de la mise en œuvre de l</w:t>
            </w:r>
            <w:r w:rsidR="00EA2C86" w:rsidRPr="00927778">
              <w:rPr>
                <w:color w:val="333333"/>
                <w:lang w:val="fr-FR"/>
              </w:rPr>
              <w:t>’</w:t>
            </w:r>
            <w:r w:rsidRPr="00927778">
              <w:rPr>
                <w:color w:val="333333"/>
                <w:lang w:val="fr-FR"/>
              </w:rPr>
              <w:t>étude, un atelier de niveau intermédiaire s</w:t>
            </w:r>
            <w:r w:rsidR="00EA2C86" w:rsidRPr="00927778">
              <w:rPr>
                <w:color w:val="333333"/>
                <w:lang w:val="fr-FR"/>
              </w:rPr>
              <w:t>’</w:t>
            </w:r>
            <w:r w:rsidRPr="00927778">
              <w:rPr>
                <w:color w:val="333333"/>
                <w:lang w:val="fr-FR"/>
              </w:rPr>
              <w:t xml:space="preserve">est tenu à Cracovie en </w:t>
            </w:r>
            <w:r w:rsidR="00EA2C86" w:rsidRPr="00927778">
              <w:rPr>
                <w:color w:val="333333"/>
                <w:lang w:val="fr-FR"/>
              </w:rPr>
              <w:t>septembre 20</w:t>
            </w:r>
            <w:r w:rsidRPr="00927778">
              <w:rPr>
                <w:color w:val="333333"/>
                <w:lang w:val="fr-FR"/>
              </w:rPr>
              <w:t>16.</w:t>
            </w:r>
            <w:r w:rsidR="00063DA0" w:rsidRPr="00927778">
              <w:rPr>
                <w:color w:val="333333"/>
                <w:lang w:val="fr-FR"/>
              </w:rPr>
              <w:t xml:space="preserve"> </w:t>
            </w:r>
            <w:r w:rsidR="0057466D" w:rsidRPr="00927778">
              <w:rPr>
                <w:color w:val="333333"/>
                <w:lang w:val="fr-FR"/>
              </w:rPr>
              <w:t xml:space="preserve"> </w:t>
            </w:r>
            <w:r w:rsidRPr="00927778">
              <w:rPr>
                <w:color w:val="333333"/>
                <w:lang w:val="fr-FR"/>
              </w:rPr>
              <w:t>Son principal objectif était d</w:t>
            </w:r>
            <w:r w:rsidR="00EA2C86" w:rsidRPr="00927778">
              <w:rPr>
                <w:color w:val="333333"/>
                <w:lang w:val="fr-FR"/>
              </w:rPr>
              <w:t>’</w:t>
            </w:r>
            <w:r w:rsidRPr="00927778">
              <w:rPr>
                <w:color w:val="333333"/>
                <w:lang w:val="fr-FR"/>
              </w:rPr>
              <w:t>impliquer les parties prenantes majeures du secteur de la santé en discutant les premiers résultats de l</w:t>
            </w:r>
            <w:r w:rsidR="00EA2C86" w:rsidRPr="00927778">
              <w:rPr>
                <w:color w:val="333333"/>
                <w:lang w:val="fr-FR"/>
              </w:rPr>
              <w:t>’</w:t>
            </w:r>
            <w:r w:rsidRPr="00927778">
              <w:rPr>
                <w:color w:val="333333"/>
                <w:lang w:val="fr-FR"/>
              </w:rPr>
              <w:t>étu</w:t>
            </w:r>
            <w:r w:rsidR="00306E74" w:rsidRPr="00927778">
              <w:rPr>
                <w:color w:val="333333"/>
                <w:lang w:val="fr-FR"/>
              </w:rPr>
              <w:t>de.  To</w:t>
            </w:r>
            <w:r w:rsidRPr="00927778">
              <w:rPr>
                <w:color w:val="333333"/>
                <w:lang w:val="fr-FR"/>
              </w:rPr>
              <w:t>utefois, le projet a pris du retard car il fallait remplacer le principal consultant en commun accord avec l</w:t>
            </w:r>
            <w:r w:rsidR="00EA2C86" w:rsidRPr="00927778">
              <w:rPr>
                <w:color w:val="333333"/>
                <w:lang w:val="fr-FR"/>
              </w:rPr>
              <w:t>’</w:t>
            </w:r>
            <w:r w:rsidRPr="00927778">
              <w:rPr>
                <w:color w:val="333333"/>
                <w:lang w:val="fr-FR"/>
              </w:rPr>
              <w:t>office polonais des breve</w:t>
            </w:r>
            <w:r w:rsidR="00306E74" w:rsidRPr="00927778">
              <w:rPr>
                <w:color w:val="333333"/>
                <w:lang w:val="fr-FR"/>
              </w:rPr>
              <w:t>ts.  Le</w:t>
            </w:r>
            <w:r w:rsidR="00917FCE" w:rsidRPr="00927778">
              <w:rPr>
                <w:color w:val="333333"/>
                <w:lang w:val="fr-FR"/>
              </w:rPr>
              <w:t>s résultats de l</w:t>
            </w:r>
            <w:r w:rsidR="00EA2C86" w:rsidRPr="00927778">
              <w:rPr>
                <w:color w:val="333333"/>
                <w:lang w:val="fr-FR"/>
              </w:rPr>
              <w:t>’</w:t>
            </w:r>
            <w:r w:rsidR="00917FCE" w:rsidRPr="00927778">
              <w:rPr>
                <w:color w:val="333333"/>
                <w:lang w:val="fr-FR"/>
              </w:rPr>
              <w:t>étude seront présentés aux États membres à l</w:t>
            </w:r>
            <w:r w:rsidR="00EA2C86" w:rsidRPr="00927778">
              <w:rPr>
                <w:color w:val="333333"/>
                <w:lang w:val="fr-FR"/>
              </w:rPr>
              <w:t>’</w:t>
            </w:r>
            <w:r w:rsidR="00917FCE" w:rsidRPr="00927778">
              <w:rPr>
                <w:color w:val="333333"/>
                <w:lang w:val="fr-FR"/>
              </w:rPr>
              <w:t>occasion de la vingt</w:t>
            </w:r>
            <w:r w:rsidR="00CB5AE0" w:rsidRPr="00927778">
              <w:rPr>
                <w:color w:val="333333"/>
                <w:lang w:val="fr-FR"/>
              </w:rPr>
              <w:noBreakHyphen/>
            </w:r>
            <w:r w:rsidR="00917FCE" w:rsidRPr="00927778">
              <w:rPr>
                <w:color w:val="333333"/>
                <w:lang w:val="fr-FR"/>
              </w:rPr>
              <w:t>deux</w:t>
            </w:r>
            <w:r w:rsidR="00EA2C86" w:rsidRPr="00927778">
              <w:rPr>
                <w:color w:val="333333"/>
                <w:lang w:val="fr-FR"/>
              </w:rPr>
              <w:t>ième session du CDI</w:t>
            </w:r>
            <w:r w:rsidR="00917FCE" w:rsidRPr="00927778">
              <w:rPr>
                <w:color w:val="333333"/>
                <w:lang w:val="fr-FR"/>
              </w:rPr>
              <w:t>P.</w:t>
            </w:r>
          </w:p>
          <w:p w:rsidR="005E6718" w:rsidRPr="00927778" w:rsidRDefault="005E6718" w:rsidP="00C3651B">
            <w:pPr>
              <w:rPr>
                <w:color w:val="333333"/>
                <w:lang w:val="fr-FR"/>
              </w:rPr>
            </w:pPr>
          </w:p>
          <w:p w:rsidR="005E6718" w:rsidRPr="00927778" w:rsidRDefault="009752E6" w:rsidP="009752E6">
            <w:pPr>
              <w:rPr>
                <w:color w:val="333333"/>
                <w:u w:val="single"/>
                <w:lang w:val="fr-FR"/>
              </w:rPr>
            </w:pPr>
            <w:r w:rsidRPr="00927778">
              <w:rPr>
                <w:color w:val="333333"/>
                <w:u w:val="single"/>
                <w:lang w:val="fr-FR"/>
              </w:rPr>
              <w:t>ASEAN</w:t>
            </w:r>
          </w:p>
          <w:p w:rsidR="00EA2C86" w:rsidRPr="00927778" w:rsidRDefault="00C41039" w:rsidP="00173A27">
            <w:pPr>
              <w:rPr>
                <w:color w:val="333333"/>
                <w:lang w:val="fr-FR"/>
              </w:rPr>
            </w:pPr>
            <w:r w:rsidRPr="00927778">
              <w:rPr>
                <w:color w:val="333333"/>
                <w:lang w:val="fr-FR"/>
              </w:rPr>
              <w:t>Cette étude visait à cerner le rôle des dessins et modèles industriels dans trois</w:t>
            </w:r>
            <w:r w:rsidR="0057466D" w:rsidRPr="00927778">
              <w:rPr>
                <w:color w:val="333333"/>
                <w:lang w:val="fr-FR"/>
              </w:rPr>
              <w:t> </w:t>
            </w:r>
            <w:r w:rsidRPr="00927778">
              <w:rPr>
                <w:color w:val="333333"/>
                <w:lang w:val="fr-FR"/>
              </w:rPr>
              <w:t>pays d</w:t>
            </w:r>
            <w:r w:rsidR="00EA2C86" w:rsidRPr="00927778">
              <w:rPr>
                <w:color w:val="333333"/>
                <w:lang w:val="fr-FR"/>
              </w:rPr>
              <w:t>’</w:t>
            </w:r>
            <w:r w:rsidRPr="00927778">
              <w:rPr>
                <w:color w:val="333333"/>
                <w:lang w:val="fr-FR"/>
              </w:rPr>
              <w:t>Asie du Sud</w:t>
            </w:r>
            <w:r w:rsidR="00CB5AE0" w:rsidRPr="00927778">
              <w:rPr>
                <w:color w:val="333333"/>
                <w:lang w:val="fr-FR"/>
              </w:rPr>
              <w:noBreakHyphen/>
            </w:r>
            <w:r w:rsidRPr="00927778">
              <w:rPr>
                <w:color w:val="333333"/>
                <w:lang w:val="fr-FR"/>
              </w:rPr>
              <w:t xml:space="preserve">Est, </w:t>
            </w:r>
            <w:r w:rsidR="00EA2C86" w:rsidRPr="00927778">
              <w:rPr>
                <w:color w:val="333333"/>
                <w:lang w:val="fr-FR"/>
              </w:rPr>
              <w:t>à savoir</w:t>
            </w:r>
            <w:r w:rsidRPr="00927778">
              <w:rPr>
                <w:color w:val="333333"/>
                <w:lang w:val="fr-FR"/>
              </w:rPr>
              <w:t xml:space="preserve"> l</w:t>
            </w:r>
            <w:r w:rsidR="00EA2C86" w:rsidRPr="00927778">
              <w:rPr>
                <w:color w:val="333333"/>
                <w:lang w:val="fr-FR"/>
              </w:rPr>
              <w:t>’</w:t>
            </w:r>
            <w:r w:rsidRPr="00927778">
              <w:rPr>
                <w:color w:val="333333"/>
                <w:lang w:val="fr-FR"/>
              </w:rPr>
              <w:t>Indonésie, les Philippines et la Thaïlan</w:t>
            </w:r>
            <w:r w:rsidR="00306E74" w:rsidRPr="00927778">
              <w:rPr>
                <w:color w:val="333333"/>
                <w:lang w:val="fr-FR"/>
              </w:rPr>
              <w:t>de.  El</w:t>
            </w:r>
            <w:r w:rsidR="008C5387" w:rsidRPr="00927778">
              <w:rPr>
                <w:color w:val="333333"/>
                <w:lang w:val="fr-FR"/>
              </w:rPr>
              <w:t>le</w:t>
            </w:r>
            <w:r w:rsidR="00173A27" w:rsidRPr="00927778">
              <w:rPr>
                <w:color w:val="333333"/>
                <w:lang w:val="fr-FR"/>
              </w:rPr>
              <w:t xml:space="preserve"> consistait essentiellement en une enquête à grande échelle sur les déposants de dessins et modèles industrie</w:t>
            </w:r>
            <w:r w:rsidR="00306E74" w:rsidRPr="00927778">
              <w:rPr>
                <w:color w:val="333333"/>
                <w:lang w:val="fr-FR"/>
              </w:rPr>
              <w:t>ls.  Te</w:t>
            </w:r>
            <w:r w:rsidR="00244D01" w:rsidRPr="00927778">
              <w:rPr>
                <w:color w:val="333333"/>
                <w:lang w:val="fr-FR"/>
              </w:rPr>
              <w:t xml:space="preserve">l que précédemment </w:t>
            </w:r>
            <w:r w:rsidR="000343D3" w:rsidRPr="00927778">
              <w:rPr>
                <w:color w:val="333333"/>
                <w:lang w:val="fr-FR"/>
              </w:rPr>
              <w:t>indiqué</w:t>
            </w:r>
            <w:r w:rsidR="00244D01" w:rsidRPr="00927778">
              <w:rPr>
                <w:color w:val="333333"/>
                <w:lang w:val="fr-FR"/>
              </w:rPr>
              <w:t xml:space="preserve"> dans les documents</w:t>
            </w:r>
            <w:r w:rsidR="00CB5AE0" w:rsidRPr="00927778">
              <w:rPr>
                <w:color w:val="333333"/>
                <w:lang w:val="fr-FR"/>
              </w:rPr>
              <w:t> </w:t>
            </w:r>
            <w:r w:rsidR="00F91F66" w:rsidRPr="00927778">
              <w:rPr>
                <w:color w:val="333333"/>
                <w:lang w:val="fr-FR"/>
              </w:rPr>
              <w:t xml:space="preserve">CDIP/18/2 </w:t>
            </w:r>
            <w:r w:rsidR="00244D01" w:rsidRPr="00927778">
              <w:rPr>
                <w:color w:val="333333"/>
                <w:lang w:val="fr-FR"/>
              </w:rPr>
              <w:t>et</w:t>
            </w:r>
            <w:r w:rsidR="00F91F66" w:rsidRPr="00927778">
              <w:rPr>
                <w:color w:val="333333"/>
                <w:lang w:val="fr-FR"/>
              </w:rPr>
              <w:t xml:space="preserve"> CDIP/20/2,</w:t>
            </w:r>
            <w:r w:rsidR="00610223" w:rsidRPr="00927778">
              <w:rPr>
                <w:color w:val="333333"/>
                <w:lang w:val="fr-FR"/>
              </w:rPr>
              <w:t xml:space="preserve"> des missions d</w:t>
            </w:r>
            <w:r w:rsidR="00EA2C86" w:rsidRPr="00927778">
              <w:rPr>
                <w:color w:val="333333"/>
                <w:lang w:val="fr-FR"/>
              </w:rPr>
              <w:t>’</w:t>
            </w:r>
            <w:r w:rsidR="00610223" w:rsidRPr="00927778">
              <w:rPr>
                <w:color w:val="333333"/>
                <w:lang w:val="fr-FR"/>
              </w:rPr>
              <w:t>enquête ont été diligentées</w:t>
            </w:r>
            <w:r w:rsidR="00F91F66" w:rsidRPr="00927778">
              <w:rPr>
                <w:color w:val="333333"/>
                <w:lang w:val="fr-FR"/>
              </w:rPr>
              <w:t xml:space="preserve"> </w:t>
            </w:r>
            <w:r w:rsidR="00610223" w:rsidRPr="00927778">
              <w:rPr>
                <w:color w:val="333333"/>
                <w:lang w:val="fr-FR"/>
              </w:rPr>
              <w:t>dans les deux</w:t>
            </w:r>
            <w:r w:rsidR="0057466D" w:rsidRPr="00927778">
              <w:rPr>
                <w:color w:val="333333"/>
                <w:lang w:val="fr-FR"/>
              </w:rPr>
              <w:t> </w:t>
            </w:r>
            <w:r w:rsidR="00610223" w:rsidRPr="00927778">
              <w:rPr>
                <w:color w:val="333333"/>
                <w:lang w:val="fr-FR"/>
              </w:rPr>
              <w:t xml:space="preserve">derniers pays en </w:t>
            </w:r>
            <w:r w:rsidR="00EA2C86" w:rsidRPr="00927778">
              <w:rPr>
                <w:color w:val="333333"/>
                <w:lang w:val="fr-FR"/>
              </w:rPr>
              <w:t>juin 20</w:t>
            </w:r>
            <w:r w:rsidR="00610223" w:rsidRPr="00927778">
              <w:rPr>
                <w:color w:val="333333"/>
                <w:lang w:val="fr-FR"/>
              </w:rPr>
              <w:t xml:space="preserve">16 et en Indonésie en </w:t>
            </w:r>
            <w:r w:rsidR="00EA2C86" w:rsidRPr="00927778">
              <w:rPr>
                <w:color w:val="333333"/>
                <w:lang w:val="fr-FR"/>
              </w:rPr>
              <w:t>mars 20</w:t>
            </w:r>
            <w:r w:rsidR="00610223" w:rsidRPr="00927778">
              <w:rPr>
                <w:color w:val="333333"/>
                <w:lang w:val="fr-FR"/>
              </w:rPr>
              <w:t xml:space="preserve">17. </w:t>
            </w:r>
            <w:r w:rsidR="0057466D" w:rsidRPr="00927778">
              <w:rPr>
                <w:color w:val="333333"/>
                <w:lang w:val="fr-FR"/>
              </w:rPr>
              <w:t xml:space="preserve"> </w:t>
            </w:r>
            <w:r w:rsidR="00D11D29" w:rsidRPr="00927778">
              <w:rPr>
                <w:color w:val="333333"/>
                <w:lang w:val="fr-FR"/>
              </w:rPr>
              <w:t>Les enquêtes se sont donc déroulées dans ces trois</w:t>
            </w:r>
            <w:r w:rsidR="0057466D" w:rsidRPr="00927778">
              <w:rPr>
                <w:color w:val="333333"/>
                <w:lang w:val="fr-FR"/>
              </w:rPr>
              <w:t> </w:t>
            </w:r>
            <w:r w:rsidR="00D11D29" w:rsidRPr="00927778">
              <w:rPr>
                <w:color w:val="333333"/>
                <w:lang w:val="fr-FR"/>
              </w:rPr>
              <w:t xml:space="preserve">pays et les réponses étaient toutes recueillies en </w:t>
            </w:r>
            <w:r w:rsidR="00EA2C86" w:rsidRPr="00927778">
              <w:rPr>
                <w:color w:val="333333"/>
                <w:lang w:val="fr-FR"/>
              </w:rPr>
              <w:t>juin 20</w:t>
            </w:r>
            <w:r w:rsidR="00D11D29" w:rsidRPr="00927778">
              <w:rPr>
                <w:color w:val="333333"/>
                <w:lang w:val="fr-FR"/>
              </w:rPr>
              <w:t>18.</w:t>
            </w:r>
            <w:r w:rsidR="0057466D" w:rsidRPr="00927778">
              <w:rPr>
                <w:color w:val="333333"/>
                <w:lang w:val="fr-FR"/>
              </w:rPr>
              <w:t xml:space="preserve"> </w:t>
            </w:r>
            <w:r w:rsidR="00D11D29" w:rsidRPr="00927778">
              <w:rPr>
                <w:color w:val="333333"/>
                <w:lang w:val="fr-FR"/>
              </w:rPr>
              <w:t xml:space="preserve"> </w:t>
            </w:r>
            <w:r w:rsidR="006E1F8A" w:rsidRPr="00927778">
              <w:rPr>
                <w:color w:val="333333"/>
                <w:lang w:val="fr-FR"/>
              </w:rPr>
              <w:t>Les résultats de l</w:t>
            </w:r>
            <w:r w:rsidR="00EA2C86" w:rsidRPr="00927778">
              <w:rPr>
                <w:color w:val="333333"/>
                <w:lang w:val="fr-FR"/>
              </w:rPr>
              <w:t>’</w:t>
            </w:r>
            <w:r w:rsidR="006E1F8A" w:rsidRPr="00927778">
              <w:rPr>
                <w:color w:val="333333"/>
                <w:lang w:val="fr-FR"/>
              </w:rPr>
              <w:t>étude seront présentés aux États membres à l</w:t>
            </w:r>
            <w:r w:rsidR="00EA2C86" w:rsidRPr="00927778">
              <w:rPr>
                <w:color w:val="333333"/>
                <w:lang w:val="fr-FR"/>
              </w:rPr>
              <w:t>’</w:t>
            </w:r>
            <w:r w:rsidR="006E1F8A" w:rsidRPr="00927778">
              <w:rPr>
                <w:color w:val="333333"/>
                <w:lang w:val="fr-FR"/>
              </w:rPr>
              <w:t>occasion de la vingt</w:t>
            </w:r>
            <w:r w:rsidR="00CB5AE0" w:rsidRPr="00927778">
              <w:rPr>
                <w:color w:val="333333"/>
                <w:lang w:val="fr-FR"/>
              </w:rPr>
              <w:noBreakHyphen/>
            </w:r>
            <w:r w:rsidR="006E1F8A" w:rsidRPr="00927778">
              <w:rPr>
                <w:color w:val="333333"/>
                <w:lang w:val="fr-FR"/>
              </w:rPr>
              <w:t>deux</w:t>
            </w:r>
            <w:r w:rsidR="00EA2C86" w:rsidRPr="00927778">
              <w:rPr>
                <w:color w:val="333333"/>
                <w:lang w:val="fr-FR"/>
              </w:rPr>
              <w:t>ième session du CDI</w:t>
            </w:r>
            <w:r w:rsidR="006E1F8A" w:rsidRPr="00927778">
              <w:rPr>
                <w:color w:val="333333"/>
                <w:lang w:val="fr-FR"/>
              </w:rPr>
              <w:t>P.</w:t>
            </w:r>
          </w:p>
          <w:p w:rsidR="005E6718" w:rsidRDefault="005E6718" w:rsidP="00C3651B">
            <w:pPr>
              <w:rPr>
                <w:color w:val="333333"/>
                <w:lang w:val="fr-FR"/>
              </w:rPr>
            </w:pPr>
          </w:p>
          <w:p w:rsidR="00F972E3" w:rsidRPr="00927778" w:rsidRDefault="00F972E3" w:rsidP="00C3651B">
            <w:pPr>
              <w:rPr>
                <w:color w:val="333333"/>
                <w:lang w:val="fr-FR"/>
              </w:rPr>
            </w:pPr>
          </w:p>
          <w:p w:rsidR="00F972E3" w:rsidRDefault="00F972E3" w:rsidP="009752E6">
            <w:pPr>
              <w:rPr>
                <w:color w:val="333333"/>
                <w:u w:val="single"/>
                <w:lang w:val="fr-FR"/>
              </w:rPr>
            </w:pPr>
          </w:p>
          <w:p w:rsidR="005E6718" w:rsidRPr="00927778" w:rsidRDefault="009752E6" w:rsidP="009752E6">
            <w:pPr>
              <w:rPr>
                <w:color w:val="333333"/>
                <w:u w:val="single"/>
                <w:lang w:val="fr-FR"/>
              </w:rPr>
            </w:pPr>
            <w:r w:rsidRPr="00927778">
              <w:rPr>
                <w:color w:val="333333"/>
                <w:u w:val="single"/>
                <w:lang w:val="fr-FR"/>
              </w:rPr>
              <w:t>Amérique centrale et République dominicaine</w:t>
            </w:r>
          </w:p>
          <w:p w:rsidR="005E6718" w:rsidRPr="00927778" w:rsidRDefault="000343D3" w:rsidP="005E1F5E">
            <w:pPr>
              <w:rPr>
                <w:color w:val="333333"/>
                <w:lang w:val="fr-FR"/>
              </w:rPr>
            </w:pPr>
            <w:r w:rsidRPr="00927778">
              <w:rPr>
                <w:color w:val="333333"/>
                <w:szCs w:val="22"/>
                <w:lang w:val="fr-FR"/>
              </w:rPr>
              <w:t>Tel que souligné dans les documents</w:t>
            </w:r>
            <w:r w:rsidR="00CB5AE0" w:rsidRPr="00927778">
              <w:rPr>
                <w:color w:val="333333"/>
                <w:szCs w:val="22"/>
                <w:lang w:val="fr-FR"/>
              </w:rPr>
              <w:t> </w:t>
            </w:r>
            <w:r w:rsidR="00F91F66" w:rsidRPr="00927778">
              <w:rPr>
                <w:color w:val="333333"/>
                <w:szCs w:val="22"/>
                <w:lang w:val="fr-FR"/>
              </w:rPr>
              <w:t xml:space="preserve">CDIP/18/2 </w:t>
            </w:r>
            <w:r w:rsidRPr="00927778">
              <w:rPr>
                <w:color w:val="333333"/>
                <w:szCs w:val="22"/>
                <w:lang w:val="fr-FR"/>
              </w:rPr>
              <w:t>et</w:t>
            </w:r>
            <w:r w:rsidR="00F91F66" w:rsidRPr="00927778">
              <w:rPr>
                <w:color w:val="333333"/>
                <w:szCs w:val="22"/>
                <w:lang w:val="fr-FR"/>
              </w:rPr>
              <w:t xml:space="preserve"> </w:t>
            </w:r>
            <w:r w:rsidR="00F91F66" w:rsidRPr="00927778">
              <w:rPr>
                <w:color w:val="333333"/>
                <w:lang w:val="fr-FR"/>
              </w:rPr>
              <w:t>CDIP/20/2</w:t>
            </w:r>
            <w:r w:rsidR="00F91F66" w:rsidRPr="00927778">
              <w:rPr>
                <w:color w:val="333333"/>
                <w:szCs w:val="22"/>
                <w:lang w:val="fr-FR"/>
              </w:rPr>
              <w:t xml:space="preserve">, </w:t>
            </w:r>
            <w:r w:rsidRPr="00927778">
              <w:rPr>
                <w:color w:val="333333"/>
                <w:szCs w:val="22"/>
                <w:lang w:val="fr-FR"/>
              </w:rPr>
              <w:t>l</w:t>
            </w:r>
            <w:r w:rsidR="00EA2C86" w:rsidRPr="00927778">
              <w:rPr>
                <w:color w:val="333333"/>
                <w:szCs w:val="22"/>
                <w:lang w:val="fr-FR"/>
              </w:rPr>
              <w:t>’</w:t>
            </w:r>
            <w:r w:rsidRPr="00927778">
              <w:rPr>
                <w:color w:val="333333"/>
                <w:szCs w:val="22"/>
                <w:lang w:val="fr-FR"/>
              </w:rPr>
              <w:t>étude analysait les relations entre l</w:t>
            </w:r>
            <w:r w:rsidR="00EA2C86" w:rsidRPr="00927778">
              <w:rPr>
                <w:color w:val="333333"/>
                <w:szCs w:val="22"/>
                <w:lang w:val="fr-FR"/>
              </w:rPr>
              <w:t>’</w:t>
            </w:r>
            <w:r w:rsidRPr="00927778">
              <w:rPr>
                <w:color w:val="333333"/>
                <w:szCs w:val="22"/>
                <w:lang w:val="fr-FR"/>
              </w:rPr>
              <w:t>utilisation de la propriété intellectuelle et les flux économiques dans la zone économique régiona</w:t>
            </w:r>
            <w:r w:rsidR="00306E74" w:rsidRPr="00927778">
              <w:rPr>
                <w:color w:val="333333"/>
                <w:szCs w:val="22"/>
                <w:lang w:val="fr-FR"/>
              </w:rPr>
              <w:t>le.  Da</w:t>
            </w:r>
            <w:r w:rsidR="005C71A4" w:rsidRPr="00927778">
              <w:rPr>
                <w:color w:val="333333"/>
                <w:szCs w:val="22"/>
                <w:lang w:val="fr-FR"/>
              </w:rPr>
              <w:t xml:space="preserve">ns le cadre de </w:t>
            </w:r>
            <w:r w:rsidR="006E69BF" w:rsidRPr="00927778">
              <w:rPr>
                <w:color w:val="333333"/>
                <w:szCs w:val="22"/>
                <w:lang w:val="fr-FR"/>
              </w:rPr>
              <w:t>la réalisation de l</w:t>
            </w:r>
            <w:r w:rsidR="00EA2C86" w:rsidRPr="00927778">
              <w:rPr>
                <w:color w:val="333333"/>
                <w:szCs w:val="22"/>
                <w:lang w:val="fr-FR"/>
              </w:rPr>
              <w:t>’</w:t>
            </w:r>
            <w:r w:rsidR="006E69BF" w:rsidRPr="00927778">
              <w:rPr>
                <w:color w:val="333333"/>
                <w:szCs w:val="22"/>
                <w:lang w:val="fr-FR"/>
              </w:rPr>
              <w:t>étude</w:t>
            </w:r>
            <w:r w:rsidR="005C71A4" w:rsidRPr="00927778">
              <w:rPr>
                <w:color w:val="333333"/>
                <w:szCs w:val="22"/>
                <w:lang w:val="fr-FR"/>
              </w:rPr>
              <w:t>, un atelier technique auquel ont participé les coordinateurs de chaque p</w:t>
            </w:r>
            <w:r w:rsidR="006E69BF" w:rsidRPr="00927778">
              <w:rPr>
                <w:color w:val="333333"/>
                <w:szCs w:val="22"/>
                <w:lang w:val="fr-FR"/>
              </w:rPr>
              <w:t>ays participant a été organisé en</w:t>
            </w:r>
            <w:r w:rsidR="005C71A4" w:rsidRPr="00927778">
              <w:rPr>
                <w:color w:val="333333"/>
                <w:szCs w:val="22"/>
                <w:lang w:val="fr-FR"/>
              </w:rPr>
              <w:t xml:space="preserve"> El</w:t>
            </w:r>
            <w:r w:rsidR="0057466D" w:rsidRPr="00927778">
              <w:rPr>
                <w:color w:val="333333"/>
                <w:szCs w:val="22"/>
                <w:lang w:val="fr-FR"/>
              </w:rPr>
              <w:t> </w:t>
            </w:r>
            <w:r w:rsidR="005C71A4" w:rsidRPr="00927778">
              <w:rPr>
                <w:color w:val="333333"/>
                <w:szCs w:val="22"/>
                <w:lang w:val="fr-FR"/>
              </w:rPr>
              <w:t xml:space="preserve">Salvador en </w:t>
            </w:r>
            <w:r w:rsidR="00EA2C86" w:rsidRPr="00927778">
              <w:rPr>
                <w:color w:val="333333"/>
                <w:szCs w:val="22"/>
                <w:lang w:val="fr-FR"/>
              </w:rPr>
              <w:t>mars 20</w:t>
            </w:r>
            <w:r w:rsidR="005C71A4" w:rsidRPr="00927778">
              <w:rPr>
                <w:color w:val="333333"/>
                <w:szCs w:val="22"/>
                <w:lang w:val="fr-FR"/>
              </w:rPr>
              <w:t>17, où des discussions ont eu lieu sur le premier projet de l</w:t>
            </w:r>
            <w:r w:rsidR="00EA2C86" w:rsidRPr="00927778">
              <w:rPr>
                <w:color w:val="333333"/>
                <w:szCs w:val="22"/>
                <w:lang w:val="fr-FR"/>
              </w:rPr>
              <w:t>’</w:t>
            </w:r>
            <w:r w:rsidR="005C71A4" w:rsidRPr="00927778">
              <w:rPr>
                <w:color w:val="333333"/>
                <w:szCs w:val="22"/>
                <w:lang w:val="fr-FR"/>
              </w:rPr>
              <w:t>étu</w:t>
            </w:r>
            <w:r w:rsidR="00306E74" w:rsidRPr="00927778">
              <w:rPr>
                <w:color w:val="333333"/>
                <w:szCs w:val="22"/>
                <w:lang w:val="fr-FR"/>
              </w:rPr>
              <w:t xml:space="preserve">de.  </w:t>
            </w:r>
            <w:r w:rsidR="00306E74" w:rsidRPr="00927778">
              <w:rPr>
                <w:color w:val="333333"/>
                <w:lang w:val="fr-FR"/>
              </w:rPr>
              <w:t>De</w:t>
            </w:r>
            <w:r w:rsidR="00F70E13" w:rsidRPr="00927778">
              <w:rPr>
                <w:color w:val="333333"/>
                <w:lang w:val="fr-FR"/>
              </w:rPr>
              <w:t>ux</w:t>
            </w:r>
            <w:r w:rsidR="0057466D" w:rsidRPr="00927778">
              <w:rPr>
                <w:color w:val="333333"/>
                <w:szCs w:val="22"/>
                <w:lang w:val="fr-FR"/>
              </w:rPr>
              <w:t> </w:t>
            </w:r>
            <w:r w:rsidR="00F70E13" w:rsidRPr="00927778">
              <w:rPr>
                <w:color w:val="333333"/>
                <w:szCs w:val="22"/>
                <w:lang w:val="fr-FR"/>
              </w:rPr>
              <w:t>cycles de discussions techniques ont suivi en avril et en juin, auxquelles avaient participé les coordinateurs nationaux et les missions à Genè</w:t>
            </w:r>
            <w:r w:rsidR="00306E74" w:rsidRPr="00927778">
              <w:rPr>
                <w:color w:val="333333"/>
                <w:szCs w:val="22"/>
                <w:lang w:val="fr-FR"/>
              </w:rPr>
              <w:t>ve.  En</w:t>
            </w:r>
            <w:r w:rsidR="005E1F5E" w:rsidRPr="00927778">
              <w:rPr>
                <w:color w:val="333333"/>
                <w:szCs w:val="22"/>
                <w:lang w:val="fr-FR"/>
              </w:rPr>
              <w:t xml:space="preserve"> </w:t>
            </w:r>
            <w:r w:rsidR="00EA2C86" w:rsidRPr="00927778">
              <w:rPr>
                <w:color w:val="333333"/>
                <w:szCs w:val="22"/>
                <w:lang w:val="fr-FR"/>
              </w:rPr>
              <w:t>juillet 20</w:t>
            </w:r>
            <w:r w:rsidR="005E1F5E" w:rsidRPr="00927778">
              <w:rPr>
                <w:color w:val="333333"/>
                <w:szCs w:val="22"/>
                <w:lang w:val="fr-FR"/>
              </w:rPr>
              <w:t>17, l</w:t>
            </w:r>
            <w:r w:rsidR="00EA2C86" w:rsidRPr="00927778">
              <w:rPr>
                <w:color w:val="333333"/>
                <w:szCs w:val="22"/>
                <w:lang w:val="fr-FR"/>
              </w:rPr>
              <w:t>’</w:t>
            </w:r>
            <w:r w:rsidR="005E1F5E" w:rsidRPr="00927778">
              <w:rPr>
                <w:color w:val="333333"/>
                <w:szCs w:val="22"/>
                <w:lang w:val="fr-FR"/>
              </w:rPr>
              <w:t>étude finale a été présentée lors de la réunion technique de préparation de la cinquième Conférence des ministres d</w:t>
            </w:r>
            <w:r w:rsidR="00EA2C86" w:rsidRPr="00927778">
              <w:rPr>
                <w:color w:val="333333"/>
                <w:szCs w:val="22"/>
                <w:lang w:val="fr-FR"/>
              </w:rPr>
              <w:t>’</w:t>
            </w:r>
            <w:r w:rsidR="005E1F5E" w:rsidRPr="00927778">
              <w:rPr>
                <w:color w:val="333333"/>
                <w:szCs w:val="22"/>
                <w:lang w:val="fr-FR"/>
              </w:rPr>
              <w:t>Amérique centrale sur la propriété intellectuelle et un court résumé a été exposé aux ministres en pléniè</w:t>
            </w:r>
            <w:r w:rsidR="00306E74" w:rsidRPr="00927778">
              <w:rPr>
                <w:color w:val="333333"/>
                <w:szCs w:val="22"/>
                <w:lang w:val="fr-FR"/>
              </w:rPr>
              <w:t>re.  Le</w:t>
            </w:r>
            <w:r w:rsidR="000444E9" w:rsidRPr="00927778">
              <w:rPr>
                <w:color w:val="333333"/>
                <w:szCs w:val="22"/>
                <w:lang w:val="fr-FR"/>
              </w:rPr>
              <w:t xml:space="preserve">s résultats </w:t>
            </w:r>
            <w:r w:rsidR="008878D6" w:rsidRPr="00927778">
              <w:rPr>
                <w:color w:val="333333"/>
                <w:szCs w:val="22"/>
                <w:lang w:val="fr-FR"/>
              </w:rPr>
              <w:t>définitifs ont également été présentés aux États membres lors de la vingt</w:t>
            </w:r>
            <w:r w:rsidR="00EA2C86" w:rsidRPr="00927778">
              <w:rPr>
                <w:color w:val="333333"/>
                <w:szCs w:val="22"/>
                <w:lang w:val="fr-FR"/>
              </w:rPr>
              <w:t>ième session du C</w:t>
            </w:r>
            <w:r w:rsidR="00306E74" w:rsidRPr="00927778">
              <w:rPr>
                <w:color w:val="333333"/>
                <w:szCs w:val="22"/>
                <w:lang w:val="fr-FR"/>
              </w:rPr>
              <w:t>DIP.  Le</w:t>
            </w:r>
            <w:r w:rsidR="008878D6" w:rsidRPr="00927778">
              <w:rPr>
                <w:color w:val="333333"/>
                <w:szCs w:val="22"/>
                <w:lang w:val="fr-FR"/>
              </w:rPr>
              <w:t xml:space="preserve"> résumé de l</w:t>
            </w:r>
            <w:r w:rsidR="00EA2C86" w:rsidRPr="00927778">
              <w:rPr>
                <w:color w:val="333333"/>
                <w:szCs w:val="22"/>
                <w:lang w:val="fr-FR"/>
              </w:rPr>
              <w:t>’</w:t>
            </w:r>
            <w:r w:rsidR="008878D6" w:rsidRPr="00927778">
              <w:rPr>
                <w:color w:val="333333"/>
                <w:szCs w:val="22"/>
                <w:lang w:val="fr-FR"/>
              </w:rPr>
              <w:t>étude figure dans le document</w:t>
            </w:r>
            <w:r w:rsidR="00CB5AE0" w:rsidRPr="00927778">
              <w:rPr>
                <w:color w:val="333333"/>
                <w:szCs w:val="22"/>
                <w:lang w:val="fr-FR"/>
              </w:rPr>
              <w:t> </w:t>
            </w:r>
            <w:r w:rsidR="00F91F66" w:rsidRPr="00927778">
              <w:rPr>
                <w:color w:val="333333"/>
                <w:lang w:val="fr-FR"/>
              </w:rPr>
              <w:t>CDIP/20/INF/3.</w:t>
            </w:r>
          </w:p>
          <w:p w:rsidR="005E6718" w:rsidRPr="00927778" w:rsidRDefault="005E6718" w:rsidP="00C3651B">
            <w:pPr>
              <w:rPr>
                <w:color w:val="333333"/>
                <w:szCs w:val="22"/>
                <w:lang w:val="fr-FR"/>
              </w:rPr>
            </w:pPr>
          </w:p>
          <w:p w:rsidR="005E6718" w:rsidRPr="00927778" w:rsidRDefault="00F70E13" w:rsidP="00F70E13">
            <w:pPr>
              <w:rPr>
                <w:rFonts w:eastAsia="SimSun"/>
                <w:bCs/>
                <w:color w:val="333333"/>
                <w:szCs w:val="26"/>
                <w:u w:val="single"/>
                <w:lang w:val="fr-FR"/>
              </w:rPr>
            </w:pPr>
            <w:r w:rsidRPr="00927778">
              <w:rPr>
                <w:rFonts w:eastAsia="SimSun"/>
                <w:bCs/>
                <w:color w:val="333333"/>
                <w:szCs w:val="26"/>
                <w:u w:val="single"/>
                <w:lang w:val="fr-FR"/>
              </w:rPr>
              <w:t>Ouganda</w:t>
            </w:r>
          </w:p>
          <w:p w:rsidR="00EA2C86" w:rsidRPr="00927778" w:rsidRDefault="00F70E13" w:rsidP="00F70E13">
            <w:pPr>
              <w:rPr>
                <w:color w:val="333333"/>
                <w:lang w:val="fr-FR"/>
              </w:rPr>
            </w:pPr>
            <w:r w:rsidRPr="00927778">
              <w:rPr>
                <w:color w:val="333333"/>
                <w:lang w:val="fr-FR"/>
              </w:rPr>
              <w:t>Tel qu</w:t>
            </w:r>
            <w:r w:rsidR="00EA2C86" w:rsidRPr="00927778">
              <w:rPr>
                <w:color w:val="333333"/>
                <w:lang w:val="fr-FR"/>
              </w:rPr>
              <w:t>’</w:t>
            </w:r>
            <w:r w:rsidRPr="00927778">
              <w:rPr>
                <w:color w:val="333333"/>
                <w:lang w:val="fr-FR"/>
              </w:rPr>
              <w:t xml:space="preserve">il est indiqué dans le </w:t>
            </w:r>
            <w:r w:rsidR="00EA2C86" w:rsidRPr="00927778">
              <w:rPr>
                <w:color w:val="333333"/>
                <w:lang w:val="fr-FR"/>
              </w:rPr>
              <w:t>document</w:t>
            </w:r>
            <w:r w:rsidR="00CB5AE0" w:rsidRPr="00927778">
              <w:rPr>
                <w:color w:val="333333"/>
                <w:lang w:val="fr-FR"/>
              </w:rPr>
              <w:t> </w:t>
            </w:r>
            <w:r w:rsidR="00EA2C86" w:rsidRPr="00927778">
              <w:rPr>
                <w:color w:val="333333"/>
                <w:lang w:val="fr-FR"/>
              </w:rPr>
              <w:t>CD</w:t>
            </w:r>
            <w:r w:rsidRPr="00927778">
              <w:rPr>
                <w:color w:val="333333"/>
                <w:lang w:val="fr-FR"/>
              </w:rPr>
              <w:t>IP/18/2 et CDIP/20/2, l</w:t>
            </w:r>
            <w:r w:rsidR="00EA2C86" w:rsidRPr="00927778">
              <w:rPr>
                <w:color w:val="333333"/>
                <w:lang w:val="fr-FR"/>
              </w:rPr>
              <w:t>’</w:t>
            </w:r>
            <w:r w:rsidRPr="00927778">
              <w:rPr>
                <w:color w:val="333333"/>
                <w:lang w:val="fr-FR"/>
              </w:rPr>
              <w:t>objectif de cette nouvelle étude était de mieux comprendre le rôle de l</w:t>
            </w:r>
            <w:r w:rsidR="00EA2C86" w:rsidRPr="00927778">
              <w:rPr>
                <w:color w:val="333333"/>
                <w:lang w:val="fr-FR"/>
              </w:rPr>
              <w:t>’</w:t>
            </w:r>
            <w:r w:rsidRPr="00927778">
              <w:rPr>
                <w:color w:val="333333"/>
                <w:lang w:val="fr-FR"/>
              </w:rPr>
              <w:t xml:space="preserve">innovation et de la propriété intellectuelle dans un </w:t>
            </w:r>
            <w:r w:rsidR="00306E74" w:rsidRPr="00927778">
              <w:rPr>
                <w:color w:val="333333"/>
                <w:lang w:val="fr-FR"/>
              </w:rPr>
              <w:t>PMA.  Ce</w:t>
            </w:r>
            <w:r w:rsidRPr="00927778">
              <w:rPr>
                <w:color w:val="333333"/>
                <w:lang w:val="fr-FR"/>
              </w:rPr>
              <w:t>tte étude s</w:t>
            </w:r>
            <w:r w:rsidR="00EA2C86" w:rsidRPr="00927778">
              <w:rPr>
                <w:color w:val="333333"/>
                <w:lang w:val="fr-FR"/>
              </w:rPr>
              <w:t>’</w:t>
            </w:r>
            <w:r w:rsidRPr="00927778">
              <w:rPr>
                <w:color w:val="333333"/>
                <w:lang w:val="fr-FR"/>
              </w:rPr>
              <w:t>attachait en particulier à l</w:t>
            </w:r>
            <w:r w:rsidR="00EA2C86" w:rsidRPr="00927778">
              <w:rPr>
                <w:color w:val="333333"/>
                <w:lang w:val="fr-FR"/>
              </w:rPr>
              <w:t>’</w:t>
            </w:r>
            <w:r w:rsidRPr="00927778">
              <w:rPr>
                <w:color w:val="333333"/>
                <w:lang w:val="fr-FR"/>
              </w:rPr>
              <w:t>industrie agroalimentaire de l</w:t>
            </w:r>
            <w:r w:rsidR="00EA2C86" w:rsidRPr="00927778">
              <w:rPr>
                <w:color w:val="333333"/>
                <w:lang w:val="fr-FR"/>
              </w:rPr>
              <w:t>’</w:t>
            </w:r>
            <w:r w:rsidRPr="00927778">
              <w:rPr>
                <w:color w:val="333333"/>
                <w:lang w:val="fr-FR"/>
              </w:rPr>
              <w:t>Ougan</w:t>
            </w:r>
            <w:r w:rsidR="00306E74" w:rsidRPr="00927778">
              <w:rPr>
                <w:color w:val="333333"/>
                <w:lang w:val="fr-FR"/>
              </w:rPr>
              <w:t>da.  El</w:t>
            </w:r>
            <w:r w:rsidRPr="00927778">
              <w:rPr>
                <w:color w:val="333333"/>
                <w:lang w:val="fr-FR"/>
              </w:rPr>
              <w:t>le visait entre autres à cerner les problèmes économiques, techniques, institutionnels et politiques qui limitent ou affaiblissent les effets positifs de la recherche</w:t>
            </w:r>
            <w:r w:rsidR="00CB5AE0" w:rsidRPr="00927778">
              <w:rPr>
                <w:color w:val="333333"/>
                <w:lang w:val="fr-FR"/>
              </w:rPr>
              <w:noBreakHyphen/>
            </w:r>
            <w:r w:rsidRPr="00927778">
              <w:rPr>
                <w:color w:val="333333"/>
                <w:lang w:val="fr-FR"/>
              </w:rPr>
              <w:t>développement agricole, de l</w:t>
            </w:r>
            <w:r w:rsidR="00EA2C86" w:rsidRPr="00927778">
              <w:rPr>
                <w:color w:val="333333"/>
                <w:lang w:val="fr-FR"/>
              </w:rPr>
              <w:t>’</w:t>
            </w:r>
            <w:r w:rsidRPr="00927778">
              <w:rPr>
                <w:color w:val="333333"/>
                <w:lang w:val="fr-FR"/>
              </w:rPr>
              <w:t>innovation et de la diffusion technique dans le secteur agricole ouganda</w:t>
            </w:r>
            <w:r w:rsidR="00306E74" w:rsidRPr="00927778">
              <w:rPr>
                <w:color w:val="333333"/>
                <w:lang w:val="fr-FR"/>
              </w:rPr>
              <w:t>is.  Un</w:t>
            </w:r>
            <w:r w:rsidRPr="00927778">
              <w:rPr>
                <w:color w:val="333333"/>
                <w:lang w:val="fr-FR"/>
              </w:rPr>
              <w:t xml:space="preserve"> atelier de lancement a été organisé en Ouganda en </w:t>
            </w:r>
            <w:r w:rsidR="00EA2C86" w:rsidRPr="00927778">
              <w:rPr>
                <w:color w:val="333333"/>
                <w:lang w:val="fr-FR"/>
              </w:rPr>
              <w:t>octobre 20</w:t>
            </w:r>
            <w:r w:rsidRPr="00927778">
              <w:rPr>
                <w:color w:val="333333"/>
                <w:lang w:val="fr-FR"/>
              </w:rPr>
              <w:t>16.</w:t>
            </w:r>
            <w:r w:rsidR="006D4B68" w:rsidRPr="00927778">
              <w:rPr>
                <w:color w:val="333333"/>
                <w:lang w:val="fr-FR"/>
              </w:rPr>
              <w:t xml:space="preserve"> </w:t>
            </w:r>
            <w:r w:rsidR="0057466D" w:rsidRPr="00927778">
              <w:rPr>
                <w:color w:val="333333"/>
                <w:lang w:val="fr-FR"/>
              </w:rPr>
              <w:t xml:space="preserve"> </w:t>
            </w:r>
            <w:r w:rsidR="00DF2883" w:rsidRPr="00927778">
              <w:rPr>
                <w:color w:val="333333"/>
                <w:szCs w:val="22"/>
                <w:lang w:val="fr-FR"/>
              </w:rPr>
              <w:t>Le projet a pris fin au début de l</w:t>
            </w:r>
            <w:r w:rsidR="00EA2C86" w:rsidRPr="00927778">
              <w:rPr>
                <w:color w:val="333333"/>
                <w:szCs w:val="22"/>
                <w:lang w:val="fr-FR"/>
              </w:rPr>
              <w:t>’</w:t>
            </w:r>
            <w:r w:rsidR="00DF2883" w:rsidRPr="00927778">
              <w:rPr>
                <w:color w:val="333333"/>
                <w:szCs w:val="22"/>
                <w:lang w:val="fr-FR"/>
              </w:rPr>
              <w:t>année</w:t>
            </w:r>
            <w:r w:rsidR="00002037" w:rsidRPr="00927778">
              <w:rPr>
                <w:color w:val="333333"/>
                <w:szCs w:val="22"/>
                <w:lang w:val="fr-FR"/>
              </w:rPr>
              <w:t> </w:t>
            </w:r>
            <w:r w:rsidR="00DF2883" w:rsidRPr="00927778">
              <w:rPr>
                <w:color w:val="333333"/>
                <w:szCs w:val="22"/>
                <w:lang w:val="fr-FR"/>
              </w:rPr>
              <w:t>2018.</w:t>
            </w:r>
            <w:r w:rsidR="0057466D" w:rsidRPr="00927778">
              <w:rPr>
                <w:color w:val="333333"/>
                <w:szCs w:val="22"/>
                <w:lang w:val="fr-FR"/>
              </w:rPr>
              <w:t xml:space="preserve"> </w:t>
            </w:r>
            <w:r w:rsidR="006D4B68" w:rsidRPr="00927778">
              <w:rPr>
                <w:color w:val="333333"/>
                <w:szCs w:val="22"/>
                <w:lang w:val="fr-FR"/>
              </w:rPr>
              <w:t xml:space="preserve"> </w:t>
            </w:r>
            <w:r w:rsidR="00DF2883" w:rsidRPr="00927778">
              <w:rPr>
                <w:color w:val="333333"/>
                <w:szCs w:val="22"/>
                <w:lang w:val="fr-FR"/>
              </w:rPr>
              <w:t xml:space="preserve">Les résultats </w:t>
            </w:r>
            <w:r w:rsidR="00BF5BFB" w:rsidRPr="00927778">
              <w:rPr>
                <w:color w:val="333333"/>
                <w:szCs w:val="22"/>
                <w:lang w:val="fr-FR"/>
              </w:rPr>
              <w:t xml:space="preserve">définitifs </w:t>
            </w:r>
            <w:r w:rsidR="00DF2883" w:rsidRPr="00927778">
              <w:rPr>
                <w:color w:val="333333"/>
                <w:szCs w:val="22"/>
                <w:lang w:val="fr-FR"/>
              </w:rPr>
              <w:t>ont été présentés aux États membres à l</w:t>
            </w:r>
            <w:r w:rsidR="00EA2C86" w:rsidRPr="00927778">
              <w:rPr>
                <w:color w:val="333333"/>
                <w:szCs w:val="22"/>
                <w:lang w:val="fr-FR"/>
              </w:rPr>
              <w:t>’</w:t>
            </w:r>
            <w:r w:rsidR="00DF2883" w:rsidRPr="00927778">
              <w:rPr>
                <w:color w:val="333333"/>
                <w:szCs w:val="22"/>
                <w:lang w:val="fr-FR"/>
              </w:rPr>
              <w:t>occasion de la vingt</w:t>
            </w:r>
            <w:r w:rsidR="00EA2C86" w:rsidRPr="00927778">
              <w:rPr>
                <w:color w:val="333333"/>
                <w:szCs w:val="22"/>
                <w:lang w:val="fr-FR"/>
              </w:rPr>
              <w:t> et unième session du C</w:t>
            </w:r>
            <w:r w:rsidR="00306E74" w:rsidRPr="00927778">
              <w:rPr>
                <w:color w:val="333333"/>
                <w:szCs w:val="22"/>
                <w:lang w:val="fr-FR"/>
              </w:rPr>
              <w:t xml:space="preserve">DIP.  </w:t>
            </w:r>
            <w:r w:rsidR="00306E74" w:rsidRPr="00927778">
              <w:rPr>
                <w:color w:val="333333"/>
                <w:lang w:val="fr-FR"/>
              </w:rPr>
              <w:t>Le</w:t>
            </w:r>
            <w:r w:rsidR="00DF2883" w:rsidRPr="00927778">
              <w:rPr>
                <w:color w:val="333333"/>
                <w:lang w:val="fr-FR"/>
              </w:rPr>
              <w:t xml:space="preserve"> résumé de l</w:t>
            </w:r>
            <w:r w:rsidR="00EA2C86" w:rsidRPr="00927778">
              <w:rPr>
                <w:color w:val="333333"/>
                <w:lang w:val="fr-FR"/>
              </w:rPr>
              <w:t>’</w:t>
            </w:r>
            <w:r w:rsidR="00DF2883" w:rsidRPr="00927778">
              <w:rPr>
                <w:color w:val="333333"/>
                <w:lang w:val="fr-FR"/>
              </w:rPr>
              <w:t xml:space="preserve">étude </w:t>
            </w:r>
            <w:r w:rsidR="00BF5BFB" w:rsidRPr="00927778">
              <w:rPr>
                <w:color w:val="333333"/>
                <w:lang w:val="fr-FR"/>
              </w:rPr>
              <w:t>figure</w:t>
            </w:r>
            <w:r w:rsidR="00DF2883" w:rsidRPr="00927778">
              <w:rPr>
                <w:color w:val="333333"/>
                <w:lang w:val="fr-FR"/>
              </w:rPr>
              <w:t xml:space="preserve"> dans le document</w:t>
            </w:r>
            <w:r w:rsidR="00CB5AE0" w:rsidRPr="00927778">
              <w:rPr>
                <w:color w:val="333333"/>
                <w:lang w:val="fr-FR"/>
              </w:rPr>
              <w:t> </w:t>
            </w:r>
            <w:r w:rsidR="00F91F66" w:rsidRPr="00927778">
              <w:rPr>
                <w:color w:val="333333"/>
                <w:lang w:val="fr-FR"/>
              </w:rPr>
              <w:t>CDIP/21/INF/3.</w:t>
            </w:r>
          </w:p>
          <w:p w:rsidR="005E6718" w:rsidRPr="00927778" w:rsidRDefault="005E6718" w:rsidP="00C3651B">
            <w:pPr>
              <w:rPr>
                <w:color w:val="333333"/>
                <w:lang w:val="fr-FR"/>
              </w:rPr>
            </w:pPr>
          </w:p>
          <w:p w:rsidR="005E6718" w:rsidRPr="00927778" w:rsidRDefault="00F70E13" w:rsidP="00F70E13">
            <w:pPr>
              <w:rPr>
                <w:rFonts w:eastAsia="SimSun"/>
                <w:bCs/>
                <w:color w:val="333333"/>
                <w:szCs w:val="26"/>
                <w:u w:val="single"/>
                <w:lang w:val="fr-FR"/>
              </w:rPr>
            </w:pPr>
            <w:r w:rsidRPr="00927778">
              <w:rPr>
                <w:rFonts w:eastAsia="SimSun"/>
                <w:bCs/>
                <w:color w:val="333333"/>
                <w:szCs w:val="26"/>
                <w:u w:val="single"/>
                <w:lang w:val="fr-FR"/>
              </w:rPr>
              <w:t>Chili</w:t>
            </w:r>
          </w:p>
          <w:p w:rsidR="00EA2C86" w:rsidRPr="00927778" w:rsidRDefault="00D0130C" w:rsidP="006A1197">
            <w:pPr>
              <w:rPr>
                <w:color w:val="333333"/>
                <w:lang w:val="fr-FR"/>
              </w:rPr>
            </w:pPr>
            <w:r w:rsidRPr="00927778">
              <w:rPr>
                <w:iCs/>
                <w:color w:val="333333"/>
                <w:lang w:val="fr-FR"/>
              </w:rPr>
              <w:t>Il s</w:t>
            </w:r>
            <w:r w:rsidR="00EA2C86" w:rsidRPr="00927778">
              <w:rPr>
                <w:iCs/>
                <w:color w:val="333333"/>
                <w:lang w:val="fr-FR"/>
              </w:rPr>
              <w:t>’</w:t>
            </w:r>
            <w:r w:rsidRPr="00927778">
              <w:rPr>
                <w:iCs/>
                <w:color w:val="333333"/>
                <w:lang w:val="fr-FR"/>
              </w:rPr>
              <w:t>agissait d</w:t>
            </w:r>
            <w:r w:rsidR="00EA2C86" w:rsidRPr="00927778">
              <w:rPr>
                <w:iCs/>
                <w:color w:val="333333"/>
                <w:lang w:val="fr-FR"/>
              </w:rPr>
              <w:t>’</w:t>
            </w:r>
            <w:r w:rsidRPr="00927778">
              <w:rPr>
                <w:iCs/>
                <w:color w:val="333333"/>
                <w:lang w:val="fr-FR"/>
              </w:rPr>
              <w:t>une étude de suivi menée au Chili sur l</w:t>
            </w:r>
            <w:r w:rsidR="00F06DF9" w:rsidRPr="00927778">
              <w:rPr>
                <w:iCs/>
                <w:color w:val="333333"/>
                <w:lang w:val="fr-FR"/>
              </w:rPr>
              <w:t>a base d</w:t>
            </w:r>
            <w:r w:rsidRPr="00927778">
              <w:rPr>
                <w:iCs/>
                <w:color w:val="333333"/>
                <w:lang w:val="fr-FR"/>
              </w:rPr>
              <w:t>es r</w:t>
            </w:r>
            <w:r w:rsidR="00F06DF9" w:rsidRPr="00927778">
              <w:rPr>
                <w:iCs/>
                <w:color w:val="333333"/>
                <w:lang w:val="fr-FR"/>
              </w:rPr>
              <w:t>ésultats de la première phase de l</w:t>
            </w:r>
            <w:r w:rsidR="00EA2C86" w:rsidRPr="00927778">
              <w:rPr>
                <w:iCs/>
                <w:color w:val="333333"/>
                <w:lang w:val="fr-FR"/>
              </w:rPr>
              <w:t>’</w:t>
            </w:r>
            <w:r w:rsidR="00F06DF9" w:rsidRPr="00927778">
              <w:rPr>
                <w:iCs/>
                <w:color w:val="333333"/>
                <w:lang w:val="fr-FR"/>
              </w:rPr>
              <w:t>actuel</w:t>
            </w:r>
            <w:r w:rsidRPr="00927778">
              <w:rPr>
                <w:iCs/>
                <w:color w:val="333333"/>
                <w:lang w:val="fr-FR"/>
              </w:rPr>
              <w:t xml:space="preserve"> projet</w:t>
            </w:r>
            <w:r w:rsidR="00CB5AE0" w:rsidRPr="00927778">
              <w:rPr>
                <w:iCs/>
                <w:color w:val="333333"/>
                <w:lang w:val="fr-FR"/>
              </w:rPr>
              <w:noBreakHyphen/>
            </w:r>
            <w:r w:rsidRPr="00927778">
              <w:rPr>
                <w:iCs/>
                <w:color w:val="333333"/>
                <w:lang w:val="fr-FR"/>
              </w:rPr>
              <w:t xml:space="preserve">cadre </w:t>
            </w:r>
            <w:r w:rsidR="00F91F66" w:rsidRPr="00927778">
              <w:rPr>
                <w:color w:val="333333"/>
                <w:lang w:val="fr-FR"/>
              </w:rPr>
              <w:t xml:space="preserve">(CDIP/5/7). </w:t>
            </w:r>
            <w:r w:rsidR="0057466D" w:rsidRPr="00927778">
              <w:rPr>
                <w:color w:val="333333"/>
                <w:lang w:val="fr-FR"/>
              </w:rPr>
              <w:t xml:space="preserve"> </w:t>
            </w:r>
            <w:r w:rsidR="006A1197" w:rsidRPr="00927778">
              <w:rPr>
                <w:color w:val="333333"/>
                <w:lang w:val="fr-FR"/>
              </w:rPr>
              <w:t>Cette étude portait sur les facteurs déterminants de l</w:t>
            </w:r>
            <w:r w:rsidR="00EA2C86" w:rsidRPr="00927778">
              <w:rPr>
                <w:color w:val="333333"/>
                <w:lang w:val="fr-FR"/>
              </w:rPr>
              <w:t>’</w:t>
            </w:r>
            <w:r w:rsidR="006A1197" w:rsidRPr="00927778">
              <w:rPr>
                <w:color w:val="333333"/>
                <w:lang w:val="fr-FR"/>
              </w:rPr>
              <w:t>utilisation des droits de propriété intellectuelle par des entreprises chiliennes et s</w:t>
            </w:r>
            <w:r w:rsidR="00EA2C86" w:rsidRPr="00927778">
              <w:rPr>
                <w:color w:val="333333"/>
                <w:lang w:val="fr-FR"/>
              </w:rPr>
              <w:t>’</w:t>
            </w:r>
            <w:r w:rsidR="006A1197" w:rsidRPr="00927778">
              <w:rPr>
                <w:color w:val="333333"/>
                <w:lang w:val="fr-FR"/>
              </w:rPr>
              <w:t xml:space="preserve">appuyait sur </w:t>
            </w:r>
            <w:r w:rsidR="0022390D" w:rsidRPr="00927778">
              <w:rPr>
                <w:color w:val="333333"/>
                <w:lang w:val="fr-FR"/>
              </w:rPr>
              <w:t xml:space="preserve">un ensemble de données </w:t>
            </w:r>
            <w:r w:rsidR="007748EF" w:rsidRPr="00927778">
              <w:rPr>
                <w:color w:val="333333"/>
                <w:lang w:val="fr-FR"/>
              </w:rPr>
              <w:t>d</w:t>
            </w:r>
            <w:r w:rsidR="00EA2C86" w:rsidRPr="00927778">
              <w:rPr>
                <w:color w:val="333333"/>
                <w:lang w:val="fr-FR"/>
              </w:rPr>
              <w:t>’</w:t>
            </w:r>
            <w:r w:rsidR="007748EF" w:rsidRPr="00927778">
              <w:rPr>
                <w:color w:val="333333"/>
                <w:lang w:val="fr-FR"/>
              </w:rPr>
              <w:t xml:space="preserve">une richesse unique </w:t>
            </w:r>
            <w:r w:rsidR="0022390D" w:rsidRPr="00927778">
              <w:rPr>
                <w:color w:val="333333"/>
                <w:lang w:val="fr-FR"/>
              </w:rPr>
              <w:t>relatives à l</w:t>
            </w:r>
            <w:r w:rsidR="00EA2C86" w:rsidRPr="00927778">
              <w:rPr>
                <w:color w:val="333333"/>
                <w:lang w:val="fr-FR"/>
              </w:rPr>
              <w:t>’</w:t>
            </w:r>
            <w:r w:rsidR="0022390D" w:rsidRPr="00927778">
              <w:rPr>
                <w:color w:val="333333"/>
                <w:lang w:val="fr-FR"/>
              </w:rPr>
              <w:t>utilisation de la propriété intellectuelle et aux résultats des entrepris</w:t>
            </w:r>
            <w:r w:rsidR="00306E74" w:rsidRPr="00927778">
              <w:rPr>
                <w:color w:val="333333"/>
                <w:lang w:val="fr-FR"/>
              </w:rPr>
              <w:t>es.  Le</w:t>
            </w:r>
            <w:r w:rsidR="0022390D" w:rsidRPr="00927778">
              <w:rPr>
                <w:color w:val="333333"/>
                <w:lang w:val="fr-FR"/>
              </w:rPr>
              <w:t>s résultats définitifs de l</w:t>
            </w:r>
            <w:r w:rsidR="00EA2C86" w:rsidRPr="00927778">
              <w:rPr>
                <w:color w:val="333333"/>
                <w:lang w:val="fr-FR"/>
              </w:rPr>
              <w:t>’</w:t>
            </w:r>
            <w:r w:rsidR="0022390D" w:rsidRPr="00927778">
              <w:rPr>
                <w:color w:val="333333"/>
                <w:lang w:val="fr-FR"/>
              </w:rPr>
              <w:t xml:space="preserve">étude ont été présentés lors de la </w:t>
            </w:r>
            <w:r w:rsidR="0022390D" w:rsidRPr="00927778">
              <w:rPr>
                <w:color w:val="333333"/>
                <w:szCs w:val="22"/>
                <w:lang w:val="fr-FR"/>
              </w:rPr>
              <w:t>vingt</w:t>
            </w:r>
            <w:r w:rsidR="00EA2C86" w:rsidRPr="00927778">
              <w:rPr>
                <w:color w:val="333333"/>
                <w:szCs w:val="22"/>
                <w:lang w:val="fr-FR"/>
              </w:rPr>
              <w:t> et unième session du C</w:t>
            </w:r>
            <w:r w:rsidR="00306E74" w:rsidRPr="00927778">
              <w:rPr>
                <w:color w:val="333333"/>
                <w:szCs w:val="22"/>
                <w:lang w:val="fr-FR"/>
              </w:rPr>
              <w:t xml:space="preserve">DIP.  </w:t>
            </w:r>
            <w:r w:rsidR="00306E74" w:rsidRPr="00927778">
              <w:rPr>
                <w:color w:val="333333"/>
                <w:lang w:val="fr-FR"/>
              </w:rPr>
              <w:t>Le</w:t>
            </w:r>
            <w:r w:rsidR="0022390D" w:rsidRPr="00927778">
              <w:rPr>
                <w:color w:val="333333"/>
                <w:lang w:val="fr-FR"/>
              </w:rPr>
              <w:t xml:space="preserve"> résumé de l</w:t>
            </w:r>
            <w:r w:rsidR="00EA2C86" w:rsidRPr="00927778">
              <w:rPr>
                <w:color w:val="333333"/>
                <w:lang w:val="fr-FR"/>
              </w:rPr>
              <w:t>’</w:t>
            </w:r>
            <w:r w:rsidR="0022390D" w:rsidRPr="00927778">
              <w:rPr>
                <w:color w:val="333333"/>
                <w:lang w:val="fr-FR"/>
              </w:rPr>
              <w:t>étude figure dans le document</w:t>
            </w:r>
            <w:r w:rsidR="00CB5AE0" w:rsidRPr="00927778">
              <w:rPr>
                <w:color w:val="333333"/>
                <w:lang w:val="fr-FR"/>
              </w:rPr>
              <w:t> </w:t>
            </w:r>
            <w:r w:rsidR="00F91F66" w:rsidRPr="00927778">
              <w:rPr>
                <w:color w:val="333333"/>
                <w:lang w:val="fr-FR"/>
              </w:rPr>
              <w:t>CDIP/21/INF/4.</w:t>
            </w:r>
          </w:p>
          <w:p w:rsidR="005E6718" w:rsidRPr="00927778" w:rsidRDefault="005E6718" w:rsidP="00C3651B">
            <w:pPr>
              <w:rPr>
                <w:color w:val="333333"/>
                <w:lang w:val="fr-FR"/>
              </w:rPr>
            </w:pPr>
          </w:p>
          <w:p w:rsidR="005E6718" w:rsidRPr="00927778" w:rsidRDefault="00F70E13" w:rsidP="00F70E13">
            <w:pPr>
              <w:rPr>
                <w:color w:val="333333"/>
                <w:spacing w:val="1"/>
                <w:u w:val="single"/>
                <w:lang w:val="fr-FR"/>
              </w:rPr>
            </w:pPr>
            <w:r w:rsidRPr="00927778">
              <w:rPr>
                <w:color w:val="333333"/>
                <w:spacing w:val="1"/>
                <w:u w:val="single"/>
                <w:lang w:val="fr-FR"/>
              </w:rPr>
              <w:t>Le rôle de la propriété intellectuelle dans le secteur minier</w:t>
            </w:r>
          </w:p>
          <w:p w:rsidR="00EA2C86" w:rsidRPr="00927778" w:rsidRDefault="00F70E13" w:rsidP="00F70E13">
            <w:pPr>
              <w:rPr>
                <w:color w:val="333333"/>
                <w:lang w:val="fr-FR"/>
              </w:rPr>
            </w:pPr>
            <w:r w:rsidRPr="00927778">
              <w:rPr>
                <w:color w:val="333333"/>
                <w:lang w:val="fr-FR"/>
              </w:rPr>
              <w:t>Cette étude visait à réunir des éléments empiriques témoignant des principales tendances mondiales en matière d</w:t>
            </w:r>
            <w:r w:rsidR="00EA2C86" w:rsidRPr="00927778">
              <w:rPr>
                <w:color w:val="333333"/>
                <w:lang w:val="fr-FR"/>
              </w:rPr>
              <w:t>’</w:t>
            </w:r>
            <w:r w:rsidRPr="00927778">
              <w:rPr>
                <w:color w:val="333333"/>
                <w:lang w:val="fr-FR"/>
              </w:rPr>
              <w:t>innovation et d</w:t>
            </w:r>
            <w:r w:rsidR="00EA2C86" w:rsidRPr="00927778">
              <w:rPr>
                <w:color w:val="333333"/>
                <w:lang w:val="fr-FR"/>
              </w:rPr>
              <w:t>’</w:t>
            </w:r>
            <w:r w:rsidRPr="00927778">
              <w:rPr>
                <w:color w:val="333333"/>
                <w:lang w:val="fr-FR"/>
              </w:rPr>
              <w:t>utilisation de la propriété intellectuelle dans le secteur mini</w:t>
            </w:r>
            <w:r w:rsidR="00306E74" w:rsidRPr="00927778">
              <w:rPr>
                <w:color w:val="333333"/>
                <w:lang w:val="fr-FR"/>
              </w:rPr>
              <w:t>er.  Un</w:t>
            </w:r>
            <w:r w:rsidRPr="00927778">
              <w:rPr>
                <w:color w:val="333333"/>
                <w:lang w:val="fr-FR"/>
              </w:rPr>
              <w:t xml:space="preserve"> atelier technique rassemblant les parties prenantes majeures s</w:t>
            </w:r>
            <w:r w:rsidR="00EA2C86" w:rsidRPr="00927778">
              <w:rPr>
                <w:color w:val="333333"/>
                <w:lang w:val="fr-FR"/>
              </w:rPr>
              <w:t>’</w:t>
            </w:r>
            <w:r w:rsidRPr="00927778">
              <w:rPr>
                <w:color w:val="333333"/>
                <w:lang w:val="fr-FR"/>
              </w:rPr>
              <w:t xml:space="preserve">est tenu à </w:t>
            </w:r>
            <w:r w:rsidR="00F939B2" w:rsidRPr="00927778">
              <w:rPr>
                <w:color w:val="333333"/>
                <w:lang w:val="fr-FR"/>
              </w:rPr>
              <w:t xml:space="preserve">Genève en </w:t>
            </w:r>
            <w:r w:rsidR="00EA2C86" w:rsidRPr="00927778">
              <w:rPr>
                <w:color w:val="333333"/>
                <w:lang w:val="fr-FR"/>
              </w:rPr>
              <w:t>mars 20</w:t>
            </w:r>
            <w:r w:rsidR="00F939B2" w:rsidRPr="00927778">
              <w:rPr>
                <w:color w:val="333333"/>
                <w:lang w:val="fr-FR"/>
              </w:rPr>
              <w:t>17.</w:t>
            </w:r>
            <w:r w:rsidRPr="00927778">
              <w:rPr>
                <w:color w:val="333333"/>
                <w:lang w:val="fr-FR"/>
              </w:rPr>
              <w:t xml:space="preserve"> </w:t>
            </w:r>
            <w:r w:rsidR="0057466D" w:rsidRPr="00927778">
              <w:rPr>
                <w:color w:val="333333"/>
                <w:lang w:val="fr-FR"/>
              </w:rPr>
              <w:t xml:space="preserve"> </w:t>
            </w:r>
            <w:r w:rsidRPr="00927778">
              <w:rPr>
                <w:color w:val="333333"/>
                <w:lang w:val="fr-FR"/>
              </w:rPr>
              <w:t>Il a permis de définir les gr</w:t>
            </w:r>
            <w:r w:rsidR="00F939B2" w:rsidRPr="00927778">
              <w:rPr>
                <w:color w:val="333333"/>
                <w:lang w:val="fr-FR"/>
              </w:rPr>
              <w:t>ands axes du travail propo</w:t>
            </w:r>
            <w:r w:rsidR="00306E74" w:rsidRPr="00927778">
              <w:rPr>
                <w:color w:val="333333"/>
                <w:lang w:val="fr-FR"/>
              </w:rPr>
              <w:t>sé.  Au</w:t>
            </w:r>
            <w:r w:rsidRPr="00927778">
              <w:rPr>
                <w:color w:val="333333"/>
                <w:lang w:val="fr-FR"/>
              </w:rPr>
              <w:t xml:space="preserve"> cours de celui</w:t>
            </w:r>
            <w:r w:rsidR="00CB5AE0" w:rsidRPr="00927778">
              <w:rPr>
                <w:color w:val="333333"/>
                <w:lang w:val="fr-FR"/>
              </w:rPr>
              <w:noBreakHyphen/>
            </w:r>
            <w:r w:rsidRPr="00927778">
              <w:rPr>
                <w:color w:val="333333"/>
                <w:lang w:val="fr-FR"/>
              </w:rPr>
              <w:t>ci, les principaux rôles et responsabilités ont été discutés et attribués aux parties participantes et aux offices de propriété intellectuel</w:t>
            </w:r>
            <w:r w:rsidR="00306E74" w:rsidRPr="00927778">
              <w:rPr>
                <w:color w:val="333333"/>
                <w:lang w:val="fr-FR"/>
              </w:rPr>
              <w:t>le.  L’é</w:t>
            </w:r>
            <w:r w:rsidRPr="00927778">
              <w:rPr>
                <w:color w:val="333333"/>
                <w:lang w:val="fr-FR"/>
              </w:rPr>
              <w:t>tude menée au Chili et au Brésil s</w:t>
            </w:r>
            <w:r w:rsidR="00EA2C86" w:rsidRPr="00927778">
              <w:rPr>
                <w:color w:val="333333"/>
                <w:lang w:val="fr-FR"/>
              </w:rPr>
              <w:t>’</w:t>
            </w:r>
            <w:r w:rsidRPr="00927778">
              <w:rPr>
                <w:color w:val="333333"/>
                <w:lang w:val="fr-FR"/>
              </w:rPr>
              <w:t>inscrit dans le suivi de la première phase de l</w:t>
            </w:r>
            <w:r w:rsidR="00EA2C86" w:rsidRPr="00927778">
              <w:rPr>
                <w:color w:val="333333"/>
                <w:lang w:val="fr-FR"/>
              </w:rPr>
              <w:t>’</w:t>
            </w:r>
            <w:r w:rsidRPr="00927778">
              <w:rPr>
                <w:color w:val="333333"/>
                <w:lang w:val="fr-FR"/>
              </w:rPr>
              <w:t>étude</w:t>
            </w:r>
            <w:r w:rsidR="00EA2C86" w:rsidRPr="00927778">
              <w:rPr>
                <w:color w:val="333333"/>
                <w:lang w:val="fr-FR"/>
              </w:rPr>
              <w:t xml:space="preserve"> du C</w:t>
            </w:r>
            <w:r w:rsidR="00306E74" w:rsidRPr="00927778">
              <w:rPr>
                <w:color w:val="333333"/>
                <w:lang w:val="fr-FR"/>
              </w:rPr>
              <w:t>DIP.  De</w:t>
            </w:r>
            <w:r w:rsidR="00C14834" w:rsidRPr="00927778">
              <w:rPr>
                <w:color w:val="333333"/>
                <w:lang w:val="fr-FR"/>
              </w:rPr>
              <w:t xml:space="preserve">puis, les travaux de cartographie des brevets au niveau mondial ont été menés à bien et les </w:t>
            </w:r>
            <w:r w:rsidR="00F91F66" w:rsidRPr="00927778">
              <w:rPr>
                <w:color w:val="333333"/>
                <w:lang w:val="fr-FR"/>
              </w:rPr>
              <w:t xml:space="preserve">consultants </w:t>
            </w:r>
            <w:r w:rsidR="00C14834" w:rsidRPr="00927778">
              <w:rPr>
                <w:color w:val="333333"/>
                <w:lang w:val="fr-FR"/>
              </w:rPr>
              <w:t xml:space="preserve">pour le </w:t>
            </w:r>
            <w:r w:rsidR="00F91F66" w:rsidRPr="00927778">
              <w:rPr>
                <w:color w:val="333333"/>
                <w:lang w:val="fr-FR"/>
              </w:rPr>
              <w:t>Chil</w:t>
            </w:r>
            <w:r w:rsidR="00C14834" w:rsidRPr="00927778">
              <w:rPr>
                <w:color w:val="333333"/>
                <w:lang w:val="fr-FR"/>
              </w:rPr>
              <w:t>i et le Brésil ont remis leur étude respecti</w:t>
            </w:r>
            <w:r w:rsidR="00306E74" w:rsidRPr="00927778">
              <w:rPr>
                <w:color w:val="333333"/>
                <w:lang w:val="fr-FR"/>
              </w:rPr>
              <w:t>ve.  Le</w:t>
            </w:r>
            <w:r w:rsidR="00C14834" w:rsidRPr="00927778">
              <w:rPr>
                <w:color w:val="333333"/>
                <w:lang w:val="fr-FR"/>
              </w:rPr>
              <w:t>s résultats des études de ces deux</w:t>
            </w:r>
            <w:r w:rsidR="0057466D" w:rsidRPr="00927778">
              <w:rPr>
                <w:color w:val="333333"/>
                <w:lang w:val="fr-FR"/>
              </w:rPr>
              <w:t> </w:t>
            </w:r>
            <w:r w:rsidR="00C14834" w:rsidRPr="00927778">
              <w:rPr>
                <w:color w:val="333333"/>
                <w:lang w:val="fr-FR"/>
              </w:rPr>
              <w:t>pays seront présentés aux États membres à l</w:t>
            </w:r>
            <w:r w:rsidR="00EA2C86" w:rsidRPr="00927778">
              <w:rPr>
                <w:color w:val="333333"/>
                <w:lang w:val="fr-FR"/>
              </w:rPr>
              <w:t>’</w:t>
            </w:r>
            <w:r w:rsidR="00C14834" w:rsidRPr="00927778">
              <w:rPr>
                <w:color w:val="333333"/>
                <w:lang w:val="fr-FR"/>
              </w:rPr>
              <w:t>occasion d</w:t>
            </w:r>
            <w:r w:rsidR="00EA2C86" w:rsidRPr="00927778">
              <w:rPr>
                <w:color w:val="333333"/>
                <w:lang w:val="fr-FR"/>
              </w:rPr>
              <w:t>’</w:t>
            </w:r>
            <w:r w:rsidR="00C14834" w:rsidRPr="00927778">
              <w:rPr>
                <w:color w:val="333333"/>
                <w:lang w:val="fr-FR"/>
              </w:rPr>
              <w:t>une prochaine session</w:t>
            </w:r>
            <w:r w:rsidR="00EA2C86" w:rsidRPr="00927778">
              <w:rPr>
                <w:color w:val="333333"/>
                <w:lang w:val="fr-FR"/>
              </w:rPr>
              <w:t xml:space="preserve"> du CDI</w:t>
            </w:r>
            <w:r w:rsidR="00F91F66" w:rsidRPr="00927778">
              <w:rPr>
                <w:color w:val="333333"/>
                <w:lang w:val="fr-FR"/>
              </w:rPr>
              <w:t>P.</w:t>
            </w:r>
          </w:p>
          <w:p w:rsidR="00A94ADC" w:rsidRPr="00927778" w:rsidRDefault="00A94ADC" w:rsidP="00C3651B">
            <w:pPr>
              <w:rPr>
                <w:color w:val="333333"/>
                <w:lang w:val="fr-FR"/>
              </w:rPr>
            </w:pPr>
          </w:p>
        </w:tc>
      </w:tr>
      <w:tr w:rsidR="00047C22" w:rsidRPr="00927778" w:rsidTr="00C3651B">
        <w:trPr>
          <w:trHeight w:val="1212"/>
        </w:trPr>
        <w:tc>
          <w:tcPr>
            <w:tcW w:w="2376" w:type="dxa"/>
            <w:shd w:val="clear" w:color="auto" w:fill="auto"/>
          </w:tcPr>
          <w:p w:rsidR="00F91F66" w:rsidRPr="00927778" w:rsidRDefault="00F70E13" w:rsidP="00F70E13">
            <w:pPr>
              <w:pStyle w:val="Heading3"/>
              <w:rPr>
                <w:color w:val="333333"/>
                <w:lang w:val="fr-FR"/>
              </w:rPr>
            </w:pPr>
            <w:r w:rsidRPr="00927778">
              <w:rPr>
                <w:color w:val="333333"/>
                <w:lang w:val="fr-FR"/>
              </w:rPr>
              <w:t>Exemples de succès ou d</w:t>
            </w:r>
            <w:r w:rsidR="00EA2C86" w:rsidRPr="00927778">
              <w:rPr>
                <w:color w:val="333333"/>
                <w:lang w:val="fr-FR"/>
              </w:rPr>
              <w:t>’</w:t>
            </w:r>
            <w:r w:rsidRPr="00927778">
              <w:rPr>
                <w:color w:val="333333"/>
                <w:lang w:val="fr-FR"/>
              </w:rPr>
              <w:t>effets positifs et principaux enseignements</w:t>
            </w:r>
          </w:p>
        </w:tc>
        <w:tc>
          <w:tcPr>
            <w:tcW w:w="6912" w:type="dxa"/>
            <w:vAlign w:val="center"/>
          </w:tcPr>
          <w:p w:rsidR="005E6718" w:rsidRPr="00927778" w:rsidRDefault="005E6718" w:rsidP="00C3651B">
            <w:pPr>
              <w:rPr>
                <w:iCs/>
                <w:color w:val="333333"/>
                <w:lang w:val="fr-FR"/>
              </w:rPr>
            </w:pPr>
          </w:p>
          <w:p w:rsidR="00EA2C86" w:rsidRPr="00927778" w:rsidRDefault="0095135C" w:rsidP="00C3651B">
            <w:pPr>
              <w:rPr>
                <w:iCs/>
                <w:color w:val="333333"/>
                <w:lang w:val="fr-FR"/>
              </w:rPr>
            </w:pPr>
            <w:r w:rsidRPr="00927778">
              <w:rPr>
                <w:iCs/>
                <w:color w:val="333333"/>
                <w:lang w:val="fr-FR"/>
              </w:rPr>
              <w:t xml:space="preserve">Les ateliers et séminaires organisés en lien avec les études des pays ont révélé que les différentes parties prenantes, </w:t>
            </w:r>
            <w:r w:rsidR="00EA2C86" w:rsidRPr="00927778">
              <w:rPr>
                <w:iCs/>
                <w:color w:val="333333"/>
                <w:lang w:val="fr-FR"/>
              </w:rPr>
              <w:t>y compris</w:t>
            </w:r>
            <w:r w:rsidRPr="00927778">
              <w:rPr>
                <w:iCs/>
                <w:color w:val="333333"/>
                <w:lang w:val="fr-FR"/>
              </w:rPr>
              <w:t xml:space="preserve"> les offices de propriété intellectuelle, les déposants et le milieu universitaire, manifestaient un intérêt mar</w:t>
            </w:r>
            <w:r w:rsidR="00A843F9" w:rsidRPr="00927778">
              <w:rPr>
                <w:iCs/>
                <w:color w:val="333333"/>
                <w:lang w:val="fr-FR"/>
              </w:rPr>
              <w:t>qué pour les travaux envisag</w:t>
            </w:r>
            <w:r w:rsidR="00306E74" w:rsidRPr="00927778">
              <w:rPr>
                <w:iCs/>
                <w:color w:val="333333"/>
                <w:lang w:val="fr-FR"/>
              </w:rPr>
              <w:t>és.  En</w:t>
            </w:r>
            <w:r w:rsidRPr="00927778">
              <w:rPr>
                <w:iCs/>
                <w:color w:val="333333"/>
                <w:lang w:val="fr-FR"/>
              </w:rPr>
              <w:t xml:space="preserve"> outre, ils ont favorisé un dialogue interne sur la manière dont la propriété intellectuelle influe sur les résultats économiques.</w:t>
            </w:r>
          </w:p>
          <w:p w:rsidR="005E6718" w:rsidRPr="00927778" w:rsidRDefault="005E6718" w:rsidP="00C3651B">
            <w:pPr>
              <w:rPr>
                <w:iCs/>
                <w:color w:val="333333"/>
                <w:lang w:val="fr-FR"/>
              </w:rPr>
            </w:pPr>
          </w:p>
          <w:p w:rsidR="00EA2C86" w:rsidRPr="00927778" w:rsidRDefault="00380ADB" w:rsidP="00C3651B">
            <w:pPr>
              <w:rPr>
                <w:color w:val="333333"/>
                <w:szCs w:val="22"/>
                <w:lang w:val="fr-FR"/>
              </w:rPr>
            </w:pPr>
            <w:r w:rsidRPr="00927778">
              <w:rPr>
                <w:color w:val="333333"/>
                <w:szCs w:val="22"/>
                <w:lang w:val="fr-FR"/>
              </w:rPr>
              <w:t>Parmi les principaux enseignements figurent le fait que réaliser des enquêtes formelles et des entretiens de qualité demande beaucoup de ressources et que souvent des obstacles inattendus</w:t>
            </w:r>
            <w:r w:rsidR="001C57E2" w:rsidRPr="00927778">
              <w:rPr>
                <w:color w:val="333333"/>
                <w:szCs w:val="22"/>
                <w:lang w:val="fr-FR"/>
              </w:rPr>
              <w:t xml:space="preserve"> survienne</w:t>
            </w:r>
            <w:r w:rsidR="00306E74" w:rsidRPr="00927778">
              <w:rPr>
                <w:color w:val="333333"/>
                <w:szCs w:val="22"/>
                <w:lang w:val="fr-FR"/>
              </w:rPr>
              <w:t>nt.  Da</w:t>
            </w:r>
            <w:r w:rsidRPr="00927778">
              <w:rPr>
                <w:color w:val="333333"/>
                <w:szCs w:val="22"/>
                <w:lang w:val="fr-FR"/>
              </w:rPr>
              <w:t>ns certaines études (ASEAN, Pologne</w:t>
            </w:r>
            <w:r w:rsidR="00F91F66" w:rsidRPr="00927778">
              <w:rPr>
                <w:color w:val="333333"/>
                <w:szCs w:val="22"/>
                <w:lang w:val="fr-FR"/>
              </w:rPr>
              <w:t xml:space="preserve">, </w:t>
            </w:r>
            <w:r w:rsidRPr="00927778">
              <w:rPr>
                <w:color w:val="333333"/>
                <w:szCs w:val="22"/>
                <w:lang w:val="fr-FR"/>
              </w:rPr>
              <w:t>secteur minier</w:t>
            </w:r>
            <w:r w:rsidR="004A30FA" w:rsidRPr="00927778">
              <w:rPr>
                <w:color w:val="333333"/>
                <w:szCs w:val="22"/>
                <w:lang w:val="fr-FR"/>
              </w:rPr>
              <w:t>,</w:t>
            </w:r>
            <w:r w:rsidRPr="00927778">
              <w:rPr>
                <w:color w:val="333333"/>
                <w:szCs w:val="22"/>
                <w:lang w:val="fr-FR"/>
              </w:rPr>
              <w:t xml:space="preserve"> Chili</w:t>
            </w:r>
            <w:r w:rsidR="004A30FA" w:rsidRPr="00927778">
              <w:rPr>
                <w:color w:val="333333"/>
                <w:szCs w:val="22"/>
                <w:lang w:val="fr-FR"/>
              </w:rPr>
              <w:t>)</w:t>
            </w:r>
            <w:r w:rsidRPr="00927778">
              <w:rPr>
                <w:color w:val="333333"/>
                <w:szCs w:val="22"/>
                <w:lang w:val="fr-FR"/>
              </w:rPr>
              <w:t>,</w:t>
            </w:r>
            <w:r w:rsidR="00924BA2" w:rsidRPr="00927778">
              <w:rPr>
                <w:color w:val="333333"/>
                <w:szCs w:val="22"/>
                <w:lang w:val="fr-FR"/>
              </w:rPr>
              <w:t xml:space="preserve"> il a fallu plus de temps que prévu pour conclure les recherch</w:t>
            </w:r>
            <w:r w:rsidR="00306E74" w:rsidRPr="00927778">
              <w:rPr>
                <w:color w:val="333333"/>
                <w:szCs w:val="22"/>
                <w:lang w:val="fr-FR"/>
              </w:rPr>
              <w:t>es.  Il</w:t>
            </w:r>
            <w:r w:rsidR="00924BA2" w:rsidRPr="00927778">
              <w:rPr>
                <w:color w:val="333333"/>
                <w:szCs w:val="22"/>
                <w:lang w:val="fr-FR"/>
              </w:rPr>
              <w:t xml:space="preserve"> importe de garder à l</w:t>
            </w:r>
            <w:r w:rsidR="00EA2C86" w:rsidRPr="00927778">
              <w:rPr>
                <w:color w:val="333333"/>
                <w:szCs w:val="22"/>
                <w:lang w:val="fr-FR"/>
              </w:rPr>
              <w:t>’</w:t>
            </w:r>
            <w:r w:rsidR="00924BA2" w:rsidRPr="00927778">
              <w:rPr>
                <w:color w:val="333333"/>
                <w:szCs w:val="22"/>
                <w:lang w:val="fr-FR"/>
              </w:rPr>
              <w:t>esprit l</w:t>
            </w:r>
            <w:r w:rsidR="00EA2C86" w:rsidRPr="00927778">
              <w:rPr>
                <w:color w:val="333333"/>
                <w:szCs w:val="22"/>
                <w:lang w:val="fr-FR"/>
              </w:rPr>
              <w:t>’</w:t>
            </w:r>
            <w:r w:rsidR="00924BA2" w:rsidRPr="00927778">
              <w:rPr>
                <w:color w:val="333333"/>
                <w:szCs w:val="22"/>
                <w:lang w:val="fr-FR"/>
              </w:rPr>
              <w:t xml:space="preserve">éventualité de tels retards et de </w:t>
            </w:r>
            <w:r w:rsidR="001C57E2" w:rsidRPr="00927778">
              <w:rPr>
                <w:color w:val="333333"/>
                <w:szCs w:val="22"/>
                <w:lang w:val="fr-FR"/>
              </w:rPr>
              <w:t>se ménager</w:t>
            </w:r>
            <w:r w:rsidR="00924BA2" w:rsidRPr="00927778">
              <w:rPr>
                <w:color w:val="333333"/>
                <w:szCs w:val="22"/>
                <w:lang w:val="fr-FR"/>
              </w:rPr>
              <w:t xml:space="preserve"> une marge de sécurité raisonnable pour </w:t>
            </w:r>
            <w:r w:rsidR="00AA6568" w:rsidRPr="00927778">
              <w:rPr>
                <w:color w:val="333333"/>
                <w:szCs w:val="22"/>
                <w:lang w:val="fr-FR"/>
              </w:rPr>
              <w:t xml:space="preserve">les </w:t>
            </w:r>
            <w:r w:rsidR="00924BA2" w:rsidRPr="00927778">
              <w:rPr>
                <w:color w:val="333333"/>
                <w:szCs w:val="22"/>
                <w:lang w:val="fr-FR"/>
              </w:rPr>
              <w:t>éviter.</w:t>
            </w:r>
          </w:p>
          <w:p w:rsidR="00F91F66" w:rsidRPr="00927778" w:rsidRDefault="00F91F66" w:rsidP="00C3651B">
            <w:pPr>
              <w:rPr>
                <w:iCs/>
                <w:color w:val="333333"/>
                <w:lang w:val="fr-FR"/>
              </w:rPr>
            </w:pPr>
          </w:p>
        </w:tc>
      </w:tr>
      <w:tr w:rsidR="00047C22" w:rsidRPr="00927778" w:rsidTr="00C3651B">
        <w:trPr>
          <w:trHeight w:val="713"/>
        </w:trPr>
        <w:tc>
          <w:tcPr>
            <w:tcW w:w="2376" w:type="dxa"/>
            <w:shd w:val="clear" w:color="auto" w:fill="auto"/>
          </w:tcPr>
          <w:p w:rsidR="00F91F66" w:rsidRPr="00927778" w:rsidRDefault="00F70E13" w:rsidP="00F70E13">
            <w:pPr>
              <w:pStyle w:val="Heading3"/>
              <w:rPr>
                <w:color w:val="333333"/>
                <w:lang w:val="fr-FR"/>
              </w:rPr>
            </w:pPr>
            <w:r w:rsidRPr="00927778">
              <w:rPr>
                <w:color w:val="333333"/>
                <w:lang w:val="fr-FR"/>
              </w:rPr>
              <w:t>Risques et mesures de prévention</w:t>
            </w:r>
          </w:p>
        </w:tc>
        <w:tc>
          <w:tcPr>
            <w:tcW w:w="6912" w:type="dxa"/>
          </w:tcPr>
          <w:p w:rsidR="005E6718" w:rsidRPr="00927778" w:rsidRDefault="005E6718" w:rsidP="00C3651B">
            <w:pPr>
              <w:rPr>
                <w:iCs/>
                <w:color w:val="333333"/>
                <w:lang w:val="fr-FR"/>
              </w:rPr>
            </w:pPr>
          </w:p>
          <w:p w:rsidR="005E6718" w:rsidRPr="00927778" w:rsidRDefault="00F70E13" w:rsidP="00765D53">
            <w:pPr>
              <w:rPr>
                <w:color w:val="333333"/>
                <w:lang w:val="fr-FR"/>
              </w:rPr>
            </w:pPr>
            <w:r w:rsidRPr="00927778">
              <w:rPr>
                <w:color w:val="333333"/>
                <w:lang w:val="fr-FR"/>
              </w:rPr>
              <w:t>Comme l</w:t>
            </w:r>
            <w:r w:rsidR="00EA2C86" w:rsidRPr="00927778">
              <w:rPr>
                <w:color w:val="333333"/>
                <w:lang w:val="fr-FR"/>
              </w:rPr>
              <w:t>’</w:t>
            </w:r>
            <w:r w:rsidRPr="00927778">
              <w:rPr>
                <w:color w:val="333333"/>
                <w:lang w:val="fr-FR"/>
              </w:rPr>
              <w:t xml:space="preserve">indique </w:t>
            </w:r>
            <w:r w:rsidRPr="00927778">
              <w:rPr>
                <w:rFonts w:eastAsia="SimSun"/>
                <w:color w:val="333333"/>
                <w:lang w:val="fr-FR" w:eastAsia="zh-CN"/>
              </w:rPr>
              <w:t>les précédents</w:t>
            </w:r>
            <w:r w:rsidRPr="00927778">
              <w:rPr>
                <w:color w:val="333333"/>
                <w:lang w:val="fr-FR"/>
              </w:rPr>
              <w:t xml:space="preserve"> </w:t>
            </w:r>
            <w:r w:rsidRPr="00927778">
              <w:rPr>
                <w:rFonts w:eastAsia="SimSun"/>
                <w:color w:val="333333"/>
                <w:lang w:val="fr-FR" w:eastAsia="zh-CN"/>
              </w:rPr>
              <w:t>rapports sur l</w:t>
            </w:r>
            <w:r w:rsidR="00EA2C86" w:rsidRPr="00927778">
              <w:rPr>
                <w:rFonts w:eastAsia="SimSun"/>
                <w:color w:val="333333"/>
                <w:lang w:val="fr-FR" w:eastAsia="zh-CN"/>
              </w:rPr>
              <w:t>’</w:t>
            </w:r>
            <w:r w:rsidRPr="00927778">
              <w:rPr>
                <w:rFonts w:eastAsia="SimSun"/>
                <w:color w:val="333333"/>
                <w:lang w:val="fr-FR" w:eastAsia="zh-CN"/>
              </w:rPr>
              <w:t>état</w:t>
            </w:r>
            <w:r w:rsidRPr="00927778">
              <w:rPr>
                <w:color w:val="333333"/>
                <w:lang w:val="fr-FR"/>
              </w:rPr>
              <w:t xml:space="preserve"> d</w:t>
            </w:r>
            <w:r w:rsidR="00EA2C86" w:rsidRPr="00927778">
              <w:rPr>
                <w:color w:val="333333"/>
                <w:lang w:val="fr-FR"/>
              </w:rPr>
              <w:t>’</w:t>
            </w:r>
            <w:r w:rsidRPr="00927778">
              <w:rPr>
                <w:color w:val="333333"/>
                <w:lang w:val="fr-FR"/>
              </w:rPr>
              <w:t>avancement des projets (CDIP/18/2 et CDIP/20/2), le processus de recrutement du chef de projet a pris davantage de temps que prévu initialeme</w:t>
            </w:r>
            <w:r w:rsidR="00306E74" w:rsidRPr="00927778">
              <w:rPr>
                <w:color w:val="333333"/>
                <w:lang w:val="fr-FR"/>
              </w:rPr>
              <w:t>nt.  Il</w:t>
            </w:r>
            <w:r w:rsidR="004677E3" w:rsidRPr="00927778">
              <w:rPr>
                <w:color w:val="333333"/>
                <w:lang w:val="fr-FR"/>
              </w:rPr>
              <w:t xml:space="preserve"> en a résulté</w:t>
            </w:r>
            <w:r w:rsidR="00765D53" w:rsidRPr="00927778">
              <w:rPr>
                <w:color w:val="333333"/>
                <w:lang w:val="fr-FR"/>
              </w:rPr>
              <w:t xml:space="preserve"> d</w:t>
            </w:r>
            <w:r w:rsidR="00EA2C86" w:rsidRPr="00927778">
              <w:rPr>
                <w:color w:val="333333"/>
                <w:lang w:val="fr-FR"/>
              </w:rPr>
              <w:t>’</w:t>
            </w:r>
            <w:r w:rsidR="00765D53" w:rsidRPr="00927778">
              <w:rPr>
                <w:color w:val="333333"/>
                <w:lang w:val="fr-FR"/>
              </w:rPr>
              <w:t xml:space="preserve">autres retards dans le calendrier </w:t>
            </w:r>
            <w:r w:rsidR="00112390" w:rsidRPr="00927778">
              <w:rPr>
                <w:color w:val="333333"/>
                <w:lang w:val="fr-FR"/>
              </w:rPr>
              <w:t xml:space="preserve">global de mise en œuvre </w:t>
            </w:r>
            <w:r w:rsidR="00765D53" w:rsidRPr="00927778">
              <w:rPr>
                <w:color w:val="333333"/>
                <w:lang w:val="fr-FR"/>
              </w:rPr>
              <w:t xml:space="preserve">et par suite </w:t>
            </w:r>
            <w:r w:rsidR="004334B3" w:rsidRPr="00927778">
              <w:rPr>
                <w:color w:val="333333"/>
                <w:lang w:val="fr-FR"/>
              </w:rPr>
              <w:t>une prorogation du projet pour six</w:t>
            </w:r>
            <w:r w:rsidR="0057466D" w:rsidRPr="00927778">
              <w:rPr>
                <w:color w:val="333333"/>
                <w:lang w:val="fr-FR"/>
              </w:rPr>
              <w:t> </w:t>
            </w:r>
            <w:r w:rsidR="004334B3" w:rsidRPr="00927778">
              <w:rPr>
                <w:color w:val="333333"/>
                <w:lang w:val="fr-FR"/>
              </w:rPr>
              <w:t>mo</w:t>
            </w:r>
            <w:r w:rsidR="00306E74" w:rsidRPr="00927778">
              <w:rPr>
                <w:color w:val="333333"/>
                <w:lang w:val="fr-FR"/>
              </w:rPr>
              <w:t>is.  Ce</w:t>
            </w:r>
            <w:r w:rsidR="004334B3" w:rsidRPr="00927778">
              <w:rPr>
                <w:color w:val="333333"/>
                <w:lang w:val="fr-FR"/>
              </w:rPr>
              <w:t xml:space="preserve">la étant, toutes les études ont été </w:t>
            </w:r>
            <w:r w:rsidR="00BA2FE8" w:rsidRPr="00927778">
              <w:rPr>
                <w:color w:val="333333"/>
                <w:lang w:val="fr-FR"/>
              </w:rPr>
              <w:t>achevées</w:t>
            </w:r>
            <w:r w:rsidR="004334B3" w:rsidRPr="00927778">
              <w:rPr>
                <w:color w:val="333333"/>
                <w:lang w:val="fr-FR"/>
              </w:rPr>
              <w:t xml:space="preserve"> dans le</w:t>
            </w:r>
            <w:r w:rsidR="00765D53" w:rsidRPr="00927778">
              <w:rPr>
                <w:color w:val="333333"/>
                <w:lang w:val="fr-FR"/>
              </w:rPr>
              <w:t xml:space="preserve">s délais impartis par le calendrier </w:t>
            </w:r>
            <w:r w:rsidR="00112390" w:rsidRPr="00927778">
              <w:rPr>
                <w:color w:val="333333"/>
                <w:lang w:val="fr-FR"/>
              </w:rPr>
              <w:t xml:space="preserve">de mise en œuvre </w:t>
            </w:r>
            <w:r w:rsidR="004334B3" w:rsidRPr="00927778">
              <w:rPr>
                <w:color w:val="333333"/>
                <w:lang w:val="fr-FR"/>
              </w:rPr>
              <w:t>du projet.</w:t>
            </w:r>
          </w:p>
          <w:p w:rsidR="00F91F66" w:rsidRPr="00927778" w:rsidRDefault="00F91F66" w:rsidP="00C3651B">
            <w:pPr>
              <w:rPr>
                <w:iCs/>
                <w:color w:val="333333"/>
                <w:lang w:val="fr-FR"/>
              </w:rPr>
            </w:pPr>
          </w:p>
        </w:tc>
      </w:tr>
      <w:tr w:rsidR="00047C22" w:rsidRPr="00927778" w:rsidTr="00C3651B">
        <w:trPr>
          <w:trHeight w:val="848"/>
        </w:trPr>
        <w:tc>
          <w:tcPr>
            <w:tcW w:w="2376" w:type="dxa"/>
            <w:shd w:val="clear" w:color="auto" w:fill="auto"/>
          </w:tcPr>
          <w:p w:rsidR="00F91F66" w:rsidRPr="00927778" w:rsidRDefault="00F70E13" w:rsidP="00F70E13">
            <w:pPr>
              <w:pStyle w:val="Heading3"/>
              <w:rPr>
                <w:color w:val="333333"/>
                <w:lang w:val="fr-FR"/>
              </w:rPr>
            </w:pPr>
            <w:r w:rsidRPr="00927778">
              <w:rPr>
                <w:color w:val="333333"/>
                <w:lang w:val="fr-FR"/>
              </w:rPr>
              <w:t>Taux d</w:t>
            </w:r>
            <w:r w:rsidR="00EA2C86" w:rsidRPr="00927778">
              <w:rPr>
                <w:color w:val="333333"/>
                <w:lang w:val="fr-FR"/>
              </w:rPr>
              <w:t>’</w:t>
            </w:r>
            <w:r w:rsidRPr="00927778">
              <w:rPr>
                <w:color w:val="333333"/>
                <w:lang w:val="fr-FR"/>
              </w:rPr>
              <w:t>exécution du projet</w:t>
            </w:r>
            <w:r w:rsidR="00F91F66" w:rsidRPr="00927778">
              <w:rPr>
                <w:color w:val="333333"/>
                <w:lang w:val="fr-FR"/>
              </w:rPr>
              <w:t xml:space="preserve"> </w:t>
            </w:r>
          </w:p>
        </w:tc>
        <w:tc>
          <w:tcPr>
            <w:tcW w:w="6912" w:type="dxa"/>
          </w:tcPr>
          <w:p w:rsidR="005E6718" w:rsidRPr="00927778" w:rsidRDefault="005E6718" w:rsidP="00C3651B">
            <w:pPr>
              <w:rPr>
                <w:color w:val="333333"/>
                <w:lang w:val="fr-FR"/>
              </w:rPr>
            </w:pPr>
          </w:p>
          <w:p w:rsidR="00F91F66" w:rsidRPr="00927778" w:rsidRDefault="003B257F" w:rsidP="00EA5BFB">
            <w:pPr>
              <w:rPr>
                <w:iCs/>
                <w:color w:val="333333"/>
                <w:lang w:val="fr-FR"/>
              </w:rPr>
            </w:pPr>
            <w:r w:rsidRPr="00927778">
              <w:rPr>
                <w:iCs/>
                <w:color w:val="333333"/>
                <w:lang w:val="fr-FR"/>
              </w:rPr>
              <w:t>Taux d</w:t>
            </w:r>
            <w:r w:rsidR="00EA2C86" w:rsidRPr="00927778">
              <w:rPr>
                <w:iCs/>
                <w:color w:val="333333"/>
                <w:lang w:val="fr-FR"/>
              </w:rPr>
              <w:t>’</w:t>
            </w:r>
            <w:r w:rsidRPr="00927778">
              <w:rPr>
                <w:iCs/>
                <w:color w:val="333333"/>
                <w:lang w:val="fr-FR"/>
              </w:rPr>
              <w:t xml:space="preserve">utilisation du budget </w:t>
            </w:r>
            <w:r w:rsidR="00EA5BFB" w:rsidRPr="00927778">
              <w:rPr>
                <w:iCs/>
                <w:color w:val="333333"/>
                <w:lang w:val="fr-FR"/>
              </w:rPr>
              <w:t>à la fin du mois d</w:t>
            </w:r>
            <w:r w:rsidR="00EA2C86" w:rsidRPr="00927778">
              <w:rPr>
                <w:iCs/>
                <w:color w:val="333333"/>
                <w:lang w:val="fr-FR"/>
              </w:rPr>
              <w:t>’août 20</w:t>
            </w:r>
            <w:r w:rsidRPr="00927778">
              <w:rPr>
                <w:iCs/>
                <w:color w:val="333333"/>
                <w:lang w:val="fr-FR"/>
              </w:rPr>
              <w:t>18</w:t>
            </w:r>
            <w:r w:rsidR="00EA2C86" w:rsidRPr="00927778">
              <w:rPr>
                <w:iCs/>
                <w:color w:val="333333"/>
                <w:lang w:val="fr-FR"/>
              </w:rPr>
              <w:t> :</w:t>
            </w:r>
            <w:r w:rsidRPr="00927778">
              <w:rPr>
                <w:iCs/>
                <w:color w:val="333333"/>
                <w:lang w:val="fr-FR"/>
              </w:rPr>
              <w:t xml:space="preserve"> </w:t>
            </w:r>
            <w:r w:rsidR="00EE410A" w:rsidRPr="00927778">
              <w:rPr>
                <w:iCs/>
                <w:color w:val="333333"/>
                <w:lang w:val="fr-FR"/>
              </w:rPr>
              <w:t>85%</w:t>
            </w:r>
          </w:p>
        </w:tc>
      </w:tr>
      <w:tr w:rsidR="00047C22" w:rsidRPr="00927778" w:rsidTr="00C3651B">
        <w:trPr>
          <w:trHeight w:val="848"/>
        </w:trPr>
        <w:tc>
          <w:tcPr>
            <w:tcW w:w="2376" w:type="dxa"/>
            <w:shd w:val="clear" w:color="auto" w:fill="auto"/>
          </w:tcPr>
          <w:p w:rsidR="00F91F66" w:rsidRPr="00927778" w:rsidRDefault="00F70E13" w:rsidP="00F70E13">
            <w:pPr>
              <w:pStyle w:val="Heading3"/>
              <w:rPr>
                <w:color w:val="333333"/>
                <w:lang w:val="fr-FR"/>
              </w:rPr>
            </w:pPr>
            <w:r w:rsidRPr="00927778">
              <w:rPr>
                <w:color w:val="333333"/>
                <w:lang w:val="fr-FR"/>
              </w:rPr>
              <w:t>Rapports précédents</w:t>
            </w:r>
          </w:p>
        </w:tc>
        <w:tc>
          <w:tcPr>
            <w:tcW w:w="6912" w:type="dxa"/>
          </w:tcPr>
          <w:p w:rsidR="005E6718" w:rsidRPr="00927778" w:rsidRDefault="005E6718" w:rsidP="00C3651B">
            <w:pPr>
              <w:rPr>
                <w:iCs/>
                <w:color w:val="333333"/>
                <w:lang w:val="fr-FR"/>
              </w:rPr>
            </w:pPr>
          </w:p>
          <w:p w:rsidR="00EA2C86" w:rsidRPr="00927778" w:rsidRDefault="00F70E13" w:rsidP="00F70E13">
            <w:pPr>
              <w:pStyle w:val="Default"/>
              <w:rPr>
                <w:color w:val="333333"/>
                <w:sz w:val="22"/>
                <w:szCs w:val="22"/>
                <w:lang w:val="fr-FR"/>
              </w:rPr>
            </w:pPr>
            <w:r w:rsidRPr="00927778">
              <w:rPr>
                <w:color w:val="333333"/>
                <w:sz w:val="22"/>
                <w:szCs w:val="22"/>
                <w:lang w:val="fr-FR"/>
              </w:rPr>
              <w:t>Le premier rapport sur l</w:t>
            </w:r>
            <w:r w:rsidR="00EA2C86" w:rsidRPr="00927778">
              <w:rPr>
                <w:color w:val="333333"/>
                <w:sz w:val="22"/>
                <w:szCs w:val="22"/>
                <w:lang w:val="fr-FR"/>
              </w:rPr>
              <w:t>’</w:t>
            </w:r>
            <w:r w:rsidRPr="00927778">
              <w:rPr>
                <w:color w:val="333333"/>
                <w:sz w:val="22"/>
                <w:szCs w:val="22"/>
                <w:lang w:val="fr-FR"/>
              </w:rPr>
              <w:t>état d</w:t>
            </w:r>
            <w:r w:rsidR="00EA2C86" w:rsidRPr="00927778">
              <w:rPr>
                <w:color w:val="333333"/>
                <w:sz w:val="22"/>
                <w:szCs w:val="22"/>
                <w:lang w:val="fr-FR"/>
              </w:rPr>
              <w:t>’</w:t>
            </w:r>
            <w:r w:rsidRPr="00927778">
              <w:rPr>
                <w:color w:val="333333"/>
                <w:sz w:val="22"/>
                <w:szCs w:val="22"/>
                <w:lang w:val="fr-FR"/>
              </w:rPr>
              <w:t>avancement de ce projet figure à l</w:t>
            </w:r>
            <w:r w:rsidR="00EA2C86" w:rsidRPr="00927778">
              <w:rPr>
                <w:color w:val="333333"/>
                <w:sz w:val="22"/>
                <w:szCs w:val="22"/>
                <w:lang w:val="fr-FR"/>
              </w:rPr>
              <w:t>’annexe I</w:t>
            </w:r>
            <w:r w:rsidRPr="00927778">
              <w:rPr>
                <w:color w:val="333333"/>
                <w:sz w:val="22"/>
                <w:szCs w:val="22"/>
                <w:lang w:val="fr-FR"/>
              </w:rPr>
              <w:t>V du document</w:t>
            </w:r>
            <w:r w:rsidR="00CB5AE0" w:rsidRPr="00927778">
              <w:rPr>
                <w:color w:val="333333"/>
                <w:sz w:val="22"/>
                <w:szCs w:val="22"/>
                <w:lang w:val="fr-FR"/>
              </w:rPr>
              <w:t> </w:t>
            </w:r>
            <w:r w:rsidRPr="00927778">
              <w:rPr>
                <w:color w:val="333333"/>
                <w:sz w:val="22"/>
                <w:szCs w:val="22"/>
                <w:lang w:val="fr-FR"/>
              </w:rPr>
              <w:t>CDIP/16/2 et a été soumis</w:t>
            </w:r>
            <w:r w:rsidR="00EA2C86" w:rsidRPr="00927778">
              <w:rPr>
                <w:color w:val="333333"/>
                <w:sz w:val="22"/>
                <w:szCs w:val="22"/>
                <w:lang w:val="fr-FR"/>
              </w:rPr>
              <w:t xml:space="preserve"> au CDI</w:t>
            </w:r>
            <w:r w:rsidRPr="00927778">
              <w:rPr>
                <w:color w:val="333333"/>
                <w:sz w:val="22"/>
                <w:szCs w:val="22"/>
                <w:lang w:val="fr-FR"/>
              </w:rPr>
              <w:t>P à sa seiz</w:t>
            </w:r>
            <w:r w:rsidR="00EA2C86" w:rsidRPr="00927778">
              <w:rPr>
                <w:color w:val="333333"/>
                <w:sz w:val="22"/>
                <w:szCs w:val="22"/>
                <w:lang w:val="fr-FR"/>
              </w:rPr>
              <w:t>ième sessi</w:t>
            </w:r>
            <w:r w:rsidR="00306E74" w:rsidRPr="00927778">
              <w:rPr>
                <w:color w:val="333333"/>
                <w:sz w:val="22"/>
                <w:szCs w:val="22"/>
                <w:lang w:val="fr-FR"/>
              </w:rPr>
              <w:t>on.  Le</w:t>
            </w:r>
            <w:r w:rsidRPr="00927778">
              <w:rPr>
                <w:color w:val="333333"/>
                <w:sz w:val="22"/>
                <w:szCs w:val="22"/>
                <w:lang w:val="fr-FR"/>
              </w:rPr>
              <w:t xml:space="preserve"> deuxième rapport figure à l</w:t>
            </w:r>
            <w:r w:rsidR="00EA2C86" w:rsidRPr="00927778">
              <w:rPr>
                <w:color w:val="333333"/>
                <w:sz w:val="22"/>
                <w:szCs w:val="22"/>
                <w:lang w:val="fr-FR"/>
              </w:rPr>
              <w:t>’annexe I</w:t>
            </w:r>
            <w:r w:rsidRPr="00927778">
              <w:rPr>
                <w:color w:val="333333"/>
                <w:sz w:val="22"/>
                <w:szCs w:val="22"/>
                <w:lang w:val="fr-FR"/>
              </w:rPr>
              <w:t>I du document</w:t>
            </w:r>
            <w:r w:rsidR="00CB5AE0" w:rsidRPr="00927778">
              <w:rPr>
                <w:color w:val="333333"/>
                <w:sz w:val="22"/>
                <w:szCs w:val="22"/>
                <w:lang w:val="fr-FR"/>
              </w:rPr>
              <w:t> </w:t>
            </w:r>
            <w:r w:rsidRPr="00927778">
              <w:rPr>
                <w:color w:val="333333"/>
                <w:sz w:val="22"/>
                <w:szCs w:val="22"/>
                <w:lang w:val="fr-FR"/>
              </w:rPr>
              <w:t>CDIP/18/2 et a été soumis</w:t>
            </w:r>
            <w:r w:rsidR="00EA2C86" w:rsidRPr="00927778">
              <w:rPr>
                <w:color w:val="333333"/>
                <w:sz w:val="22"/>
                <w:szCs w:val="22"/>
                <w:lang w:val="fr-FR"/>
              </w:rPr>
              <w:t xml:space="preserve"> au CDI</w:t>
            </w:r>
            <w:r w:rsidRPr="00927778">
              <w:rPr>
                <w:color w:val="333333"/>
                <w:sz w:val="22"/>
                <w:szCs w:val="22"/>
                <w:lang w:val="fr-FR"/>
              </w:rPr>
              <w:t>P à sa dix</w:t>
            </w:r>
            <w:r w:rsidR="00CB5AE0" w:rsidRPr="00927778">
              <w:rPr>
                <w:color w:val="333333"/>
                <w:sz w:val="22"/>
                <w:szCs w:val="22"/>
                <w:lang w:val="fr-FR"/>
              </w:rPr>
              <w:noBreakHyphen/>
            </w:r>
            <w:r w:rsidRPr="00927778">
              <w:rPr>
                <w:color w:val="333333"/>
                <w:sz w:val="22"/>
                <w:szCs w:val="22"/>
                <w:lang w:val="fr-FR"/>
              </w:rPr>
              <w:t>huit</w:t>
            </w:r>
            <w:r w:rsidR="00EA2C86" w:rsidRPr="00927778">
              <w:rPr>
                <w:color w:val="333333"/>
                <w:sz w:val="22"/>
                <w:szCs w:val="22"/>
                <w:lang w:val="fr-FR"/>
              </w:rPr>
              <w:t>ième sessi</w:t>
            </w:r>
            <w:r w:rsidR="00306E74" w:rsidRPr="00927778">
              <w:rPr>
                <w:color w:val="333333"/>
                <w:sz w:val="22"/>
                <w:szCs w:val="22"/>
                <w:lang w:val="fr-FR"/>
              </w:rPr>
              <w:t>on.  Le</w:t>
            </w:r>
            <w:r w:rsidRPr="00927778">
              <w:rPr>
                <w:color w:val="333333"/>
                <w:sz w:val="22"/>
                <w:szCs w:val="22"/>
                <w:lang w:val="fr-FR"/>
              </w:rPr>
              <w:t xml:space="preserve"> troisième rapport figure à l</w:t>
            </w:r>
            <w:r w:rsidR="00EA2C86" w:rsidRPr="00927778">
              <w:rPr>
                <w:color w:val="333333"/>
                <w:sz w:val="22"/>
                <w:szCs w:val="22"/>
                <w:lang w:val="fr-FR"/>
              </w:rPr>
              <w:t>’annexe I</w:t>
            </w:r>
            <w:r w:rsidRPr="00927778">
              <w:rPr>
                <w:color w:val="333333"/>
                <w:sz w:val="22"/>
                <w:szCs w:val="22"/>
                <w:lang w:val="fr-FR"/>
              </w:rPr>
              <w:t>I du document</w:t>
            </w:r>
            <w:r w:rsidR="00CB5AE0" w:rsidRPr="00927778">
              <w:rPr>
                <w:color w:val="333333"/>
                <w:sz w:val="22"/>
                <w:szCs w:val="22"/>
                <w:lang w:val="fr-FR"/>
              </w:rPr>
              <w:t> </w:t>
            </w:r>
            <w:r w:rsidRPr="00927778">
              <w:rPr>
                <w:color w:val="333333"/>
                <w:sz w:val="22"/>
                <w:szCs w:val="22"/>
                <w:lang w:val="fr-FR"/>
              </w:rPr>
              <w:t>CDIP/20/2 et a été soumis</w:t>
            </w:r>
            <w:r w:rsidR="00EA2C86" w:rsidRPr="00927778">
              <w:rPr>
                <w:color w:val="333333"/>
                <w:sz w:val="22"/>
                <w:szCs w:val="22"/>
                <w:lang w:val="fr-FR"/>
              </w:rPr>
              <w:t xml:space="preserve"> au CDI</w:t>
            </w:r>
            <w:r w:rsidRPr="00927778">
              <w:rPr>
                <w:color w:val="333333"/>
                <w:sz w:val="22"/>
                <w:szCs w:val="22"/>
                <w:lang w:val="fr-FR"/>
              </w:rPr>
              <w:t>P à sa vingt</w:t>
            </w:r>
            <w:r w:rsidR="00EA2C86" w:rsidRPr="00927778">
              <w:rPr>
                <w:color w:val="333333"/>
                <w:sz w:val="22"/>
                <w:szCs w:val="22"/>
                <w:lang w:val="fr-FR"/>
              </w:rPr>
              <w:t>ième session</w:t>
            </w:r>
            <w:r w:rsidRPr="00927778">
              <w:rPr>
                <w:color w:val="333333"/>
                <w:sz w:val="22"/>
                <w:szCs w:val="22"/>
                <w:lang w:val="fr-FR"/>
              </w:rPr>
              <w:t>.</w:t>
            </w:r>
          </w:p>
          <w:p w:rsidR="00F91F66" w:rsidRPr="00927778" w:rsidRDefault="00F91F66" w:rsidP="00C3651B">
            <w:pPr>
              <w:rPr>
                <w:iCs/>
                <w:color w:val="333333"/>
                <w:lang w:val="fr-FR"/>
              </w:rPr>
            </w:pPr>
          </w:p>
        </w:tc>
      </w:tr>
      <w:tr w:rsidR="00F91F66" w:rsidRPr="00927778" w:rsidTr="00C3651B">
        <w:trPr>
          <w:trHeight w:val="848"/>
        </w:trPr>
        <w:tc>
          <w:tcPr>
            <w:tcW w:w="2376" w:type="dxa"/>
            <w:shd w:val="clear" w:color="auto" w:fill="auto"/>
          </w:tcPr>
          <w:p w:rsidR="00F91F66" w:rsidRPr="00927778" w:rsidRDefault="00F70E13" w:rsidP="00F70E13">
            <w:pPr>
              <w:pStyle w:val="Heading3"/>
              <w:rPr>
                <w:color w:val="333333"/>
                <w:lang w:val="fr-FR"/>
              </w:rPr>
            </w:pPr>
            <w:r w:rsidRPr="00927778">
              <w:rPr>
                <w:color w:val="333333"/>
                <w:lang w:val="fr-FR"/>
              </w:rPr>
              <w:t>Suivi</w:t>
            </w:r>
          </w:p>
        </w:tc>
        <w:tc>
          <w:tcPr>
            <w:tcW w:w="6912" w:type="dxa"/>
          </w:tcPr>
          <w:p w:rsidR="005E6718" w:rsidRPr="00927778" w:rsidRDefault="005E6718" w:rsidP="00C3651B">
            <w:pPr>
              <w:rPr>
                <w:iCs/>
                <w:color w:val="333333"/>
                <w:lang w:val="fr-FR"/>
              </w:rPr>
            </w:pPr>
          </w:p>
          <w:p w:rsidR="00EA2C86" w:rsidRPr="00927778" w:rsidRDefault="00F70E13" w:rsidP="00F70E13">
            <w:pPr>
              <w:rPr>
                <w:iCs/>
                <w:color w:val="333333"/>
                <w:lang w:val="fr-FR"/>
              </w:rPr>
            </w:pPr>
            <w:r w:rsidRPr="00927778">
              <w:rPr>
                <w:iCs/>
                <w:color w:val="333333"/>
                <w:lang w:val="fr-FR"/>
              </w:rPr>
              <w:t>Comme indiqué dans le programme et budget proposé pour l</w:t>
            </w:r>
            <w:r w:rsidR="00EA2C86" w:rsidRPr="00927778">
              <w:rPr>
                <w:iCs/>
                <w:color w:val="333333"/>
                <w:lang w:val="fr-FR"/>
              </w:rPr>
              <w:t>’</w:t>
            </w:r>
            <w:r w:rsidRPr="00927778">
              <w:rPr>
                <w:iCs/>
                <w:color w:val="333333"/>
                <w:lang w:val="fr-FR"/>
              </w:rPr>
              <w:t xml:space="preserve">exercice </w:t>
            </w:r>
            <w:r w:rsidR="00EA2C86" w:rsidRPr="00927778">
              <w:rPr>
                <w:iCs/>
                <w:color w:val="333333"/>
                <w:lang w:val="fr-FR"/>
              </w:rPr>
              <w:t>biennal 2018</w:t>
            </w:r>
            <w:r w:rsidR="00CB5AE0" w:rsidRPr="00927778">
              <w:rPr>
                <w:iCs/>
                <w:color w:val="333333"/>
                <w:lang w:val="fr-FR"/>
              </w:rPr>
              <w:noBreakHyphen/>
            </w:r>
            <w:r w:rsidRPr="00927778">
              <w:rPr>
                <w:iCs/>
                <w:color w:val="333333"/>
                <w:lang w:val="fr-FR"/>
              </w:rPr>
              <w:t>2019, l</w:t>
            </w:r>
            <w:r w:rsidR="00EA2C86" w:rsidRPr="00927778">
              <w:rPr>
                <w:iCs/>
                <w:color w:val="333333"/>
                <w:lang w:val="fr-FR"/>
              </w:rPr>
              <w:t>’</w:t>
            </w:r>
            <w:r w:rsidRPr="00927778">
              <w:rPr>
                <w:iCs/>
                <w:color w:val="333333"/>
                <w:lang w:val="fr-FR"/>
              </w:rPr>
              <w:t>étude économique serait intégrée aux activités du programme</w:t>
            </w:r>
            <w:r w:rsidR="00002037" w:rsidRPr="00927778">
              <w:rPr>
                <w:iCs/>
                <w:color w:val="333333"/>
                <w:lang w:val="fr-FR"/>
              </w:rPr>
              <w:t> </w:t>
            </w:r>
            <w:r w:rsidRPr="00927778">
              <w:rPr>
                <w:iCs/>
                <w:color w:val="333333"/>
                <w:lang w:val="fr-FR"/>
              </w:rPr>
              <w:t>16.</w:t>
            </w:r>
          </w:p>
          <w:p w:rsidR="00F91F66" w:rsidRPr="00927778" w:rsidRDefault="00F91F66" w:rsidP="00C3651B">
            <w:pPr>
              <w:rPr>
                <w:iCs/>
                <w:color w:val="333333"/>
                <w:lang w:val="fr-FR"/>
              </w:rPr>
            </w:pPr>
          </w:p>
        </w:tc>
      </w:tr>
    </w:tbl>
    <w:p w:rsidR="005E6718" w:rsidRPr="00927778" w:rsidRDefault="005E6718" w:rsidP="00F91F66">
      <w:pPr>
        <w:rPr>
          <w:color w:val="333333"/>
          <w:lang w:val="fr-FR"/>
        </w:rPr>
      </w:pPr>
    </w:p>
    <w:p w:rsidR="00F91F66" w:rsidRPr="00927778" w:rsidRDefault="00F91F66" w:rsidP="00F91F66">
      <w:pPr>
        <w:rPr>
          <w:color w:val="333333"/>
          <w:lang w:val="fr-FR"/>
        </w:rPr>
      </w:pPr>
      <w:r w:rsidRPr="00927778">
        <w:rPr>
          <w:color w:val="333333"/>
          <w:lang w:val="fr-FR"/>
        </w:rPr>
        <w:br w:type="page"/>
      </w:r>
    </w:p>
    <w:tbl>
      <w:tblPr>
        <w:tblW w:w="0" w:type="auto"/>
        <w:tblLook w:val="01E0" w:firstRow="1" w:lastRow="1" w:firstColumn="1" w:lastColumn="1" w:noHBand="0" w:noVBand="0"/>
      </w:tblPr>
      <w:tblGrid>
        <w:gridCol w:w="9287"/>
      </w:tblGrid>
      <w:tr w:rsidR="00F91F66" w:rsidRPr="00927778" w:rsidTr="00C3651B">
        <w:trPr>
          <w:trHeight w:val="494"/>
        </w:trPr>
        <w:tc>
          <w:tcPr>
            <w:tcW w:w="9287" w:type="dxa"/>
            <w:vAlign w:val="center"/>
          </w:tcPr>
          <w:p w:rsidR="00F91F66" w:rsidRPr="00927778" w:rsidRDefault="00F91F66" w:rsidP="00F70E13">
            <w:pPr>
              <w:rPr>
                <w:color w:val="333333"/>
                <w:lang w:val="fr-FR"/>
              </w:rPr>
            </w:pPr>
            <w:r w:rsidRPr="00927778">
              <w:rPr>
                <w:color w:val="333333"/>
                <w:lang w:val="fr-FR"/>
              </w:rPr>
              <w:br w:type="page"/>
            </w:r>
            <w:r w:rsidR="00F70E13" w:rsidRPr="00927778">
              <w:rPr>
                <w:color w:val="333333"/>
                <w:lang w:val="fr-FR"/>
              </w:rPr>
              <w:t>AUTO</w:t>
            </w:r>
            <w:r w:rsidR="00CB5AE0" w:rsidRPr="00927778">
              <w:rPr>
                <w:color w:val="333333"/>
                <w:lang w:val="fr-FR"/>
              </w:rPr>
              <w:noBreakHyphen/>
            </w:r>
            <w:r w:rsidR="00F70E13" w:rsidRPr="00927778">
              <w:rPr>
                <w:color w:val="333333"/>
                <w:lang w:val="fr-FR"/>
              </w:rPr>
              <w:t>ÉVALUATION DU PROJET</w:t>
            </w:r>
          </w:p>
        </w:tc>
      </w:tr>
    </w:tbl>
    <w:p w:rsidR="005E6718" w:rsidRPr="00927778" w:rsidRDefault="00F70E13" w:rsidP="00F70E13">
      <w:pPr>
        <w:rPr>
          <w:color w:val="333333"/>
          <w:lang w:val="fr-FR"/>
        </w:rPr>
      </w:pPr>
      <w:r w:rsidRPr="00927778">
        <w:rPr>
          <w:color w:val="333333"/>
          <w:lang w:val="fr-FR"/>
        </w:rPr>
        <w:t>Code d</w:t>
      </w:r>
      <w:r w:rsidR="00EA2C86" w:rsidRPr="00927778">
        <w:rPr>
          <w:color w:val="333333"/>
          <w:lang w:val="fr-FR"/>
        </w:rPr>
        <w:t>’</w:t>
      </w:r>
      <w:r w:rsidRPr="00927778">
        <w:rPr>
          <w:color w:val="333333"/>
          <w:lang w:val="fr-FR"/>
        </w:rPr>
        <w:t>évaluation</w:t>
      </w:r>
    </w:p>
    <w:p w:rsidR="00F91F66" w:rsidRPr="00F972E3" w:rsidRDefault="00F91F66" w:rsidP="00F91F66">
      <w:pPr>
        <w:rPr>
          <w:color w:val="333333"/>
          <w:sz w:val="14"/>
          <w:lang w:val="fr-FR"/>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927778" w:rsidRPr="00927778" w:rsidTr="00C3651B">
        <w:trPr>
          <w:trHeight w:val="469"/>
        </w:trPr>
        <w:tc>
          <w:tcPr>
            <w:tcW w:w="1416" w:type="dxa"/>
            <w:shd w:val="clear" w:color="auto" w:fill="auto"/>
            <w:vAlign w:val="center"/>
          </w:tcPr>
          <w:p w:rsidR="00F91F66" w:rsidRPr="00927778" w:rsidRDefault="00F91F66" w:rsidP="00C3651B">
            <w:pPr>
              <w:rPr>
                <w:color w:val="333333"/>
                <w:lang w:val="fr-FR"/>
              </w:rPr>
            </w:pPr>
            <w:r w:rsidRPr="00927778">
              <w:rPr>
                <w:color w:val="333333"/>
                <w:lang w:val="fr-FR"/>
              </w:rPr>
              <w:t>****</w:t>
            </w:r>
          </w:p>
        </w:tc>
        <w:tc>
          <w:tcPr>
            <w:tcW w:w="1677" w:type="dxa"/>
            <w:shd w:val="clear" w:color="auto" w:fill="auto"/>
            <w:vAlign w:val="center"/>
          </w:tcPr>
          <w:p w:rsidR="00F91F66" w:rsidRPr="00927778" w:rsidRDefault="00F91F66" w:rsidP="00C3651B">
            <w:pPr>
              <w:rPr>
                <w:color w:val="333333"/>
                <w:lang w:val="fr-FR"/>
              </w:rPr>
            </w:pPr>
            <w:r w:rsidRPr="00927778">
              <w:rPr>
                <w:color w:val="333333"/>
                <w:lang w:val="fr-FR"/>
              </w:rPr>
              <w:t>***</w:t>
            </w:r>
          </w:p>
        </w:tc>
        <w:tc>
          <w:tcPr>
            <w:tcW w:w="1797" w:type="dxa"/>
            <w:shd w:val="clear" w:color="auto" w:fill="auto"/>
            <w:vAlign w:val="center"/>
          </w:tcPr>
          <w:p w:rsidR="00F91F66" w:rsidRPr="00927778" w:rsidRDefault="00F91F66" w:rsidP="00C3651B">
            <w:pPr>
              <w:rPr>
                <w:color w:val="333333"/>
                <w:lang w:val="fr-FR"/>
              </w:rPr>
            </w:pPr>
            <w:r w:rsidRPr="00927778">
              <w:rPr>
                <w:color w:val="333333"/>
                <w:lang w:val="fr-FR"/>
              </w:rPr>
              <w:t>**</w:t>
            </w:r>
          </w:p>
        </w:tc>
        <w:tc>
          <w:tcPr>
            <w:tcW w:w="1895" w:type="dxa"/>
            <w:shd w:val="clear" w:color="auto" w:fill="auto"/>
            <w:vAlign w:val="center"/>
          </w:tcPr>
          <w:p w:rsidR="00F91F66" w:rsidRPr="00927778" w:rsidRDefault="00F70E13" w:rsidP="00F70E13">
            <w:pPr>
              <w:rPr>
                <w:color w:val="333333"/>
                <w:lang w:val="fr-FR"/>
              </w:rPr>
            </w:pPr>
            <w:r w:rsidRPr="00927778">
              <w:rPr>
                <w:color w:val="333333"/>
                <w:lang w:val="fr-FR"/>
              </w:rPr>
              <w:t>AP</w:t>
            </w:r>
          </w:p>
        </w:tc>
        <w:tc>
          <w:tcPr>
            <w:tcW w:w="2563" w:type="dxa"/>
            <w:shd w:val="clear" w:color="auto" w:fill="auto"/>
            <w:vAlign w:val="center"/>
          </w:tcPr>
          <w:p w:rsidR="00F91F66" w:rsidRPr="00927778" w:rsidRDefault="00F70E13" w:rsidP="00F70E13">
            <w:pPr>
              <w:rPr>
                <w:color w:val="333333"/>
                <w:lang w:val="fr-FR"/>
              </w:rPr>
            </w:pPr>
            <w:r w:rsidRPr="00927778">
              <w:rPr>
                <w:color w:val="333333"/>
                <w:lang w:val="fr-FR"/>
              </w:rPr>
              <w:t>s.o.</w:t>
            </w:r>
          </w:p>
        </w:tc>
      </w:tr>
      <w:tr w:rsidR="00F91F66" w:rsidRPr="00927778" w:rsidTr="00C3651B">
        <w:tc>
          <w:tcPr>
            <w:tcW w:w="1416" w:type="dxa"/>
            <w:shd w:val="clear" w:color="auto" w:fill="auto"/>
          </w:tcPr>
          <w:p w:rsidR="00F91F66" w:rsidRPr="00927778" w:rsidRDefault="00F70E13" w:rsidP="00F70E13">
            <w:pPr>
              <w:rPr>
                <w:color w:val="333333"/>
                <w:lang w:val="fr-FR"/>
              </w:rPr>
            </w:pPr>
            <w:r w:rsidRPr="00927778">
              <w:rPr>
                <w:color w:val="333333"/>
                <w:lang w:val="fr-FR"/>
              </w:rPr>
              <w:t>Objectifs pleinement atteints</w:t>
            </w:r>
          </w:p>
        </w:tc>
        <w:tc>
          <w:tcPr>
            <w:tcW w:w="1677" w:type="dxa"/>
            <w:shd w:val="clear" w:color="auto" w:fill="auto"/>
          </w:tcPr>
          <w:p w:rsidR="00F91F66" w:rsidRPr="00927778" w:rsidRDefault="00F70E13" w:rsidP="00F70E13">
            <w:pPr>
              <w:rPr>
                <w:color w:val="333333"/>
                <w:lang w:val="fr-FR"/>
              </w:rPr>
            </w:pPr>
            <w:r w:rsidRPr="00927778">
              <w:rPr>
                <w:color w:val="333333"/>
                <w:lang w:val="fr-FR"/>
              </w:rPr>
              <w:t>Progrès considérables</w:t>
            </w:r>
          </w:p>
        </w:tc>
        <w:tc>
          <w:tcPr>
            <w:tcW w:w="1797" w:type="dxa"/>
            <w:shd w:val="clear" w:color="auto" w:fill="auto"/>
          </w:tcPr>
          <w:p w:rsidR="00F91F66" w:rsidRPr="00927778" w:rsidRDefault="00F70E13" w:rsidP="00F70E13">
            <w:pPr>
              <w:rPr>
                <w:color w:val="333333"/>
                <w:lang w:val="fr-FR"/>
              </w:rPr>
            </w:pPr>
            <w:r w:rsidRPr="00927778">
              <w:rPr>
                <w:color w:val="333333"/>
                <w:lang w:val="fr-FR"/>
              </w:rPr>
              <w:t>Quelques progrès</w:t>
            </w:r>
          </w:p>
        </w:tc>
        <w:tc>
          <w:tcPr>
            <w:tcW w:w="1895" w:type="dxa"/>
            <w:shd w:val="clear" w:color="auto" w:fill="auto"/>
          </w:tcPr>
          <w:p w:rsidR="00F91F66" w:rsidRPr="00927778" w:rsidRDefault="00F70E13" w:rsidP="00F70E13">
            <w:pPr>
              <w:rPr>
                <w:color w:val="333333"/>
                <w:lang w:val="fr-FR"/>
              </w:rPr>
            </w:pPr>
            <w:r w:rsidRPr="00927778">
              <w:rPr>
                <w:color w:val="333333"/>
                <w:lang w:val="fr-FR"/>
              </w:rPr>
              <w:t>Aucun progrès</w:t>
            </w:r>
          </w:p>
        </w:tc>
        <w:tc>
          <w:tcPr>
            <w:tcW w:w="2563" w:type="dxa"/>
            <w:shd w:val="clear" w:color="auto" w:fill="auto"/>
          </w:tcPr>
          <w:p w:rsidR="00F91F66" w:rsidRPr="00927778" w:rsidRDefault="00F70E13" w:rsidP="00F70E13">
            <w:pPr>
              <w:rPr>
                <w:color w:val="333333"/>
                <w:lang w:val="fr-FR"/>
              </w:rPr>
            </w:pPr>
            <w:r w:rsidRPr="00927778">
              <w:rPr>
                <w:color w:val="333333"/>
                <w:lang w:val="fr-FR"/>
              </w:rPr>
              <w:t>Non évalué/abandonné</w:t>
            </w:r>
          </w:p>
        </w:tc>
      </w:tr>
    </w:tbl>
    <w:p w:rsidR="00F91F66" w:rsidRPr="00F972E3" w:rsidRDefault="00F91F66" w:rsidP="00F91F66">
      <w:pPr>
        <w:rPr>
          <w:color w:val="333333"/>
          <w:sz w:val="16"/>
          <w:lang w:val="fr-FR"/>
        </w:rPr>
      </w:pPr>
    </w:p>
    <w:tbl>
      <w:tblPr>
        <w:tblW w:w="9356" w:type="dxa"/>
        <w:tblInd w:w="-34" w:type="dxa"/>
        <w:tblLayout w:type="fixed"/>
        <w:tblLook w:val="01E0" w:firstRow="1" w:lastRow="1" w:firstColumn="1" w:lastColumn="1" w:noHBand="0" w:noVBand="0"/>
      </w:tblPr>
      <w:tblGrid>
        <w:gridCol w:w="2410"/>
        <w:gridCol w:w="2694"/>
        <w:gridCol w:w="3402"/>
        <w:gridCol w:w="850"/>
      </w:tblGrid>
      <w:tr w:rsidR="00047C22" w:rsidRPr="00927778" w:rsidTr="00C3651B">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5E6718" w:rsidRPr="00927778" w:rsidRDefault="005E6718" w:rsidP="00C3651B">
            <w:pPr>
              <w:rPr>
                <w:rStyle w:val="Heading3Char"/>
                <w:color w:val="333333"/>
                <w:lang w:val="fr-FR"/>
              </w:rPr>
            </w:pPr>
          </w:p>
          <w:p w:rsidR="00F91F66" w:rsidRPr="00927778" w:rsidRDefault="00F70E13" w:rsidP="00F70E13">
            <w:pPr>
              <w:rPr>
                <w:color w:val="333333"/>
                <w:lang w:val="fr-FR"/>
              </w:rPr>
            </w:pPr>
            <w:r w:rsidRPr="00927778">
              <w:rPr>
                <w:color w:val="333333"/>
                <w:u w:val="single"/>
                <w:lang w:val="fr-FR"/>
              </w:rPr>
              <w:t>Résultats du projet</w:t>
            </w:r>
            <w:r w:rsidRPr="00927778">
              <w:rPr>
                <w:rStyle w:val="FootnoteReference"/>
                <w:color w:val="333333"/>
                <w:lang w:val="fr-FR"/>
              </w:rPr>
              <w:footnoteReference w:id="10"/>
            </w:r>
            <w:r w:rsidRPr="00927778">
              <w:rPr>
                <w:color w:val="333333"/>
                <w:lang w:val="fr-FR"/>
              </w:rPr>
              <w:t xml:space="preserve"> (résultat escompté)</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E6718" w:rsidRPr="00927778" w:rsidRDefault="005E6718" w:rsidP="00C3651B">
            <w:pPr>
              <w:rPr>
                <w:rStyle w:val="Heading3Char"/>
                <w:color w:val="333333"/>
                <w:lang w:val="fr-FR"/>
              </w:rPr>
            </w:pPr>
          </w:p>
          <w:p w:rsidR="005E6718" w:rsidRPr="00927778" w:rsidRDefault="00F70E13" w:rsidP="00F70E13">
            <w:pPr>
              <w:rPr>
                <w:color w:val="333333"/>
                <w:lang w:val="fr-FR"/>
              </w:rPr>
            </w:pPr>
            <w:r w:rsidRPr="00927778">
              <w:rPr>
                <w:color w:val="333333"/>
                <w:u w:val="single"/>
                <w:lang w:val="fr-FR"/>
              </w:rPr>
              <w:t>Indicateurs d</w:t>
            </w:r>
            <w:r w:rsidR="00EA2C86" w:rsidRPr="00927778">
              <w:rPr>
                <w:color w:val="333333"/>
                <w:u w:val="single"/>
                <w:lang w:val="fr-FR"/>
              </w:rPr>
              <w:t>’</w:t>
            </w:r>
            <w:r w:rsidRPr="00927778">
              <w:rPr>
                <w:color w:val="333333"/>
                <w:u w:val="single"/>
                <w:lang w:val="fr-FR"/>
              </w:rPr>
              <w:t>exécution</w:t>
            </w:r>
            <w:r w:rsidRPr="00927778">
              <w:rPr>
                <w:color w:val="333333"/>
                <w:lang w:val="fr-FR"/>
              </w:rPr>
              <w:t xml:space="preserve"> (indicateurs de résultats)</w:t>
            </w:r>
          </w:p>
          <w:p w:rsidR="00F91F66" w:rsidRPr="00927778" w:rsidRDefault="00F91F66" w:rsidP="00C3651B">
            <w:pPr>
              <w:rPr>
                <w:color w:val="333333"/>
                <w:lang w:val="fr-FR"/>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91F66" w:rsidRPr="00927778" w:rsidRDefault="00F70E13" w:rsidP="00F70E13">
            <w:pPr>
              <w:pStyle w:val="Heading3"/>
              <w:rPr>
                <w:color w:val="333333"/>
                <w:lang w:val="fr-FR"/>
              </w:rPr>
            </w:pPr>
            <w:r w:rsidRPr="00927778">
              <w:rPr>
                <w:color w:val="333333"/>
                <w:lang w:val="fr-FR"/>
              </w:rPr>
              <w:t>Données relatives à l</w:t>
            </w:r>
            <w:r w:rsidR="00EA2C86" w:rsidRPr="00927778">
              <w:rPr>
                <w:color w:val="333333"/>
                <w:lang w:val="fr-FR"/>
              </w:rPr>
              <w:t>’</w:t>
            </w:r>
            <w:r w:rsidRPr="00927778">
              <w:rPr>
                <w:color w:val="333333"/>
                <w:lang w:val="fr-FR"/>
              </w:rPr>
              <w:t>exécution</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91F66" w:rsidRPr="00927778" w:rsidRDefault="00F70E13" w:rsidP="00F70E13">
            <w:pPr>
              <w:pStyle w:val="Heading3"/>
              <w:rPr>
                <w:color w:val="333333"/>
                <w:lang w:val="fr-FR"/>
              </w:rPr>
            </w:pPr>
            <w:r w:rsidRPr="00927778">
              <w:rPr>
                <w:color w:val="333333"/>
                <w:lang w:val="fr-FR"/>
              </w:rPr>
              <w:t>Code d</w:t>
            </w:r>
            <w:r w:rsidR="00EA2C86" w:rsidRPr="00927778">
              <w:rPr>
                <w:color w:val="333333"/>
                <w:lang w:val="fr-FR"/>
              </w:rPr>
              <w:t>’</w:t>
            </w:r>
            <w:r w:rsidRPr="00927778">
              <w:rPr>
                <w:color w:val="333333"/>
                <w:lang w:val="fr-FR"/>
              </w:rPr>
              <w:t>évaluation</w:t>
            </w:r>
          </w:p>
        </w:tc>
      </w:tr>
      <w:tr w:rsidR="00047C22" w:rsidRPr="00927778" w:rsidTr="00C3651B">
        <w:trPr>
          <w:trHeight w:val="509"/>
        </w:trPr>
        <w:tc>
          <w:tcPr>
            <w:tcW w:w="2410" w:type="dxa"/>
            <w:vMerge w:val="restart"/>
            <w:tcBorders>
              <w:top w:val="single" w:sz="2" w:space="0" w:color="000000"/>
              <w:left w:val="single" w:sz="2" w:space="0" w:color="000000"/>
              <w:right w:val="single" w:sz="6" w:space="0" w:color="000000"/>
            </w:tcBorders>
            <w:shd w:val="clear" w:color="auto" w:fill="auto"/>
            <w:vAlign w:val="center"/>
          </w:tcPr>
          <w:p w:rsidR="00F91F66" w:rsidRPr="00927778" w:rsidRDefault="00F70E13" w:rsidP="00F70E13">
            <w:pPr>
              <w:rPr>
                <w:bCs/>
                <w:color w:val="333333"/>
                <w:lang w:val="fr-FR"/>
              </w:rPr>
            </w:pPr>
            <w:r w:rsidRPr="00927778">
              <w:rPr>
                <w:bCs/>
                <w:color w:val="333333"/>
                <w:lang w:val="fr-FR"/>
              </w:rPr>
              <w:t>4</w:t>
            </w:r>
            <w:r w:rsidR="00CB5AE0" w:rsidRPr="00927778">
              <w:rPr>
                <w:bCs/>
                <w:color w:val="333333"/>
                <w:lang w:val="fr-FR"/>
              </w:rPr>
              <w:noBreakHyphen/>
            </w:r>
            <w:r w:rsidRPr="00927778">
              <w:rPr>
                <w:bCs/>
                <w:color w:val="333333"/>
                <w:lang w:val="fr-FR"/>
              </w:rPr>
              <w:t>5 nouveaux projets d</w:t>
            </w:r>
            <w:r w:rsidR="00EA2C86" w:rsidRPr="00927778">
              <w:rPr>
                <w:bCs/>
                <w:color w:val="333333"/>
                <w:lang w:val="fr-FR"/>
              </w:rPr>
              <w:t>’</w:t>
            </w:r>
            <w:r w:rsidRPr="00927778">
              <w:rPr>
                <w:bCs/>
                <w:color w:val="333333"/>
                <w:lang w:val="fr-FR"/>
              </w:rPr>
              <w:t>étude à l</w:t>
            </w:r>
            <w:r w:rsidR="00EA2C86" w:rsidRPr="00927778">
              <w:rPr>
                <w:bCs/>
                <w:color w:val="333333"/>
                <w:lang w:val="fr-FR"/>
              </w:rPr>
              <w:t>’</w:t>
            </w:r>
            <w:r w:rsidRPr="00927778">
              <w:rPr>
                <w:bCs/>
                <w:color w:val="333333"/>
                <w:lang w:val="fr-FR"/>
              </w:rPr>
              <w:t>échelle nationale ou régionale</w:t>
            </w:r>
          </w:p>
        </w:tc>
        <w:tc>
          <w:tcPr>
            <w:tcW w:w="2694" w:type="dxa"/>
            <w:tcBorders>
              <w:top w:val="single" w:sz="2" w:space="0" w:color="000000"/>
              <w:left w:val="single" w:sz="6" w:space="0" w:color="000000"/>
              <w:bottom w:val="single" w:sz="6" w:space="0" w:color="000000"/>
              <w:right w:val="single" w:sz="2" w:space="0" w:color="000000"/>
            </w:tcBorders>
            <w:shd w:val="clear" w:color="auto" w:fill="auto"/>
            <w:vAlign w:val="center"/>
          </w:tcPr>
          <w:p w:rsidR="005E6718" w:rsidRPr="00927778" w:rsidRDefault="005E6718" w:rsidP="00C3651B">
            <w:pPr>
              <w:rPr>
                <w:color w:val="333333"/>
                <w:lang w:val="fr-FR"/>
              </w:rPr>
            </w:pPr>
          </w:p>
          <w:p w:rsidR="00F91F66" w:rsidRPr="00927778" w:rsidRDefault="00F70E13" w:rsidP="00F70E13">
            <w:pPr>
              <w:rPr>
                <w:color w:val="333333"/>
                <w:lang w:val="fr-FR"/>
              </w:rPr>
            </w:pPr>
            <w:r w:rsidRPr="00927778">
              <w:rPr>
                <w:color w:val="333333"/>
                <w:lang w:val="fr-FR"/>
              </w:rPr>
              <w:t>Organisation d</w:t>
            </w:r>
            <w:r w:rsidR="00EA2C86" w:rsidRPr="00927778">
              <w:rPr>
                <w:color w:val="333333"/>
                <w:lang w:val="fr-FR"/>
              </w:rPr>
              <w:t>’</w:t>
            </w:r>
            <w:r w:rsidRPr="00927778">
              <w:rPr>
                <w:color w:val="333333"/>
                <w:lang w:val="fr-FR"/>
              </w:rPr>
              <w:t>ateliers à l</w:t>
            </w:r>
            <w:r w:rsidR="00EA2C86" w:rsidRPr="00927778">
              <w:rPr>
                <w:color w:val="333333"/>
                <w:lang w:val="fr-FR"/>
              </w:rPr>
              <w:t>’</w:t>
            </w:r>
            <w:r w:rsidRPr="00927778">
              <w:rPr>
                <w:color w:val="333333"/>
                <w:lang w:val="fr-FR"/>
              </w:rPr>
              <w:t>échelle locale</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EA2C86" w:rsidRPr="00927778" w:rsidRDefault="004334B3" w:rsidP="00F70E13">
            <w:pPr>
              <w:rPr>
                <w:color w:val="333333"/>
                <w:lang w:val="fr-FR"/>
              </w:rPr>
            </w:pPr>
            <w:r w:rsidRPr="00927778">
              <w:rPr>
                <w:color w:val="333333"/>
                <w:lang w:val="fr-FR"/>
              </w:rPr>
              <w:t xml:space="preserve">Des ateliers ont eu lieu </w:t>
            </w:r>
            <w:r w:rsidR="00262DA6" w:rsidRPr="00927778">
              <w:rPr>
                <w:color w:val="333333"/>
                <w:lang w:val="fr-FR"/>
              </w:rPr>
              <w:t>en El</w:t>
            </w:r>
            <w:r w:rsidR="0057466D" w:rsidRPr="00927778">
              <w:rPr>
                <w:color w:val="333333"/>
                <w:lang w:val="fr-FR"/>
              </w:rPr>
              <w:t> </w:t>
            </w:r>
            <w:r w:rsidRPr="00927778">
              <w:rPr>
                <w:color w:val="333333"/>
                <w:lang w:val="fr-FR"/>
              </w:rPr>
              <w:t>Salvador, aux Philippines, en Indonésie, en Pologne, en Thaïlande et en Ougan</w:t>
            </w:r>
            <w:r w:rsidR="00306E74" w:rsidRPr="00927778">
              <w:rPr>
                <w:color w:val="333333"/>
                <w:lang w:val="fr-FR"/>
              </w:rPr>
              <w:t>da.  Un</w:t>
            </w:r>
            <w:r w:rsidR="00F70E13" w:rsidRPr="00927778">
              <w:rPr>
                <w:color w:val="333333"/>
                <w:lang w:val="fr-FR"/>
              </w:rPr>
              <w:t xml:space="preserve"> atelier avec les parties prenantes du secteur minier et des réunions techniques avec les missions basées en Amérique centrale ont eu lieu à Genève (voir ci</w:t>
            </w:r>
            <w:r w:rsidR="00CB5AE0" w:rsidRPr="00927778">
              <w:rPr>
                <w:color w:val="333333"/>
                <w:lang w:val="fr-FR"/>
              </w:rPr>
              <w:noBreakHyphen/>
            </w:r>
            <w:r w:rsidR="00F70E13" w:rsidRPr="00927778">
              <w:rPr>
                <w:color w:val="333333"/>
                <w:lang w:val="fr-FR"/>
              </w:rPr>
              <w:t>dessus).</w:t>
            </w:r>
          </w:p>
          <w:p w:rsidR="00F91F66" w:rsidRPr="00927778" w:rsidRDefault="00F91F66" w:rsidP="00C3651B">
            <w:pPr>
              <w:rPr>
                <w:color w:val="333333"/>
                <w:lang w:val="fr-FR"/>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5E6718" w:rsidRPr="00927778" w:rsidRDefault="00F91F66" w:rsidP="00C3651B">
            <w:pPr>
              <w:rPr>
                <w:color w:val="333333"/>
                <w:lang w:val="fr-FR"/>
              </w:rPr>
            </w:pPr>
            <w:r w:rsidRPr="00927778">
              <w:rPr>
                <w:color w:val="333333"/>
                <w:lang w:val="fr-FR"/>
              </w:rPr>
              <w:t>***</w:t>
            </w:r>
          </w:p>
          <w:p w:rsidR="00F91F66" w:rsidRPr="00927778" w:rsidRDefault="00F91F66" w:rsidP="00C3651B">
            <w:pPr>
              <w:rPr>
                <w:color w:val="333333"/>
                <w:lang w:val="fr-FR"/>
              </w:rPr>
            </w:pPr>
          </w:p>
        </w:tc>
      </w:tr>
      <w:tr w:rsidR="00047C22" w:rsidRPr="00927778" w:rsidTr="00C3651B">
        <w:trPr>
          <w:trHeight w:val="509"/>
        </w:trPr>
        <w:tc>
          <w:tcPr>
            <w:tcW w:w="2410" w:type="dxa"/>
            <w:vMerge/>
            <w:tcBorders>
              <w:left w:val="single" w:sz="2" w:space="0" w:color="000000"/>
              <w:bottom w:val="single" w:sz="2" w:space="0" w:color="000000"/>
              <w:right w:val="single" w:sz="6" w:space="0" w:color="000000"/>
            </w:tcBorders>
            <w:shd w:val="clear" w:color="auto" w:fill="auto"/>
            <w:vAlign w:val="center"/>
          </w:tcPr>
          <w:p w:rsidR="00F91F66" w:rsidRPr="00927778" w:rsidRDefault="00F91F66" w:rsidP="00C3651B">
            <w:pPr>
              <w:rPr>
                <w:bCs/>
                <w:color w:val="333333"/>
                <w:lang w:val="fr-FR"/>
              </w:rPr>
            </w:pP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5E6718" w:rsidRPr="00927778" w:rsidRDefault="00F70E13" w:rsidP="00F70E13">
            <w:pPr>
              <w:rPr>
                <w:color w:val="333333"/>
                <w:lang w:val="fr-FR"/>
              </w:rPr>
            </w:pPr>
            <w:r w:rsidRPr="00927778">
              <w:rPr>
                <w:color w:val="333333"/>
                <w:lang w:val="fr-FR"/>
              </w:rPr>
              <w:t>Établissement d</w:t>
            </w:r>
            <w:r w:rsidR="00EA2C86" w:rsidRPr="00927778">
              <w:rPr>
                <w:color w:val="333333"/>
                <w:lang w:val="fr-FR"/>
              </w:rPr>
              <w:t>’</w:t>
            </w:r>
            <w:r w:rsidRPr="00927778">
              <w:rPr>
                <w:color w:val="333333"/>
                <w:lang w:val="fr-FR"/>
              </w:rPr>
              <w:t>études et d</w:t>
            </w:r>
            <w:r w:rsidR="00EA2C86" w:rsidRPr="00927778">
              <w:rPr>
                <w:color w:val="333333"/>
                <w:lang w:val="fr-FR"/>
              </w:rPr>
              <w:t>’</w:t>
            </w:r>
            <w:r w:rsidRPr="00927778">
              <w:rPr>
                <w:color w:val="333333"/>
                <w:lang w:val="fr-FR"/>
              </w:rPr>
              <w:t>ensembles de microdonnées</w:t>
            </w:r>
          </w:p>
          <w:p w:rsidR="00F91F66" w:rsidRPr="00927778" w:rsidRDefault="00F91F66" w:rsidP="00C3651B">
            <w:pPr>
              <w:rPr>
                <w:color w:val="333333"/>
                <w:lang w:val="fr-FR"/>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1F66" w:rsidRPr="00927778" w:rsidRDefault="00F70E13" w:rsidP="00F70E13">
            <w:pPr>
              <w:rPr>
                <w:color w:val="333333"/>
                <w:lang w:val="fr-FR"/>
              </w:rPr>
            </w:pPr>
            <w:r w:rsidRPr="00927778">
              <w:rPr>
                <w:color w:val="333333"/>
                <w:lang w:val="fr-FR"/>
              </w:rPr>
              <w:t>Études de pays soumises/</w:t>
            </w:r>
            <w:r w:rsidRPr="00927778">
              <w:rPr>
                <w:color w:val="333333"/>
                <w:szCs w:val="22"/>
                <w:lang w:val="fr-FR"/>
              </w:rPr>
              <w:t>publiées</w:t>
            </w:r>
            <w:r w:rsidRPr="00927778">
              <w:rPr>
                <w:color w:val="333333"/>
                <w:lang w:val="fr-FR"/>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1F66" w:rsidRPr="00927778" w:rsidRDefault="00F91F66" w:rsidP="00C3651B">
            <w:pPr>
              <w:rPr>
                <w:color w:val="333333"/>
                <w:lang w:val="fr-FR"/>
              </w:rPr>
            </w:pPr>
            <w:r w:rsidRPr="00927778">
              <w:rPr>
                <w:color w:val="333333"/>
                <w:szCs w:val="22"/>
                <w:lang w:val="fr-FR"/>
              </w:rPr>
              <w:t>***</w:t>
            </w:r>
          </w:p>
        </w:tc>
      </w:tr>
    </w:tbl>
    <w:p w:rsidR="005E6718" w:rsidRPr="00F972E3" w:rsidRDefault="005E6718" w:rsidP="00F91F66">
      <w:pPr>
        <w:rPr>
          <w:color w:val="333333"/>
          <w:sz w:val="16"/>
          <w:lang w:val="fr-FR"/>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047C22" w:rsidRPr="00927778" w:rsidTr="00C3651B">
        <w:trPr>
          <w:trHeight w:val="616"/>
        </w:trPr>
        <w:tc>
          <w:tcPr>
            <w:tcW w:w="2410" w:type="dxa"/>
            <w:shd w:val="clear" w:color="auto" w:fill="auto"/>
          </w:tcPr>
          <w:p w:rsidR="00F91F66" w:rsidRPr="00927778" w:rsidRDefault="00F70E13" w:rsidP="00F70E13">
            <w:pPr>
              <w:pStyle w:val="Heading3"/>
              <w:rPr>
                <w:color w:val="333333"/>
                <w:lang w:val="fr-FR"/>
              </w:rPr>
            </w:pPr>
            <w:r w:rsidRPr="00927778">
              <w:rPr>
                <w:color w:val="333333"/>
                <w:lang w:val="fr-FR"/>
              </w:rPr>
              <w:t>Objectifs du projet</w:t>
            </w:r>
          </w:p>
        </w:tc>
        <w:tc>
          <w:tcPr>
            <w:tcW w:w="2694" w:type="dxa"/>
            <w:shd w:val="clear" w:color="auto" w:fill="auto"/>
          </w:tcPr>
          <w:p w:rsidR="005E6718" w:rsidRPr="00927778" w:rsidRDefault="00F70E13" w:rsidP="00F70E13">
            <w:pPr>
              <w:autoSpaceDE w:val="0"/>
              <w:autoSpaceDN w:val="0"/>
              <w:adjustRightInd w:val="0"/>
              <w:rPr>
                <w:bCs/>
                <w:color w:val="333333"/>
                <w:szCs w:val="22"/>
                <w:u w:val="single"/>
                <w:lang w:val="fr-FR"/>
              </w:rPr>
            </w:pPr>
            <w:r w:rsidRPr="00927778">
              <w:rPr>
                <w:bCs/>
                <w:color w:val="333333"/>
                <w:szCs w:val="22"/>
                <w:u w:val="single"/>
                <w:lang w:val="fr-FR"/>
              </w:rPr>
              <w:t>Indicateur(s) de réussite dans la réalisation de l</w:t>
            </w:r>
            <w:r w:rsidR="00EA2C86" w:rsidRPr="00927778">
              <w:rPr>
                <w:bCs/>
                <w:color w:val="333333"/>
                <w:szCs w:val="22"/>
                <w:u w:val="single"/>
                <w:lang w:val="fr-FR"/>
              </w:rPr>
              <w:t>’</w:t>
            </w:r>
            <w:r w:rsidRPr="00927778">
              <w:rPr>
                <w:bCs/>
                <w:color w:val="333333"/>
                <w:szCs w:val="22"/>
                <w:u w:val="single"/>
                <w:lang w:val="fr-FR"/>
              </w:rPr>
              <w:t>objectif du projet</w:t>
            </w:r>
          </w:p>
          <w:p w:rsidR="005E6718" w:rsidRPr="00927778" w:rsidRDefault="00F70E13" w:rsidP="00F70E13">
            <w:pPr>
              <w:autoSpaceDE w:val="0"/>
              <w:autoSpaceDN w:val="0"/>
              <w:adjustRightInd w:val="0"/>
              <w:rPr>
                <w:bCs/>
                <w:color w:val="333333"/>
                <w:szCs w:val="22"/>
                <w:u w:val="single"/>
                <w:lang w:val="fr-FR"/>
              </w:rPr>
            </w:pPr>
            <w:r w:rsidRPr="00927778">
              <w:rPr>
                <w:bCs/>
                <w:color w:val="333333"/>
                <w:szCs w:val="22"/>
                <w:u w:val="single"/>
                <w:lang w:val="fr-FR"/>
              </w:rPr>
              <w:t>(indicateurs de réussite)</w:t>
            </w:r>
          </w:p>
          <w:p w:rsidR="00F91F66" w:rsidRPr="00927778" w:rsidRDefault="00F91F66" w:rsidP="00C3651B">
            <w:pPr>
              <w:rPr>
                <w:color w:val="333333"/>
                <w:lang w:val="fr-FR"/>
              </w:rPr>
            </w:pPr>
          </w:p>
        </w:tc>
        <w:tc>
          <w:tcPr>
            <w:tcW w:w="3402" w:type="dxa"/>
            <w:shd w:val="clear" w:color="auto" w:fill="auto"/>
          </w:tcPr>
          <w:p w:rsidR="00F91F66" w:rsidRPr="00927778" w:rsidRDefault="00F70E13" w:rsidP="00F70E13">
            <w:pPr>
              <w:pStyle w:val="Heading3"/>
              <w:rPr>
                <w:color w:val="333333"/>
                <w:lang w:val="fr-FR"/>
              </w:rPr>
            </w:pPr>
            <w:r w:rsidRPr="00927778">
              <w:rPr>
                <w:color w:val="333333"/>
                <w:lang w:val="fr-FR"/>
              </w:rPr>
              <w:t>Données relatives à l</w:t>
            </w:r>
            <w:r w:rsidR="00EA2C86" w:rsidRPr="00927778">
              <w:rPr>
                <w:color w:val="333333"/>
                <w:lang w:val="fr-FR"/>
              </w:rPr>
              <w:t>’</w:t>
            </w:r>
            <w:r w:rsidRPr="00927778">
              <w:rPr>
                <w:color w:val="333333"/>
                <w:lang w:val="fr-FR"/>
              </w:rPr>
              <w:t>exécution</w:t>
            </w:r>
          </w:p>
        </w:tc>
        <w:tc>
          <w:tcPr>
            <w:tcW w:w="850" w:type="dxa"/>
            <w:shd w:val="clear" w:color="auto" w:fill="auto"/>
          </w:tcPr>
          <w:p w:rsidR="00F91F66" w:rsidRPr="00927778" w:rsidRDefault="00F70E13" w:rsidP="00F70E13">
            <w:pPr>
              <w:pStyle w:val="Heading3"/>
              <w:rPr>
                <w:color w:val="333333"/>
                <w:lang w:val="fr-FR"/>
              </w:rPr>
            </w:pPr>
            <w:r w:rsidRPr="00927778">
              <w:rPr>
                <w:color w:val="333333"/>
                <w:lang w:val="fr-FR"/>
              </w:rPr>
              <w:t>Code d</w:t>
            </w:r>
            <w:r w:rsidR="00EA2C86" w:rsidRPr="00927778">
              <w:rPr>
                <w:color w:val="333333"/>
                <w:lang w:val="fr-FR"/>
              </w:rPr>
              <w:t>’</w:t>
            </w:r>
            <w:r w:rsidRPr="00927778">
              <w:rPr>
                <w:color w:val="333333"/>
                <w:lang w:val="fr-FR"/>
              </w:rPr>
              <w:t>évaluation</w:t>
            </w:r>
          </w:p>
        </w:tc>
      </w:tr>
      <w:tr w:rsidR="00F91F66" w:rsidRPr="00927778" w:rsidTr="00C3651B">
        <w:trPr>
          <w:trHeight w:val="509"/>
        </w:trPr>
        <w:tc>
          <w:tcPr>
            <w:tcW w:w="2410" w:type="dxa"/>
            <w:shd w:val="clear" w:color="auto" w:fill="auto"/>
          </w:tcPr>
          <w:p w:rsidR="005E6718" w:rsidRPr="00927778" w:rsidRDefault="005E6718" w:rsidP="00C3651B">
            <w:pPr>
              <w:rPr>
                <w:bCs/>
                <w:color w:val="333333"/>
                <w:lang w:val="fr-FR"/>
              </w:rPr>
            </w:pPr>
          </w:p>
          <w:p w:rsidR="00F91F66" w:rsidRPr="00927778" w:rsidRDefault="00F70E13" w:rsidP="00F70E13">
            <w:pPr>
              <w:rPr>
                <w:bCs/>
                <w:color w:val="333333"/>
                <w:lang w:val="fr-FR"/>
              </w:rPr>
            </w:pPr>
            <w:r w:rsidRPr="00927778">
              <w:rPr>
                <w:color w:val="333333"/>
                <w:szCs w:val="22"/>
                <w:lang w:val="fr-FR"/>
              </w:rPr>
              <w:t>Meilleure compréhension des incidences économiques des politiques en matière de propriété intellectuelle et décisions en meilleure connaissance de cause</w:t>
            </w:r>
            <w:r w:rsidR="00F91F66" w:rsidRPr="00927778">
              <w:rPr>
                <w:color w:val="333333"/>
                <w:szCs w:val="22"/>
                <w:lang w:val="fr-FR"/>
              </w:rPr>
              <w:t xml:space="preserve"> </w:t>
            </w:r>
          </w:p>
        </w:tc>
        <w:tc>
          <w:tcPr>
            <w:tcW w:w="2694" w:type="dxa"/>
            <w:shd w:val="clear" w:color="auto" w:fill="auto"/>
          </w:tcPr>
          <w:p w:rsidR="00136257" w:rsidRPr="00927778" w:rsidRDefault="00F70E13" w:rsidP="00C3651B">
            <w:pPr>
              <w:rPr>
                <w:color w:val="333333"/>
                <w:szCs w:val="22"/>
                <w:lang w:val="fr-FR"/>
              </w:rPr>
            </w:pPr>
            <w:r w:rsidRPr="00927778">
              <w:rPr>
                <w:color w:val="333333"/>
                <w:szCs w:val="22"/>
                <w:lang w:val="fr-FR"/>
              </w:rPr>
              <w:t>Participation de haut niveau aux ateliers organisés dans le cadre de l</w:t>
            </w:r>
            <w:r w:rsidR="00EA2C86" w:rsidRPr="00927778">
              <w:rPr>
                <w:color w:val="333333"/>
                <w:szCs w:val="22"/>
                <w:lang w:val="fr-FR"/>
              </w:rPr>
              <w:t>’</w:t>
            </w:r>
            <w:r w:rsidRPr="00927778">
              <w:rPr>
                <w:color w:val="333333"/>
                <w:szCs w:val="22"/>
                <w:lang w:val="fr-FR"/>
              </w:rPr>
              <w:t>étude;</w:t>
            </w:r>
            <w:r w:rsidR="00063DA0" w:rsidRPr="00927778">
              <w:rPr>
                <w:color w:val="333333"/>
                <w:szCs w:val="22"/>
                <w:lang w:val="fr-FR"/>
              </w:rPr>
              <w:t xml:space="preserve"> </w:t>
            </w:r>
            <w:r w:rsidR="0057466D" w:rsidRPr="00927778">
              <w:rPr>
                <w:color w:val="333333"/>
                <w:szCs w:val="22"/>
                <w:lang w:val="fr-FR"/>
              </w:rPr>
              <w:t xml:space="preserve"> </w:t>
            </w:r>
            <w:r w:rsidRPr="00927778">
              <w:rPr>
                <w:color w:val="333333"/>
                <w:szCs w:val="22"/>
                <w:lang w:val="fr-FR"/>
              </w:rPr>
              <w:t>mentions des études dans des documents de politique générale et des articles de presse;</w:t>
            </w:r>
            <w:r w:rsidR="00063DA0" w:rsidRPr="00927778">
              <w:rPr>
                <w:color w:val="333333"/>
                <w:szCs w:val="22"/>
                <w:lang w:val="fr-FR"/>
              </w:rPr>
              <w:t xml:space="preserve"> </w:t>
            </w:r>
            <w:r w:rsidR="0057466D" w:rsidRPr="00927778">
              <w:rPr>
                <w:color w:val="333333"/>
                <w:szCs w:val="22"/>
                <w:lang w:val="fr-FR"/>
              </w:rPr>
              <w:t xml:space="preserve"> </w:t>
            </w:r>
            <w:r w:rsidRPr="00927778">
              <w:rPr>
                <w:color w:val="333333"/>
                <w:szCs w:val="22"/>
                <w:lang w:val="fr-FR"/>
              </w:rPr>
              <w:t>nombre de citations dans des travaux de recherche ultérieurs;</w:t>
            </w:r>
            <w:r w:rsidR="00063DA0" w:rsidRPr="00927778">
              <w:rPr>
                <w:color w:val="333333"/>
                <w:szCs w:val="22"/>
                <w:lang w:val="fr-FR"/>
              </w:rPr>
              <w:t xml:space="preserve"> </w:t>
            </w:r>
            <w:r w:rsidR="0057466D" w:rsidRPr="00927778">
              <w:rPr>
                <w:color w:val="333333"/>
                <w:szCs w:val="22"/>
                <w:lang w:val="fr-FR"/>
              </w:rPr>
              <w:t xml:space="preserve"> </w:t>
            </w:r>
            <w:r w:rsidRPr="00927778">
              <w:rPr>
                <w:color w:val="333333"/>
                <w:szCs w:val="22"/>
                <w:lang w:val="fr-FR"/>
              </w:rPr>
              <w:t>utilisation des bases de données créées dans le cadre de ce projet.</w:t>
            </w:r>
          </w:p>
        </w:tc>
        <w:tc>
          <w:tcPr>
            <w:tcW w:w="3402" w:type="dxa"/>
            <w:shd w:val="clear" w:color="auto" w:fill="auto"/>
          </w:tcPr>
          <w:p w:rsidR="005E6718" w:rsidRPr="00927778" w:rsidRDefault="005E6718" w:rsidP="00C3651B">
            <w:pPr>
              <w:rPr>
                <w:color w:val="333333"/>
                <w:lang w:val="fr-FR"/>
              </w:rPr>
            </w:pPr>
          </w:p>
          <w:p w:rsidR="005E6718" w:rsidRPr="00927778" w:rsidRDefault="00F70E13" w:rsidP="00F70E13">
            <w:pPr>
              <w:rPr>
                <w:rFonts w:eastAsia="MS Mincho"/>
                <w:color w:val="333333"/>
                <w:szCs w:val="22"/>
                <w:lang w:val="fr-FR" w:eastAsia="ja-JP"/>
              </w:rPr>
            </w:pPr>
            <w:r w:rsidRPr="00927778">
              <w:rPr>
                <w:rFonts w:eastAsia="MS Mincho"/>
                <w:color w:val="333333"/>
                <w:szCs w:val="22"/>
                <w:lang w:val="fr-FR" w:eastAsia="ja-JP"/>
              </w:rPr>
              <w:t>Prématuré à ce stade</w:t>
            </w:r>
          </w:p>
          <w:p w:rsidR="00F91F66" w:rsidRPr="00927778" w:rsidRDefault="00F91F66" w:rsidP="00C3651B">
            <w:pPr>
              <w:rPr>
                <w:color w:val="333333"/>
                <w:lang w:val="fr-FR"/>
              </w:rPr>
            </w:pPr>
          </w:p>
        </w:tc>
        <w:tc>
          <w:tcPr>
            <w:tcW w:w="850" w:type="dxa"/>
            <w:shd w:val="clear" w:color="auto" w:fill="auto"/>
          </w:tcPr>
          <w:p w:rsidR="005E6718" w:rsidRPr="00927778" w:rsidRDefault="005E6718" w:rsidP="00C3651B">
            <w:pPr>
              <w:rPr>
                <w:color w:val="333333"/>
                <w:lang w:val="fr-FR"/>
              </w:rPr>
            </w:pPr>
          </w:p>
          <w:p w:rsidR="00F91F66" w:rsidRPr="00927778" w:rsidRDefault="00F70E13" w:rsidP="00F70E13">
            <w:pPr>
              <w:rPr>
                <w:color w:val="333333"/>
                <w:lang w:val="fr-FR"/>
              </w:rPr>
            </w:pPr>
            <w:r w:rsidRPr="00927778">
              <w:rPr>
                <w:color w:val="333333"/>
                <w:lang w:val="fr-FR"/>
              </w:rPr>
              <w:t>s.o.</w:t>
            </w:r>
          </w:p>
        </w:tc>
      </w:tr>
    </w:tbl>
    <w:p w:rsidR="003E0BB0" w:rsidRDefault="00F70E13" w:rsidP="00F972E3">
      <w:pPr>
        <w:spacing w:before="120" w:after="220"/>
        <w:ind w:left="5534"/>
        <w:jc w:val="right"/>
        <w:rPr>
          <w:color w:val="333333"/>
          <w:lang w:val="fr-FR"/>
        </w:rPr>
      </w:pPr>
      <w:r w:rsidRPr="00927778">
        <w:rPr>
          <w:color w:val="333333"/>
          <w:lang w:val="fr-FR"/>
        </w:rPr>
        <w:t>[L</w:t>
      </w:r>
      <w:r w:rsidR="00EA2C86" w:rsidRPr="00927778">
        <w:rPr>
          <w:color w:val="333333"/>
          <w:lang w:val="fr-FR"/>
        </w:rPr>
        <w:t>’annexe V</w:t>
      </w:r>
      <w:r w:rsidRPr="00927778">
        <w:rPr>
          <w:color w:val="333333"/>
          <w:lang w:val="fr-FR"/>
        </w:rPr>
        <w:t>II suit</w:t>
      </w:r>
      <w:r w:rsidR="00FC3475" w:rsidRPr="00927778">
        <w:rPr>
          <w:color w:val="333333"/>
          <w:lang w:val="fr-FR"/>
        </w:rPr>
        <w:t>]</w:t>
      </w:r>
    </w:p>
    <w:p w:rsidR="0029527A" w:rsidRDefault="0029527A" w:rsidP="0029527A">
      <w:pPr>
        <w:rPr>
          <w:color w:val="333333"/>
          <w:lang w:val="fr-FR"/>
        </w:rPr>
        <w:sectPr w:rsidR="0029527A" w:rsidSect="00047C22">
          <w:headerReference w:type="default" r:id="rId25"/>
          <w:headerReference w:type="first" r:id="rId26"/>
          <w:pgSz w:w="11906" w:h="16840" w:code="9"/>
          <w:pgMar w:top="567" w:right="1134" w:bottom="1417" w:left="1417" w:header="510" w:footer="1020" w:gutter="0"/>
          <w:pgNumType w:start="1"/>
          <w:cols w:space="720"/>
          <w:titlePg/>
          <w:docGrid w:linePitch="299"/>
        </w:sectPr>
      </w:pPr>
    </w:p>
    <w:tbl>
      <w:tblPr>
        <w:tblStyle w:val="TableGrid"/>
        <w:tblW w:w="0" w:type="auto"/>
        <w:tblLook w:val="04A0" w:firstRow="1" w:lastRow="0" w:firstColumn="1" w:lastColumn="0" w:noHBand="0" w:noVBand="1"/>
      </w:tblPr>
      <w:tblGrid>
        <w:gridCol w:w="2538"/>
        <w:gridCol w:w="6749"/>
      </w:tblGrid>
      <w:tr w:rsidR="003E0BB0" w:rsidRPr="004D3AB4" w:rsidTr="00263F34">
        <w:tc>
          <w:tcPr>
            <w:tcW w:w="2538" w:type="dxa"/>
            <w:shd w:val="clear" w:color="auto" w:fill="BFBFBF" w:themeFill="background1" w:themeFillShade="BF"/>
          </w:tcPr>
          <w:p w:rsidR="003E0BB0" w:rsidRPr="004D3AB4" w:rsidRDefault="003E0BB0" w:rsidP="00263F34">
            <w:r w:rsidRPr="004D3AB4">
              <w:t xml:space="preserve">Recommandation(s) </w:t>
            </w:r>
          </w:p>
        </w:tc>
        <w:tc>
          <w:tcPr>
            <w:tcW w:w="6749" w:type="dxa"/>
            <w:shd w:val="clear" w:color="auto" w:fill="BFBFBF" w:themeFill="background1" w:themeFillShade="BF"/>
          </w:tcPr>
          <w:p w:rsidR="003E0BB0" w:rsidRPr="004D3AB4" w:rsidRDefault="003E0BB0" w:rsidP="00263F34">
            <w:pPr>
              <w:rPr>
                <w:i/>
              </w:rPr>
            </w:pPr>
            <w:r w:rsidRPr="004D3AB4">
              <w:rPr>
                <w:i/>
              </w:rPr>
              <w:t>Recommandation n° 1</w:t>
            </w:r>
          </w:p>
          <w:p w:rsidR="003E0BB0" w:rsidRPr="004D3AB4" w:rsidRDefault="003E0BB0" w:rsidP="00263F34"/>
          <w:p w:rsidR="003E0BB0" w:rsidRPr="004D3AB4" w:rsidRDefault="003E0BB0" w:rsidP="00263F34">
            <w:r w:rsidRPr="004D3AB4">
              <w:t>L’assistance technique de l’OMPI doit notamment être axée sur le développement et la demande et elle doit être transparente;  elle doit tenir compte des priorités et des besoins particuliers des pays en développement, en particulier des PMA, ainsi que des différents niveaux de développement des États membres et les activités doivent être menées à bien dans les délais.  À cet égard, les mécanismes d’établissement et d’exécution et procédures d’évaluation des programmes d’assistance technique doivent être ciblés par pays.</w:t>
            </w:r>
          </w:p>
          <w:p w:rsidR="003E0BB0" w:rsidRPr="004D3AB4" w:rsidRDefault="003E0BB0" w:rsidP="00263F34"/>
        </w:tc>
      </w:tr>
      <w:tr w:rsidR="003E0BB0" w:rsidRPr="004D3AB4" w:rsidTr="00263F34">
        <w:tc>
          <w:tcPr>
            <w:tcW w:w="2538" w:type="dxa"/>
          </w:tcPr>
          <w:p w:rsidR="003E0BB0" w:rsidRPr="004D3AB4" w:rsidRDefault="003E0BB0" w:rsidP="00263F34">
            <w:r w:rsidRPr="004D3AB4">
              <w:t>Programmes du Programme et budget 2018/2019 liés à la recommandation</w:t>
            </w:r>
          </w:p>
          <w:p w:rsidR="003E0BB0" w:rsidRPr="004D3AB4" w:rsidRDefault="003E0BB0" w:rsidP="00263F34"/>
        </w:tc>
        <w:tc>
          <w:tcPr>
            <w:tcW w:w="6749" w:type="dxa"/>
          </w:tcPr>
          <w:p w:rsidR="003E0BB0" w:rsidRPr="004D3AB4" w:rsidRDefault="003E0BB0" w:rsidP="00263F34">
            <w:r w:rsidRPr="004D3AB4">
              <w:t>1, 2, 3, 3, 4, 5, 6, 9, 10, 11, 14, 15, 16, 17, 30, 31 et 32</w:t>
            </w:r>
          </w:p>
          <w:p w:rsidR="003E0BB0" w:rsidRPr="004D3AB4" w:rsidRDefault="003E0BB0" w:rsidP="00263F34"/>
        </w:tc>
      </w:tr>
      <w:tr w:rsidR="003E0BB0" w:rsidRPr="004D3AB4" w:rsidTr="00263F34">
        <w:tc>
          <w:tcPr>
            <w:tcW w:w="2538" w:type="dxa"/>
          </w:tcPr>
          <w:p w:rsidR="003E0BB0" w:rsidRPr="004D3AB4" w:rsidRDefault="003E0BB0" w:rsidP="00263F34">
            <w:r w:rsidRPr="004D3AB4">
              <w:t xml:space="preserve">Mise en œuvre </w:t>
            </w:r>
          </w:p>
        </w:tc>
        <w:tc>
          <w:tcPr>
            <w:tcW w:w="6749" w:type="dxa"/>
          </w:tcPr>
          <w:p w:rsidR="003E0BB0" w:rsidRPr="004D3AB4" w:rsidRDefault="003E0BB0" w:rsidP="00263F34">
            <w:r w:rsidRPr="004D3AB4">
              <w:t>Cette recommandation avait été examinée à la première session du CDIP (CDIP/1/4) et est en cours de mise en œuvre depuis l’adoption du Plan d’action pour le développement de l’OMPI en 2007.  La stratégie de mise en œuvre de cette recommandation est fondée sur les débats qui ont eu lieu pendant la deuxième session du CDIP (document CDIP/2/4) et est présentée dans le document CDIP/3/5.  La voici :</w:t>
            </w:r>
          </w:p>
          <w:p w:rsidR="003E0BB0" w:rsidRPr="004D3AB4" w:rsidRDefault="003E0BB0" w:rsidP="00263F34"/>
          <w:p w:rsidR="003E0BB0" w:rsidRPr="004D3AB4" w:rsidRDefault="003E0BB0" w:rsidP="00263F34">
            <w:r w:rsidRPr="004D3AB4">
              <w:t>“Des activités d’assistance technique ont été menées à la demande des États membres;  elles ont été conçues, formulées et mises en œuvre en étroite collaboration avec les pays concernés afin de correspondre à leurs besoins spécifiques, à leurs priorités et à leur niveau de développement, en particulier en ce qui concerne les pays les moins avancés (PMA).</w:t>
            </w:r>
          </w:p>
          <w:p w:rsidR="003E0BB0" w:rsidRPr="004D3AB4" w:rsidRDefault="003E0BB0" w:rsidP="00263F34"/>
          <w:p w:rsidR="003E0BB0" w:rsidRPr="004D3AB4" w:rsidRDefault="003E0BB0" w:rsidP="00263F34">
            <w:r w:rsidRPr="004D3AB4">
              <w:t>Des pays ont bénéficié d’une assistance pour formuler des stratégies nationales dans le domaine de la propriété intellectuelle, avec la participation de toutes les parties prenantes.  La finalité globale de ces plans et stratégies est de contribuer au développement économique, social, culturel et technologique des pays bénéficiaires grâce à une utilisation performante du système de la propriété intellectuelle.</w:t>
            </w:r>
          </w:p>
          <w:p w:rsidR="003E0BB0" w:rsidRPr="004D3AB4" w:rsidRDefault="003E0BB0" w:rsidP="00263F34"/>
          <w:p w:rsidR="003E0BB0" w:rsidRPr="004D3AB4" w:rsidRDefault="003E0BB0" w:rsidP="00263F34">
            <w:r w:rsidRPr="004D3AB4">
              <w:t>La responsabilité première du processus revient aux pays concernés, l’OMPI assumant pleinement son engagement de fournir toute l’assistance technique et la coopération nécessaires de façon efficace et rationnelle et dans les délais.</w:t>
            </w:r>
          </w:p>
          <w:p w:rsidR="003E0BB0" w:rsidRPr="004D3AB4" w:rsidRDefault="003E0BB0" w:rsidP="00263F34"/>
        </w:tc>
      </w:tr>
      <w:tr w:rsidR="003E0BB0" w:rsidRPr="004D3AB4" w:rsidTr="00263F34">
        <w:tc>
          <w:tcPr>
            <w:tcW w:w="2538" w:type="dxa"/>
          </w:tcPr>
          <w:p w:rsidR="003E0BB0" w:rsidRPr="004D3AB4" w:rsidRDefault="003E0BB0" w:rsidP="00263F34">
            <w:r w:rsidRPr="004D3AB4">
              <w:t>Projets du Plan d’action pour le développement liés à la recommandation</w:t>
            </w:r>
          </w:p>
        </w:tc>
        <w:tc>
          <w:tcPr>
            <w:tcW w:w="6749" w:type="dxa"/>
          </w:tcPr>
          <w:p w:rsidR="003E0BB0" w:rsidRPr="004D3AB4" w:rsidRDefault="003E0BB0" w:rsidP="00263F34">
            <w:r w:rsidRPr="004D3AB4">
              <w:t>Cette recommandation a été mise en œuvre dans le cadre des projets achevés du Plan d’action pour le développement ci</w:t>
            </w:r>
            <w:r w:rsidRPr="004D3AB4">
              <w:noBreakHyphen/>
              <w:t>après :</w:t>
            </w:r>
          </w:p>
          <w:p w:rsidR="003E0BB0" w:rsidRPr="004D3AB4" w:rsidRDefault="003E0BB0" w:rsidP="00263F34"/>
          <w:p w:rsidR="003E0BB0" w:rsidRPr="004D3AB4" w:rsidRDefault="003E0BB0" w:rsidP="00263F34">
            <w:r w:rsidRPr="004D3AB4">
              <w:t>– Projet de renforcement de la coopération Sud</w:t>
            </w:r>
            <w:r w:rsidRPr="004D3AB4">
              <w:noBreakHyphen/>
              <w:t>Sud dans le domaine de la propriété intellectuelle au service du développement parmi les pays en développement et les pays les moins avancés (CDIP/7/6).</w:t>
            </w:r>
          </w:p>
          <w:p w:rsidR="003E0BB0" w:rsidRPr="004D3AB4" w:rsidRDefault="003E0BB0" w:rsidP="00263F34"/>
          <w:p w:rsidR="003E0BB0" w:rsidRPr="004D3AB4" w:rsidRDefault="003E0BB0" w:rsidP="00263F34">
            <w:r w:rsidRPr="004D3AB4">
              <w:t>– Renforcement et e développement du secteur de l’audiovisuel au Burkina Faso et dans certains pays africains – phase I (CDIP/9/13)</w:t>
            </w:r>
          </w:p>
          <w:p w:rsidR="003E0BB0" w:rsidRPr="004D3AB4" w:rsidRDefault="003E0BB0" w:rsidP="00263F34">
            <w:pPr>
              <w:rPr>
                <w:sz w:val="21"/>
                <w:szCs w:val="21"/>
                <w:bdr w:val="none" w:sz="0" w:space="0" w:color="auto" w:frame="1"/>
              </w:rPr>
            </w:pPr>
          </w:p>
          <w:p w:rsidR="003E0BB0" w:rsidRPr="004D3AB4" w:rsidRDefault="003E0BB0" w:rsidP="00263F34">
            <w:r w:rsidRPr="004D3AB4">
              <w:t>De plus, cette recommandation est mise en œuvre dans le cadre des projets en cours du Plan d’action pour le développement ci</w:t>
            </w:r>
            <w:r w:rsidRPr="004D3AB4">
              <w:noBreakHyphen/>
              <w:t>après :</w:t>
            </w:r>
          </w:p>
          <w:p w:rsidR="003E0BB0" w:rsidRPr="004D3AB4" w:rsidRDefault="003E0BB0" w:rsidP="00263F34"/>
          <w:p w:rsidR="003E0BB0" w:rsidRPr="004D3AB4" w:rsidRDefault="003E0BB0" w:rsidP="00263F34">
            <w:r w:rsidRPr="004D3AB4">
              <w:t>– Propriété intellectuelle, tourisme et culture : contribution aux objectifs de développement et promotion du patrimoine culturel en Égypte et dans d’autres pays en développement (CDIP/15/7 Rev.)</w:t>
            </w:r>
          </w:p>
          <w:p w:rsidR="003E0BB0" w:rsidRPr="004D3AB4" w:rsidRDefault="003E0BB0" w:rsidP="00263F34"/>
          <w:p w:rsidR="003E0BB0" w:rsidRPr="004D3AB4" w:rsidRDefault="003E0BB0" w:rsidP="00263F34">
            <w:r w:rsidRPr="004D3AB4">
              <w:t>– Renforcement et développement du secteur de l’audiovisuel au Burkina Faso et dans certains pays africains – phase II (CDIP/17/7)</w:t>
            </w:r>
          </w:p>
          <w:p w:rsidR="003E0BB0" w:rsidRPr="004D3AB4" w:rsidRDefault="003E0BB0" w:rsidP="00263F34"/>
          <w:p w:rsidR="003E0BB0" w:rsidRPr="004D3AB4" w:rsidRDefault="003E0BB0" w:rsidP="00263F34">
            <w:r w:rsidRPr="004D3AB4">
              <w:t>– Gestion de la propriété intellectuelle et transfert de technologie : promouvoir l’utilisation efficace de la propriété intellectuelle dans les pays en développement, les pays les moins avancés et les pays en transition, proposé par l’Afrique du Sud (CDIP/19/11 Rev.)</w:t>
            </w:r>
          </w:p>
          <w:p w:rsidR="003E0BB0" w:rsidRPr="004D3AB4" w:rsidRDefault="003E0BB0" w:rsidP="00263F34"/>
        </w:tc>
      </w:tr>
      <w:tr w:rsidR="003E0BB0" w:rsidRPr="004D3AB4" w:rsidTr="00263F34">
        <w:tc>
          <w:tcPr>
            <w:tcW w:w="2538" w:type="dxa"/>
          </w:tcPr>
          <w:p w:rsidR="003E0BB0" w:rsidRPr="004D3AB4" w:rsidRDefault="003E0BB0" w:rsidP="00263F34">
            <w:r w:rsidRPr="004D3AB4">
              <w:t xml:space="preserve">Activités/réalisations </w:t>
            </w:r>
          </w:p>
        </w:tc>
        <w:tc>
          <w:tcPr>
            <w:tcW w:w="6749" w:type="dxa"/>
          </w:tcPr>
          <w:p w:rsidR="003E0BB0" w:rsidRPr="004D3AB4" w:rsidRDefault="003E0BB0" w:rsidP="00263F34">
            <w:r w:rsidRPr="004D3AB4">
              <w:t>Entre juillet 2017 et juin 2018, le Secteur du développement de l’OMPI a entrepris et facilité plus de 300 activités couvrant divers aspects de l’élaboration des systèmes nationaux de propriété intellectuelle et des stratégies d’innovation.  Ces initiatives comprenaient 106 activités de sensibilisation à l’utilisation de la propriété intellectuelle, 42 activités de renforcement des capacités et de formation, 30 autres projets et études sur la propriété intellectuelle et l’économie, ainsi qu’une série d’activités et de réunions concernant le partage des meilleures pratiques et l’échange d’expériences utiles sur l’administration de la propriété intellectuelle.  Parmi ces activités, qui s’adressaient essentiellement aux fonctionnaires et autres parties prenantes du secteur public, environ 16 étaient axées sur le transfert de technologie et la gestion des actifs de propriété intellectuelle, et 35 visaient à faciliter la numérisation des services des offices de propriété intellectuelle, tels que le système IPAS, WIPO File, Patentscope et WIPO Publish.  Dix</w:t>
            </w:r>
            <w:r w:rsidRPr="004D3AB4">
              <w:noBreakHyphen/>
              <w:t>huit offices bénéficient des services du Centre d’arbitrage et de médiation de l’OMPI.  Ces activités étaient déterminées par la demande et axées sur le développement, visant à donner aux pays les moyens d’exploiter leur système de propriété intellectuelle et de tirer parti de leur participation à l’économie mondiale du savoir et de l’innovation.</w:t>
            </w:r>
          </w:p>
          <w:p w:rsidR="003E0BB0" w:rsidRPr="004D3AB4" w:rsidRDefault="003E0BB0" w:rsidP="00263F34"/>
          <w:p w:rsidR="003E0BB0" w:rsidRPr="004D3AB4" w:rsidRDefault="003E0BB0" w:rsidP="00263F34">
            <w:r w:rsidRPr="004D3AB4">
              <w:t>En conséquence, au cours de la période considérée, l’utilisation des services de l’OMPI s’est considérablement accrue.  Le système IPAS est aujourd’hui utilisé par 69 offices, dont 22 dans la région Amérique latine et Caraïbes, 19 en Afrique, 14 dans les pays arabes et 14 dans la région Asie et Pacifique.  Le nombre de pays bénéficiant du déploiement des centres d’appui à la technologie et à l’innovation (CATI) a également atteint un niveau remarquable : 62 CATI ont été ouverts dans les pays en développement, l’Afrique prenant la tête avec 25 unités;  viennent ensuite la région Amérique latine et Caraïbes (16), la région Asie et Pacifique (11) et le monde arabe (10).</w:t>
            </w:r>
          </w:p>
          <w:p w:rsidR="003E0BB0" w:rsidRPr="004D3AB4" w:rsidRDefault="003E0BB0" w:rsidP="00263F34"/>
          <w:p w:rsidR="003E0BB0" w:rsidRPr="004D3AB4" w:rsidRDefault="003E0BB0" w:rsidP="00263F34">
            <w:r w:rsidRPr="004D3AB4">
              <w:t>Les pays en développement et les PMA bénéficient toujours de l’assistance en matière de conception, d’élaboration et de mise en œuvre de stratégies nationales de propriété intellectuelle en adéquation avec leurs plans de développement et répondant à leurs besoins et priorités.</w:t>
            </w:r>
          </w:p>
          <w:p w:rsidR="003E0BB0" w:rsidRPr="004D3AB4" w:rsidRDefault="003E0BB0" w:rsidP="00263F34"/>
          <w:p w:rsidR="003E0BB0" w:rsidRPr="004D3AB4" w:rsidRDefault="003E0BB0" w:rsidP="00263F34">
            <w:r w:rsidRPr="004D3AB4">
              <w:t>Au total, 55 stratégies nationales de propriété intellectuelle sont en cours de mise en œuvre (32 en Afrique, 3 dans les pays arabes, 10 en Asie et Pacifique et 10 en Amérique latine et Caraïbes), dont 24 dans des PMA.</w:t>
            </w:r>
          </w:p>
          <w:p w:rsidR="003E0BB0" w:rsidRPr="004D3AB4" w:rsidRDefault="003E0BB0" w:rsidP="00263F34"/>
          <w:p w:rsidR="003E0BB0" w:rsidRPr="004D3AB4" w:rsidRDefault="003E0BB0" w:rsidP="00263F34">
            <w:r w:rsidRPr="004D3AB4">
              <w:t>En ce qui concerne les pays en transition et les pays développés : la Lettonie a adopté sa stratégie nationale en matière de propriété intellectuelle et la Géorgie met la dernière main à la sienne.  Les stratégies en matière de propriété intellectuelle, lancées en 2017, sont toujours en cours de mise en œuvre en Hongrie, en Lituanie, en Pologne, en Slovaquie et en Ukraine.</w:t>
            </w:r>
          </w:p>
          <w:p w:rsidR="003E0BB0" w:rsidRPr="004D3AB4" w:rsidRDefault="003E0BB0" w:rsidP="00263F34"/>
          <w:p w:rsidR="003E0BB0" w:rsidRPr="004D3AB4" w:rsidRDefault="003E0BB0" w:rsidP="00263F34">
            <w:r w:rsidRPr="004D3AB4">
              <w:t>Pour les réalisations des projets du Plan d’action pour le développement susmentionnés qui sont encore en cours d’exécution, voir les annexes IV, V et I du présent document.</w:t>
            </w:r>
          </w:p>
          <w:p w:rsidR="003E0BB0" w:rsidRPr="004D3AB4" w:rsidRDefault="003E0BB0" w:rsidP="00263F34"/>
        </w:tc>
      </w:tr>
      <w:tr w:rsidR="003E0BB0" w:rsidRPr="004D3AB4" w:rsidTr="00263F34">
        <w:tc>
          <w:tcPr>
            <w:tcW w:w="2538" w:type="dxa"/>
          </w:tcPr>
          <w:p w:rsidR="003E0BB0" w:rsidRPr="004D3AB4" w:rsidRDefault="003E0BB0" w:rsidP="00263F34">
            <w:r w:rsidRPr="004D3AB4">
              <w:t>Autres rapports/documents liés à la recommandation</w:t>
            </w:r>
          </w:p>
        </w:tc>
        <w:tc>
          <w:tcPr>
            <w:tcW w:w="6749" w:type="dxa"/>
          </w:tcPr>
          <w:p w:rsidR="003E0BB0" w:rsidRPr="004D3AB4" w:rsidRDefault="003E0BB0" w:rsidP="00263F34">
            <w:r w:rsidRPr="004D3AB4">
              <w:t>Rapports examinés par le CDIP : CDIP/3/5;  CDIP/6/3;  CDIP/8/2;  CDIP/10/2;  CDIP/11/2;  CDIP/12/2;  CDIP/13/4;  CDIP/14/2;  CDIP/16/2;  CDIP/17/3;  CDIP/18/2;  CDIP/20/2.</w:t>
            </w:r>
          </w:p>
          <w:p w:rsidR="003E0BB0" w:rsidRPr="004D3AB4" w:rsidRDefault="003E0BB0" w:rsidP="00263F34"/>
          <w:p w:rsidR="003E0BB0" w:rsidRPr="004D3AB4" w:rsidRDefault="003E0BB0" w:rsidP="00263F34">
            <w:r w:rsidRPr="004D3AB4">
              <w:t>Outre les activités figurant dans la Base de données de l’assistance technique dans le domaine de la propriété intellectuelle, pour plus d’informations sur les réalisations liées à cette recommandation, voir le rapport sur l’exécution du programme de l’OMPI en 2016</w:t>
            </w:r>
            <w:r w:rsidRPr="004D3AB4">
              <w:noBreakHyphen/>
              <w:t>2017 (document WO/PBC/28/7).</w:t>
            </w:r>
          </w:p>
          <w:p w:rsidR="003E0BB0" w:rsidRPr="004D3AB4" w:rsidRDefault="003E0BB0" w:rsidP="00263F34">
            <w:pPr>
              <w:rPr>
                <w:i/>
                <w:sz w:val="21"/>
                <w:szCs w:val="21"/>
                <w:highlight w:val="yellow"/>
                <w:bdr w:val="none" w:sz="0" w:space="0" w:color="auto" w:frame="1"/>
              </w:rPr>
            </w:pPr>
          </w:p>
        </w:tc>
      </w:tr>
    </w:tbl>
    <w:p w:rsidR="003E0BB0" w:rsidRPr="004D3AB4" w:rsidRDefault="003E0BB0" w:rsidP="003E0BB0">
      <w:r w:rsidRPr="004D3AB4">
        <w:br w:type="page"/>
      </w:r>
    </w:p>
    <w:tbl>
      <w:tblPr>
        <w:tblStyle w:val="TableGrid"/>
        <w:tblW w:w="0" w:type="auto"/>
        <w:tblLook w:val="04A0" w:firstRow="1" w:lastRow="0" w:firstColumn="1" w:lastColumn="0" w:noHBand="0" w:noVBand="1"/>
      </w:tblPr>
      <w:tblGrid>
        <w:gridCol w:w="2538"/>
        <w:gridCol w:w="6749"/>
      </w:tblGrid>
      <w:tr w:rsidR="003E0BB0" w:rsidRPr="004D3AB4" w:rsidTr="00263F34">
        <w:tc>
          <w:tcPr>
            <w:tcW w:w="2538" w:type="dxa"/>
            <w:shd w:val="clear" w:color="auto" w:fill="BFBFBF" w:themeFill="background1" w:themeFillShade="BF"/>
          </w:tcPr>
          <w:p w:rsidR="003E0BB0" w:rsidRPr="004D3AB4" w:rsidRDefault="003E0BB0" w:rsidP="00263F34">
            <w:r w:rsidRPr="004D3AB4">
              <w:t>Recommandation(s)</w:t>
            </w:r>
          </w:p>
        </w:tc>
        <w:tc>
          <w:tcPr>
            <w:tcW w:w="6751" w:type="dxa"/>
            <w:shd w:val="clear" w:color="auto" w:fill="BFBFBF" w:themeFill="background1" w:themeFillShade="BF"/>
          </w:tcPr>
          <w:p w:rsidR="003E0BB0" w:rsidRPr="004D3AB4" w:rsidRDefault="003E0BB0" w:rsidP="00263F34">
            <w:pPr>
              <w:rPr>
                <w:i/>
              </w:rPr>
            </w:pPr>
            <w:r w:rsidRPr="004D3AB4">
              <w:rPr>
                <w:i/>
              </w:rPr>
              <w:t>Recommandation n° 2</w:t>
            </w:r>
          </w:p>
          <w:p w:rsidR="003E0BB0" w:rsidRPr="004D3AB4" w:rsidRDefault="003E0BB0" w:rsidP="00263F34">
            <w:pPr>
              <w:rPr>
                <w:i/>
              </w:rPr>
            </w:pPr>
          </w:p>
          <w:p w:rsidR="003E0BB0" w:rsidRPr="004D3AB4" w:rsidRDefault="003E0BB0" w:rsidP="00263F34">
            <w:r w:rsidRPr="004D3AB4">
              <w:t>Fournir une assistance complémentaire à l’OMPI sous forme de contributions de donateurs et constituer un fonds fiduciaire ou d’autres fonds de contributions volontaires au sein de l’OMPI, destinés plus particulièrement aux PMA, tout en continuant à accorder une priorité élevée au financement des activités en Afrique par des ressources budgétaires et extrabudgétaires pour promouvoir notamment l’exploitation juridique, commerciale, culturelle et économique de la propriété intellectuelle dans ces pays.</w:t>
            </w:r>
          </w:p>
          <w:p w:rsidR="003E0BB0" w:rsidRPr="004D3AB4" w:rsidRDefault="003E0BB0" w:rsidP="00263F34"/>
        </w:tc>
      </w:tr>
      <w:tr w:rsidR="003E0BB0" w:rsidRPr="004D3AB4" w:rsidTr="00263F34">
        <w:tc>
          <w:tcPr>
            <w:tcW w:w="2538" w:type="dxa"/>
          </w:tcPr>
          <w:p w:rsidR="003E0BB0" w:rsidRPr="004D3AB4" w:rsidRDefault="003E0BB0" w:rsidP="00263F34">
            <w:r w:rsidRPr="004D3AB4">
              <w:t>Programmes du Programme et budget 2018/2019 liés à la recommandation</w:t>
            </w:r>
          </w:p>
          <w:p w:rsidR="003E0BB0" w:rsidRPr="004D3AB4" w:rsidRDefault="003E0BB0" w:rsidP="00263F34"/>
        </w:tc>
        <w:tc>
          <w:tcPr>
            <w:tcW w:w="6751" w:type="dxa"/>
          </w:tcPr>
          <w:p w:rsidR="003E0BB0" w:rsidRPr="004D3AB4" w:rsidRDefault="003E0BB0" w:rsidP="00263F34">
            <w:r w:rsidRPr="004D3AB4">
              <w:t>1, 2, 3, 4, 9, 11, 14, 15, 16, 17, 20 et 30</w:t>
            </w:r>
          </w:p>
        </w:tc>
      </w:tr>
      <w:tr w:rsidR="003E0BB0" w:rsidRPr="004D3AB4" w:rsidTr="00263F34">
        <w:tc>
          <w:tcPr>
            <w:tcW w:w="2538" w:type="dxa"/>
          </w:tcPr>
          <w:p w:rsidR="003E0BB0" w:rsidRPr="004D3AB4" w:rsidRDefault="003E0BB0" w:rsidP="00263F34">
            <w:r w:rsidRPr="004D3AB4">
              <w:t xml:space="preserve">Mise en œuvre </w:t>
            </w:r>
          </w:p>
        </w:tc>
        <w:tc>
          <w:tcPr>
            <w:tcW w:w="6751" w:type="dxa"/>
          </w:tcPr>
          <w:p w:rsidR="003E0BB0" w:rsidRPr="004D3AB4" w:rsidRDefault="003E0BB0" w:rsidP="00263F34">
            <w:r w:rsidRPr="004D3AB4">
              <w:t>Cette recommandation est en cours de mise en œuvre depuis 2009.  Elle a été examinée à la première session du CDIP (CDIP/1/4) et a fait l’objet des activités convenues lors de la deuxième session du CDIP, comme indiqué dans les documents CDIP/2/4 et CDIP/3/INF/2.</w:t>
            </w:r>
          </w:p>
          <w:p w:rsidR="003E0BB0" w:rsidRPr="004D3AB4" w:rsidRDefault="003E0BB0" w:rsidP="00263F34"/>
        </w:tc>
      </w:tr>
      <w:tr w:rsidR="003E0BB0" w:rsidRPr="004D3AB4" w:rsidTr="00263F34">
        <w:tc>
          <w:tcPr>
            <w:tcW w:w="2538" w:type="dxa"/>
          </w:tcPr>
          <w:p w:rsidR="003E0BB0" w:rsidRPr="004D3AB4" w:rsidRDefault="003E0BB0" w:rsidP="00263F34">
            <w:r w:rsidRPr="004D3AB4">
              <w:t>Projets du Plan d’action pour le développement liés à la recommandation</w:t>
            </w:r>
          </w:p>
        </w:tc>
        <w:tc>
          <w:tcPr>
            <w:tcW w:w="6751" w:type="dxa"/>
          </w:tcPr>
          <w:p w:rsidR="003E0BB0" w:rsidRPr="004D3AB4" w:rsidRDefault="003E0BB0" w:rsidP="00263F34">
            <w:r w:rsidRPr="004D3AB4">
              <w:t>Cette recommandation a été mise en œuvre essentiellement dans le cadre des projets suivants :</w:t>
            </w:r>
          </w:p>
          <w:p w:rsidR="003E0BB0" w:rsidRPr="004D3AB4" w:rsidRDefault="003E0BB0" w:rsidP="00263F34"/>
          <w:p w:rsidR="003E0BB0" w:rsidRPr="004D3AB4" w:rsidRDefault="003E0BB0" w:rsidP="00263F34">
            <w:r w:rsidRPr="004D3AB4">
              <w:t>–</w:t>
            </w:r>
            <w:hyperlink r:id="rId27" w:tgtFrame="_self" w:history="1">
              <w:r w:rsidRPr="004D3AB4">
                <w:t>Conférence sur la mobilisation de ressources pour le développement</w:t>
              </w:r>
            </w:hyperlink>
            <w:hyperlink r:id="rId28" w:tgtFrame="_self" w:history="1">
              <w:r w:rsidRPr="004D3AB4">
                <w:t xml:space="preserve"> </w:t>
              </w:r>
            </w:hyperlink>
            <w:r w:rsidRPr="004D3AB4">
              <w:t>(CDIP/3/INF/2).</w:t>
            </w:r>
          </w:p>
          <w:p w:rsidR="003E0BB0" w:rsidRPr="004D3AB4" w:rsidRDefault="003E0BB0" w:rsidP="00263F34"/>
          <w:p w:rsidR="003E0BB0" w:rsidRPr="004D3AB4" w:rsidRDefault="003E0BB0" w:rsidP="00263F34">
            <w:r w:rsidRPr="004D3AB4">
              <w:t xml:space="preserve">– </w:t>
            </w:r>
            <w:hyperlink r:id="rId29" w:tgtFrame="_self" w:history="1">
              <w:r w:rsidRPr="004D3AB4">
                <w:t>Renforcement et développement du secteur de l’audiovisuel au Burkina Faso et dans certains pays africains – phase I</w:t>
              </w:r>
            </w:hyperlink>
            <w:r w:rsidRPr="004D3AB4">
              <w:t xml:space="preserve"> (CDIP/9/13)</w:t>
            </w:r>
          </w:p>
          <w:p w:rsidR="003E0BB0" w:rsidRPr="004D3AB4" w:rsidRDefault="003E0BB0" w:rsidP="00263F34"/>
          <w:p w:rsidR="003E0BB0" w:rsidRPr="004D3AB4" w:rsidRDefault="003E0BB0" w:rsidP="00263F34">
            <w:r w:rsidRPr="004D3AB4">
              <w:t>De plus, cette recommandation est mise en œuvre dans le cadre du projet en cours du Plan d’action pour le développement ci</w:t>
            </w:r>
            <w:r w:rsidRPr="004D3AB4">
              <w:noBreakHyphen/>
              <w:t>après :</w:t>
            </w:r>
          </w:p>
          <w:p w:rsidR="003E0BB0" w:rsidRPr="004D3AB4" w:rsidRDefault="003E0BB0" w:rsidP="00263F34"/>
          <w:p w:rsidR="003E0BB0" w:rsidRPr="004D3AB4" w:rsidRDefault="003E0BB0" w:rsidP="00263F34">
            <w:r w:rsidRPr="004D3AB4">
              <w:t xml:space="preserve">– </w:t>
            </w:r>
            <w:hyperlink r:id="rId30" w:history="1">
              <w:r w:rsidRPr="004D3AB4">
                <w:t>Renforcement et développement du secteur de l’audiovisuel au Burkina Faso et dans certains pays africains – phase II</w:t>
              </w:r>
            </w:hyperlink>
            <w:r w:rsidRPr="004D3AB4">
              <w:t xml:space="preserve"> (CDIP/17/7)</w:t>
            </w:r>
          </w:p>
          <w:p w:rsidR="003E0BB0" w:rsidRPr="004D3AB4" w:rsidRDefault="003E0BB0" w:rsidP="00263F34">
            <w:pPr>
              <w:rPr>
                <w:b/>
              </w:rPr>
            </w:pPr>
          </w:p>
        </w:tc>
      </w:tr>
      <w:tr w:rsidR="003E0BB0" w:rsidRPr="004D3AB4" w:rsidTr="00263F34">
        <w:tc>
          <w:tcPr>
            <w:tcW w:w="2538" w:type="dxa"/>
          </w:tcPr>
          <w:p w:rsidR="003E0BB0" w:rsidRPr="004D3AB4" w:rsidRDefault="003E0BB0" w:rsidP="00263F34">
            <w:r w:rsidRPr="004D3AB4">
              <w:t xml:space="preserve">Activités/réalisations </w:t>
            </w:r>
          </w:p>
        </w:tc>
        <w:tc>
          <w:tcPr>
            <w:tcW w:w="6751" w:type="dxa"/>
          </w:tcPr>
          <w:p w:rsidR="003E0BB0" w:rsidRPr="004D3AB4" w:rsidRDefault="003E0BB0" w:rsidP="00263F34">
            <w:r w:rsidRPr="004D3AB4">
              <w:t>Dans la foulée de la Conférence sur la mobilisation de ressources pour le développement, l’OMPI a poursuivi ses travaux visant à recenser des partenaires et à trouver des financements extrabudgétaires pour ses programmes et projets.  Au cours de la période considérée, on a continué de renforcer les partenariats à l’appui de WIPO GREEN, WIPO Re:Search et du Consortium pour des livres accessibles (ABC).</w:t>
            </w:r>
          </w:p>
          <w:p w:rsidR="003E0BB0" w:rsidRPr="004D3AB4" w:rsidRDefault="003E0BB0" w:rsidP="00263F34"/>
          <w:p w:rsidR="003E0BB0" w:rsidRPr="004D3AB4" w:rsidRDefault="003E0BB0" w:rsidP="00263F34">
            <w:r w:rsidRPr="004D3AB4">
              <w:t>Un rapport détaillé sur les activités mises en œuvre au titre des fonds fiduciaires de l’OMPI en 2017, donnant des informations sur les programmes et sur les aspects financiers, figure à l’annexe X du rapport sur l’exécution du programme de l’OMPI en 2016</w:t>
            </w:r>
            <w:r w:rsidRPr="004D3AB4">
              <w:noBreakHyphen/>
              <w:t>2017 (WO/PBC/28/7).  Pour de plus amples informations sur les ressources prévues au titre des fonds fiduciaires, voir l’annexe V du programme et budget proposé pour l’exercice biennal 2018</w:t>
            </w:r>
            <w:r w:rsidRPr="004D3AB4">
              <w:noBreakHyphen/>
              <w:t>2019 (WO/PBC/27/8).</w:t>
            </w:r>
          </w:p>
          <w:p w:rsidR="003E0BB0" w:rsidRPr="004D3AB4" w:rsidRDefault="003E0BB0" w:rsidP="00263F34"/>
          <w:p w:rsidR="003E0BB0" w:rsidRPr="004D3AB4" w:rsidRDefault="003E0BB0" w:rsidP="00263F34">
            <w:r w:rsidRPr="004D3AB4">
              <w:t>Pour les réalisations concernant le projet sur le renforcement et le développement du secteur de l’audiovisuel au Burkina Faso et dans certains pays africains – Phase II, voir l’annexe V du présent document.</w:t>
            </w:r>
          </w:p>
        </w:tc>
      </w:tr>
      <w:tr w:rsidR="003E0BB0" w:rsidRPr="004D3AB4" w:rsidTr="00263F34">
        <w:tc>
          <w:tcPr>
            <w:tcW w:w="2538" w:type="dxa"/>
          </w:tcPr>
          <w:p w:rsidR="003E0BB0" w:rsidRPr="004D3AB4" w:rsidRDefault="003E0BB0" w:rsidP="00263F34">
            <w:r w:rsidRPr="004D3AB4">
              <w:t>Autres rapports/documents liés à la recommandation</w:t>
            </w:r>
          </w:p>
        </w:tc>
        <w:tc>
          <w:tcPr>
            <w:tcW w:w="6751" w:type="dxa"/>
          </w:tcPr>
          <w:p w:rsidR="003E0BB0" w:rsidRPr="004D3AB4" w:rsidRDefault="003E0BB0" w:rsidP="00263F34">
            <w:r w:rsidRPr="004D3AB4">
              <w:t>Rapports examinés par le CDIP : CDIP/4/2;  CDIP/6/2;  CDIP/8/2;  CDIP/9/3;  CDIP/12/2;  CDIP/14/2;  CDIP/16/2;  CDIP/17/3;  CDIP/18/2;  CDIP/20/2.</w:t>
            </w:r>
          </w:p>
          <w:p w:rsidR="003E0BB0" w:rsidRPr="004D3AB4" w:rsidRDefault="003E0BB0" w:rsidP="00263F34"/>
          <w:p w:rsidR="003E0BB0" w:rsidRPr="004D3AB4" w:rsidRDefault="003E0BB0" w:rsidP="00263F34">
            <w:r w:rsidRPr="004D3AB4">
              <w:t>Outre les activités figurant dans la Base de données de l’assistance technique dans le domaine de la propriété intellectuelle, pour plus d’informations sur les réalisations liées à cette recommandation, voir le rapport sur l’exécution du programme de l’OMPI en 2016</w:t>
            </w:r>
            <w:r w:rsidRPr="004D3AB4">
              <w:noBreakHyphen/>
              <w:t>2017 (document WO/PBC/28/7).</w:t>
            </w:r>
          </w:p>
          <w:p w:rsidR="003E0BB0" w:rsidRPr="004D3AB4" w:rsidRDefault="003E0BB0" w:rsidP="00263F34"/>
        </w:tc>
      </w:tr>
    </w:tbl>
    <w:p w:rsidR="003E0BB0" w:rsidRPr="004D3AB4" w:rsidRDefault="003E0BB0" w:rsidP="003E0BB0">
      <w:r w:rsidRPr="004D3AB4">
        <w:br w:type="page"/>
      </w:r>
    </w:p>
    <w:tbl>
      <w:tblPr>
        <w:tblStyle w:val="TableGrid"/>
        <w:tblW w:w="9519" w:type="dxa"/>
        <w:tblLook w:val="04A0" w:firstRow="1" w:lastRow="0" w:firstColumn="1" w:lastColumn="0" w:noHBand="0" w:noVBand="1"/>
      </w:tblPr>
      <w:tblGrid>
        <w:gridCol w:w="2522"/>
        <w:gridCol w:w="6997"/>
      </w:tblGrid>
      <w:tr w:rsidR="003E0BB0" w:rsidRPr="004D3AB4" w:rsidTr="00263F34">
        <w:tc>
          <w:tcPr>
            <w:tcW w:w="2522" w:type="dxa"/>
            <w:shd w:val="clear" w:color="auto" w:fill="BFBFBF" w:themeFill="background1" w:themeFillShade="BF"/>
          </w:tcPr>
          <w:p w:rsidR="003E0BB0" w:rsidRPr="004D3AB4" w:rsidRDefault="003E0BB0" w:rsidP="00263F34">
            <w:r w:rsidRPr="004D3AB4">
              <w:t xml:space="preserve">Recommandation(s) </w:t>
            </w:r>
          </w:p>
        </w:tc>
        <w:tc>
          <w:tcPr>
            <w:tcW w:w="6997" w:type="dxa"/>
            <w:shd w:val="clear" w:color="auto" w:fill="BFBFBF" w:themeFill="background1" w:themeFillShade="BF"/>
          </w:tcPr>
          <w:p w:rsidR="003E0BB0" w:rsidRPr="004D3AB4" w:rsidRDefault="003E0BB0" w:rsidP="00263F34">
            <w:pPr>
              <w:rPr>
                <w:i/>
              </w:rPr>
            </w:pPr>
            <w:r w:rsidRPr="004D3AB4">
              <w:rPr>
                <w:i/>
              </w:rPr>
              <w:t>Recommandation n° 3</w:t>
            </w:r>
          </w:p>
          <w:p w:rsidR="003E0BB0" w:rsidRPr="004D3AB4" w:rsidRDefault="003E0BB0" w:rsidP="00263F34"/>
          <w:p w:rsidR="003E0BB0" w:rsidRPr="004D3AB4" w:rsidRDefault="003E0BB0" w:rsidP="00263F34">
            <w:r w:rsidRPr="004D3AB4">
              <w:t>Accroître les ressources humaines et financières en faveur des programmes d’assistance technique de l’OMPI pour promouvoir notamment une culture de la propriété intellectuelle axée sur le développement, en mettant l’accent sur l’initiation à la propriété intellectuelle dans les programmes d’enseignement de différents niveaux et la sensibilisation accrue de l’opinion publique à la propriété intellectuelle.</w:t>
            </w:r>
          </w:p>
          <w:p w:rsidR="003E0BB0" w:rsidRPr="004D3AB4" w:rsidRDefault="003E0BB0" w:rsidP="00263F34"/>
        </w:tc>
      </w:tr>
      <w:tr w:rsidR="003E0BB0" w:rsidRPr="004D3AB4" w:rsidTr="00263F34">
        <w:tc>
          <w:tcPr>
            <w:tcW w:w="2522" w:type="dxa"/>
          </w:tcPr>
          <w:p w:rsidR="003E0BB0" w:rsidRPr="004D3AB4" w:rsidRDefault="003E0BB0" w:rsidP="00263F34">
            <w:r w:rsidRPr="004D3AB4">
              <w:t>Programmes du Programme et budget 2018/2019 liés à la recommandation</w:t>
            </w:r>
          </w:p>
          <w:p w:rsidR="003E0BB0" w:rsidRPr="004D3AB4" w:rsidRDefault="003E0BB0" w:rsidP="00263F34"/>
        </w:tc>
        <w:tc>
          <w:tcPr>
            <w:tcW w:w="6997" w:type="dxa"/>
          </w:tcPr>
          <w:p w:rsidR="003E0BB0" w:rsidRPr="004D3AB4" w:rsidRDefault="003E0BB0" w:rsidP="00263F34">
            <w:r w:rsidRPr="004D3AB4">
              <w:t>1, 2, 3, 4, 9, 10, 11, 14, 15, 17, 19 et 30</w:t>
            </w:r>
          </w:p>
          <w:p w:rsidR="003E0BB0" w:rsidRPr="004D3AB4" w:rsidRDefault="003E0BB0" w:rsidP="00263F34"/>
        </w:tc>
      </w:tr>
      <w:tr w:rsidR="003E0BB0" w:rsidRPr="004D3AB4" w:rsidTr="00263F34">
        <w:tc>
          <w:tcPr>
            <w:tcW w:w="2522" w:type="dxa"/>
          </w:tcPr>
          <w:p w:rsidR="003E0BB0" w:rsidRPr="004D3AB4" w:rsidRDefault="003E0BB0" w:rsidP="00263F34">
            <w:r w:rsidRPr="004D3AB4">
              <w:t xml:space="preserve">Mise en œuvre </w:t>
            </w:r>
          </w:p>
        </w:tc>
        <w:tc>
          <w:tcPr>
            <w:tcW w:w="6997" w:type="dxa"/>
          </w:tcPr>
          <w:p w:rsidR="003E0BB0" w:rsidRPr="004D3AB4" w:rsidRDefault="003E0BB0" w:rsidP="00263F34">
            <w:r w:rsidRPr="004D3AB4">
              <w:t>Cette recommandation avait été examinée à la deuxième session du CDIP (CDIP/2/4) et est en cours de mise en œuvre depuis l’adoption du Plan d’action pour le développement de l’OMPI en 2007.  La stratégie de mise en œuvre de cette recommandation est fondée sur les débats qui ont eu lieu pendant la deuxième session du CDIP (document CDIP/2/4) et est présentée dans le document CDIP/3/5.  Cette stratégie est double;  la voici :</w:t>
            </w:r>
          </w:p>
          <w:p w:rsidR="003E0BB0" w:rsidRPr="004D3AB4" w:rsidRDefault="003E0BB0" w:rsidP="00263F34"/>
          <w:p w:rsidR="003E0BB0" w:rsidRPr="004D3AB4" w:rsidRDefault="003E0BB0" w:rsidP="00263F34">
            <w:pPr>
              <w:pStyle w:val="ListParagraph"/>
              <w:numPr>
                <w:ilvl w:val="0"/>
                <w:numId w:val="4"/>
              </w:numPr>
              <w:autoSpaceDE w:val="0"/>
              <w:outlineLvl w:val="3"/>
              <w:rPr>
                <w:bCs/>
                <w:i/>
                <w:szCs w:val="28"/>
              </w:rPr>
            </w:pPr>
            <w:r w:rsidRPr="004D3AB4">
              <w:rPr>
                <w:bCs/>
                <w:i/>
                <w:szCs w:val="28"/>
              </w:rPr>
              <w:t>Promouvoir une culture de la propriété intellectuelle axée sur le développement et mieux sensibiliser l’opinion publique à la propriété intellectuelle</w:t>
            </w:r>
          </w:p>
          <w:p w:rsidR="003E0BB0" w:rsidRPr="004D3AB4" w:rsidRDefault="003E0BB0" w:rsidP="00263F34">
            <w:pPr>
              <w:pStyle w:val="ListParagraph"/>
              <w:autoSpaceDE w:val="0"/>
              <w:outlineLvl w:val="3"/>
              <w:rPr>
                <w:bCs/>
                <w:i/>
                <w:szCs w:val="28"/>
              </w:rPr>
            </w:pPr>
          </w:p>
          <w:p w:rsidR="003E0BB0" w:rsidRPr="004D3AB4" w:rsidRDefault="003E0BB0" w:rsidP="00263F34">
            <w:r w:rsidRPr="004D3AB4">
              <w:t>La sensibilisation de tous les secteurs de la société au rôle essentiel de la propriété intellectuelle dans le développement des pays et la promotion d’un débat éclairé et équilibré sur les questions de propriété intellectuelle continuent de faire partie intégrante du programme et des activités de l’OMPI.  Aux fins de la promotion d’une culture de la propriété intellectuelle axée sur le développement, l’OMPI encourage la participation de toutes les parties prenantes au niveau national dans le cadre de divers programmes et activités.  Des programmes spécifiques sont adaptés aux besoins des organismes publics, parties prenantes dans le domaine de la propriété intellectuelle et utilisateurs, et ciblent différents secteurs de la société, notamment les universités et centres de recherche, les PME, les industries culturelles, les diplomates, le corps judiciaire, les fonctionnaires nationaux et la société civile.</w:t>
            </w:r>
          </w:p>
          <w:p w:rsidR="003E0BB0" w:rsidRPr="004D3AB4" w:rsidRDefault="003E0BB0" w:rsidP="00263F34"/>
          <w:p w:rsidR="003E0BB0" w:rsidRPr="004D3AB4" w:rsidRDefault="003E0BB0" w:rsidP="00263F34">
            <w:pPr>
              <w:pStyle w:val="ListParagraph"/>
              <w:numPr>
                <w:ilvl w:val="0"/>
                <w:numId w:val="4"/>
              </w:numPr>
              <w:autoSpaceDE w:val="0"/>
              <w:outlineLvl w:val="3"/>
              <w:rPr>
                <w:i/>
                <w:iCs/>
              </w:rPr>
            </w:pPr>
            <w:r w:rsidRPr="004D3AB4">
              <w:rPr>
                <w:i/>
                <w:iCs/>
              </w:rPr>
              <w:t>Initiation à la propriété intellectuelle dans les programmes d’enseignement de différents niveaux</w:t>
            </w:r>
          </w:p>
          <w:p w:rsidR="003E0BB0" w:rsidRPr="004D3AB4" w:rsidRDefault="003E0BB0" w:rsidP="00263F34">
            <w:pPr>
              <w:pStyle w:val="ListParagraph"/>
              <w:autoSpaceDE w:val="0"/>
              <w:outlineLvl w:val="3"/>
              <w:rPr>
                <w:i/>
                <w:iCs/>
              </w:rPr>
            </w:pPr>
          </w:p>
          <w:p w:rsidR="003E0BB0" w:rsidRPr="004D3AB4" w:rsidRDefault="003E0BB0" w:rsidP="00263F34">
            <w:r w:rsidRPr="004D3AB4">
              <w:t>L’OMPI a proposé et élaboré, en collaboration avec des instituts d’enseignement des programmes communs sanctionnés par des diplômes.  Elle a mis en place des partenariats stratégiques avec des instituts universitaires, notamment dans des pays en développement et des pays en transition.  Ces partenariats avec des établissements universitaires ont impliqué la mise au point de matériels d’enseignement et de formation ainsi que l’élaboration de programmes d’études en propriété intellectuelle.  De nouveaux cours d’enseignement à distance ont été élaborés et incorporés aux programmes des établissements.  Le Programme de perfectionnement des cadres a notamment insisté sur les partenariats Sud</w:t>
            </w:r>
            <w:r w:rsidRPr="004D3AB4">
              <w:noBreakHyphen/>
              <w:t>Sud pour mieux garantir que la formation des fonctionnaires nationaux mette l’accent sur le développement.  Les programmes de l’Académie s’efforcent de plus en plus d’inclure des aspects du système de propriété intellectuelle axés sur le développement.</w:t>
            </w:r>
          </w:p>
          <w:p w:rsidR="003E0BB0" w:rsidRPr="004D3AB4" w:rsidRDefault="003E0BB0" w:rsidP="00263F34"/>
        </w:tc>
      </w:tr>
      <w:tr w:rsidR="003E0BB0" w:rsidRPr="004D3AB4" w:rsidTr="00263F34">
        <w:tc>
          <w:tcPr>
            <w:tcW w:w="2522" w:type="dxa"/>
          </w:tcPr>
          <w:p w:rsidR="003E0BB0" w:rsidRPr="004D3AB4" w:rsidRDefault="003E0BB0" w:rsidP="00263F34">
            <w:r w:rsidRPr="004D3AB4">
              <w:t>Projets du Plan d’action pour le développement liés à la recommandation</w:t>
            </w:r>
          </w:p>
        </w:tc>
        <w:tc>
          <w:tcPr>
            <w:tcW w:w="6997" w:type="dxa"/>
          </w:tcPr>
          <w:p w:rsidR="003E0BB0" w:rsidRPr="004D3AB4" w:rsidRDefault="003E0BB0" w:rsidP="00263F34">
            <w:r w:rsidRPr="004D3AB4">
              <w:t>Cette recommandation est mise en œuvre dans le cadre du projet en cours du Plan d’action pour le développement ci</w:t>
            </w:r>
            <w:r w:rsidRPr="004D3AB4">
              <w:noBreakHyphen/>
              <w:t>après :</w:t>
            </w:r>
          </w:p>
          <w:p w:rsidR="003E0BB0" w:rsidRPr="004D3AB4" w:rsidRDefault="003E0BB0" w:rsidP="00263F34"/>
          <w:p w:rsidR="003E0BB0" w:rsidRPr="004D3AB4" w:rsidRDefault="003E0BB0" w:rsidP="00263F34">
            <w:r w:rsidRPr="004D3AB4">
              <w:t xml:space="preserve">– </w:t>
            </w:r>
            <w:hyperlink r:id="rId31" w:history="1">
              <w:r w:rsidRPr="004D3AB4">
                <w:t xml:space="preserve">Coopération avec les instituts de formation judiciaire des pays en développement et des pays les moins avancés dans le domaine du développement et de l’enseignement et de la formation professionnelle en matière de droits de propriété intellectuelle </w:t>
              </w:r>
            </w:hyperlink>
            <w:r w:rsidRPr="004D3AB4">
              <w:t>(CDIP/16/7 Rev. 2)</w:t>
            </w:r>
          </w:p>
          <w:p w:rsidR="003E0BB0" w:rsidRPr="004D3AB4" w:rsidRDefault="003E0BB0" w:rsidP="00263F34"/>
          <w:p w:rsidR="003E0BB0" w:rsidRPr="004D3AB4" w:rsidRDefault="003E0BB0" w:rsidP="00263F34">
            <w:r w:rsidRPr="004D3AB4">
              <w:t>En outre, cette recommandation a également été mise en œuvre dans des programmes et activités relevant de l’Académie de l’OMPI, en particulier les projets relatifs aux “académies de propriété intellectuelle innovantes” (documents CDIP/3/INF/2 et CDIP/9/10 Rev.) qui ont été achevés, évalués et intégrés au programme et budget de l’OMPI.</w:t>
            </w:r>
          </w:p>
          <w:p w:rsidR="003E0BB0" w:rsidRPr="004D3AB4" w:rsidRDefault="003E0BB0" w:rsidP="00263F34"/>
        </w:tc>
      </w:tr>
      <w:tr w:rsidR="003E0BB0" w:rsidRPr="004D3AB4" w:rsidTr="00263F34">
        <w:tc>
          <w:tcPr>
            <w:tcW w:w="2522" w:type="dxa"/>
          </w:tcPr>
          <w:p w:rsidR="003E0BB0" w:rsidRPr="004D3AB4" w:rsidRDefault="003E0BB0" w:rsidP="00263F34">
            <w:r w:rsidRPr="004D3AB4">
              <w:t xml:space="preserve">Activités/réalisations </w:t>
            </w:r>
          </w:p>
        </w:tc>
        <w:tc>
          <w:tcPr>
            <w:tcW w:w="6997" w:type="dxa"/>
          </w:tcPr>
          <w:p w:rsidR="003E0BB0" w:rsidRPr="004D3AB4" w:rsidRDefault="003E0BB0" w:rsidP="00263F34">
            <w:pPr>
              <w:pStyle w:val="ListParagraph"/>
              <w:numPr>
                <w:ilvl w:val="0"/>
                <w:numId w:val="5"/>
              </w:numPr>
              <w:rPr>
                <w:i/>
                <w:iCs/>
              </w:rPr>
            </w:pPr>
            <w:r w:rsidRPr="004D3AB4">
              <w:rPr>
                <w:i/>
                <w:iCs/>
              </w:rPr>
              <w:t>Promouvoir une culture de la propriété intellectuelle axée sur le développement et mieux sensibiliser l’opinion publique à la propriété intellectuelle</w:t>
            </w:r>
          </w:p>
          <w:p w:rsidR="003E0BB0" w:rsidRPr="004D3AB4" w:rsidRDefault="003E0BB0" w:rsidP="00263F34">
            <w:pPr>
              <w:pStyle w:val="ListParagraph"/>
              <w:rPr>
                <w:i/>
                <w:iCs/>
              </w:rPr>
            </w:pPr>
          </w:p>
          <w:p w:rsidR="003E0BB0" w:rsidRPr="004D3AB4" w:rsidRDefault="003E0BB0" w:rsidP="00263F34">
            <w:pPr>
              <w:tabs>
                <w:tab w:val="left" w:pos="1991"/>
              </w:tabs>
            </w:pPr>
            <w:r w:rsidRPr="004D3AB4">
              <w:t>La Division des communications de l’OMPI a lancé et appuyé de nombreuses activités visant à sensibiliser le public à la propriété intellectuelle et à diffuser et promouvoir les contributions de l’OMPI en termes de savoirs dans le domaine de la propriété intellectuelle afin que les parties prenantes puissent les utiliser.</w:t>
            </w:r>
          </w:p>
          <w:p w:rsidR="003E0BB0" w:rsidRPr="004D3AB4" w:rsidRDefault="003E0BB0" w:rsidP="00263F34">
            <w:pPr>
              <w:tabs>
                <w:tab w:val="left" w:pos="1991"/>
              </w:tabs>
              <w:rPr>
                <w:szCs w:val="22"/>
              </w:rPr>
            </w:pPr>
          </w:p>
          <w:p w:rsidR="003E0BB0" w:rsidRPr="004D3AB4" w:rsidRDefault="003E0BB0" w:rsidP="00263F34">
            <w:pPr>
              <w:pStyle w:val="ListParagraph"/>
              <w:numPr>
                <w:ilvl w:val="0"/>
                <w:numId w:val="38"/>
              </w:numPr>
              <w:tabs>
                <w:tab w:val="left" w:pos="1991"/>
              </w:tabs>
              <w:rPr>
                <w:szCs w:val="22"/>
              </w:rPr>
            </w:pPr>
            <w:r w:rsidRPr="004D3AB4">
              <w:t>Sensibilisation à la propriété intellectuelle</w:t>
            </w:r>
          </w:p>
          <w:p w:rsidR="003E0BB0" w:rsidRPr="004D3AB4" w:rsidRDefault="003E0BB0" w:rsidP="00263F34">
            <w:pPr>
              <w:tabs>
                <w:tab w:val="left" w:pos="1991"/>
              </w:tabs>
              <w:rPr>
                <w:b/>
                <w:szCs w:val="22"/>
              </w:rPr>
            </w:pPr>
          </w:p>
          <w:p w:rsidR="003E0BB0" w:rsidRPr="004D3AB4" w:rsidRDefault="003E0BB0" w:rsidP="00263F34">
            <w:pPr>
              <w:tabs>
                <w:tab w:val="left" w:pos="1991"/>
              </w:tabs>
              <w:rPr>
                <w:i/>
                <w:szCs w:val="22"/>
              </w:rPr>
            </w:pPr>
            <w:r w:rsidRPr="004D3AB4">
              <w:t>La campagne de la Journée mondiale de la propriété intellectuelle de 2018, menée en collaboration avec les États membres et d’autres entités, a établi de nouveaux records de participation et d’engagement (après une année record en 2017).  Le thème </w:t>
            </w:r>
            <w:r w:rsidRPr="004D3AB4">
              <w:rPr>
                <w:i/>
                <w:iCs/>
              </w:rPr>
              <w:t>Innovation et créativité : les</w:t>
            </w:r>
            <w:r w:rsidRPr="004D3AB4">
              <w:t xml:space="preserve"> </w:t>
            </w:r>
            <w:r w:rsidRPr="004D3AB4">
              <w:rPr>
                <w:i/>
                <w:szCs w:val="22"/>
              </w:rPr>
              <w:t xml:space="preserve">femmes, moteur du changement </w:t>
            </w:r>
            <w:r w:rsidRPr="004D3AB4">
              <w:t>a trouvé un écho auprès du public mondial grâce à 630 manifestations (chiffre en hausse de 26% par rapport à 2017) dans 135 pays et territoires (chiffre en hausse de 11% par rapport à 2017).  Sept des 10 premiers pays comptant le plus grand nombre de fans de la Journée mondiale de la propriété intellectuelle sur Facebook étaient des pays en développement : l’Inde, le Mexique, le Brésil, l’Égypte, le Pérou, la Colombie et le Pakistan.</w:t>
            </w:r>
          </w:p>
          <w:p w:rsidR="003E0BB0" w:rsidRPr="004D3AB4" w:rsidRDefault="003E0BB0" w:rsidP="00263F34">
            <w:pPr>
              <w:tabs>
                <w:tab w:val="left" w:pos="1991"/>
              </w:tabs>
              <w:rPr>
                <w:szCs w:val="22"/>
              </w:rPr>
            </w:pPr>
          </w:p>
          <w:p w:rsidR="003E0BB0" w:rsidRPr="004D3AB4" w:rsidRDefault="003E0BB0" w:rsidP="00263F34">
            <w:pPr>
              <w:tabs>
                <w:tab w:val="left" w:pos="1991"/>
              </w:tabs>
              <w:rPr>
                <w:szCs w:val="22"/>
              </w:rPr>
            </w:pPr>
            <w:r w:rsidRPr="004D3AB4">
              <w:t>Les médias de l’OMPI – le site Web, Twitter, LinkedIn, WIPO Wire, le Magazine de l’OMPI et les bulletins d’information – ont connu une forte augmentation de leur utilisation, ce qui a permis de diffuser des informations sur les activités de l’OMPI à un public croissant.</w:t>
            </w:r>
          </w:p>
          <w:p w:rsidR="003E0BB0" w:rsidRPr="004D3AB4" w:rsidRDefault="003E0BB0" w:rsidP="00263F34">
            <w:pPr>
              <w:tabs>
                <w:tab w:val="left" w:pos="1991"/>
              </w:tabs>
              <w:rPr>
                <w:szCs w:val="22"/>
              </w:rPr>
            </w:pPr>
          </w:p>
          <w:p w:rsidR="003E0BB0" w:rsidRPr="004D3AB4" w:rsidRDefault="003E0BB0" w:rsidP="00263F34">
            <w:pPr>
              <w:pStyle w:val="ListParagraph"/>
              <w:numPr>
                <w:ilvl w:val="0"/>
                <w:numId w:val="38"/>
              </w:numPr>
              <w:tabs>
                <w:tab w:val="left" w:pos="1991"/>
              </w:tabs>
              <w:rPr>
                <w:szCs w:val="22"/>
              </w:rPr>
            </w:pPr>
            <w:r w:rsidRPr="004D3AB4">
              <w:rPr>
                <w:szCs w:val="22"/>
              </w:rPr>
              <w:t>Sources de savoirs</w:t>
            </w:r>
          </w:p>
          <w:p w:rsidR="003E0BB0" w:rsidRPr="004D3AB4" w:rsidRDefault="003E0BB0" w:rsidP="00263F34">
            <w:pPr>
              <w:rPr>
                <w:b/>
                <w:szCs w:val="22"/>
              </w:rPr>
            </w:pPr>
          </w:p>
          <w:p w:rsidR="003E0BB0" w:rsidRPr="004D3AB4" w:rsidRDefault="003E0BB0" w:rsidP="00263F34">
            <w:pPr>
              <w:rPr>
                <w:szCs w:val="22"/>
              </w:rPr>
            </w:pPr>
            <w:r w:rsidRPr="004D3AB4">
              <w:t>L’Indice mondial de l’innovation 2018 continue de fournir aux États membres d’importantes informations et indications à des fins comparatives.  Le rapport de cette année a fait l’objet d’un large écho dans les médias du monde entier, notamment dans d’importants organes de presse tels que Asahi Shimbun, la BBC, The Economist, Manila Bulletin, le New York Times, O Globo, The Standard (Kenya), Times of India et le Washington Post.</w:t>
            </w:r>
          </w:p>
          <w:p w:rsidR="003E0BB0" w:rsidRPr="004D3AB4" w:rsidRDefault="003E0BB0" w:rsidP="00263F34"/>
          <w:p w:rsidR="003E0BB0" w:rsidRPr="004D3AB4" w:rsidRDefault="003E0BB0" w:rsidP="00263F34">
            <w:r w:rsidRPr="004D3AB4">
              <w:t>En juillet 2018, le programme des bibliothèques dépositaires de l’OMPI avait été étendu à deux autres États membres, et comptait ainsi 120 membres.</w:t>
            </w:r>
          </w:p>
          <w:p w:rsidR="003E0BB0" w:rsidRPr="004D3AB4" w:rsidRDefault="003E0BB0" w:rsidP="00263F34"/>
          <w:p w:rsidR="003E0BB0" w:rsidRPr="004D3AB4" w:rsidRDefault="003E0BB0" w:rsidP="00263F34">
            <w:r w:rsidRPr="004D3AB4">
              <w:t>Concrétisant l’engagement de l’OMPI en faveur de la Charte de l’édition en format accessible, 40 collègues de l’OMPI ont été formés à la production de documents PDF accessibles afin d’accroître l’accessibilité des activités de l’OMPI pour les lecteurs malvoyants.</w:t>
            </w:r>
          </w:p>
          <w:p w:rsidR="003E0BB0" w:rsidRPr="004D3AB4" w:rsidRDefault="003E0BB0" w:rsidP="00263F34">
            <w:pPr>
              <w:rPr>
                <w:highlight w:val="yellow"/>
              </w:rPr>
            </w:pPr>
          </w:p>
          <w:p w:rsidR="003E0BB0" w:rsidRPr="004D3AB4" w:rsidRDefault="003E0BB0" w:rsidP="00263F34">
            <w:r w:rsidRPr="004D3AB4">
              <w:t>La politique de libre accès adoptée par l’OMPI en 2016, qui permet aux utilisateurs en ligne de reproduire, distribuer ou adapter des contenus de l’OMPI sans devoir en demander l’autorisation, continue de favoriser une large diffusion de ces contenus.</w:t>
            </w:r>
          </w:p>
          <w:p w:rsidR="003E0BB0" w:rsidRPr="004D3AB4" w:rsidRDefault="003E0BB0" w:rsidP="00263F34"/>
          <w:p w:rsidR="003E0BB0" w:rsidRPr="004D3AB4" w:rsidRDefault="003E0BB0" w:rsidP="00263F34">
            <w:pPr>
              <w:pStyle w:val="ListParagraph"/>
              <w:numPr>
                <w:ilvl w:val="0"/>
                <w:numId w:val="38"/>
              </w:numPr>
              <w:tabs>
                <w:tab w:val="left" w:pos="1991"/>
              </w:tabs>
              <w:rPr>
                <w:szCs w:val="22"/>
              </w:rPr>
            </w:pPr>
            <w:r w:rsidRPr="004D3AB4">
              <w:t>Participation des parties prenantes</w:t>
            </w:r>
          </w:p>
          <w:p w:rsidR="003E0BB0" w:rsidRPr="004D3AB4" w:rsidRDefault="003E0BB0" w:rsidP="00263F34">
            <w:pPr>
              <w:tabs>
                <w:tab w:val="left" w:pos="1991"/>
              </w:tabs>
              <w:rPr>
                <w:szCs w:val="22"/>
                <w:highlight w:val="yellow"/>
              </w:rPr>
            </w:pPr>
          </w:p>
          <w:p w:rsidR="003E0BB0" w:rsidRPr="004D3AB4" w:rsidRDefault="003E0BB0" w:rsidP="00263F34">
            <w:pPr>
              <w:tabs>
                <w:tab w:val="left" w:pos="1991"/>
              </w:tabs>
            </w:pPr>
            <w:r w:rsidRPr="004D3AB4">
              <w:t>L’application mobile WIPO Delegate a été lancée en novembre 2017.  En juillet 2018, 900 parties prenantes de l’OMPI l’avaient téléchargée.  Cette application fournit aux utilisateurs, directement sur leurs appareils mobiles, des mises à jour sur les réunions, les documents et les actualités relatives aux activités de l’OMPI.</w:t>
            </w:r>
          </w:p>
          <w:p w:rsidR="003E0BB0" w:rsidRPr="004D3AB4" w:rsidRDefault="003E0BB0" w:rsidP="00263F34">
            <w:pPr>
              <w:keepNext/>
              <w:keepLines/>
              <w:rPr>
                <w:highlight w:val="yellow"/>
              </w:rPr>
            </w:pPr>
          </w:p>
          <w:p w:rsidR="003E0BB0" w:rsidRPr="004D3AB4" w:rsidRDefault="003E0BB0" w:rsidP="00263F34">
            <w:pPr>
              <w:rPr>
                <w:i/>
                <w:iCs/>
              </w:rPr>
            </w:pPr>
            <w:r w:rsidRPr="004D3AB4">
              <w:t>Le conseil des services à la clientèle de l’OMPI s’attache à la normalisation du traitement des demandes de renseignements des clients dans l’ensemble des systèmes mondiaux de propriété intellectuelle et autres services.  L’amélioration du soutien aux systèmes de service à la clientèle a permis d’améliorer les temps de réponse de ces services.</w:t>
            </w:r>
          </w:p>
          <w:p w:rsidR="003E0BB0" w:rsidRPr="004D3AB4" w:rsidRDefault="003E0BB0" w:rsidP="00263F34">
            <w:pPr>
              <w:rPr>
                <w:iCs/>
              </w:rPr>
            </w:pPr>
          </w:p>
          <w:p w:rsidR="003E0BB0" w:rsidRPr="004D3AB4" w:rsidRDefault="003E0BB0" w:rsidP="00263F34">
            <w:pPr>
              <w:pStyle w:val="ListParagraph"/>
              <w:numPr>
                <w:ilvl w:val="0"/>
                <w:numId w:val="5"/>
              </w:numPr>
              <w:rPr>
                <w:i/>
                <w:iCs/>
              </w:rPr>
            </w:pPr>
            <w:r w:rsidRPr="004D3AB4">
              <w:rPr>
                <w:i/>
                <w:iCs/>
              </w:rPr>
              <w:t>Initiation à la propriété intellectuelle dans les programmes d’enseignement de différents niveaux</w:t>
            </w:r>
          </w:p>
          <w:p w:rsidR="003E0BB0" w:rsidRPr="004D3AB4" w:rsidRDefault="003E0BB0" w:rsidP="00263F34"/>
          <w:p w:rsidR="003E0BB0" w:rsidRPr="004D3AB4" w:rsidRDefault="003E0BB0" w:rsidP="00263F34">
            <w:r w:rsidRPr="004D3AB4">
              <w:t>L’Académie de l’OMPI continue d’intégrer le volet relatif au développement à ses programmes, qui tiennent compte de l’utilisation de la propriété afin de promouvoir un juste équilibre entre la protection de la propriété intellectuelle et l’intérêt général.</w:t>
            </w:r>
          </w:p>
          <w:p w:rsidR="003E0BB0" w:rsidRPr="004D3AB4" w:rsidRDefault="003E0BB0" w:rsidP="00263F34">
            <w:pPr>
              <w:ind w:firstLine="567"/>
            </w:pPr>
          </w:p>
          <w:p w:rsidR="003E0BB0" w:rsidRPr="004D3AB4" w:rsidRDefault="003E0BB0" w:rsidP="00263F34">
            <w:r w:rsidRPr="004D3AB4">
              <w:t>Des programmes d’éducation et de formation en matière de propriété intellectuelle ont été dispensés à plus de 66 000 participants en 2017, et la coopération avec un certain nombre de pays en développement a été renforcée grâce à des partenariats avec des institutions qui avaient des savoirs à offrir.  Les contenus des formations ont répondu aux demandes et aux besoins des pays en développement en matière d’éducation et de formation, compte tenu de l’approche axée sur le développement et de l’équilibre géographique.</w:t>
            </w:r>
          </w:p>
          <w:p w:rsidR="003E0BB0" w:rsidRPr="004D3AB4" w:rsidRDefault="003E0BB0" w:rsidP="00263F34"/>
          <w:p w:rsidR="003E0BB0" w:rsidRPr="004D3AB4" w:rsidRDefault="003E0BB0" w:rsidP="00263F34">
            <w:r w:rsidRPr="004D3AB4">
              <w:t>En 2017, l’Académie de l’OMPI a accordé une priorité accrue à l’importance et aux avantages de la coopération Sud</w:t>
            </w:r>
            <w:r w:rsidRPr="004D3AB4">
              <w:noBreakHyphen/>
              <w:t>Sud et de la coopération triangulaire.  De plus en plus de pays en développement sont devenus des partenaires actifs en transmettant leurs connaissances et compétences spécialisées à d’autres pays en développement et PMA au titre du Programme de perfectionnement des cadres.  En 2017, 70% des formations proposées dans le cadre de ce programme ont été organisées dans des pays en développement grâce à des partenariats avec des institutions du Sud.  Sur un total de 382 fonctionnaires formés en 2017, 52% étaient des femmes.</w:t>
            </w:r>
          </w:p>
          <w:p w:rsidR="003E0BB0" w:rsidRPr="004D3AB4" w:rsidRDefault="003E0BB0" w:rsidP="00263F34"/>
          <w:p w:rsidR="003E0BB0" w:rsidRPr="004D3AB4" w:rsidRDefault="003E0BB0" w:rsidP="00263F34">
            <w:r w:rsidRPr="004D3AB4">
              <w:t>Le Programme d’enseignement à distance a encore vu son offre s’étoffer, avec de nouvelles versions linguistiques de ses cours;  l’accent est également mis sur la personnalisation des cours et des modules pour répondre aux besoins des pays en développement.</w:t>
            </w:r>
          </w:p>
          <w:p w:rsidR="003E0BB0" w:rsidRPr="004D3AB4" w:rsidRDefault="003E0BB0" w:rsidP="00263F34"/>
          <w:p w:rsidR="003E0BB0" w:rsidRPr="004D3AB4" w:rsidRDefault="003E0BB0" w:rsidP="00263F34">
            <w:r w:rsidRPr="004D3AB4">
              <w:t>En mai 2018, l’Académie a officiellement lancé son service IP4Youth&amp;Teachers.  À cet égard, l’approche pédagogique consiste à libérer la créativité et l’inventivité et à en reconnaître la valeur grâce à la propriété intellectuelle.  L’objectif est de favoriser le dialogue entre les pédagogues, les responsables de l’élaboration des programmes d’enseignement et les offices de propriété intellectuelle en leur donnant accès à des contenus d’enseignement et d’apprentissage.</w:t>
            </w:r>
          </w:p>
          <w:p w:rsidR="003E0BB0" w:rsidRPr="004D3AB4" w:rsidRDefault="003E0BB0" w:rsidP="00263F34"/>
          <w:p w:rsidR="003E0BB0" w:rsidRPr="004D3AB4" w:rsidRDefault="003E0BB0" w:rsidP="00263F34">
            <w:r w:rsidRPr="004D3AB4">
              <w:t>En collaboration avec le DGRH, l’Académie de l’OMPI a proposé aux participants au programme de l’UNESCO pour les femmes et la science une formation hybride personnalisée axée sur les brevets.  L’objectif principal de cette formation était de fournir aux femmes scientifiques les connaissances en propriété intellectuelle dont elles ont besoin pour protéger et valoriser leurs recherches dans le domaine des sciences de la vie.</w:t>
            </w:r>
          </w:p>
          <w:p w:rsidR="003E0BB0" w:rsidRPr="004D3AB4" w:rsidRDefault="003E0BB0" w:rsidP="00263F34"/>
          <w:p w:rsidR="003E0BB0" w:rsidRPr="004D3AB4" w:rsidRDefault="003E0BB0" w:rsidP="00263F34">
            <w:r w:rsidRPr="004D3AB4">
              <w:t>Pour aider le personnel d’autres organisations internationales qui mènent des activités de développement à mieux connaître la propriété intellectuelle, certains des cours à distance ont été proposés au personnel de la Banque mondiale par l’intermédiaire du campus électronique (Open Learning Campus) de celle</w:t>
            </w:r>
            <w:r w:rsidRPr="004D3AB4">
              <w:noBreakHyphen/>
              <w:t>ci.</w:t>
            </w:r>
          </w:p>
          <w:p w:rsidR="003E0BB0" w:rsidRPr="004D3AB4" w:rsidRDefault="003E0BB0" w:rsidP="00263F34"/>
          <w:p w:rsidR="003E0BB0" w:rsidRPr="004D3AB4" w:rsidRDefault="003E0BB0" w:rsidP="00263F34">
            <w:r w:rsidRPr="004D3AB4">
              <w:t>En plus des cours standard d’enseignement à distance de base et avancés, on a continué à déployer la nouvelle méthode de formation dite “hybride” pour certains groupes cibles tels que les entrepreneurs et les enseignants des écoles primaires et secondaires.</w:t>
            </w:r>
          </w:p>
          <w:p w:rsidR="003E0BB0" w:rsidRPr="004D3AB4" w:rsidRDefault="003E0BB0" w:rsidP="00263F34"/>
          <w:p w:rsidR="003E0BB0" w:rsidRPr="004D3AB4" w:rsidRDefault="003E0BB0" w:rsidP="00263F34">
            <w:r w:rsidRPr="004D3AB4">
              <w:t>La décision prise en 2016 de réduire jusqu’à 50% les frais d’inscription aux cours à distance avancés pour les participants des pays en développement et des pays dont l’économie est en transition a continué d’accroître le nombre de participants issus de ces pays.</w:t>
            </w:r>
          </w:p>
          <w:p w:rsidR="003E0BB0" w:rsidRPr="004D3AB4" w:rsidRDefault="003E0BB0" w:rsidP="00263F34"/>
          <w:p w:rsidR="003E0BB0" w:rsidRPr="004D3AB4" w:rsidRDefault="003E0BB0" w:rsidP="00263F34">
            <w:r w:rsidRPr="004D3AB4">
              <w:t>En 2017, six programmes conjoints de master ont été proposés dans le monde.  Plus de 180 étudiants y ont participé, et trois nouveaux programmes ont été élaborés.  D’autres formes d’assistance ont en outre été fournies aux universités, dont la mise au point de programmes d’enseignement, la fourniture de manuels et de matériel de référence sur la propriété intellectuelle et la participation aux cours de deuxième et troisième cycles de conférenciers provenant de différents pays.</w:t>
            </w:r>
          </w:p>
          <w:p w:rsidR="003E0BB0" w:rsidRPr="004D3AB4" w:rsidRDefault="003E0BB0" w:rsidP="00263F34"/>
          <w:p w:rsidR="003E0BB0" w:rsidRPr="004D3AB4" w:rsidRDefault="003E0BB0" w:rsidP="00263F34">
            <w:r w:rsidRPr="004D3AB4">
              <w:t>Dans le cadre de l’intégration du Projet pilote de création de nouvelles académies nationales de propriété intellectuelle, l’Académie de l’OMPI a continué d’aider les pays à mettre en place leurs propres capacités nationales de formation à la propriété intellectuelle.  Cinq projets de ce type avaient été achevés en 2017.</w:t>
            </w:r>
          </w:p>
          <w:p w:rsidR="003E0BB0" w:rsidRPr="004D3AB4" w:rsidRDefault="003E0BB0" w:rsidP="00263F34"/>
          <w:p w:rsidR="003E0BB0" w:rsidRPr="004D3AB4" w:rsidRDefault="003E0BB0" w:rsidP="00263F34">
            <w:r w:rsidRPr="004D3AB4">
              <w:t>Pour les réalisations du projet sur la coopération avec les instituts de formation judiciaire des pays en développement et des pays les moins avancés dans le domaine du développement et de l’enseignement et de la formation professionnelle en matière de droits de propriété intellectuelle (CDIP/16/7 Rev. 2), voir l’annexe III du présent document.</w:t>
            </w:r>
          </w:p>
          <w:p w:rsidR="003E0BB0" w:rsidRPr="004D3AB4" w:rsidRDefault="003E0BB0" w:rsidP="00263F34"/>
        </w:tc>
      </w:tr>
      <w:tr w:rsidR="003E0BB0" w:rsidRPr="004D3AB4" w:rsidTr="00263F34">
        <w:tc>
          <w:tcPr>
            <w:tcW w:w="2522" w:type="dxa"/>
          </w:tcPr>
          <w:p w:rsidR="003E0BB0" w:rsidRPr="004D3AB4" w:rsidRDefault="003E0BB0" w:rsidP="00263F34">
            <w:r w:rsidRPr="004D3AB4">
              <w:t>Autres rapports/documents liés à la recommandation</w:t>
            </w:r>
          </w:p>
        </w:tc>
        <w:tc>
          <w:tcPr>
            <w:tcW w:w="6997" w:type="dxa"/>
          </w:tcPr>
          <w:p w:rsidR="003E0BB0" w:rsidRPr="004D3AB4" w:rsidRDefault="003E0BB0" w:rsidP="00263F34">
            <w:r w:rsidRPr="004D3AB4">
              <w:t>Rapports examinés par le CDIP : CDIP/3/5;  CDIP/6/2;  CDIP/6/3;  CDIP/8/2;  CDIP/9/6;  CDIP/10/2;  CDIP/12/2;  CDIP/14/2;  CDIP/16/2;  CDIP/18/2;  CDIP/20/2.</w:t>
            </w:r>
          </w:p>
          <w:p w:rsidR="003E0BB0" w:rsidRPr="004D3AB4" w:rsidRDefault="003E0BB0" w:rsidP="00263F34"/>
          <w:p w:rsidR="003E0BB0" w:rsidRPr="004D3AB4" w:rsidRDefault="003E0BB0" w:rsidP="00263F34">
            <w:r w:rsidRPr="004D3AB4">
              <w:t>Outre les activités figurant dans la Base de données de l’assistance technique dans le domaine de la propriété intellectuelle, pour plus d’informations sur les réalisations liées à cette recommandation, voir le rapport sur l’exécution du programme de l’OMPI en 2016</w:t>
            </w:r>
            <w:r w:rsidRPr="004D3AB4">
              <w:noBreakHyphen/>
              <w:t>2017 (document WO/PBC/28/7) et la publication “L’Académie de l’OMPI – 2017”.</w:t>
            </w:r>
          </w:p>
          <w:p w:rsidR="003E0BB0" w:rsidRPr="004D3AB4" w:rsidRDefault="003E0BB0" w:rsidP="00263F34">
            <w:pPr>
              <w:rPr>
                <w:sz w:val="21"/>
                <w:szCs w:val="21"/>
                <w:highlight w:val="yellow"/>
                <w:bdr w:val="none" w:sz="0" w:space="0" w:color="auto" w:frame="1"/>
              </w:rPr>
            </w:pPr>
          </w:p>
        </w:tc>
      </w:tr>
    </w:tbl>
    <w:p w:rsidR="003E0BB0" w:rsidRPr="004D3AB4" w:rsidRDefault="003E0BB0" w:rsidP="003E0BB0">
      <w:r w:rsidRPr="004D3AB4">
        <w:br w:type="page"/>
      </w:r>
    </w:p>
    <w:tbl>
      <w:tblPr>
        <w:tblStyle w:val="TableGrid"/>
        <w:tblW w:w="9519" w:type="dxa"/>
        <w:tblLook w:val="04A0" w:firstRow="1" w:lastRow="0" w:firstColumn="1" w:lastColumn="0" w:noHBand="0" w:noVBand="1"/>
      </w:tblPr>
      <w:tblGrid>
        <w:gridCol w:w="2503"/>
        <w:gridCol w:w="7016"/>
      </w:tblGrid>
      <w:tr w:rsidR="003E0BB0" w:rsidRPr="004D3AB4" w:rsidTr="00263F34">
        <w:tc>
          <w:tcPr>
            <w:tcW w:w="2503" w:type="dxa"/>
            <w:shd w:val="clear" w:color="auto" w:fill="BFBFBF" w:themeFill="background1" w:themeFillShade="BF"/>
          </w:tcPr>
          <w:p w:rsidR="003E0BB0" w:rsidRPr="004D3AB4" w:rsidRDefault="003E0BB0" w:rsidP="00263F34">
            <w:r w:rsidRPr="004D3AB4">
              <w:br w:type="page"/>
              <w:t xml:space="preserve">Recommandation(s) </w:t>
            </w:r>
          </w:p>
        </w:tc>
        <w:tc>
          <w:tcPr>
            <w:tcW w:w="7016" w:type="dxa"/>
            <w:shd w:val="clear" w:color="auto" w:fill="BFBFBF" w:themeFill="background1" w:themeFillShade="BF"/>
          </w:tcPr>
          <w:p w:rsidR="003E0BB0" w:rsidRPr="004D3AB4" w:rsidRDefault="003E0BB0" w:rsidP="00263F34">
            <w:pPr>
              <w:rPr>
                <w:i/>
              </w:rPr>
            </w:pPr>
            <w:r w:rsidRPr="004D3AB4">
              <w:rPr>
                <w:i/>
              </w:rPr>
              <w:t>Recommandation n° 4</w:t>
            </w:r>
          </w:p>
          <w:p w:rsidR="003E0BB0" w:rsidRPr="004D3AB4" w:rsidRDefault="003E0BB0" w:rsidP="00263F34"/>
          <w:p w:rsidR="003E0BB0" w:rsidRPr="004D3AB4" w:rsidRDefault="003E0BB0" w:rsidP="00263F34">
            <w:pPr>
              <w:rPr>
                <w:bCs/>
              </w:rPr>
            </w:pPr>
            <w:r w:rsidRPr="004D3AB4">
              <w:rPr>
                <w:bCs/>
              </w:rPr>
              <w:t>Accorder une attention particulière aux besoins des PME, des institutions chargées de la recherche scientifique et des industries culturelles et aider les États membres, à leur demande, à élaborer des stratégies nationales de propriété intellectuelle.</w:t>
            </w:r>
          </w:p>
          <w:p w:rsidR="003E0BB0" w:rsidRPr="004D3AB4" w:rsidRDefault="003E0BB0" w:rsidP="00263F34"/>
        </w:tc>
      </w:tr>
      <w:tr w:rsidR="003E0BB0" w:rsidRPr="004D3AB4" w:rsidTr="00263F34">
        <w:tc>
          <w:tcPr>
            <w:tcW w:w="2503" w:type="dxa"/>
          </w:tcPr>
          <w:p w:rsidR="003E0BB0" w:rsidRPr="004D3AB4" w:rsidRDefault="003E0BB0" w:rsidP="00263F34">
            <w:r w:rsidRPr="004D3AB4">
              <w:t>Programmes du Programme et budget 2018/2019 liés à la recommandation</w:t>
            </w:r>
          </w:p>
          <w:p w:rsidR="003E0BB0" w:rsidRPr="004D3AB4" w:rsidRDefault="003E0BB0" w:rsidP="00263F34"/>
        </w:tc>
        <w:tc>
          <w:tcPr>
            <w:tcW w:w="7016" w:type="dxa"/>
          </w:tcPr>
          <w:p w:rsidR="003E0BB0" w:rsidRPr="004D3AB4" w:rsidRDefault="003E0BB0" w:rsidP="00263F34">
            <w:r w:rsidRPr="004D3AB4">
              <w:t>3, 9, 10, 11, 14, 15 et 30</w:t>
            </w:r>
          </w:p>
          <w:p w:rsidR="003E0BB0" w:rsidRPr="004D3AB4" w:rsidRDefault="003E0BB0" w:rsidP="00263F34"/>
        </w:tc>
      </w:tr>
      <w:tr w:rsidR="003E0BB0" w:rsidRPr="004D3AB4" w:rsidTr="00263F34">
        <w:tc>
          <w:tcPr>
            <w:tcW w:w="2503" w:type="dxa"/>
          </w:tcPr>
          <w:p w:rsidR="003E0BB0" w:rsidRPr="004D3AB4" w:rsidRDefault="003E0BB0" w:rsidP="00263F34">
            <w:r w:rsidRPr="004D3AB4">
              <w:t xml:space="preserve">Mise en œuvre </w:t>
            </w:r>
          </w:p>
        </w:tc>
        <w:tc>
          <w:tcPr>
            <w:tcW w:w="7016" w:type="dxa"/>
          </w:tcPr>
          <w:p w:rsidR="003E0BB0" w:rsidRPr="004D3AB4" w:rsidRDefault="003E0BB0" w:rsidP="00263F34">
            <w:r w:rsidRPr="004D3AB4">
              <w:t>Cette recommandation avait été examinée à la deuxième session du CDIP (CDIP/2/4) et est en cours de mise en œuvre depuis l’adoption du Plan d’action pour le développe</w:t>
            </w:r>
            <w:bookmarkStart w:id="4" w:name="_GoBack"/>
            <w:bookmarkEnd w:id="4"/>
            <w:r w:rsidRPr="004D3AB4">
              <w:t>ment de l’OMPI en 2007.  La stratégie de mise en œuvre de cette recommandation est fondée sur les débats qui ont eu lieu pendant la deuxième et la cinquième sessions du CDIP (documents CDIP/2/4 et CDIP/5/5), et est présentée dans le document CDIP/3/5.  Cette stratégie compte de nombreux niveaux;  la voici :</w:t>
            </w:r>
          </w:p>
          <w:p w:rsidR="003E0BB0" w:rsidRPr="004D3AB4" w:rsidRDefault="003E0BB0" w:rsidP="00263F34"/>
          <w:p w:rsidR="003E0BB0" w:rsidRPr="004D3AB4" w:rsidRDefault="003E0BB0" w:rsidP="00263F34">
            <w:pPr>
              <w:pStyle w:val="ListParagraph"/>
              <w:numPr>
                <w:ilvl w:val="0"/>
                <w:numId w:val="6"/>
              </w:numPr>
              <w:autoSpaceDE w:val="0"/>
              <w:outlineLvl w:val="3"/>
              <w:rPr>
                <w:bCs/>
                <w:i/>
                <w:szCs w:val="28"/>
              </w:rPr>
            </w:pPr>
            <w:r w:rsidRPr="004D3AB4">
              <w:rPr>
                <w:bCs/>
                <w:i/>
                <w:szCs w:val="28"/>
              </w:rPr>
              <w:t>Stratégie pour les PME</w:t>
            </w:r>
          </w:p>
          <w:p w:rsidR="003E0BB0" w:rsidRPr="004D3AB4" w:rsidRDefault="003E0BB0" w:rsidP="00263F34">
            <w:pPr>
              <w:pStyle w:val="ListParagraph"/>
              <w:autoSpaceDE w:val="0"/>
              <w:outlineLvl w:val="3"/>
              <w:rPr>
                <w:bCs/>
                <w:i/>
                <w:szCs w:val="28"/>
              </w:rPr>
            </w:pPr>
          </w:p>
          <w:p w:rsidR="003E0BB0" w:rsidRPr="004D3AB4" w:rsidRDefault="003E0BB0" w:rsidP="00263F34">
            <w:pPr>
              <w:widowControl w:val="0"/>
            </w:pPr>
            <w:r w:rsidRPr="004D3AB4">
              <w:t>Faciliter l’élaboration par les États membres de politiques et de stratégies de propriété intellectuelle appropriées pour les PME.</w:t>
            </w:r>
          </w:p>
          <w:p w:rsidR="003E0BB0" w:rsidRPr="004D3AB4" w:rsidRDefault="003E0BB0" w:rsidP="00263F34">
            <w:pPr>
              <w:widowControl w:val="0"/>
            </w:pPr>
          </w:p>
          <w:p w:rsidR="003E0BB0" w:rsidRPr="004D3AB4" w:rsidRDefault="003E0BB0" w:rsidP="00263F34">
            <w:pPr>
              <w:widowControl w:val="0"/>
            </w:pPr>
            <w:r w:rsidRPr="004D3AB4">
              <w:t>Renforcer la capacité des PME et des institutions d’appui aux PME aux fins de mieux utiliser le système de propriété intellectuelle et de renforcer leur compétitivité.</w:t>
            </w:r>
          </w:p>
          <w:p w:rsidR="003E0BB0" w:rsidRPr="004D3AB4" w:rsidRDefault="003E0BB0" w:rsidP="00263F34">
            <w:pPr>
              <w:widowControl w:val="0"/>
            </w:pPr>
          </w:p>
          <w:p w:rsidR="003E0BB0" w:rsidRPr="004D3AB4" w:rsidRDefault="003E0BB0" w:rsidP="00263F34">
            <w:pPr>
              <w:widowControl w:val="0"/>
            </w:pPr>
            <w:r w:rsidRPr="004D3AB4">
              <w:t>Élaboration d’un contenu concernant les PME et visant à orienter les activités de formation et de renforcement des capacités en ciblant essentiellement les institutions d’appui aux PME.</w:t>
            </w:r>
          </w:p>
          <w:p w:rsidR="003E0BB0" w:rsidRPr="004D3AB4" w:rsidRDefault="003E0BB0" w:rsidP="00263F34">
            <w:pPr>
              <w:widowControl w:val="0"/>
            </w:pPr>
          </w:p>
          <w:p w:rsidR="003E0BB0" w:rsidRPr="004D3AB4" w:rsidRDefault="003E0BB0" w:rsidP="00263F34">
            <w:pPr>
              <w:widowControl w:val="0"/>
            </w:pPr>
            <w:r w:rsidRPr="004D3AB4">
              <w:t>Des efforts particuliers ont été faits pour aider les pays en développement forgeant des liens plus forts avec les instituts de recherche, l’industrie locale et les PME afin d’élaborer des partenariats entre organismes publics et privés en augmentant autant que possible la valeur des actifs de propriété intellectuelle, et de développer des synergies entre la science, les entreprises, les institutions culturelles et les organismes publics d’appui.</w:t>
            </w:r>
          </w:p>
          <w:p w:rsidR="003E0BB0" w:rsidRPr="004D3AB4" w:rsidRDefault="003E0BB0" w:rsidP="00263F34"/>
          <w:p w:rsidR="003E0BB0" w:rsidRPr="004D3AB4" w:rsidRDefault="003E0BB0" w:rsidP="00263F34">
            <w:r w:rsidRPr="004D3AB4">
              <w:t>En outre, grâce à différentes activités menées, l’OMPI a continué à sensibiliser d’une façon générale à l’importance de la propriété intellectuelle pour la compétitivité commerciale et à renforcer les capacités locales en formant des formateurs grâce à des ateliers, des séminaires et d’autres activités menées en face à face ainsi que grâce à la création et à la diffusion de supports (imprimés, en ligne et publications, produits multimédias, etc.) relatifs à la propriété intellectuelle au service des entreprises.</w:t>
            </w:r>
          </w:p>
          <w:p w:rsidR="003E0BB0" w:rsidRDefault="003E0BB0" w:rsidP="00263F34"/>
          <w:p w:rsidR="00F972E3" w:rsidRDefault="00F972E3" w:rsidP="00263F34"/>
          <w:p w:rsidR="00F972E3" w:rsidRDefault="00F972E3" w:rsidP="00263F34"/>
          <w:p w:rsidR="00F972E3" w:rsidRDefault="00F972E3" w:rsidP="00263F34"/>
          <w:p w:rsidR="00F972E3" w:rsidRPr="004D3AB4" w:rsidRDefault="00F972E3" w:rsidP="00263F34"/>
          <w:p w:rsidR="003E0BB0" w:rsidRPr="004D3AB4" w:rsidRDefault="003E0BB0" w:rsidP="00263F34">
            <w:pPr>
              <w:pStyle w:val="ListParagraph"/>
              <w:numPr>
                <w:ilvl w:val="0"/>
                <w:numId w:val="6"/>
              </w:numPr>
              <w:autoSpaceDE w:val="0"/>
              <w:outlineLvl w:val="3"/>
              <w:rPr>
                <w:bCs/>
                <w:i/>
                <w:szCs w:val="28"/>
              </w:rPr>
            </w:pPr>
            <w:r w:rsidRPr="004D3AB4">
              <w:rPr>
                <w:bCs/>
                <w:i/>
                <w:szCs w:val="28"/>
              </w:rPr>
              <w:t>Stratégie pour les industries de la création</w:t>
            </w:r>
          </w:p>
          <w:p w:rsidR="003E0BB0" w:rsidRPr="004D3AB4" w:rsidRDefault="003E0BB0" w:rsidP="00263F34">
            <w:pPr>
              <w:autoSpaceDE w:val="0"/>
              <w:outlineLvl w:val="3"/>
              <w:rPr>
                <w:bCs/>
                <w:szCs w:val="28"/>
              </w:rPr>
            </w:pPr>
          </w:p>
          <w:p w:rsidR="003E0BB0" w:rsidRPr="004D3AB4" w:rsidRDefault="003E0BB0" w:rsidP="00263F34">
            <w:r w:rsidRPr="004D3AB4">
              <w:t>Des études ont été menées sur la contribution économique des industries du droit d’auteur.  Ces études ont essentiellement visé à permettre aux pays de recenser les secteurs concernés par le droit d’auteur.  Elles leur ont également permis de réaliser une analyse comparative de la contribution de tels secteurs par rapport aux autres branches de l’économie de leur pays ou par rapport à d’autres secteurs semblables mais dans d’autres pays.  Ces études permettent aussi aux décideurs de définir des lignes d’action adaptées.</w:t>
            </w:r>
          </w:p>
          <w:p w:rsidR="003E0BB0" w:rsidRPr="004D3AB4" w:rsidRDefault="003E0BB0" w:rsidP="00263F34"/>
          <w:p w:rsidR="003E0BB0" w:rsidRPr="004D3AB4" w:rsidRDefault="003E0BB0" w:rsidP="00263F34">
            <w:r w:rsidRPr="004D3AB4">
              <w:t>Des instruments pratiques destinés à certains secteurs de la création ont aussi été élaborés pour répondre aux besoins spécifiques par secteur et utilisés dans le cadre de séminaires dans un certain nombre de pays.</w:t>
            </w:r>
          </w:p>
          <w:p w:rsidR="003E0BB0" w:rsidRPr="004D3AB4" w:rsidRDefault="003E0BB0" w:rsidP="00263F34"/>
          <w:p w:rsidR="003E0BB0" w:rsidRPr="004D3AB4" w:rsidRDefault="003E0BB0" w:rsidP="00263F34">
            <w:r w:rsidRPr="004D3AB4">
              <w:t>Des partenariats avec les gouvernements et les organisations internationales intéressés ont été recherchés et renforcés.</w:t>
            </w:r>
          </w:p>
          <w:p w:rsidR="003E0BB0" w:rsidRPr="004D3AB4" w:rsidRDefault="003E0BB0" w:rsidP="00263F34"/>
          <w:p w:rsidR="003E0BB0" w:rsidRPr="004D3AB4" w:rsidRDefault="003E0BB0" w:rsidP="00263F34">
            <w:pPr>
              <w:pStyle w:val="ListParagraph"/>
              <w:numPr>
                <w:ilvl w:val="0"/>
                <w:numId w:val="6"/>
              </w:numPr>
              <w:autoSpaceDE w:val="0"/>
              <w:outlineLvl w:val="3"/>
              <w:rPr>
                <w:bCs/>
                <w:i/>
                <w:szCs w:val="28"/>
              </w:rPr>
            </w:pPr>
            <w:r w:rsidRPr="004D3AB4">
              <w:rPr>
                <w:bCs/>
                <w:i/>
                <w:szCs w:val="28"/>
              </w:rPr>
              <w:t>Stratégie pour les universités et les instituts de recherche</w:t>
            </w:r>
          </w:p>
          <w:p w:rsidR="003E0BB0" w:rsidRPr="004D3AB4" w:rsidRDefault="003E0BB0" w:rsidP="00263F34">
            <w:pPr>
              <w:pStyle w:val="ListParagraph"/>
              <w:autoSpaceDE w:val="0"/>
              <w:outlineLvl w:val="3"/>
              <w:rPr>
                <w:bCs/>
                <w:i/>
                <w:szCs w:val="28"/>
              </w:rPr>
            </w:pPr>
          </w:p>
          <w:p w:rsidR="003E0BB0" w:rsidRPr="004D3AB4" w:rsidRDefault="003E0BB0" w:rsidP="00263F34">
            <w:r w:rsidRPr="004D3AB4">
              <w:t>Compte tenu de la demande croissante émanant des États membres, les activités d’appui aux centres de recherche (y compris les universités) ont été considérablement renforcées.  L’aide fournie a été essentiellement axée sur trois types d’activités.  Premièrement, les instituts de recherche</w:t>
            </w:r>
            <w:r w:rsidRPr="004D3AB4">
              <w:noBreakHyphen/>
              <w:t>développement et les universités ont été encouragés à élaborer des politiques institutionnelles en matière de propriété intellectuelle afin de faciliter la gestion des actifs de propriété intellectuelle conformément à leur mandat.  Deuxièmement, l’OMPI a appuyé la création de réseaux regroupant les instituts de recherche</w:t>
            </w:r>
            <w:r w:rsidRPr="004D3AB4">
              <w:noBreakHyphen/>
              <w:t>développement autour de pôles de centralisation des données de propriété intellectuelle afin de favoriser la mise en place dans les États membres d’infrastructures performantes en matière d’innovation.  Troisièmement, L’OMPI a fourni aux universités et aux centres de recherche des programmes de formation pratiques et adaptés sur les politiques institutionnelles en matière de propriété intellectuelle, l’octroi de licences de technologie, l’évaluation des brevets, la rédaction des demandes de brevet ainsi que sur la gestion et la commercialisation de la technologie.</w:t>
            </w:r>
          </w:p>
          <w:p w:rsidR="003E0BB0" w:rsidRPr="004D3AB4" w:rsidRDefault="003E0BB0" w:rsidP="00263F34"/>
          <w:p w:rsidR="003E0BB0" w:rsidRPr="004D3AB4" w:rsidRDefault="003E0BB0" w:rsidP="00263F34">
            <w:pPr>
              <w:pStyle w:val="ListParagraph"/>
              <w:numPr>
                <w:ilvl w:val="0"/>
                <w:numId w:val="6"/>
              </w:numPr>
              <w:autoSpaceDE w:val="0"/>
              <w:outlineLvl w:val="3"/>
              <w:rPr>
                <w:bCs/>
                <w:i/>
                <w:szCs w:val="28"/>
              </w:rPr>
            </w:pPr>
            <w:r w:rsidRPr="004D3AB4">
              <w:rPr>
                <w:bCs/>
                <w:i/>
                <w:szCs w:val="28"/>
              </w:rPr>
              <w:t>Stratégie pour appuyer l’élaboration de stratégies nationales en matière de propriété intellectuelle</w:t>
            </w:r>
          </w:p>
          <w:p w:rsidR="003E0BB0" w:rsidRPr="004D3AB4" w:rsidRDefault="003E0BB0" w:rsidP="00263F34">
            <w:pPr>
              <w:pStyle w:val="ListParagraph"/>
              <w:autoSpaceDE w:val="0"/>
              <w:outlineLvl w:val="3"/>
              <w:rPr>
                <w:bCs/>
                <w:i/>
                <w:szCs w:val="28"/>
              </w:rPr>
            </w:pPr>
          </w:p>
          <w:p w:rsidR="003E0BB0" w:rsidRPr="004D3AB4" w:rsidRDefault="003E0BB0" w:rsidP="00263F34">
            <w:r w:rsidRPr="004D3AB4">
              <w:t>Un appui est apporté pour intégrer des stratégies de propriété intellectuelle aux programmes nationaux de développement économique.  Celui</w:t>
            </w:r>
            <w:r w:rsidRPr="004D3AB4">
              <w:noBreakHyphen/>
              <w:t>ci a supposé la mise au point d’instruments pratiques soulignant l’importance des choix nationaux dans l’élaboration et la mise en œuvre de stratégies de propriété intellectuelle.  Les besoins des PME et des instituts chargés de la recherche scientifique et des industries culturelles ont été pris en compte lors de la création desdites stratégies nationales de propriétés intellectuelles.</w:t>
            </w:r>
          </w:p>
          <w:p w:rsidR="003E0BB0" w:rsidRPr="004D3AB4" w:rsidRDefault="003E0BB0" w:rsidP="00263F34"/>
          <w:p w:rsidR="003E0BB0" w:rsidRPr="004D3AB4" w:rsidRDefault="003E0BB0" w:rsidP="00263F34">
            <w:pPr>
              <w:pStyle w:val="ListParagraph"/>
              <w:numPr>
                <w:ilvl w:val="0"/>
                <w:numId w:val="6"/>
              </w:numPr>
              <w:autoSpaceDE w:val="0"/>
              <w:outlineLvl w:val="3"/>
            </w:pPr>
            <w:r w:rsidRPr="004D3AB4">
              <w:t>Un projet relatif à la propriété intellectuelle et la création de marques de produits aux fins de développement des entreprises dans les pays en développement et les PMA (CDIP/5/5) a contribué à la mise en œuvre de la recommandation n° 4.</w:t>
            </w:r>
          </w:p>
          <w:p w:rsidR="003E0BB0" w:rsidRPr="004D3AB4" w:rsidRDefault="003E0BB0" w:rsidP="00263F34"/>
          <w:p w:rsidR="003E0BB0" w:rsidRPr="004D3AB4" w:rsidRDefault="003E0BB0" w:rsidP="00263F34">
            <w:pPr>
              <w:pStyle w:val="ListParagraph"/>
              <w:numPr>
                <w:ilvl w:val="0"/>
                <w:numId w:val="6"/>
              </w:numPr>
              <w:autoSpaceDE w:val="0"/>
              <w:outlineLvl w:val="3"/>
            </w:pPr>
            <w:r w:rsidRPr="004D3AB4">
              <w:t>Un projet pilote sur la propriété intellectuelle et la gestion des dessins et modèles pour le développement des entreprises dans les pays en développement et les PMA a été lancé</w:t>
            </w:r>
          </w:p>
          <w:p w:rsidR="003E0BB0" w:rsidRPr="004D3AB4" w:rsidRDefault="003E0BB0" w:rsidP="00263F34">
            <w:pPr>
              <w:autoSpaceDE w:val="0"/>
              <w:outlineLvl w:val="3"/>
            </w:pPr>
          </w:p>
        </w:tc>
      </w:tr>
      <w:tr w:rsidR="003E0BB0" w:rsidRPr="004D3AB4" w:rsidTr="00263F34">
        <w:tc>
          <w:tcPr>
            <w:tcW w:w="2503" w:type="dxa"/>
          </w:tcPr>
          <w:p w:rsidR="003E0BB0" w:rsidRPr="004D3AB4" w:rsidRDefault="003E0BB0" w:rsidP="00263F34">
            <w:r w:rsidRPr="004D3AB4">
              <w:t>Projets du Plan d’action pour le développement liés à la recommandation</w:t>
            </w:r>
          </w:p>
        </w:tc>
        <w:tc>
          <w:tcPr>
            <w:tcW w:w="7016" w:type="dxa"/>
          </w:tcPr>
          <w:p w:rsidR="003E0BB0" w:rsidRPr="004D3AB4" w:rsidRDefault="003E0BB0" w:rsidP="00263F34">
            <w:r w:rsidRPr="004D3AB4">
              <w:t>Cette recommandation a été mise en œuvre dans le cadre des projets achevés du Plan d’action pour le développement ci</w:t>
            </w:r>
            <w:r w:rsidRPr="004D3AB4">
              <w:noBreakHyphen/>
              <w:t>après :</w:t>
            </w:r>
          </w:p>
          <w:p w:rsidR="003E0BB0" w:rsidRPr="004D3AB4" w:rsidRDefault="003E0BB0" w:rsidP="00263F34"/>
          <w:p w:rsidR="003E0BB0" w:rsidRPr="004D3AB4" w:rsidRDefault="003E0BB0" w:rsidP="00263F34">
            <w:r w:rsidRPr="004D3AB4">
              <w:t>– Propriété intellectuelle et création de marques de produits aux fins de développement des entreprises dans les pays en développement et les PMA (CDIP/5/5).</w:t>
            </w:r>
          </w:p>
          <w:p w:rsidR="003E0BB0" w:rsidRPr="004D3AB4" w:rsidRDefault="003E0BB0" w:rsidP="00263F34">
            <w:pPr>
              <w:rPr>
                <w:highlight w:val="yellow"/>
              </w:rPr>
            </w:pPr>
          </w:p>
          <w:p w:rsidR="003E0BB0" w:rsidRPr="004D3AB4" w:rsidRDefault="003E0BB0" w:rsidP="00263F34">
            <w:r w:rsidRPr="004D3AB4">
              <w:t xml:space="preserve">– </w:t>
            </w:r>
            <w:hyperlink r:id="rId32" w:tgtFrame="_self" w:history="1">
              <w:r w:rsidRPr="004D3AB4">
                <w:t>Renforcement et développement du secteur de l’audiovisuel au Burkina Faso et dans certains pays africains – phase I</w:t>
              </w:r>
            </w:hyperlink>
            <w:r w:rsidRPr="004D3AB4">
              <w:t xml:space="preserve"> (CDIP/9/13)</w:t>
            </w:r>
          </w:p>
          <w:p w:rsidR="003E0BB0" w:rsidRPr="004D3AB4" w:rsidRDefault="003E0BB0" w:rsidP="00263F34"/>
          <w:p w:rsidR="003E0BB0" w:rsidRPr="004D3AB4" w:rsidRDefault="003E0BB0" w:rsidP="00263F34">
            <w:r w:rsidRPr="004D3AB4">
              <w:t xml:space="preserve">– </w:t>
            </w:r>
            <w:hyperlink r:id="rId33" w:history="1">
              <w:r w:rsidRPr="004D3AB4">
                <w:t>Projet pilote sur la propriété intellectuelle et la gestion des dessins et modèles pour le développement des entreprises dans les pays en développement et les pays les moins avancés (PMA)</w:t>
              </w:r>
              <w:r w:rsidRPr="004D3AB4">
                <w:rPr>
                  <w:rStyle w:val="Hyperlink"/>
                  <w:color w:val="auto"/>
                </w:rPr>
                <w:t xml:space="preserve"> </w:t>
              </w:r>
            </w:hyperlink>
            <w:r w:rsidRPr="004D3AB4">
              <w:t>(CDIP/12/6)</w:t>
            </w:r>
          </w:p>
          <w:p w:rsidR="003E0BB0" w:rsidRPr="004D3AB4" w:rsidRDefault="003E0BB0" w:rsidP="00263F34"/>
          <w:p w:rsidR="003E0BB0" w:rsidRPr="004D3AB4" w:rsidRDefault="003E0BB0" w:rsidP="00263F34">
            <w:r w:rsidRPr="004D3AB4">
              <w:t>– Renforcement des capacités des institutions de propriété intellectuelle et des utilisateurs aux niveaux national, sous</w:t>
            </w:r>
            <w:r w:rsidRPr="004D3AB4">
              <w:noBreakHyphen/>
              <w:t>régional et régional (CDIP/3/2);</w:t>
            </w:r>
          </w:p>
          <w:p w:rsidR="003E0BB0" w:rsidRPr="004D3AB4" w:rsidRDefault="003E0BB0" w:rsidP="00263F34"/>
          <w:p w:rsidR="003E0BB0" w:rsidRPr="004D3AB4" w:rsidRDefault="003E0BB0" w:rsidP="00263F34">
            <w:r w:rsidRPr="004D3AB4">
              <w:t>– Renforcement de la capacité des institutions gouvernementales et partenaires œuvrant dans le domaine de la propriété intellectuelle au niveau national à gérer, superviser et promouvoir les industries de la création et à améliorer les résultats et l’organisation en réseau des organisations de gestion collective du droit d’auteur (CDIP/3/INF/2).</w:t>
            </w:r>
          </w:p>
          <w:p w:rsidR="003E0BB0" w:rsidRPr="004D3AB4" w:rsidRDefault="003E0BB0" w:rsidP="00263F34">
            <w:pPr>
              <w:rPr>
                <w:highlight w:val="yellow"/>
              </w:rPr>
            </w:pPr>
          </w:p>
          <w:p w:rsidR="003E0BB0" w:rsidRPr="004D3AB4" w:rsidRDefault="003E0BB0" w:rsidP="00263F34">
            <w:r w:rsidRPr="004D3AB4">
              <w:t>De plus, cette recommandation est mise en œuvre dans le cadre du projet en cours du Plan d’action pour le développement ci</w:t>
            </w:r>
            <w:r w:rsidRPr="004D3AB4">
              <w:noBreakHyphen/>
              <w:t>après :</w:t>
            </w:r>
          </w:p>
          <w:p w:rsidR="003E0BB0" w:rsidRPr="004D3AB4" w:rsidRDefault="003E0BB0" w:rsidP="00263F34">
            <w:pPr>
              <w:rPr>
                <w:highlight w:val="yellow"/>
              </w:rPr>
            </w:pPr>
          </w:p>
          <w:p w:rsidR="003E0BB0" w:rsidRPr="004D3AB4" w:rsidRDefault="003E0BB0" w:rsidP="00263F34">
            <w:r w:rsidRPr="004D3AB4">
              <w:t>– Renforcement et développement du secteur de l’audiovisuel au Burkina Faso et dans certains pays africains – phase II (CDIP/17/7)</w:t>
            </w:r>
          </w:p>
          <w:p w:rsidR="003E0BB0" w:rsidRPr="004D3AB4" w:rsidRDefault="003E0BB0" w:rsidP="00263F34"/>
        </w:tc>
      </w:tr>
      <w:tr w:rsidR="003E0BB0" w:rsidRPr="004D3AB4" w:rsidTr="00263F34">
        <w:tc>
          <w:tcPr>
            <w:tcW w:w="2503" w:type="dxa"/>
          </w:tcPr>
          <w:p w:rsidR="003E0BB0" w:rsidRPr="004D3AB4" w:rsidRDefault="003E0BB0" w:rsidP="00263F34">
            <w:r w:rsidRPr="004D3AB4">
              <w:t xml:space="preserve">Activités/réalisations </w:t>
            </w:r>
          </w:p>
        </w:tc>
        <w:tc>
          <w:tcPr>
            <w:tcW w:w="7016" w:type="dxa"/>
          </w:tcPr>
          <w:p w:rsidR="003E0BB0" w:rsidRPr="004D3AB4" w:rsidRDefault="003E0BB0" w:rsidP="00263F34">
            <w:pPr>
              <w:pStyle w:val="ListParagraph"/>
              <w:numPr>
                <w:ilvl w:val="0"/>
                <w:numId w:val="7"/>
              </w:numPr>
              <w:autoSpaceDE w:val="0"/>
              <w:outlineLvl w:val="3"/>
              <w:rPr>
                <w:bCs/>
                <w:i/>
                <w:szCs w:val="28"/>
              </w:rPr>
            </w:pPr>
            <w:r w:rsidRPr="004D3AB4">
              <w:rPr>
                <w:bCs/>
                <w:i/>
                <w:szCs w:val="28"/>
              </w:rPr>
              <w:t>Stratégie pour les PME</w:t>
            </w:r>
          </w:p>
          <w:p w:rsidR="003E0BB0" w:rsidRPr="004D3AB4" w:rsidRDefault="003E0BB0" w:rsidP="00263F34">
            <w:pPr>
              <w:pStyle w:val="ListParagraph"/>
              <w:autoSpaceDE w:val="0"/>
              <w:outlineLvl w:val="3"/>
              <w:rPr>
                <w:bCs/>
                <w:i/>
                <w:szCs w:val="28"/>
              </w:rPr>
            </w:pPr>
          </w:p>
          <w:p w:rsidR="003E0BB0" w:rsidRPr="004D3AB4" w:rsidRDefault="003E0BB0" w:rsidP="00263F34">
            <w:r w:rsidRPr="004D3AB4">
              <w:t>L’étendue de l’accès, l’utilisation et l’exploitation du système de propriété intellectuelle par les acteurs en matière d’innovation (notamment les PME) a été décidée au moyen de missions d’évaluation menées en Lettonie, Slovaquie et Géorgie.  Des recommandations ont été émises pour examen par les responsables politiques afin d’améliorer l’accès, l’utilisation et l’exploitation en question.  Un séminaire régional sur l’élaboration et la mise en œuvre de stratégies nationales de propriété intellectuelle s’est tenu à Riga (Lettonie).</w:t>
            </w:r>
          </w:p>
          <w:p w:rsidR="003E0BB0" w:rsidRDefault="003E0BB0" w:rsidP="00263F34">
            <w:pPr>
              <w:rPr>
                <w:lang w:val="en-GB"/>
              </w:rPr>
            </w:pPr>
          </w:p>
          <w:p w:rsidR="00F972E3" w:rsidRPr="004D3AB4" w:rsidRDefault="00F972E3" w:rsidP="00263F34">
            <w:pPr>
              <w:rPr>
                <w:lang w:val="en-GB"/>
              </w:rPr>
            </w:pPr>
          </w:p>
          <w:p w:rsidR="003E0BB0" w:rsidRPr="004D3AB4" w:rsidRDefault="003E0BB0" w:rsidP="00263F34">
            <w:r w:rsidRPr="004D3AB4">
              <w:t>Une étude a été commandée en vue d’élaborer un rapport sur le paysage de la propriété intellectuelle en Lituanie et de formuler des recommandations sur les questions à prendre en compte dans l’élaboration d’une stratégie de propriété intellectuelle pour soutenir efficacement une économie plus innovante</w:t>
            </w:r>
            <w:proofErr w:type="gramStart"/>
            <w:r w:rsidRPr="004D3AB4">
              <w:t>;  elle</w:t>
            </w:r>
            <w:proofErr w:type="gramEnd"/>
            <w:r w:rsidRPr="004D3AB4">
              <w:t xml:space="preserve"> a été soumise au Gouvernement lituanien.</w:t>
            </w:r>
          </w:p>
          <w:p w:rsidR="003E0BB0" w:rsidRPr="004D3AB4" w:rsidRDefault="003E0BB0" w:rsidP="00263F34">
            <w:pPr>
              <w:rPr>
                <w:lang w:val="en-GB"/>
              </w:rPr>
            </w:pPr>
          </w:p>
          <w:p w:rsidR="003E0BB0" w:rsidRPr="004D3AB4" w:rsidRDefault="003E0BB0" w:rsidP="00263F34">
            <w:r w:rsidRPr="004D3AB4">
              <w:t>Une conférence sous</w:t>
            </w:r>
            <w:r w:rsidRPr="004D3AB4">
              <w:noBreakHyphen/>
              <w:t>régionale, qui s’est tenue en Géorgie, a permis d’échanger des données d’expériences sur l’importance que revêt une stratégie de propriété intellectuelle et que celle</w:t>
            </w:r>
            <w:r w:rsidRPr="004D3AB4">
              <w:noBreakHyphen/>
              <w:t>ci soit mieux comprise.</w:t>
            </w:r>
          </w:p>
          <w:p w:rsidR="003E0BB0" w:rsidRPr="004D3AB4" w:rsidRDefault="003E0BB0" w:rsidP="00263F34"/>
          <w:p w:rsidR="003E0BB0" w:rsidRPr="004D3AB4" w:rsidRDefault="003E0BB0" w:rsidP="00263F34">
            <w:pPr>
              <w:widowControl w:val="0"/>
              <w:tabs>
                <w:tab w:val="left" w:pos="90"/>
              </w:tabs>
              <w:autoSpaceDE w:val="0"/>
              <w:autoSpaceDN w:val="0"/>
              <w:adjustRightInd w:val="0"/>
              <w:rPr>
                <w:bCs/>
              </w:rPr>
            </w:pPr>
            <w:r w:rsidRPr="004D3AB4">
              <w:rPr>
                <w:bCs/>
              </w:rPr>
              <w:t>Organisation réussie de formations de renforcement des capacités pour les PME et les entrepreneurs sur l’utilisation stratégique de la propriété intellectuelle, la gestion de la propriété intellectuelle, l’importance de la gestion des marques, la commercialisation et la valorisation de la propriété intellectuelle et la compétitivité des PME grâce à 26 manifestations, programmes de formation, ateliers et séminaires organisés dans 22 pays aux niveaux national, sous</w:t>
            </w:r>
            <w:r w:rsidRPr="004D3AB4">
              <w:rPr>
                <w:bCs/>
              </w:rPr>
              <w:noBreakHyphen/>
              <w:t>régional et régional.</w:t>
            </w:r>
          </w:p>
          <w:p w:rsidR="003E0BB0" w:rsidRPr="004D3AB4" w:rsidRDefault="003E0BB0" w:rsidP="00263F34">
            <w:pPr>
              <w:widowControl w:val="0"/>
              <w:tabs>
                <w:tab w:val="left" w:pos="90"/>
              </w:tabs>
              <w:autoSpaceDE w:val="0"/>
              <w:autoSpaceDN w:val="0"/>
              <w:adjustRightInd w:val="0"/>
              <w:rPr>
                <w:bCs/>
              </w:rPr>
            </w:pPr>
          </w:p>
          <w:p w:rsidR="003E0BB0" w:rsidRPr="004D3AB4" w:rsidRDefault="003E0BB0" w:rsidP="00263F34">
            <w:pPr>
              <w:rPr>
                <w:bCs/>
              </w:rPr>
            </w:pPr>
            <w:r w:rsidRPr="004D3AB4">
              <w:rPr>
                <w:bCs/>
              </w:rPr>
              <w:t>Commande d’études sur les difficultés auxquelles se heurtent les PME et les microentreprises dans la gestion de la propriété intellectuelle et sur les moyens de les surmonter (Colombie), et sur les moyens de stimuler et de renforcer l’utilisation efficace de la propriété intellectuelle (République islamique d’Iran).</w:t>
            </w:r>
          </w:p>
          <w:p w:rsidR="003E0BB0" w:rsidRPr="004D3AB4" w:rsidRDefault="003E0BB0" w:rsidP="00263F34">
            <w:pPr>
              <w:rPr>
                <w:bCs/>
              </w:rPr>
            </w:pPr>
          </w:p>
          <w:p w:rsidR="003E0BB0" w:rsidRPr="004D3AB4" w:rsidRDefault="003E0BB0" w:rsidP="00263F34">
            <w:pPr>
              <w:rPr>
                <w:bCs/>
              </w:rPr>
            </w:pPr>
            <w:r w:rsidRPr="004D3AB4">
              <w:rPr>
                <w:bCs/>
              </w:rPr>
              <w:t>Discussions avec des associations de PME sur les outils d’évaluation des besoins et les lignes directrices sur le mécanisme d’évaluation des progrès réalisés par les PME bénéficiant d’un soutien et de conseils en matière de propriété intellectuelle et une réunion du groupe de travail pour le suivi du projet de pays mis en œuvre en Afrique du Sud qui aborde de manière globale les défis en matière de propriété intellectuelle auxquels les PME d’Afrique du Sud font face et les moyens d’atténuer ces défis.</w:t>
            </w:r>
          </w:p>
          <w:p w:rsidR="003E0BB0" w:rsidRPr="004D3AB4" w:rsidRDefault="003E0BB0" w:rsidP="00263F34">
            <w:pPr>
              <w:rPr>
                <w:bCs/>
              </w:rPr>
            </w:pPr>
          </w:p>
          <w:p w:rsidR="003E0BB0" w:rsidRPr="004D3AB4" w:rsidRDefault="003E0BB0" w:rsidP="00263F34">
            <w:pPr>
              <w:widowControl w:val="0"/>
              <w:tabs>
                <w:tab w:val="left" w:pos="90"/>
              </w:tabs>
              <w:autoSpaceDE w:val="0"/>
              <w:autoSpaceDN w:val="0"/>
              <w:adjustRightInd w:val="0"/>
              <w:rPr>
                <w:bCs/>
              </w:rPr>
            </w:pPr>
            <w:r w:rsidRPr="004D3AB4">
              <w:rPr>
                <w:bCs/>
              </w:rPr>
              <w:t>Un atelier a été organisé dans trois villes du Kenya pour jeter les bases d’un projet qui sera mis en œuvre en 2018 et 2019 et qui a été lancé en mai 2018 sur le thème “Améliorer la compétitivité des petites et moyennes entreprises par une utilisation efficace du système de propriété intellectuelle”.</w:t>
            </w:r>
          </w:p>
          <w:p w:rsidR="003E0BB0" w:rsidRPr="004D3AB4" w:rsidRDefault="003E0BB0" w:rsidP="00263F34">
            <w:pPr>
              <w:widowControl w:val="0"/>
              <w:tabs>
                <w:tab w:val="left" w:pos="90"/>
              </w:tabs>
              <w:autoSpaceDE w:val="0"/>
              <w:autoSpaceDN w:val="0"/>
              <w:adjustRightInd w:val="0"/>
              <w:rPr>
                <w:bCs/>
              </w:rPr>
            </w:pPr>
          </w:p>
          <w:p w:rsidR="003E0BB0" w:rsidRPr="004D3AB4" w:rsidRDefault="003E0BB0" w:rsidP="00263F34">
            <w:pPr>
              <w:rPr>
                <w:bCs/>
              </w:rPr>
            </w:pPr>
            <w:r w:rsidRPr="004D3AB4">
              <w:t xml:space="preserve">Des </w:t>
            </w:r>
            <w:r w:rsidRPr="004D3AB4">
              <w:rPr>
                <w:bCs/>
              </w:rPr>
              <w:t>études ont été lancées dans le cadre</w:t>
            </w:r>
            <w:r w:rsidRPr="004D3AB4">
              <w:t xml:space="preserve"> du nouveau programme de la Division de l’appui aux PME et à la création d’entreprises traitant de la gestion des actifs de propriété intellectuelle par le secteur public.</w:t>
            </w:r>
          </w:p>
          <w:p w:rsidR="003E0BB0" w:rsidRPr="004D3AB4" w:rsidRDefault="003E0BB0" w:rsidP="00263F34">
            <w:pPr>
              <w:tabs>
                <w:tab w:val="left" w:pos="5099"/>
              </w:tabs>
              <w:rPr>
                <w:bCs/>
              </w:rPr>
            </w:pPr>
          </w:p>
          <w:p w:rsidR="003E0BB0" w:rsidRPr="004D3AB4" w:rsidRDefault="003E0BB0" w:rsidP="00263F34">
            <w:pPr>
              <w:tabs>
                <w:tab w:val="left" w:pos="5099"/>
              </w:tabs>
              <w:rPr>
                <w:bCs/>
              </w:rPr>
            </w:pPr>
            <w:r w:rsidRPr="004D3AB4">
              <w:rPr>
                <w:bCs/>
              </w:rPr>
              <w:t>Des études d’évaluation des besoins conduites dans les PME égyptiennes ont été finalisées concernant l’utilisation de la propriété intellectuelle, les lacunes dans l’appui fourni par les organismes d’aide aux PME et les mesures d’intervention publique mises en œuvre ailleurs pour relever ces défis.</w:t>
            </w:r>
          </w:p>
          <w:p w:rsidR="003E0BB0" w:rsidRPr="004D3AB4" w:rsidRDefault="003E0BB0" w:rsidP="00263F34">
            <w:pPr>
              <w:rPr>
                <w:bCs/>
              </w:rPr>
            </w:pPr>
          </w:p>
          <w:p w:rsidR="003E0BB0" w:rsidRPr="004D3AB4" w:rsidRDefault="003E0BB0" w:rsidP="00263F34">
            <w:pPr>
              <w:rPr>
                <w:bCs/>
              </w:rPr>
            </w:pPr>
            <w:r w:rsidRPr="004D3AB4">
              <w:rPr>
                <w:bCs/>
              </w:rPr>
              <w:t>Un séminaire régional pour forger une culture de la propriété intellectuelle aux petites et moyennes entreprises de Singapour, afin de donner aux participants les outils, meilleures pratiques et approches reconnues pour créer une culture de la propriété intellectuelle dans les PME de leur pays respectif, a été organisé.  En invitant des membres de l’office de propriété intellectuelle et de l’agence gouvernementale responsable des PME, l’OMPI a donné l’occasion à ces deux organismes publics de nouer des relations.</w:t>
            </w:r>
          </w:p>
          <w:p w:rsidR="003E0BB0" w:rsidRPr="004D3AB4" w:rsidRDefault="003E0BB0" w:rsidP="00263F34"/>
          <w:p w:rsidR="003E0BB0" w:rsidRPr="004D3AB4" w:rsidRDefault="003E0BB0" w:rsidP="00263F34">
            <w:pPr>
              <w:pStyle w:val="ListParagraph"/>
              <w:numPr>
                <w:ilvl w:val="0"/>
                <w:numId w:val="7"/>
              </w:numPr>
              <w:autoSpaceDE w:val="0"/>
              <w:outlineLvl w:val="3"/>
              <w:rPr>
                <w:bCs/>
                <w:i/>
                <w:szCs w:val="28"/>
              </w:rPr>
            </w:pPr>
            <w:r w:rsidRPr="004D3AB4">
              <w:rPr>
                <w:bCs/>
                <w:i/>
                <w:szCs w:val="28"/>
              </w:rPr>
              <w:t>Stratégie pour les industries de la création</w:t>
            </w:r>
          </w:p>
          <w:p w:rsidR="003E0BB0" w:rsidRPr="004D3AB4" w:rsidRDefault="003E0BB0" w:rsidP="00263F34">
            <w:pPr>
              <w:pStyle w:val="ListParagraph"/>
              <w:autoSpaceDE w:val="0"/>
              <w:outlineLvl w:val="3"/>
              <w:rPr>
                <w:bCs/>
                <w:i/>
                <w:szCs w:val="28"/>
              </w:rPr>
            </w:pPr>
          </w:p>
          <w:p w:rsidR="003E0BB0" w:rsidRPr="004D3AB4" w:rsidRDefault="003E0BB0" w:rsidP="00263F34">
            <w:r w:rsidRPr="004D3AB4">
              <w:t>Un instrument destiné aux éditeurs de petite et moyenne taille des pays en développement axé sur la gestion du droit d’auteur dans le domaine des techniques numériques a été finalisé.</w:t>
            </w:r>
          </w:p>
          <w:p w:rsidR="003E0BB0" w:rsidRPr="004D3AB4" w:rsidRDefault="003E0BB0" w:rsidP="00263F34"/>
          <w:p w:rsidR="003E0BB0" w:rsidRPr="004D3AB4" w:rsidRDefault="003E0BB0" w:rsidP="00263F34">
            <w:r w:rsidRPr="004D3AB4">
              <w:t>Achèvement d’un outil sur la propriété intellectuelle et les applications mobiles, élaboration d’un outil sur les considérations en matière de propriété intellectuelle dans le cadre de l’utilisation des réseaux sociaux.</w:t>
            </w:r>
          </w:p>
          <w:p w:rsidR="003E0BB0" w:rsidRPr="004D3AB4" w:rsidRDefault="003E0BB0" w:rsidP="00263F34"/>
          <w:p w:rsidR="003E0BB0" w:rsidRPr="004D3AB4" w:rsidRDefault="003E0BB0" w:rsidP="00263F34">
            <w:pPr>
              <w:autoSpaceDE w:val="0"/>
              <w:outlineLvl w:val="3"/>
            </w:pPr>
            <w:r w:rsidRPr="004D3AB4">
              <w:t>Ateliers sur la gestion du droit d’auteur par les entreprises créatives dans le domaine de l’édition, de la musique et des jeux vidéo aux Philippines, en Argentine, au Pérou et au Chili.</w:t>
            </w:r>
          </w:p>
          <w:p w:rsidR="003E0BB0" w:rsidRPr="004D3AB4" w:rsidRDefault="003E0BB0" w:rsidP="00263F34">
            <w:pPr>
              <w:autoSpaceDE w:val="0"/>
              <w:outlineLvl w:val="3"/>
            </w:pPr>
          </w:p>
          <w:p w:rsidR="003E0BB0" w:rsidRPr="004D3AB4" w:rsidRDefault="003E0BB0" w:rsidP="00263F34">
            <w:pPr>
              <w:pStyle w:val="ListParagraph"/>
              <w:numPr>
                <w:ilvl w:val="0"/>
                <w:numId w:val="7"/>
              </w:numPr>
              <w:autoSpaceDE w:val="0"/>
              <w:outlineLvl w:val="3"/>
              <w:rPr>
                <w:bCs/>
                <w:i/>
                <w:szCs w:val="28"/>
              </w:rPr>
            </w:pPr>
            <w:r w:rsidRPr="004D3AB4">
              <w:rPr>
                <w:bCs/>
                <w:i/>
                <w:szCs w:val="28"/>
              </w:rPr>
              <w:t>Stratégie pour les universités et les instituts de recherche</w:t>
            </w:r>
          </w:p>
          <w:p w:rsidR="003E0BB0" w:rsidRPr="004D3AB4" w:rsidRDefault="003E0BB0" w:rsidP="00263F34">
            <w:pPr>
              <w:autoSpaceDE w:val="0"/>
              <w:ind w:left="360"/>
              <w:outlineLvl w:val="3"/>
              <w:rPr>
                <w:bCs/>
                <w:i/>
                <w:szCs w:val="28"/>
              </w:rPr>
            </w:pPr>
          </w:p>
          <w:p w:rsidR="003E0BB0" w:rsidRPr="004D3AB4" w:rsidRDefault="003E0BB0" w:rsidP="00263F34">
            <w:r w:rsidRPr="004D3AB4">
              <w:t>Élaboration de l’</w:t>
            </w:r>
            <w:r w:rsidRPr="004D3AB4">
              <w:rPr>
                <w:i/>
                <w:iCs/>
              </w:rPr>
              <w:t>Instrument relatif aux droits de propriété intellectuelle à l’intention des établissements universitaires et des instituts de recherche – Relier la recherche universitaire à l’économie et à la société</w:t>
            </w:r>
            <w:r w:rsidRPr="004D3AB4">
              <w:t>, qui comprend les documents suivants : i) modèle de politique de propriété intellectuelle à l’intention des établissements universitaires et des instituts de recherche, ii) lignes directrices pour l’application du modèle de politique de propriété intellectuelle, iii) aide</w:t>
            </w:r>
            <w:r w:rsidRPr="004D3AB4">
              <w:noBreakHyphen/>
              <w:t>mémoire à l’intention des rédacteurs de politiques de propriété intellectuelle, iv) feuille de route pour la commercialisation, v) accords types, et vi) cas fictifs.</w:t>
            </w:r>
          </w:p>
          <w:p w:rsidR="003E0BB0" w:rsidRPr="004D3AB4" w:rsidRDefault="003E0BB0" w:rsidP="00263F34"/>
          <w:p w:rsidR="003E0BB0" w:rsidRPr="004D3AB4" w:rsidRDefault="003E0BB0" w:rsidP="00263F34">
            <w:r w:rsidRPr="004D3AB4">
              <w:t>Dans le cadre d’un projet pilote, mise en place dans les États baltes d’un réseau d’experts doté d’une capacité renforcée, pour traiter de la commercialisation de la propriété intellectuelle issue des résultats de la recherche menée dans des établissements universitaires.</w:t>
            </w:r>
          </w:p>
          <w:p w:rsidR="003E0BB0" w:rsidRPr="004D3AB4" w:rsidRDefault="003E0BB0" w:rsidP="00263F34"/>
          <w:p w:rsidR="003E0BB0" w:rsidRPr="004D3AB4" w:rsidRDefault="003E0BB0" w:rsidP="00263F34">
            <w:r w:rsidRPr="004D3AB4">
              <w:t>Achèvement du projet sur la création d’offices de transfert de technologie dans la région arabe.</w:t>
            </w:r>
          </w:p>
          <w:p w:rsidR="003E0BB0" w:rsidRPr="004D3AB4" w:rsidRDefault="003E0BB0" w:rsidP="00263F34"/>
          <w:p w:rsidR="003E0BB0" w:rsidRPr="004D3AB4" w:rsidRDefault="003E0BB0" w:rsidP="00263F34">
            <w:r w:rsidRPr="004D3AB4">
              <w:rPr>
                <w:bCs/>
                <w:szCs w:val="22"/>
              </w:rPr>
              <w:t>En juin 2016 a débuté l’ajout de 38 nouvelles politiques issues de 7 nouveaux pays à la base de données sur les politiques en matière de propriété intellectuelle, qui contient au total 497 politiques provenant de 71 pays, à l’intention des universités et des centres de recherche publics.</w:t>
            </w:r>
          </w:p>
          <w:p w:rsidR="003E0BB0" w:rsidRDefault="003E0BB0" w:rsidP="00263F34">
            <w:pPr>
              <w:pStyle w:val="ListParagraph"/>
              <w:autoSpaceDE w:val="0"/>
              <w:outlineLvl w:val="3"/>
              <w:rPr>
                <w:bCs/>
                <w:szCs w:val="28"/>
              </w:rPr>
            </w:pPr>
          </w:p>
          <w:p w:rsidR="00F972E3" w:rsidRDefault="00F972E3" w:rsidP="00263F34">
            <w:pPr>
              <w:pStyle w:val="ListParagraph"/>
              <w:autoSpaceDE w:val="0"/>
              <w:outlineLvl w:val="3"/>
              <w:rPr>
                <w:bCs/>
                <w:szCs w:val="28"/>
              </w:rPr>
            </w:pPr>
          </w:p>
          <w:p w:rsidR="00F972E3" w:rsidRDefault="00F972E3" w:rsidP="00263F34">
            <w:pPr>
              <w:pStyle w:val="ListParagraph"/>
              <w:autoSpaceDE w:val="0"/>
              <w:outlineLvl w:val="3"/>
              <w:rPr>
                <w:bCs/>
                <w:szCs w:val="28"/>
              </w:rPr>
            </w:pPr>
          </w:p>
          <w:p w:rsidR="00F972E3" w:rsidRDefault="00F972E3" w:rsidP="00263F34">
            <w:pPr>
              <w:pStyle w:val="ListParagraph"/>
              <w:autoSpaceDE w:val="0"/>
              <w:outlineLvl w:val="3"/>
              <w:rPr>
                <w:bCs/>
                <w:szCs w:val="28"/>
              </w:rPr>
            </w:pPr>
          </w:p>
          <w:p w:rsidR="00F972E3" w:rsidRDefault="00F972E3" w:rsidP="00263F34">
            <w:pPr>
              <w:pStyle w:val="ListParagraph"/>
              <w:autoSpaceDE w:val="0"/>
              <w:outlineLvl w:val="3"/>
              <w:rPr>
                <w:bCs/>
                <w:szCs w:val="28"/>
              </w:rPr>
            </w:pPr>
          </w:p>
          <w:p w:rsidR="00F972E3" w:rsidRPr="004D3AB4" w:rsidRDefault="00F972E3" w:rsidP="00263F34">
            <w:pPr>
              <w:pStyle w:val="ListParagraph"/>
              <w:autoSpaceDE w:val="0"/>
              <w:outlineLvl w:val="3"/>
              <w:rPr>
                <w:bCs/>
                <w:szCs w:val="28"/>
              </w:rPr>
            </w:pPr>
          </w:p>
          <w:p w:rsidR="003E0BB0" w:rsidRPr="004D3AB4" w:rsidRDefault="003E0BB0" w:rsidP="00263F34">
            <w:pPr>
              <w:pStyle w:val="ListParagraph"/>
              <w:numPr>
                <w:ilvl w:val="0"/>
                <w:numId w:val="7"/>
              </w:numPr>
              <w:autoSpaceDE w:val="0"/>
              <w:outlineLvl w:val="3"/>
              <w:rPr>
                <w:bCs/>
                <w:i/>
                <w:szCs w:val="28"/>
              </w:rPr>
            </w:pPr>
            <w:r w:rsidRPr="004D3AB4">
              <w:rPr>
                <w:bCs/>
                <w:i/>
                <w:szCs w:val="28"/>
              </w:rPr>
              <w:t>Stratégie pour appuyer l’élaboration de stratégies nationales en matière de propriété intellectuelle</w:t>
            </w:r>
          </w:p>
          <w:p w:rsidR="003E0BB0" w:rsidRPr="004D3AB4" w:rsidRDefault="003E0BB0" w:rsidP="00263F34">
            <w:pPr>
              <w:pStyle w:val="ListParagraph"/>
              <w:autoSpaceDE w:val="0"/>
              <w:outlineLvl w:val="3"/>
              <w:rPr>
                <w:bCs/>
                <w:i/>
                <w:szCs w:val="28"/>
              </w:rPr>
            </w:pPr>
          </w:p>
          <w:p w:rsidR="003E0BB0" w:rsidRPr="004D3AB4" w:rsidRDefault="003E0BB0" w:rsidP="00263F34">
            <w:pPr>
              <w:rPr>
                <w:bCs/>
              </w:rPr>
            </w:pPr>
            <w:r w:rsidRPr="004D3AB4">
              <w:rPr>
                <w:bCs/>
              </w:rPr>
              <w:t>Une méthode à employer pour l’élaboration de stratégies nationales en matière de propriété intellectuelle a été conçue sous la forme d’un ensemble d’outils pratiques dans le cadre du projet relatif au renforcement des capacités des institutions de propriété intellectuelle et des utilisateurs aux niveaux national, sous</w:t>
            </w:r>
            <w:r w:rsidRPr="004D3AB4">
              <w:rPr>
                <w:bCs/>
              </w:rPr>
              <w:noBreakHyphen/>
              <w:t>régional et régional (CDIP/3/INF/2) (</w:t>
            </w:r>
            <w:hyperlink r:id="rId34" w:history="1">
              <w:r w:rsidRPr="00F972E3">
                <w:rPr>
                  <w:bCs/>
                  <w:color w:val="0000FF"/>
                  <w:u w:val="single"/>
                </w:rPr>
                <w:t>http://www.wipo.int/edocs/mdocs/mdocs/fr/cdip_3/cdip_3_inf_2.pdf</w:t>
              </w:r>
            </w:hyperlink>
            <w:r w:rsidRPr="004D3AB4">
              <w:rPr>
                <w:bCs/>
              </w:rPr>
              <w:t>).</w:t>
            </w:r>
          </w:p>
          <w:p w:rsidR="003E0BB0" w:rsidRPr="004D3AB4" w:rsidRDefault="003E0BB0" w:rsidP="00263F34">
            <w:pPr>
              <w:rPr>
                <w:highlight w:val="yellow"/>
              </w:rPr>
            </w:pPr>
          </w:p>
          <w:p w:rsidR="003E0BB0" w:rsidRPr="004D3AB4" w:rsidRDefault="003E0BB0" w:rsidP="00263F34">
            <w:r w:rsidRPr="004D3AB4">
              <w:t>Les stratégies et plans nationaux relatifs à la propriété intellectuelle ont été intégrés aux travaux habituels de l’Organisation en vue d’assurer la propriété et la durabilité nationales et pour répondre aux besoins spécifiques de chaque pays.</w:t>
            </w:r>
          </w:p>
          <w:p w:rsidR="003E0BB0" w:rsidRPr="004D3AB4" w:rsidRDefault="003E0BB0" w:rsidP="00263F34">
            <w:pPr>
              <w:rPr>
                <w:highlight w:val="yellow"/>
              </w:rPr>
            </w:pPr>
          </w:p>
          <w:p w:rsidR="003E0BB0" w:rsidRPr="004D3AB4" w:rsidRDefault="003E0BB0" w:rsidP="00263F34">
            <w:pPr>
              <w:rPr>
                <w:bCs/>
              </w:rPr>
            </w:pPr>
            <w:r w:rsidRPr="004D3AB4">
              <w:t>Des stratégies ou plans nationaux de propriété intellectuelle sont en cours de mise en œuvre dans 55 pays au total (32 en Afrique, 3 dans la région arabe, 10 en Asie et dans le Pacifique et 10 en Amérique latine et dans les Caraïbes), dont 24 sont des PMA.</w:t>
            </w:r>
          </w:p>
          <w:p w:rsidR="003E0BB0" w:rsidRPr="004D3AB4" w:rsidRDefault="003E0BB0" w:rsidP="00263F34"/>
          <w:p w:rsidR="003E0BB0" w:rsidRPr="004D3AB4" w:rsidRDefault="003E0BB0" w:rsidP="00263F34">
            <w:pPr>
              <w:pStyle w:val="ListParagraph"/>
              <w:numPr>
                <w:ilvl w:val="0"/>
                <w:numId w:val="7"/>
              </w:numPr>
              <w:autoSpaceDE w:val="0"/>
              <w:outlineLvl w:val="3"/>
              <w:rPr>
                <w:i/>
              </w:rPr>
            </w:pPr>
            <w:r w:rsidRPr="004D3AB4">
              <w:rPr>
                <w:i/>
              </w:rPr>
              <w:t>Un projet relatif à la propriété intellectuelle et la création de marques de produits aux fins de développement des entreprises dans les pays en développement et les PMA (CDIP/5/5) a contribué à la mise en œuvre de la recommandation n° 4.</w:t>
            </w:r>
          </w:p>
          <w:p w:rsidR="003E0BB0" w:rsidRPr="004D3AB4" w:rsidRDefault="003E0BB0" w:rsidP="00263F34">
            <w:pPr>
              <w:autoSpaceDE w:val="0"/>
              <w:outlineLvl w:val="3"/>
            </w:pPr>
          </w:p>
          <w:p w:rsidR="003E0BB0" w:rsidRPr="004D3AB4" w:rsidRDefault="003E0BB0" w:rsidP="00263F34">
            <w:pPr>
              <w:autoSpaceDE w:val="0"/>
              <w:outlineLvl w:val="3"/>
              <w:rPr>
                <w:i/>
              </w:rPr>
            </w:pPr>
            <w:r w:rsidRPr="004D3AB4">
              <w:t>Sur la base de l’expérience acquise dans le cadre du projet Propriété intellectuelle et création de marques de produits aux fins de développement des entreprises dans les pays en développement et les PMA, un projet a été lancé en vue de créer un environnement propice à la propriété intellectuelle afin de renforcer la compétitivité des entreprises grâce aux marques et aux dessins et modèles dans certains pays : les îles du Pacifique (Samoa, Papouasie–Nouvelle</w:t>
            </w:r>
            <w:r w:rsidRPr="004D3AB4">
              <w:noBreakHyphen/>
              <w:t>Guinée), l’ASEAN (Cambodge, République démocratique populaire lao), la SAARC (Bhoutan, Bangladesh), la République islamique d’Iran et la Mongolie.</w:t>
            </w:r>
          </w:p>
          <w:p w:rsidR="003E0BB0" w:rsidRPr="004D3AB4" w:rsidRDefault="003E0BB0" w:rsidP="00263F34">
            <w:pPr>
              <w:autoSpaceDE w:val="0"/>
              <w:outlineLvl w:val="3"/>
              <w:rPr>
                <w:i/>
              </w:rPr>
            </w:pPr>
          </w:p>
          <w:p w:rsidR="003E0BB0" w:rsidRPr="004D3AB4" w:rsidRDefault="003E0BB0" w:rsidP="00263F34">
            <w:pPr>
              <w:pStyle w:val="ListParagraph"/>
              <w:numPr>
                <w:ilvl w:val="0"/>
                <w:numId w:val="7"/>
              </w:numPr>
              <w:autoSpaceDE w:val="0"/>
              <w:outlineLvl w:val="3"/>
              <w:rPr>
                <w:i/>
              </w:rPr>
            </w:pPr>
            <w:r w:rsidRPr="004D3AB4">
              <w:rPr>
                <w:i/>
              </w:rPr>
              <w:t>Un projet pilote sur la propriété intellectuelle et la gestion des dessins et modèles pour le développement des entreprises dans les pays en développement et les PMA a été lancé</w:t>
            </w:r>
          </w:p>
          <w:p w:rsidR="003E0BB0" w:rsidRPr="004D3AB4" w:rsidRDefault="003E0BB0" w:rsidP="00263F34">
            <w:pPr>
              <w:pStyle w:val="ListParagraph"/>
              <w:autoSpaceDE w:val="0"/>
              <w:outlineLvl w:val="3"/>
              <w:rPr>
                <w:i/>
              </w:rPr>
            </w:pPr>
          </w:p>
          <w:p w:rsidR="003E0BB0" w:rsidRPr="004D3AB4" w:rsidRDefault="003E0BB0" w:rsidP="00263F34">
            <w:r w:rsidRPr="004D3AB4">
              <w:t>Le projet s’est achevé en avril 2016 et a été évalué en mars 2017.  À sa vingtième session, en décembre 2017, le CDIP a approuvé le suivi du projet sur la propriété intellectuelle et la gestion des dessins et modèles pour le développement des entreprises dans les pays en développement et les PMA, après examen de l’évaluation du projet.  Une composante du suivi consisterait à intégrer les activités du projet dans le travail régulier de sensibilisation et de renforcement des capacités du Secrétariat.</w:t>
            </w:r>
          </w:p>
          <w:p w:rsidR="003E0BB0" w:rsidRPr="004D3AB4" w:rsidRDefault="003E0BB0" w:rsidP="00263F34"/>
          <w:p w:rsidR="003E0BB0" w:rsidRPr="004D3AB4" w:rsidRDefault="003E0BB0" w:rsidP="00263F34">
            <w:r w:rsidRPr="004D3AB4">
              <w:t>Dans le cadre du projet sur le renforcement et le développement du secteur de l’audiovisuel au Burkina Faso et dans certains pays africains – Phase II, une étude de faisabilité sur l’amélioration de la collecte de données économiques sur le secteur de l’audiovisuel dans plusieurs pays africains a été présentée à la vingt et unième session du CDIP (CDIP/21/INF/2).  On trouvera à l’annexe V du présent document des informations plus détaillées sur les autres activités entreprises dans le cadre de ce projet.</w:t>
            </w:r>
          </w:p>
          <w:p w:rsidR="003E0BB0" w:rsidRPr="004D3AB4" w:rsidRDefault="003E0BB0" w:rsidP="00263F34"/>
        </w:tc>
      </w:tr>
      <w:tr w:rsidR="003E0BB0" w:rsidRPr="004D3AB4" w:rsidTr="00263F34">
        <w:tc>
          <w:tcPr>
            <w:tcW w:w="2503" w:type="dxa"/>
          </w:tcPr>
          <w:p w:rsidR="003E0BB0" w:rsidRPr="004D3AB4" w:rsidRDefault="003E0BB0" w:rsidP="00263F34">
            <w:r w:rsidRPr="004D3AB4">
              <w:t>Autres rapports/documents liés à la recommandation</w:t>
            </w:r>
          </w:p>
        </w:tc>
        <w:tc>
          <w:tcPr>
            <w:tcW w:w="7016" w:type="dxa"/>
          </w:tcPr>
          <w:p w:rsidR="003E0BB0" w:rsidRPr="004D3AB4" w:rsidRDefault="003E0BB0" w:rsidP="00263F34">
            <w:pPr>
              <w:rPr>
                <w:highlight w:val="red"/>
              </w:rPr>
            </w:pPr>
            <w:r w:rsidRPr="004D3AB4">
              <w:t>Rapports examinés par le CDIP : CDIP/3/5;  CDIP/6/2;  CDIP/6/3;  CDIP/8/2;  CDIP/10/2;  CDIP/10/7;  CDIP/12/2;  CDIP/13/3;  CDIP/14/2;  CDIP/16/2;  CDIP/17/3;  CDIP/18/2;  CDIP/19/4;  CDIP/20/2.</w:t>
            </w:r>
          </w:p>
          <w:p w:rsidR="003E0BB0" w:rsidRPr="004D3AB4" w:rsidRDefault="003E0BB0" w:rsidP="00263F34"/>
          <w:p w:rsidR="003E0BB0" w:rsidRPr="004D3AB4" w:rsidRDefault="003E0BB0" w:rsidP="00263F34">
            <w:r w:rsidRPr="004D3AB4">
              <w:t>Outre les activités figurant dans la Base de données de l’assistance technique dans le domaine de la propriété intellectuelle, pour plus d’informations sur les réalisations liées à cette recommandation, voir le rapport sur l’exécution du programme de l’OMPI en 2016</w:t>
            </w:r>
            <w:r w:rsidRPr="004D3AB4">
              <w:noBreakHyphen/>
              <w:t>2017 (document WO/PBC/28/7).</w:t>
            </w:r>
          </w:p>
          <w:p w:rsidR="003E0BB0" w:rsidRPr="004D3AB4" w:rsidRDefault="003E0BB0" w:rsidP="00263F34">
            <w:pPr>
              <w:rPr>
                <w:sz w:val="21"/>
                <w:szCs w:val="21"/>
                <w:highlight w:val="yellow"/>
                <w:bdr w:val="none" w:sz="0" w:space="0" w:color="auto" w:frame="1"/>
              </w:rPr>
            </w:pPr>
          </w:p>
        </w:tc>
      </w:tr>
    </w:tbl>
    <w:p w:rsidR="003E0BB0" w:rsidRPr="004D3AB4" w:rsidRDefault="003E0BB0" w:rsidP="003E0BB0">
      <w:r w:rsidRPr="004D3AB4">
        <w:br w:type="page"/>
      </w:r>
    </w:p>
    <w:tbl>
      <w:tblPr>
        <w:tblStyle w:val="TableGrid"/>
        <w:tblW w:w="0" w:type="auto"/>
        <w:tblLook w:val="04A0" w:firstRow="1" w:lastRow="0" w:firstColumn="1" w:lastColumn="0" w:noHBand="0" w:noVBand="1"/>
      </w:tblPr>
      <w:tblGrid>
        <w:gridCol w:w="2538"/>
        <w:gridCol w:w="6749"/>
      </w:tblGrid>
      <w:tr w:rsidR="003E0BB0" w:rsidRPr="004D3AB4" w:rsidTr="00263F34">
        <w:tc>
          <w:tcPr>
            <w:tcW w:w="2538" w:type="dxa"/>
            <w:shd w:val="clear" w:color="auto" w:fill="BFBFBF" w:themeFill="background1" w:themeFillShade="BF"/>
          </w:tcPr>
          <w:p w:rsidR="003E0BB0" w:rsidRPr="004D3AB4" w:rsidRDefault="003E0BB0" w:rsidP="00263F34">
            <w:r w:rsidRPr="004D3AB4">
              <w:t>Recommandation(s)</w:t>
            </w:r>
          </w:p>
        </w:tc>
        <w:tc>
          <w:tcPr>
            <w:tcW w:w="6749" w:type="dxa"/>
            <w:shd w:val="clear" w:color="auto" w:fill="BFBFBF" w:themeFill="background1" w:themeFillShade="BF"/>
          </w:tcPr>
          <w:p w:rsidR="003E0BB0" w:rsidRPr="004D3AB4" w:rsidRDefault="003E0BB0" w:rsidP="00263F34">
            <w:pPr>
              <w:rPr>
                <w:i/>
              </w:rPr>
            </w:pPr>
            <w:r w:rsidRPr="004D3AB4">
              <w:rPr>
                <w:i/>
              </w:rPr>
              <w:t>Recommandation n° 5</w:t>
            </w:r>
          </w:p>
          <w:p w:rsidR="003E0BB0" w:rsidRPr="00F972E3" w:rsidRDefault="003E0BB0" w:rsidP="00263F34">
            <w:pPr>
              <w:rPr>
                <w:i/>
                <w:sz w:val="16"/>
              </w:rPr>
            </w:pPr>
          </w:p>
          <w:p w:rsidR="003E0BB0" w:rsidRPr="004D3AB4" w:rsidRDefault="003E0BB0" w:rsidP="00263F34">
            <w:r w:rsidRPr="004D3AB4">
              <w:t>L’OMPI publiera sur son site Web des informations générales sur l’ensemble des activités d’assistance technique et fournira, à la demande des États membres, des informations détaillées sur des activités spécifiques, avec le consentement des États membres et autres destinataires concernés pour lesquels l’activité a été mise en œuvre.</w:t>
            </w:r>
          </w:p>
          <w:p w:rsidR="003E0BB0" w:rsidRPr="00F972E3" w:rsidRDefault="003E0BB0" w:rsidP="00263F34">
            <w:pPr>
              <w:rPr>
                <w:sz w:val="16"/>
              </w:rPr>
            </w:pPr>
          </w:p>
        </w:tc>
      </w:tr>
      <w:tr w:rsidR="003E0BB0" w:rsidRPr="004D3AB4" w:rsidTr="00263F34">
        <w:tc>
          <w:tcPr>
            <w:tcW w:w="2538" w:type="dxa"/>
          </w:tcPr>
          <w:p w:rsidR="003E0BB0" w:rsidRPr="004D3AB4" w:rsidRDefault="003E0BB0" w:rsidP="00263F34">
            <w:r w:rsidRPr="004D3AB4">
              <w:t>Programmes du Programme et budget 2018/2019 liés à la recommandation</w:t>
            </w:r>
          </w:p>
          <w:p w:rsidR="003E0BB0" w:rsidRPr="00F972E3" w:rsidRDefault="003E0BB0" w:rsidP="00263F34">
            <w:pPr>
              <w:rPr>
                <w:sz w:val="16"/>
              </w:rPr>
            </w:pPr>
          </w:p>
        </w:tc>
        <w:tc>
          <w:tcPr>
            <w:tcW w:w="6749" w:type="dxa"/>
          </w:tcPr>
          <w:p w:rsidR="003E0BB0" w:rsidRPr="004D3AB4" w:rsidRDefault="003E0BB0" w:rsidP="00263F34">
            <w:r w:rsidRPr="004D3AB4">
              <w:t>1, 2, 3, 4, 5, 6, 9, 10, 11, 14, 15, 17, 30, 31 et 32</w:t>
            </w:r>
          </w:p>
        </w:tc>
      </w:tr>
      <w:tr w:rsidR="003E0BB0" w:rsidRPr="004D3AB4" w:rsidTr="00263F34">
        <w:tc>
          <w:tcPr>
            <w:tcW w:w="2538" w:type="dxa"/>
          </w:tcPr>
          <w:p w:rsidR="003E0BB0" w:rsidRPr="004D3AB4" w:rsidRDefault="003E0BB0" w:rsidP="00263F34">
            <w:r w:rsidRPr="004D3AB4">
              <w:t xml:space="preserve">Mise en œuvre </w:t>
            </w:r>
          </w:p>
        </w:tc>
        <w:tc>
          <w:tcPr>
            <w:tcW w:w="6749" w:type="dxa"/>
          </w:tcPr>
          <w:p w:rsidR="003E0BB0" w:rsidRPr="004D3AB4" w:rsidRDefault="003E0BB0" w:rsidP="00263F34">
            <w:r w:rsidRPr="004D3AB4">
              <w:t>Cette recommandation est en cours de mise en œuvre depuis 2009.  Elle a été examinée à la première session du CDIP (CDIP/1/4) et a fait l’objet des activités convenues lors de la deuxième session du CDIP, comme indiqué dans les documents CDIP/2/4 et CDIP/3/INF/2.</w:t>
            </w:r>
          </w:p>
          <w:p w:rsidR="003E0BB0" w:rsidRPr="00F972E3" w:rsidRDefault="003E0BB0" w:rsidP="00263F34">
            <w:pPr>
              <w:rPr>
                <w:sz w:val="16"/>
              </w:rPr>
            </w:pPr>
          </w:p>
          <w:p w:rsidR="003E0BB0" w:rsidRPr="004D3AB4" w:rsidRDefault="003E0BB0" w:rsidP="00263F34">
            <w:r w:rsidRPr="004D3AB4">
              <w:t>Une présentation de la base de données d’assistance technique en matière de propriété intellectuelle (IP</w:t>
            </w:r>
            <w:r w:rsidRPr="004D3AB4">
              <w:noBreakHyphen/>
              <w:t>TAD) a été faite au cours de la dix</w:t>
            </w:r>
            <w:r w:rsidRPr="004D3AB4">
              <w:noBreakHyphen/>
              <w:t>huitième session du CDIP.</w:t>
            </w:r>
          </w:p>
          <w:p w:rsidR="003E0BB0" w:rsidRPr="00F972E3" w:rsidRDefault="003E0BB0" w:rsidP="00263F34">
            <w:pPr>
              <w:rPr>
                <w:sz w:val="16"/>
              </w:rPr>
            </w:pPr>
          </w:p>
        </w:tc>
      </w:tr>
      <w:tr w:rsidR="003E0BB0" w:rsidRPr="004D3AB4" w:rsidTr="00263F34">
        <w:tc>
          <w:tcPr>
            <w:tcW w:w="2538" w:type="dxa"/>
          </w:tcPr>
          <w:p w:rsidR="003E0BB0" w:rsidRPr="004D3AB4" w:rsidRDefault="003E0BB0" w:rsidP="00263F34">
            <w:r w:rsidRPr="004D3AB4">
              <w:t>Projets du Plan d’action pour le développement liés à la recommandation</w:t>
            </w:r>
          </w:p>
        </w:tc>
        <w:tc>
          <w:tcPr>
            <w:tcW w:w="6749" w:type="dxa"/>
          </w:tcPr>
          <w:p w:rsidR="003E0BB0" w:rsidRPr="004D3AB4" w:rsidRDefault="003E0BB0" w:rsidP="00263F34">
            <w:r w:rsidRPr="004D3AB4">
              <w:t xml:space="preserve">Cette recommandation a été mise en œuvre principalement par le projet sur la </w:t>
            </w:r>
            <w:hyperlink r:id="rId35" w:history="1">
              <w:r w:rsidRPr="004D3AB4">
                <w:t>Base de données de l’assistance technique dans le domaine de la propriété intellectuelle</w:t>
              </w:r>
            </w:hyperlink>
            <w:r w:rsidRPr="004D3AB4">
              <w:t xml:space="preserve"> (IP</w:t>
            </w:r>
            <w:r w:rsidRPr="004D3AB4">
              <w:noBreakHyphen/>
              <w:t>TAD) (CDIP/3/INF/2, annexe II).</w:t>
            </w:r>
          </w:p>
          <w:p w:rsidR="003E0BB0" w:rsidRPr="00F972E3" w:rsidRDefault="003E0BB0" w:rsidP="00263F34">
            <w:pPr>
              <w:rPr>
                <w:b/>
                <w:sz w:val="16"/>
              </w:rPr>
            </w:pPr>
          </w:p>
        </w:tc>
      </w:tr>
      <w:tr w:rsidR="003E0BB0" w:rsidRPr="004D3AB4" w:rsidTr="00263F34">
        <w:tc>
          <w:tcPr>
            <w:tcW w:w="2538" w:type="dxa"/>
          </w:tcPr>
          <w:p w:rsidR="003E0BB0" w:rsidRPr="004D3AB4" w:rsidRDefault="003E0BB0" w:rsidP="00263F34">
            <w:r w:rsidRPr="004D3AB4">
              <w:t xml:space="preserve">Activités/réalisations </w:t>
            </w:r>
          </w:p>
        </w:tc>
        <w:tc>
          <w:tcPr>
            <w:tcW w:w="6749" w:type="dxa"/>
          </w:tcPr>
          <w:p w:rsidR="003E0BB0" w:rsidRPr="004D3AB4" w:rsidRDefault="003E0BB0" w:rsidP="00263F34">
            <w:r w:rsidRPr="004D3AB4">
              <w:t>La Base de données de l’assistance technique dans le domaine de la propriété intellectuelle a été élaborée conformément à la recommandation n° 5 du CDIP au titre du Plan d’action pour le développement.  Elle fournit des informations sur les activités d’assistance technique de l’OMPI dont un ou plusieurs des bénéficiaires étaient originaires d’un pays en développement, d’un pays moins avancé ou d’un pays en transition.</w:t>
            </w:r>
          </w:p>
          <w:p w:rsidR="003E0BB0" w:rsidRPr="00F972E3" w:rsidRDefault="003E0BB0" w:rsidP="00263F34">
            <w:pPr>
              <w:rPr>
                <w:sz w:val="16"/>
              </w:rPr>
            </w:pPr>
          </w:p>
          <w:p w:rsidR="003E0BB0" w:rsidRPr="004D3AB4" w:rsidRDefault="003E0BB0" w:rsidP="00263F34">
            <w:r w:rsidRPr="004D3AB4">
              <w:t xml:space="preserve">Au départ, les données étaient insérées manuellement dans la base de données, ce qui était laborieux, </w:t>
            </w:r>
            <w:proofErr w:type="gramStart"/>
            <w:r w:rsidRPr="004D3AB4">
              <w:t>chronophage</w:t>
            </w:r>
            <w:proofErr w:type="gramEnd"/>
            <w:r w:rsidRPr="004D3AB4">
              <w:t xml:space="preserve"> et parfois imprécis.</w:t>
            </w:r>
          </w:p>
          <w:p w:rsidR="003E0BB0" w:rsidRPr="00F972E3" w:rsidRDefault="003E0BB0" w:rsidP="00263F34">
            <w:pPr>
              <w:rPr>
                <w:sz w:val="16"/>
              </w:rPr>
            </w:pPr>
          </w:p>
          <w:p w:rsidR="003E0BB0" w:rsidRPr="004D3AB4" w:rsidRDefault="003E0BB0" w:rsidP="00263F34">
            <w:r w:rsidRPr="004D3AB4">
              <w:t>Toutefois, avec le nouveau projet d’intégration DSS</w:t>
            </w:r>
            <w:r w:rsidRPr="004D3AB4">
              <w:noBreakHyphen/>
              <w:t>BI qui s’inscrit dans le cadre du projet de transition vers l’ERP, les données sont actuellement téléchargées de manière automatisée et transférées par voie électronique dans la base de données IP</w:t>
            </w:r>
            <w:r w:rsidRPr="004D3AB4">
              <w:noBreakHyphen/>
              <w:t>TAD.  Cela permet de maintenir la base de données à jour et d’assurer une plus grande exactitude de l’information.  De plus, l’outil d’analyse des données décisionnelles permet de générer différents types de rapports, qui sont innovants, conviviaux et utiles à la haute direction.</w:t>
            </w:r>
          </w:p>
          <w:p w:rsidR="003E0BB0" w:rsidRPr="004D3AB4" w:rsidRDefault="003E0BB0" w:rsidP="00263F34"/>
          <w:p w:rsidR="003E0BB0" w:rsidRPr="004D3AB4" w:rsidRDefault="003E0BB0" w:rsidP="00263F34">
            <w:r w:rsidRPr="004D3AB4">
              <w:t>Certaines des nouvelles fonctions de recherche de la Base de données de l’assistance technique dans le domaine de la propriété intellectuelle sont énumérées ci</w:t>
            </w:r>
            <w:r w:rsidRPr="004D3AB4">
              <w:noBreakHyphen/>
              <w:t>dessous :</w:t>
            </w:r>
          </w:p>
          <w:p w:rsidR="003E0BB0" w:rsidRDefault="003E0BB0" w:rsidP="00263F34"/>
          <w:p w:rsidR="00F972E3" w:rsidRPr="004D3AB4" w:rsidRDefault="00F972E3" w:rsidP="00263F34"/>
          <w:p w:rsidR="003E0BB0" w:rsidRPr="004D3AB4" w:rsidRDefault="003E0BB0" w:rsidP="00263F34">
            <w:pPr>
              <w:rPr>
                <w:u w:val="single"/>
              </w:rPr>
            </w:pPr>
            <w:r w:rsidRPr="004D3AB4">
              <w:rPr>
                <w:u w:val="single"/>
              </w:rPr>
              <w:t>Fonctionnalité de recherche d’activité</w:t>
            </w:r>
          </w:p>
          <w:p w:rsidR="003E0BB0" w:rsidRPr="004D3AB4" w:rsidRDefault="003E0BB0" w:rsidP="00263F34">
            <w:r w:rsidRPr="004D3AB4">
              <w:t>Partie 1 : titre de l’activité</w:t>
            </w:r>
          </w:p>
          <w:p w:rsidR="003E0BB0" w:rsidRPr="004D3AB4" w:rsidRDefault="003E0BB0" w:rsidP="00263F34">
            <w:r w:rsidRPr="004D3AB4">
              <w:t>Partie 2 : Domaine de propriété intellectuelle visé par l’activité</w:t>
            </w:r>
          </w:p>
          <w:p w:rsidR="003E0BB0" w:rsidRPr="004D3AB4" w:rsidRDefault="003E0BB0" w:rsidP="00263F34">
            <w:r w:rsidRPr="004D3AB4">
              <w:t>Partie 3 : Secteur/Division chargé de l’activité</w:t>
            </w:r>
          </w:p>
          <w:p w:rsidR="003E0BB0" w:rsidRPr="004D3AB4" w:rsidRDefault="003E0BB0" w:rsidP="00263F34">
            <w:r w:rsidRPr="004D3AB4">
              <w:t>Partie 4 : Type d’activité</w:t>
            </w:r>
          </w:p>
          <w:p w:rsidR="003E0BB0" w:rsidRPr="004D3AB4" w:rsidRDefault="003E0BB0" w:rsidP="00263F34">
            <w:r w:rsidRPr="004D3AB4">
              <w:t>Partie 5 : Langue de l’activité</w:t>
            </w:r>
          </w:p>
          <w:p w:rsidR="003E0BB0" w:rsidRPr="004D3AB4" w:rsidRDefault="003E0BB0" w:rsidP="00263F34">
            <w:r w:rsidRPr="004D3AB4">
              <w:t>Partie 6 : Organisateur de l’activité</w:t>
            </w:r>
          </w:p>
          <w:p w:rsidR="003E0BB0" w:rsidRPr="004D3AB4" w:rsidRDefault="003E0BB0" w:rsidP="00263F34">
            <w:r w:rsidRPr="004D3AB4">
              <w:t>Partie 7 : Pays bénéficiaires de l’activité</w:t>
            </w:r>
          </w:p>
          <w:p w:rsidR="003E0BB0" w:rsidRPr="004D3AB4" w:rsidRDefault="003E0BB0" w:rsidP="00263F34"/>
        </w:tc>
      </w:tr>
      <w:tr w:rsidR="003E0BB0" w:rsidRPr="004D3AB4" w:rsidTr="00263F34">
        <w:tc>
          <w:tcPr>
            <w:tcW w:w="2538" w:type="dxa"/>
          </w:tcPr>
          <w:p w:rsidR="003E0BB0" w:rsidRPr="004D3AB4" w:rsidRDefault="003E0BB0" w:rsidP="00263F34">
            <w:r w:rsidRPr="004D3AB4">
              <w:t>Autres rapports/documents liés à la recommandation</w:t>
            </w:r>
          </w:p>
        </w:tc>
        <w:tc>
          <w:tcPr>
            <w:tcW w:w="6749" w:type="dxa"/>
          </w:tcPr>
          <w:p w:rsidR="003E0BB0" w:rsidRPr="004D3AB4" w:rsidRDefault="003E0BB0" w:rsidP="00263F34">
            <w:r w:rsidRPr="004D3AB4">
              <w:t>Rapports examinés par le CDIP : CDIP/4/2;  CDIP/6/2;  CDIP/8/2;  CDIP/9/4.</w:t>
            </w:r>
          </w:p>
          <w:p w:rsidR="003E0BB0" w:rsidRPr="004D3AB4" w:rsidRDefault="003E0BB0" w:rsidP="00263F34"/>
          <w:p w:rsidR="003E0BB0" w:rsidRPr="004D3AB4" w:rsidRDefault="003E0BB0" w:rsidP="00263F34">
            <w:r w:rsidRPr="004D3AB4">
              <w:t>Outre les activités figurant dans la Base de données de l’assistance technique dans le domaine de la propriété intellectuelle, pour plus d’informations sur les réalisations liées à cette recommandation, voir le rapport sur l’exécution du programme de l’OMPI en 2016</w:t>
            </w:r>
            <w:r w:rsidRPr="004D3AB4">
              <w:noBreakHyphen/>
              <w:t>2017 (document WO/PBC/28/7).</w:t>
            </w:r>
          </w:p>
          <w:p w:rsidR="003E0BB0" w:rsidRPr="004D3AB4" w:rsidRDefault="003E0BB0" w:rsidP="00263F34"/>
        </w:tc>
      </w:tr>
    </w:tbl>
    <w:p w:rsidR="00F972E3" w:rsidRDefault="00F972E3" w:rsidP="003E0BB0"/>
    <w:p w:rsidR="00F972E3" w:rsidRDefault="00F972E3">
      <w:r>
        <w:br w:type="page"/>
      </w:r>
    </w:p>
    <w:tbl>
      <w:tblPr>
        <w:tblStyle w:val="TableGrid"/>
        <w:tblW w:w="0" w:type="auto"/>
        <w:tblLook w:val="04A0" w:firstRow="1" w:lastRow="0" w:firstColumn="1" w:lastColumn="0" w:noHBand="0" w:noVBand="1"/>
      </w:tblPr>
      <w:tblGrid>
        <w:gridCol w:w="2538"/>
        <w:gridCol w:w="6749"/>
      </w:tblGrid>
      <w:tr w:rsidR="003E0BB0" w:rsidRPr="000A0372" w:rsidTr="00263F34">
        <w:tc>
          <w:tcPr>
            <w:tcW w:w="2538" w:type="dxa"/>
            <w:shd w:val="clear" w:color="auto" w:fill="BFBFBF" w:themeFill="background1" w:themeFillShade="BF"/>
          </w:tcPr>
          <w:p w:rsidR="003E0BB0" w:rsidRPr="000A0372" w:rsidRDefault="003E0BB0" w:rsidP="00263F34">
            <w:r w:rsidRPr="000A0372">
              <w:t xml:space="preserve">Recommandation(s) </w:t>
            </w:r>
          </w:p>
        </w:tc>
        <w:tc>
          <w:tcPr>
            <w:tcW w:w="6749" w:type="dxa"/>
            <w:shd w:val="clear" w:color="auto" w:fill="BFBFBF" w:themeFill="background1" w:themeFillShade="BF"/>
          </w:tcPr>
          <w:p w:rsidR="003E0BB0" w:rsidRPr="000A0372" w:rsidRDefault="003E0BB0" w:rsidP="00263F34">
            <w:pPr>
              <w:rPr>
                <w:i/>
              </w:rPr>
            </w:pPr>
            <w:r w:rsidRPr="000A0372">
              <w:rPr>
                <w:i/>
              </w:rPr>
              <w:t>Recommandation n° 6</w:t>
            </w:r>
          </w:p>
          <w:p w:rsidR="003E0BB0" w:rsidRPr="000A0372" w:rsidRDefault="003E0BB0" w:rsidP="00263F34"/>
          <w:p w:rsidR="003E0BB0" w:rsidRPr="000A0372" w:rsidRDefault="003E0BB0" w:rsidP="00263F34">
            <w:r w:rsidRPr="000A0372">
              <w:t>Le personnel et les consultants chargés de l’assistance technique au sein de l’OMPI devront conserver leur neutralité et rendre compte de leurs activités, en accordant une attention particulière au code de déontologie existant et en évitant les conflits d’intérêts potentiels.  L’OMPI établira une liste des consultants chargés de l’assistance technique au sein de l’OMPI et la diffusera largement auprès des États membres.</w:t>
            </w:r>
          </w:p>
          <w:p w:rsidR="003E0BB0" w:rsidRPr="000A0372" w:rsidRDefault="003E0BB0" w:rsidP="00263F34"/>
        </w:tc>
      </w:tr>
      <w:tr w:rsidR="003E0BB0" w:rsidRPr="000A0372" w:rsidTr="00263F34">
        <w:tc>
          <w:tcPr>
            <w:tcW w:w="2538" w:type="dxa"/>
          </w:tcPr>
          <w:p w:rsidR="003E0BB0" w:rsidRPr="000A0372" w:rsidRDefault="003E0BB0" w:rsidP="00263F34">
            <w:r w:rsidRPr="000A0372">
              <w:t>Programmes du Programme et budget 2018/2019 liés à la recommandation</w:t>
            </w:r>
          </w:p>
          <w:p w:rsidR="003E0BB0" w:rsidRPr="000A0372" w:rsidRDefault="003E0BB0" w:rsidP="00263F34"/>
        </w:tc>
        <w:tc>
          <w:tcPr>
            <w:tcW w:w="6749" w:type="dxa"/>
          </w:tcPr>
          <w:p w:rsidR="003E0BB0" w:rsidRPr="000A0372" w:rsidRDefault="003E0BB0" w:rsidP="00263F34">
            <w:r w:rsidRPr="000A0372">
              <w:t>1, 2, 3, 4, 7, 9, 10, 14, 15, 16, 17, 30, 31 et 32</w:t>
            </w:r>
          </w:p>
        </w:tc>
      </w:tr>
      <w:tr w:rsidR="003E0BB0" w:rsidRPr="000A0372" w:rsidTr="00263F34">
        <w:tc>
          <w:tcPr>
            <w:tcW w:w="2538" w:type="dxa"/>
          </w:tcPr>
          <w:p w:rsidR="003E0BB0" w:rsidRPr="000A0372" w:rsidRDefault="003E0BB0" w:rsidP="00263F34">
            <w:r w:rsidRPr="000A0372">
              <w:t xml:space="preserve">Mise en œuvre </w:t>
            </w:r>
          </w:p>
        </w:tc>
        <w:tc>
          <w:tcPr>
            <w:tcW w:w="6749" w:type="dxa"/>
          </w:tcPr>
          <w:p w:rsidR="003E0BB0" w:rsidRPr="000A0372" w:rsidRDefault="003E0BB0" w:rsidP="00263F34">
            <w:r w:rsidRPr="000A0372">
              <w:t>Cette recommandation avait été examinée à la deuxième session du CDIP (CDIP/2/4) et est en cours de mise en œuvre depuis l’adoption du Plan d’action pour le développement de l’OMPI en 2007.  La stratégie de mise en œuvre de cette recommandation est fondée sur les débats qui ont eu lieu pendant la deuxième session du CDIP (document CDIP/2/4) et est présentée dans le document CDIP/3/5.  En outre, la stratégie de mise en œuvre relative à une partie de la recommandation – liste des consultants – est présentée dans le document CDIP/3/2.  Cette recommandation a été mise en œuvre comme suit :</w:t>
            </w:r>
          </w:p>
          <w:p w:rsidR="003E0BB0" w:rsidRPr="000A0372" w:rsidRDefault="003E0BB0" w:rsidP="00263F34"/>
          <w:p w:rsidR="003E0BB0" w:rsidRPr="000A0372" w:rsidRDefault="003E0BB0" w:rsidP="00263F34">
            <w:pPr>
              <w:pStyle w:val="ListParagraph"/>
              <w:numPr>
                <w:ilvl w:val="0"/>
                <w:numId w:val="32"/>
              </w:numPr>
            </w:pPr>
            <w:r w:rsidRPr="000A0372">
              <w:t>Intégrer les normes de conduite requises des représentants internationaux du système des Nations Unies dans les contrats de tous les membres du personnel de l’OMPI, y compris les consultants recrutés par l’Organisation.</w:t>
            </w:r>
          </w:p>
          <w:p w:rsidR="003E0BB0" w:rsidRPr="000A0372" w:rsidRDefault="003E0BB0" w:rsidP="00263F34">
            <w:pPr>
              <w:pStyle w:val="ListParagraph"/>
            </w:pPr>
          </w:p>
          <w:p w:rsidR="003E0BB0" w:rsidRPr="000A0372" w:rsidRDefault="003E0BB0" w:rsidP="00263F34">
            <w:pPr>
              <w:pStyle w:val="ListParagraph"/>
              <w:numPr>
                <w:ilvl w:val="0"/>
                <w:numId w:val="32"/>
              </w:numPr>
            </w:pPr>
            <w:r w:rsidRPr="000A0372">
              <w:t>Prise de conscience et meilleure compréhension de l’importance des principes d’intégrité et de déontologie.</w:t>
            </w:r>
          </w:p>
          <w:p w:rsidR="003E0BB0" w:rsidRPr="000A0372" w:rsidRDefault="003E0BB0" w:rsidP="00263F34">
            <w:pPr>
              <w:pStyle w:val="ListParagraph"/>
            </w:pPr>
          </w:p>
          <w:p w:rsidR="003E0BB0" w:rsidRPr="000A0372" w:rsidRDefault="003E0BB0" w:rsidP="00263F34">
            <w:pPr>
              <w:pStyle w:val="ListParagraph"/>
              <w:numPr>
                <w:ilvl w:val="0"/>
                <w:numId w:val="32"/>
              </w:numPr>
            </w:pPr>
            <w:r w:rsidRPr="000A0372">
              <w:t>Développer les capacités d’investigation de l’OMPI sur les manquements commis au sein de l’Organisation.</w:t>
            </w:r>
          </w:p>
          <w:p w:rsidR="003E0BB0" w:rsidRPr="000A0372" w:rsidRDefault="003E0BB0" w:rsidP="00263F34">
            <w:pPr>
              <w:pStyle w:val="ListParagraph"/>
            </w:pPr>
          </w:p>
          <w:p w:rsidR="003E0BB0" w:rsidRPr="000A0372" w:rsidRDefault="003E0BB0" w:rsidP="00263F34">
            <w:pPr>
              <w:pStyle w:val="ListParagraph"/>
              <w:numPr>
                <w:ilvl w:val="0"/>
                <w:numId w:val="32"/>
              </w:numPr>
            </w:pPr>
            <w:r w:rsidRPr="000A0372">
              <w:t>Établir et mettre à disposition une liste de consultants de l’OMPI chargés de fournir une assistance technique.</w:t>
            </w:r>
          </w:p>
          <w:p w:rsidR="003E0BB0" w:rsidRPr="000A0372" w:rsidRDefault="003E0BB0" w:rsidP="00263F34"/>
        </w:tc>
      </w:tr>
      <w:tr w:rsidR="003E0BB0" w:rsidRPr="000A0372" w:rsidTr="00263F34">
        <w:tc>
          <w:tcPr>
            <w:tcW w:w="2538" w:type="dxa"/>
          </w:tcPr>
          <w:p w:rsidR="003E0BB0" w:rsidRPr="000A0372" w:rsidRDefault="003E0BB0" w:rsidP="00263F34">
            <w:r w:rsidRPr="000A0372">
              <w:t>Projets du Plan d’action pour le développement liés à la recommandation</w:t>
            </w:r>
          </w:p>
        </w:tc>
        <w:tc>
          <w:tcPr>
            <w:tcW w:w="6749" w:type="dxa"/>
          </w:tcPr>
          <w:p w:rsidR="003E0BB0" w:rsidRPr="000A0372" w:rsidRDefault="003E0BB0" w:rsidP="00263F34">
            <w:r w:rsidRPr="000A0372">
              <w:t>S.O.</w:t>
            </w:r>
          </w:p>
          <w:p w:rsidR="003E0BB0" w:rsidRPr="000A0372" w:rsidRDefault="003E0BB0" w:rsidP="00263F34"/>
        </w:tc>
      </w:tr>
      <w:tr w:rsidR="003E0BB0" w:rsidRPr="000A0372" w:rsidTr="00263F34">
        <w:tc>
          <w:tcPr>
            <w:tcW w:w="2538" w:type="dxa"/>
          </w:tcPr>
          <w:p w:rsidR="003E0BB0" w:rsidRPr="000A0372" w:rsidRDefault="003E0BB0" w:rsidP="00263F34">
            <w:r w:rsidRPr="000A0372">
              <w:t xml:space="preserve">Activités/réalisations </w:t>
            </w:r>
          </w:p>
        </w:tc>
        <w:tc>
          <w:tcPr>
            <w:tcW w:w="6749" w:type="dxa"/>
          </w:tcPr>
          <w:p w:rsidR="003E0BB0" w:rsidRPr="000A0372" w:rsidRDefault="003E0BB0" w:rsidP="00263F34">
            <w:pPr>
              <w:pStyle w:val="ListParagraph"/>
              <w:numPr>
                <w:ilvl w:val="0"/>
                <w:numId w:val="13"/>
              </w:numPr>
              <w:ind w:left="0" w:firstLine="297"/>
            </w:pPr>
            <w:r w:rsidRPr="000A0372">
              <w:t>Publication au cours de la période d’une politique en matière de déclaration de situation financière et de déclaration d’intérêts, afin de renforcer encore le cadre éthique et de l’aligner sur les normes de conduite de la fonction publique internationale de l’ONU et les meilleures pratiques.</w:t>
            </w:r>
          </w:p>
          <w:p w:rsidR="003E0BB0" w:rsidRPr="000A0372" w:rsidRDefault="003E0BB0" w:rsidP="00263F34">
            <w:pPr>
              <w:pStyle w:val="ListParagraph"/>
            </w:pPr>
          </w:p>
          <w:p w:rsidR="003E0BB0" w:rsidRPr="000A0372" w:rsidRDefault="003E0BB0" w:rsidP="00263F34">
            <w:pPr>
              <w:pStyle w:val="ListParagraph"/>
              <w:numPr>
                <w:ilvl w:val="0"/>
                <w:numId w:val="13"/>
              </w:numPr>
              <w:ind w:left="14" w:firstLine="283"/>
            </w:pPr>
            <w:r w:rsidRPr="000A0372">
              <w:t>Tant en ce qui concerne le nombre de membres du personnel de l’OMPI que les questions traitées, les efforts se poursuivent en vue d’accroître le niveau de sensibilisation aux questions d’éthique.  En outre, le Bureau de la déontologie a continué de mettre l’accent sur l’élaboration de normes et de fournir des avis et des conseils confidentiels au personnel de l’OMPI sur les situations soulevant des dilemmes éthiques.  Cette approche est bien accueillie à tous les niveaux.</w:t>
            </w:r>
          </w:p>
          <w:p w:rsidR="003E0BB0" w:rsidRPr="000A0372" w:rsidRDefault="003E0BB0" w:rsidP="00263F34">
            <w:pPr>
              <w:pStyle w:val="Default"/>
              <w:rPr>
                <w:b/>
                <w:color w:val="auto"/>
                <w:sz w:val="16"/>
                <w:szCs w:val="16"/>
              </w:rPr>
            </w:pPr>
          </w:p>
          <w:p w:rsidR="003E0BB0" w:rsidRPr="000A0372" w:rsidRDefault="003E0BB0" w:rsidP="00263F34">
            <w:pPr>
              <w:pStyle w:val="ListParagraph"/>
              <w:numPr>
                <w:ilvl w:val="0"/>
                <w:numId w:val="13"/>
              </w:numPr>
              <w:ind w:left="0" w:firstLine="297"/>
            </w:pPr>
            <w:r w:rsidRPr="000A0372">
              <w:t>Une politique relative aux sanctions applicables aux fournisseurs (ordre de service n° 31/2017) a été adoptée.  Accompagnée de procédures administratives, elle permet à l’OMPI d’imposer des sanctions d’exclusion ou d’inéligibilité aux fournisseurs dont la Division de la supervision interne (DSI) a conclu qu’ils avaient commis des fautes.</w:t>
            </w:r>
          </w:p>
          <w:p w:rsidR="003E0BB0" w:rsidRPr="000A0372" w:rsidRDefault="003E0BB0" w:rsidP="00263F34"/>
          <w:p w:rsidR="003E0BB0" w:rsidRPr="000A0372" w:rsidRDefault="003E0BB0" w:rsidP="00263F34">
            <w:r w:rsidRPr="000A0372">
              <w:t>Une politique révisée de protection contre les représailles en raison du signalement d’une faute ou de la collaboration à des audits ou enquêtes dûment autorisés (ordre de service n° 33/2017) a également été adoptée.  Elle renforce la protection et les droits des lanceurs d’alerte et des autres fonctionnaires qui collaborent à des activités de surveillance.</w:t>
            </w:r>
          </w:p>
          <w:p w:rsidR="003E0BB0" w:rsidRPr="000A0372" w:rsidRDefault="003E0BB0" w:rsidP="00263F34"/>
          <w:p w:rsidR="003E0BB0" w:rsidRPr="000A0372" w:rsidRDefault="003E0BB0" w:rsidP="00263F34">
            <w:r w:rsidRPr="000A0372">
              <w:t>La Division de la supervision interne (DSI) a continué de recenser les pratiques recommandées dans le domaine des enquêtes et d’en débattre en participant aux réunions et activités du groupe des Représentants des Services d’enquête du système des Nations Unies (UN</w:t>
            </w:r>
            <w:r w:rsidRPr="000A0372">
              <w:noBreakHyphen/>
              <w:t>RIS) et de la Conférence des enquêteurs internationaux.</w:t>
            </w:r>
          </w:p>
          <w:p w:rsidR="003E0BB0" w:rsidRPr="000A0372" w:rsidRDefault="003E0BB0" w:rsidP="00263F34"/>
          <w:p w:rsidR="003E0BB0" w:rsidRPr="000A0372" w:rsidRDefault="003E0BB0" w:rsidP="00263F34">
            <w:pPr>
              <w:pStyle w:val="ListParagraph"/>
              <w:numPr>
                <w:ilvl w:val="0"/>
                <w:numId w:val="13"/>
              </w:numPr>
              <w:ind w:left="0" w:firstLine="297"/>
            </w:pPr>
            <w:r w:rsidRPr="000A0372">
              <w:t>La liste des consultants présentée à la troisième session du CDIP et le projet “Base de données de l’assistance technique dans le domaine de la propriété intellectuelle (IP</w:t>
            </w:r>
            <w:r w:rsidRPr="000A0372">
              <w:noBreakHyphen/>
              <w:t>TAD)” (projet DA_05_01) ont été intégrés dans le système de planification des ressources (ERP) de l’OMPI, ce qui automatise le téléchargement des données et accroît les capacités en matière d’élaboration de rapports.</w:t>
            </w:r>
          </w:p>
          <w:p w:rsidR="003E0BB0" w:rsidRPr="000A0372" w:rsidRDefault="003E0BB0" w:rsidP="00263F34">
            <w:pPr>
              <w:pStyle w:val="ListParagraph"/>
            </w:pPr>
          </w:p>
          <w:p w:rsidR="003E0BB0" w:rsidRPr="000A0372" w:rsidRDefault="003E0BB0" w:rsidP="00263F34">
            <w:r w:rsidRPr="000A0372">
              <w:t>Il est rappelé qu’à la suite de la proposition en six points approuvée (figurant à l’appendice I du Résumé présenté par le président, CDIP/17), le Secrétariat a été prié de mettre à jour et d’améliorer régulièrement la liste des consultants.  À cet égard, le comité a examiné le document CDIP/20/6, qui contient des informations sur l’utilisation de la liste des consultants et son amélioration à l’avenir.</w:t>
            </w:r>
          </w:p>
          <w:p w:rsidR="003E0BB0" w:rsidRPr="000A0372" w:rsidRDefault="003E0BB0" w:rsidP="00263F34"/>
        </w:tc>
      </w:tr>
      <w:tr w:rsidR="003E0BB0" w:rsidRPr="000A0372" w:rsidTr="00263F34">
        <w:tc>
          <w:tcPr>
            <w:tcW w:w="2538" w:type="dxa"/>
          </w:tcPr>
          <w:p w:rsidR="003E0BB0" w:rsidRPr="000A0372" w:rsidRDefault="003E0BB0" w:rsidP="00263F34">
            <w:r w:rsidRPr="000A0372">
              <w:t>Autres rapports/documents liés à la recommandation</w:t>
            </w:r>
          </w:p>
        </w:tc>
        <w:tc>
          <w:tcPr>
            <w:tcW w:w="6749" w:type="dxa"/>
          </w:tcPr>
          <w:p w:rsidR="003E0BB0" w:rsidRPr="000A0372" w:rsidRDefault="003E0BB0" w:rsidP="00263F34">
            <w:r w:rsidRPr="000A0372">
              <w:t>Rapports examinés par le CDIP : CDIP/3/5;  CDIP/6/3;  CDIP/8/2;  CDIP/10/2;  CDIP/12/2;  CDIP/14/2;  CDIP/16/2;  CDIP/18/2;  CDIP/20/2;  CDIP/20/6.</w:t>
            </w:r>
          </w:p>
          <w:p w:rsidR="003E0BB0" w:rsidRPr="000A0372" w:rsidRDefault="003E0BB0" w:rsidP="00263F34"/>
          <w:p w:rsidR="003E0BB0" w:rsidRPr="000A0372" w:rsidRDefault="003E0BB0" w:rsidP="00263F34">
            <w:r w:rsidRPr="000A0372">
              <w:t>Outre les activités figurant dans la Base de données de l’assistance technique dans le domaine de la propriété intellectuelle, pour plus d’informations sur les réalisations liées à cette recommandation, voir le rapport sur l’exécution du programme de l’OMPI en 2016</w:t>
            </w:r>
            <w:r w:rsidRPr="000A0372">
              <w:noBreakHyphen/>
              <w:t>2017 (document WO/PBC/28/7).</w:t>
            </w:r>
          </w:p>
          <w:p w:rsidR="003E0BB0" w:rsidRPr="000A0372" w:rsidRDefault="003E0BB0" w:rsidP="00263F34">
            <w:pPr>
              <w:rPr>
                <w:i/>
                <w:sz w:val="21"/>
                <w:szCs w:val="21"/>
                <w:highlight w:val="yellow"/>
                <w:bdr w:val="none" w:sz="0" w:space="0" w:color="auto" w:frame="1"/>
              </w:rPr>
            </w:pPr>
          </w:p>
        </w:tc>
      </w:tr>
    </w:tbl>
    <w:p w:rsidR="003E0BB0" w:rsidRPr="000A0372" w:rsidRDefault="003E0BB0" w:rsidP="003E0BB0">
      <w:r w:rsidRPr="000A0372">
        <w:br w:type="page"/>
      </w:r>
    </w:p>
    <w:tbl>
      <w:tblPr>
        <w:tblStyle w:val="TableGrid"/>
        <w:tblW w:w="0" w:type="auto"/>
        <w:tblLook w:val="04A0" w:firstRow="1" w:lastRow="0" w:firstColumn="1" w:lastColumn="0" w:noHBand="0" w:noVBand="1"/>
      </w:tblPr>
      <w:tblGrid>
        <w:gridCol w:w="2538"/>
        <w:gridCol w:w="6749"/>
      </w:tblGrid>
      <w:tr w:rsidR="003E0BB0" w:rsidRPr="000A0372" w:rsidTr="00263F34">
        <w:tc>
          <w:tcPr>
            <w:tcW w:w="2538" w:type="dxa"/>
            <w:shd w:val="clear" w:color="auto" w:fill="BFBFBF" w:themeFill="background1" w:themeFillShade="BF"/>
          </w:tcPr>
          <w:p w:rsidR="003E0BB0" w:rsidRPr="000A0372" w:rsidRDefault="003E0BB0" w:rsidP="00263F34">
            <w:r w:rsidRPr="000A0372">
              <w:t xml:space="preserve">Recommandation(s) </w:t>
            </w:r>
          </w:p>
        </w:tc>
        <w:tc>
          <w:tcPr>
            <w:tcW w:w="6749" w:type="dxa"/>
            <w:shd w:val="clear" w:color="auto" w:fill="BFBFBF" w:themeFill="background1" w:themeFillShade="BF"/>
          </w:tcPr>
          <w:p w:rsidR="003E0BB0" w:rsidRPr="000A0372" w:rsidRDefault="003E0BB0" w:rsidP="00263F34">
            <w:pPr>
              <w:rPr>
                <w:i/>
              </w:rPr>
            </w:pPr>
            <w:r w:rsidRPr="000A0372">
              <w:rPr>
                <w:i/>
              </w:rPr>
              <w:t>Recommandation n° 7</w:t>
            </w:r>
          </w:p>
          <w:p w:rsidR="003E0BB0" w:rsidRPr="000A0372" w:rsidRDefault="003E0BB0" w:rsidP="00263F34"/>
          <w:p w:rsidR="003E0BB0" w:rsidRPr="000A0372" w:rsidRDefault="003E0BB0" w:rsidP="00263F34">
            <w:r w:rsidRPr="000A0372">
              <w:t>Promouvoir des mesures qui aideront les pays à lutter contre les pratiques anticoncurrentielles en rapport avec la propriété intellectuelle, en fournissant aux pays en développement, en particulier les PMA, à leur demande, une assistance technique destinée à faire mieux comprendre l’interface entre les droits de propriété intellectuelle et les politiques en matière de concurrence.</w:t>
            </w:r>
          </w:p>
          <w:p w:rsidR="003E0BB0" w:rsidRPr="000A0372" w:rsidRDefault="003E0BB0" w:rsidP="00263F34"/>
        </w:tc>
      </w:tr>
      <w:tr w:rsidR="003E0BB0" w:rsidRPr="000A0372" w:rsidTr="00263F34">
        <w:tc>
          <w:tcPr>
            <w:tcW w:w="2538" w:type="dxa"/>
          </w:tcPr>
          <w:p w:rsidR="003E0BB0" w:rsidRPr="000A0372" w:rsidRDefault="003E0BB0" w:rsidP="00263F34">
            <w:r w:rsidRPr="000A0372">
              <w:t>Programmes du Programme et budget 2018/2019 liés à la recommandation</w:t>
            </w:r>
          </w:p>
          <w:p w:rsidR="003E0BB0" w:rsidRPr="000A0372" w:rsidRDefault="003E0BB0" w:rsidP="00263F34"/>
        </w:tc>
        <w:tc>
          <w:tcPr>
            <w:tcW w:w="6749" w:type="dxa"/>
          </w:tcPr>
          <w:p w:rsidR="003E0BB0" w:rsidRPr="000A0372" w:rsidRDefault="003E0BB0" w:rsidP="00263F34">
            <w:r w:rsidRPr="000A0372">
              <w:t>1, 2, 3, 9, 10, 11 et 30</w:t>
            </w:r>
          </w:p>
        </w:tc>
      </w:tr>
      <w:tr w:rsidR="003E0BB0" w:rsidRPr="000A0372" w:rsidTr="00263F34">
        <w:tc>
          <w:tcPr>
            <w:tcW w:w="2538" w:type="dxa"/>
          </w:tcPr>
          <w:p w:rsidR="003E0BB0" w:rsidRPr="000A0372" w:rsidRDefault="003E0BB0" w:rsidP="00263F34">
            <w:r w:rsidRPr="000A0372">
              <w:t xml:space="preserve">Mise en œuvre </w:t>
            </w:r>
          </w:p>
        </w:tc>
        <w:tc>
          <w:tcPr>
            <w:tcW w:w="6749" w:type="dxa"/>
          </w:tcPr>
          <w:p w:rsidR="003E0BB0" w:rsidRPr="000A0372" w:rsidRDefault="003E0BB0" w:rsidP="00263F34">
            <w:r w:rsidRPr="000A0372">
              <w:t>Cette recommandation avait été examinée à la deuxième session du CDIP (CDIP/2/4) et est en cours de mise en œuvre depuis l’adoption du Plan d’action pour le développement de l’OMPI en 2007.  La stratégie de mise en œuvre de cette recommandation est fondée sur les débats qui ont eu lieu pendant la deuxième et la quatr</w:t>
            </w:r>
            <w:r>
              <w:t xml:space="preserve">ième </w:t>
            </w:r>
            <w:r w:rsidRPr="000A0372">
              <w:t>sessions du CDIP (documents CDIP/2/4 et CDIP/4/4) et est présentée dans le document CDIP/3/5.  La voici :</w:t>
            </w:r>
          </w:p>
          <w:p w:rsidR="003E0BB0" w:rsidRPr="000A0372" w:rsidRDefault="003E0BB0" w:rsidP="00263F34"/>
          <w:p w:rsidR="003E0BB0" w:rsidRPr="000A0372" w:rsidRDefault="003E0BB0" w:rsidP="00263F34">
            <w:r w:rsidRPr="000A0372">
              <w:t>Sur demande, l’OMPI fournit une assistance et des conseils législatifs pour prévenir les pratiques anticoncurrentielles dans le domaine de la propriété intellectuelle ou y mettre un terme.  Cela</w:t>
            </w:r>
            <w:r w:rsidR="00F972E3">
              <w:t> </w:t>
            </w:r>
            <w:r w:rsidRPr="000A0372">
              <w:t>vise notamment l’examen de la portée même des droits de propriété intellectuelle exclusifs, y compris les exceptions et limitations à ces droits, ainsi que l’utilisation de mécanismes juridiques tels que les licences obligatoires ou d’autres mesures autorisées en application des normes internationales.  Sur</w:t>
            </w:r>
            <w:r w:rsidR="00F972E3">
              <w:t> </w:t>
            </w:r>
            <w:r w:rsidRPr="000A0372">
              <w:t>demande, des conseils sont aussi fournis sur des questions relatives aux clauses commerciales restrictives et à d’autres dispositions figurant dans les contrats de licence en matière de propriété intellectuelle pouvant avoir un impact négatif sur la concurrence.</w:t>
            </w:r>
          </w:p>
          <w:p w:rsidR="003E0BB0" w:rsidRPr="000A0372" w:rsidRDefault="003E0BB0" w:rsidP="00263F34"/>
          <w:p w:rsidR="003E0BB0" w:rsidRPr="000A0372" w:rsidRDefault="003E0BB0" w:rsidP="00263F34">
            <w:r w:rsidRPr="000A0372">
              <w:rPr>
                <w:lang w:val="pt-BR"/>
              </w:rPr>
              <w:t>En outre, en vertu de cette recommandation, un projet thématique relatif à la propriété intellectuelle et à la politique en matière de concurrence (CDIP/4/4 Rev.) a été élaboré et mis en œuvre.</w:t>
            </w:r>
          </w:p>
          <w:p w:rsidR="003E0BB0" w:rsidRPr="000A0372" w:rsidRDefault="003E0BB0" w:rsidP="00263F34"/>
        </w:tc>
      </w:tr>
      <w:tr w:rsidR="003E0BB0" w:rsidRPr="000A0372" w:rsidTr="00263F34">
        <w:tc>
          <w:tcPr>
            <w:tcW w:w="2538" w:type="dxa"/>
          </w:tcPr>
          <w:p w:rsidR="003E0BB0" w:rsidRPr="000A0372" w:rsidRDefault="003E0BB0" w:rsidP="00263F34">
            <w:r w:rsidRPr="000A0372">
              <w:t>Projets du Plan d’action pour le développement liés à la recommandation</w:t>
            </w:r>
          </w:p>
        </w:tc>
        <w:tc>
          <w:tcPr>
            <w:tcW w:w="6749" w:type="dxa"/>
          </w:tcPr>
          <w:p w:rsidR="003E0BB0" w:rsidRPr="000A0372" w:rsidRDefault="003E0BB0" w:rsidP="00263F34">
            <w:r w:rsidRPr="000A0372">
              <w:t>Cette recommandation a été mise en œuvre dans le cadre du projet sur la propriété intellectuelle et la politique en matière de concurrence (CDIP/4/4 Rev.).</w:t>
            </w:r>
          </w:p>
          <w:p w:rsidR="003E0BB0" w:rsidRPr="000A0372" w:rsidRDefault="003E0BB0" w:rsidP="00263F34"/>
        </w:tc>
      </w:tr>
      <w:tr w:rsidR="003E0BB0" w:rsidRPr="000A0372" w:rsidTr="00263F34">
        <w:tc>
          <w:tcPr>
            <w:tcW w:w="2538" w:type="dxa"/>
          </w:tcPr>
          <w:p w:rsidR="003E0BB0" w:rsidRPr="000A0372" w:rsidRDefault="003E0BB0" w:rsidP="00263F34">
            <w:r w:rsidRPr="000A0372">
              <w:t xml:space="preserve">Activités/réalisations </w:t>
            </w:r>
          </w:p>
        </w:tc>
        <w:tc>
          <w:tcPr>
            <w:tcW w:w="6749" w:type="dxa"/>
          </w:tcPr>
          <w:p w:rsidR="003E0BB0" w:rsidRPr="000A0372" w:rsidRDefault="003E0BB0" w:rsidP="00263F34">
            <w:r w:rsidRPr="000A0372">
              <w:t>En 2017 et 2018, l’OMPI a axé ses travaux sur le suivi de la jurisprudence en matière de propriété intellectuelle et de concurrence dans les économies en développement et les économies émergentes.</w:t>
            </w:r>
          </w:p>
          <w:p w:rsidR="003E0BB0" w:rsidRPr="000A0372" w:rsidRDefault="003E0BB0" w:rsidP="00263F34"/>
          <w:p w:rsidR="003E0BB0" w:rsidRPr="000A0372" w:rsidRDefault="003E0BB0" w:rsidP="00263F34">
            <w:r w:rsidRPr="000A0372">
              <w:t>En outre, l’OMPI et l’OMC publieront d’ici à la fin de 2018 un ouvrage intitulé “Competition Policy and Intellectual Property in Today’s Global Economy”.  Cet ouvrage comprend des contributions d’universitaires renommés dans le domaine de la propriété intellectuelle et de la concurrence.  Il est le fruit de la collaboration de l’OMPI avec la CNUCED, l’OMC et l’Organisation de coopération et de développement économiques (OCDE) au sein du groupe informel sur la propriété intellectuelle et la concurrence.</w:t>
            </w:r>
          </w:p>
          <w:p w:rsidR="003E0BB0" w:rsidRPr="000A0372" w:rsidRDefault="003E0BB0" w:rsidP="00263F34"/>
          <w:p w:rsidR="003E0BB0" w:rsidRPr="000A0372" w:rsidRDefault="003E0BB0" w:rsidP="00263F34">
            <w:r w:rsidRPr="000A0372">
              <w:t>Par ailleurs, l’OMPI a renforcé sa participation au Réseau international de la concurrence, notamment au groupe de travail sur les comportements unilatéraux, contribuant aux discussions sur les questions de concurrence en rapport avec la propriété intellectuelle et apportant le point de vue favorable à la concurrence dans ce domaine à la communauté des organismes chargés de la concurrence.</w:t>
            </w:r>
          </w:p>
          <w:p w:rsidR="003E0BB0" w:rsidRPr="000A0372" w:rsidRDefault="003E0BB0" w:rsidP="00263F34"/>
        </w:tc>
      </w:tr>
      <w:tr w:rsidR="003E0BB0" w:rsidRPr="000A0372" w:rsidTr="00263F34">
        <w:tc>
          <w:tcPr>
            <w:tcW w:w="2538" w:type="dxa"/>
          </w:tcPr>
          <w:p w:rsidR="003E0BB0" w:rsidRPr="000A0372" w:rsidRDefault="003E0BB0" w:rsidP="00263F34">
            <w:r w:rsidRPr="000A0372">
              <w:t>Autres rapports/documents liés à la recommandation</w:t>
            </w:r>
          </w:p>
        </w:tc>
        <w:tc>
          <w:tcPr>
            <w:tcW w:w="6749" w:type="dxa"/>
          </w:tcPr>
          <w:p w:rsidR="003E0BB0" w:rsidRPr="000A0372" w:rsidRDefault="003E0BB0" w:rsidP="00263F34">
            <w:r w:rsidRPr="000A0372">
              <w:t>Rapports examinés par le CDIP : CDIP/3/5;  CDIP/4/2;  CDIP/6/2;  CDIP/6/3;  CDIP/8/2;  CDIP/9/8;  CDIP/10/2;  CDIP/12/2;  CDIP/14/2;  CDIP/16/2;  CDIP/18/2;  CDIP/20/2.</w:t>
            </w:r>
          </w:p>
          <w:p w:rsidR="003E0BB0" w:rsidRPr="000A0372" w:rsidRDefault="003E0BB0" w:rsidP="00263F34"/>
          <w:p w:rsidR="003E0BB0" w:rsidRPr="000A0372" w:rsidRDefault="003E0BB0" w:rsidP="00263F34">
            <w:r w:rsidRPr="000A0372">
              <w:t>Outre les activités figurant dans la Base de données de l’assistance technique dans le domaine de la propriété intellectuelle, pour plus d’informations sur les réalisations liées à cette recommandation, voir le rapport sur l’exécution du programme de l’OMPI en 2016</w:t>
            </w:r>
            <w:r w:rsidRPr="000A0372">
              <w:noBreakHyphen/>
              <w:t>2017 (document WO/PBC/28/7).</w:t>
            </w:r>
          </w:p>
          <w:p w:rsidR="003E0BB0" w:rsidRPr="000A0372" w:rsidRDefault="003E0BB0" w:rsidP="00263F34">
            <w:pPr>
              <w:rPr>
                <w:i/>
                <w:sz w:val="21"/>
                <w:szCs w:val="21"/>
                <w:highlight w:val="yellow"/>
                <w:bdr w:val="none" w:sz="0" w:space="0" w:color="auto" w:frame="1"/>
              </w:rPr>
            </w:pPr>
          </w:p>
        </w:tc>
      </w:tr>
    </w:tbl>
    <w:p w:rsidR="003E0BB0" w:rsidRPr="000A0372" w:rsidRDefault="003E0BB0" w:rsidP="003E0BB0">
      <w:r w:rsidRPr="000A0372">
        <w:br w:type="page"/>
      </w:r>
    </w:p>
    <w:tbl>
      <w:tblPr>
        <w:tblStyle w:val="TableGrid"/>
        <w:tblW w:w="0" w:type="auto"/>
        <w:tblLook w:val="04A0" w:firstRow="1" w:lastRow="0" w:firstColumn="1" w:lastColumn="0" w:noHBand="0" w:noVBand="1"/>
      </w:tblPr>
      <w:tblGrid>
        <w:gridCol w:w="2538"/>
        <w:gridCol w:w="6749"/>
      </w:tblGrid>
      <w:tr w:rsidR="003E0BB0" w:rsidRPr="000A0372" w:rsidTr="00263F34">
        <w:tc>
          <w:tcPr>
            <w:tcW w:w="2538" w:type="dxa"/>
            <w:shd w:val="clear" w:color="auto" w:fill="BFBFBF" w:themeFill="background1" w:themeFillShade="BF"/>
          </w:tcPr>
          <w:p w:rsidR="003E0BB0" w:rsidRPr="000A0372" w:rsidRDefault="003E0BB0" w:rsidP="00263F34">
            <w:r w:rsidRPr="000A0372">
              <w:t>Recommandation(s)</w:t>
            </w:r>
          </w:p>
        </w:tc>
        <w:tc>
          <w:tcPr>
            <w:tcW w:w="6749" w:type="dxa"/>
            <w:shd w:val="clear" w:color="auto" w:fill="BFBFBF" w:themeFill="background1" w:themeFillShade="BF"/>
          </w:tcPr>
          <w:p w:rsidR="003E0BB0" w:rsidRPr="000A0372" w:rsidRDefault="003E0BB0" w:rsidP="00263F34">
            <w:pPr>
              <w:rPr>
                <w:i/>
              </w:rPr>
            </w:pPr>
            <w:r w:rsidRPr="000A0372">
              <w:rPr>
                <w:i/>
              </w:rPr>
              <w:t>Recommandation n° 8</w:t>
            </w:r>
          </w:p>
          <w:p w:rsidR="003E0BB0" w:rsidRPr="000A0372" w:rsidRDefault="003E0BB0" w:rsidP="00263F34"/>
          <w:p w:rsidR="003E0BB0" w:rsidRPr="000A0372" w:rsidRDefault="003E0BB0" w:rsidP="00263F34">
            <w:r w:rsidRPr="000A0372">
              <w:t>Demander à l’OMPI de conclure des accords avec des instituts de recherche et des entreprises privées afin de permettre aux offices nationaux des pays en développement, en particulier des PMA, ainsi qu’à leurs organismes régionaux et sous</w:t>
            </w:r>
            <w:r w:rsidRPr="000A0372">
              <w:noBreakHyphen/>
              <w:t>régionaux chargés de la propriété intellectuelle, d’accéder à des bases de données spécialisées aux fins de la recherche en matière de brevets.</w:t>
            </w:r>
          </w:p>
          <w:p w:rsidR="003E0BB0" w:rsidRPr="000A0372" w:rsidRDefault="003E0BB0" w:rsidP="00263F34"/>
        </w:tc>
      </w:tr>
      <w:tr w:rsidR="003E0BB0" w:rsidRPr="000A0372" w:rsidTr="00263F34">
        <w:tc>
          <w:tcPr>
            <w:tcW w:w="2538" w:type="dxa"/>
          </w:tcPr>
          <w:p w:rsidR="003E0BB0" w:rsidRPr="000A0372" w:rsidRDefault="003E0BB0" w:rsidP="00263F34">
            <w:r w:rsidRPr="000A0372">
              <w:t>Programmes du Programme et budget 2018/2019 liés à la recommandation</w:t>
            </w:r>
          </w:p>
          <w:p w:rsidR="003E0BB0" w:rsidRPr="000A0372" w:rsidRDefault="003E0BB0" w:rsidP="00263F34"/>
        </w:tc>
        <w:tc>
          <w:tcPr>
            <w:tcW w:w="6749" w:type="dxa"/>
          </w:tcPr>
          <w:p w:rsidR="003E0BB0" w:rsidRPr="000A0372" w:rsidRDefault="003E0BB0" w:rsidP="00263F34">
            <w:r w:rsidRPr="000A0372">
              <w:t>9, 13, 14, 15 et 30</w:t>
            </w:r>
          </w:p>
        </w:tc>
      </w:tr>
      <w:tr w:rsidR="003E0BB0" w:rsidRPr="000A0372" w:rsidTr="00263F34">
        <w:tc>
          <w:tcPr>
            <w:tcW w:w="2538" w:type="dxa"/>
          </w:tcPr>
          <w:p w:rsidR="003E0BB0" w:rsidRPr="000A0372" w:rsidRDefault="003E0BB0" w:rsidP="00263F34">
            <w:r w:rsidRPr="000A0372">
              <w:t xml:space="preserve">Mise en œuvre </w:t>
            </w:r>
          </w:p>
        </w:tc>
        <w:tc>
          <w:tcPr>
            <w:tcW w:w="6749" w:type="dxa"/>
          </w:tcPr>
          <w:p w:rsidR="003E0BB0" w:rsidRPr="000A0372" w:rsidRDefault="003E0BB0" w:rsidP="00263F34">
            <w:r w:rsidRPr="000A0372">
              <w:t>Cette recommandation est en cours de mise en œuvre depuis début 2009.</w:t>
            </w:r>
          </w:p>
          <w:p w:rsidR="003E0BB0" w:rsidRPr="000A0372" w:rsidRDefault="003E0BB0" w:rsidP="00263F34">
            <w:r w:rsidRPr="000A0372">
              <w:t>Elle a été examinée à la première session du CDIP et a fait l’objet des activités convenues lors de la deuxième session du CDIP (document CDIP/2/4), comme indiqué dans les documents CDIP/3/INF/2 et CDIP/9/9.</w:t>
            </w:r>
          </w:p>
          <w:p w:rsidR="003E0BB0" w:rsidRPr="000A0372" w:rsidRDefault="003E0BB0" w:rsidP="00263F34"/>
        </w:tc>
      </w:tr>
      <w:tr w:rsidR="003E0BB0" w:rsidRPr="000A0372" w:rsidTr="00263F34">
        <w:tc>
          <w:tcPr>
            <w:tcW w:w="2538" w:type="dxa"/>
          </w:tcPr>
          <w:p w:rsidR="003E0BB0" w:rsidRPr="000A0372" w:rsidRDefault="003E0BB0" w:rsidP="00263F34">
            <w:r w:rsidRPr="000A0372">
              <w:t>Projets du Plan d’action pour le développement liés à la recommandation</w:t>
            </w:r>
          </w:p>
        </w:tc>
        <w:tc>
          <w:tcPr>
            <w:tcW w:w="6749" w:type="dxa"/>
          </w:tcPr>
          <w:p w:rsidR="003E0BB0" w:rsidRPr="000A0372" w:rsidRDefault="003E0BB0" w:rsidP="00263F34">
            <w:pPr>
              <w:rPr>
                <w:b/>
              </w:rPr>
            </w:pPr>
            <w:r w:rsidRPr="000A0372">
              <w:t xml:space="preserve">Cette recommandation a été mise en œuvre essentiellement dans le cadre du projet </w:t>
            </w:r>
            <w:hyperlink r:id="rId36" w:tgtFrame="_self" w:history="1">
              <w:r w:rsidRPr="000A0372">
                <w:t>Accès à des bases de données spécialisées et appui – phase I</w:t>
              </w:r>
            </w:hyperlink>
            <w:r w:rsidRPr="000A0372">
              <w:t xml:space="preserve"> et phase II (CDIP/3/INF/2 et CDIP/9/9).</w:t>
            </w:r>
          </w:p>
          <w:p w:rsidR="003E0BB0" w:rsidRPr="000A0372" w:rsidRDefault="003E0BB0" w:rsidP="00263F34">
            <w:pPr>
              <w:rPr>
                <w:b/>
              </w:rPr>
            </w:pPr>
          </w:p>
        </w:tc>
      </w:tr>
      <w:tr w:rsidR="003E0BB0" w:rsidRPr="000A0372" w:rsidTr="00263F34">
        <w:tc>
          <w:tcPr>
            <w:tcW w:w="2538" w:type="dxa"/>
          </w:tcPr>
          <w:p w:rsidR="003E0BB0" w:rsidRPr="000A0372" w:rsidRDefault="003E0BB0" w:rsidP="00263F34">
            <w:r w:rsidRPr="000A0372">
              <w:t xml:space="preserve">Activités/réalisations </w:t>
            </w:r>
          </w:p>
        </w:tc>
        <w:tc>
          <w:tcPr>
            <w:tcW w:w="6749" w:type="dxa"/>
          </w:tcPr>
          <w:p w:rsidR="003E0BB0" w:rsidRPr="000A0372" w:rsidRDefault="003E0BB0" w:rsidP="00263F34">
            <w:r w:rsidRPr="000A0372">
              <w:t>Le projet Accès à des bases de données spécialisées et appui (CDIP/3/INF/2; annexe III) a été mené à bien et intégré dans les activités de programme ordinaires qui, au cours de l’année écoulée, ont permis à 16 autres États membres de signer des accords sur le niveau de service avec l’OMPI pour créer des réseaux nationaux de centres d’appui à la technologie et à l’innovation (CATI) afin d’atteindre au total 77 réseaux nationaux comprenant 682 CATI.</w:t>
            </w:r>
          </w:p>
          <w:p w:rsidR="003E0BB0" w:rsidRPr="000A0372" w:rsidRDefault="003E0BB0" w:rsidP="00263F34"/>
          <w:p w:rsidR="003E0BB0" w:rsidRPr="000A0372" w:rsidRDefault="003E0BB0" w:rsidP="00263F34">
            <w:r w:rsidRPr="000A0372">
              <w:t>Trente réseaux nationaux de CATI satisfont aux critères de viabilité prédéfinis qui prennent en considération leur institutionnalisation, leur caractère opérationnel et la fourniture de services supplémentaires à valeur ajoutée.  Au cours de l’année écoulée, la formation a comporté 24 ateliers nationaux et deux réunions sous</w:t>
            </w:r>
            <w:r w:rsidRPr="000A0372">
              <w:noBreakHyphen/>
              <w:t>régionales sur place, ainsi qu’une variété de cours d’enseignement à distance et de Webinaires.</w:t>
            </w:r>
          </w:p>
          <w:p w:rsidR="003E0BB0" w:rsidRPr="000A0372" w:rsidRDefault="003E0BB0" w:rsidP="00263F34"/>
          <w:p w:rsidR="003E0BB0" w:rsidRPr="000A0372" w:rsidRDefault="003E0BB0" w:rsidP="00263F34">
            <w:r w:rsidRPr="000A0372">
              <w:t>Le programme Accès à la recherche pour le développement et l’innovation (ARDI) permet à plus de 1100 institutions enregistrées de consulter plus de 30 000 revues par abonnement, tandis que le programme Accès à l’information spécialisée en matière de brevets (ASPI) permet à plus de 50 institutions enregistrées d’accéder à des bases de données commerciales sur les brevets fournies par huit fournisseurs, dont l’un a rejoint le programme cette année.</w:t>
            </w:r>
          </w:p>
          <w:p w:rsidR="003E0BB0" w:rsidRPr="000A0372" w:rsidRDefault="003E0BB0" w:rsidP="00263F34"/>
        </w:tc>
      </w:tr>
      <w:tr w:rsidR="003E0BB0" w:rsidRPr="000A0372" w:rsidTr="00263F34">
        <w:tc>
          <w:tcPr>
            <w:tcW w:w="2538" w:type="dxa"/>
          </w:tcPr>
          <w:p w:rsidR="003E0BB0" w:rsidRPr="000A0372" w:rsidRDefault="003E0BB0" w:rsidP="00F972E3">
            <w:pPr>
              <w:keepNext/>
            </w:pPr>
            <w:r w:rsidRPr="000A0372">
              <w:t>Autres rapports/documents liés à la recommandation</w:t>
            </w:r>
          </w:p>
        </w:tc>
        <w:tc>
          <w:tcPr>
            <w:tcW w:w="6749" w:type="dxa"/>
          </w:tcPr>
          <w:p w:rsidR="003E0BB0" w:rsidRPr="000A0372" w:rsidRDefault="003E0BB0" w:rsidP="00F972E3">
            <w:pPr>
              <w:keepNext/>
            </w:pPr>
            <w:r w:rsidRPr="000A0372">
              <w:t>Rapports examinés par le CDIP : CDIP/4/2;  CDIP/6/2;  CDIP/8/2;  CDIP/9/5;  CDIP/10/2;  CDIP/12/2;  CDIP/14/2;  CDIP/14/5;  CDIP/16/2;  CDIP/18/2;  CDIP/20/2.</w:t>
            </w:r>
          </w:p>
          <w:p w:rsidR="003E0BB0" w:rsidRPr="000A0372" w:rsidRDefault="003E0BB0" w:rsidP="00F972E3">
            <w:pPr>
              <w:keepNext/>
            </w:pPr>
          </w:p>
          <w:p w:rsidR="003E0BB0" w:rsidRPr="000A0372" w:rsidRDefault="003E0BB0" w:rsidP="00F972E3">
            <w:pPr>
              <w:keepNext/>
            </w:pPr>
            <w:r w:rsidRPr="000A0372">
              <w:t>Outre les activités figurant dans la Base de données de l’assistance technique dans le domaine de la propriété intellectuelle, pour plus d’informations sur les réalisations liées à cette recommandation, voir le rapport sur l’exécution du programme de l’OMPI en 2016</w:t>
            </w:r>
            <w:r w:rsidRPr="000A0372">
              <w:noBreakHyphen/>
              <w:t>2017 (document WO/PBC/28/7).</w:t>
            </w:r>
          </w:p>
        </w:tc>
      </w:tr>
    </w:tbl>
    <w:p w:rsidR="003E0BB0" w:rsidRPr="000A0372" w:rsidRDefault="003E0BB0" w:rsidP="003E0BB0">
      <w:r w:rsidRPr="000A0372">
        <w:br w:type="page"/>
      </w:r>
    </w:p>
    <w:tbl>
      <w:tblPr>
        <w:tblStyle w:val="TableGrid"/>
        <w:tblW w:w="0" w:type="auto"/>
        <w:tblLook w:val="04A0" w:firstRow="1" w:lastRow="0" w:firstColumn="1" w:lastColumn="0" w:noHBand="0" w:noVBand="1"/>
      </w:tblPr>
      <w:tblGrid>
        <w:gridCol w:w="2538"/>
        <w:gridCol w:w="6749"/>
      </w:tblGrid>
      <w:tr w:rsidR="003E0BB0" w:rsidRPr="000A0372" w:rsidTr="00263F34">
        <w:tc>
          <w:tcPr>
            <w:tcW w:w="2538" w:type="dxa"/>
            <w:shd w:val="clear" w:color="auto" w:fill="BFBFBF" w:themeFill="background1" w:themeFillShade="BF"/>
          </w:tcPr>
          <w:p w:rsidR="003E0BB0" w:rsidRPr="000A0372" w:rsidRDefault="003E0BB0" w:rsidP="00263F34">
            <w:r w:rsidRPr="000A0372">
              <w:br w:type="page"/>
              <w:t>Recommandation(s)</w:t>
            </w:r>
          </w:p>
        </w:tc>
        <w:tc>
          <w:tcPr>
            <w:tcW w:w="6749" w:type="dxa"/>
            <w:shd w:val="clear" w:color="auto" w:fill="BFBFBF" w:themeFill="background1" w:themeFillShade="BF"/>
          </w:tcPr>
          <w:p w:rsidR="003E0BB0" w:rsidRPr="000A0372" w:rsidRDefault="003E0BB0" w:rsidP="00263F34">
            <w:pPr>
              <w:rPr>
                <w:i/>
              </w:rPr>
            </w:pPr>
            <w:r w:rsidRPr="000A0372">
              <w:rPr>
                <w:i/>
              </w:rPr>
              <w:t>Recommandation n° 9</w:t>
            </w:r>
          </w:p>
          <w:p w:rsidR="003E0BB0" w:rsidRPr="000A0372" w:rsidRDefault="003E0BB0" w:rsidP="00263F34">
            <w:pPr>
              <w:rPr>
                <w:i/>
              </w:rPr>
            </w:pPr>
          </w:p>
          <w:p w:rsidR="003E0BB0" w:rsidRPr="000A0372" w:rsidRDefault="003E0BB0" w:rsidP="00263F34">
            <w:r w:rsidRPr="000A0372">
              <w:t>Demander à l’OMPI de créer, en concertation avec les États membres, une base de données pour établir le parallèle entre les besoins spécifiques de développement liés à la propriété intellectuelle et les ressources disponibles, étendant ainsi la portée de ses programmes d’assistance technique, afin de réduire la fracture numérique.</w:t>
            </w:r>
          </w:p>
          <w:p w:rsidR="003E0BB0" w:rsidRPr="000A0372" w:rsidRDefault="003E0BB0" w:rsidP="00263F34"/>
        </w:tc>
      </w:tr>
      <w:tr w:rsidR="003E0BB0" w:rsidRPr="000A0372" w:rsidTr="00263F34">
        <w:tc>
          <w:tcPr>
            <w:tcW w:w="2538" w:type="dxa"/>
          </w:tcPr>
          <w:p w:rsidR="003E0BB0" w:rsidRPr="000A0372" w:rsidRDefault="003E0BB0" w:rsidP="00263F34">
            <w:r w:rsidRPr="000A0372">
              <w:t>Programmes du Programme et budget 2018/2019 liés à la recommandation</w:t>
            </w:r>
          </w:p>
          <w:p w:rsidR="003E0BB0" w:rsidRPr="000A0372" w:rsidRDefault="003E0BB0" w:rsidP="00263F34"/>
        </w:tc>
        <w:tc>
          <w:tcPr>
            <w:tcW w:w="6749" w:type="dxa"/>
          </w:tcPr>
          <w:p w:rsidR="003E0BB0" w:rsidRPr="000A0372" w:rsidRDefault="003E0BB0" w:rsidP="00263F34">
            <w:r w:rsidRPr="000A0372">
              <w:t>9</w:t>
            </w:r>
          </w:p>
        </w:tc>
      </w:tr>
      <w:tr w:rsidR="003E0BB0" w:rsidRPr="000A0372" w:rsidTr="00263F34">
        <w:tc>
          <w:tcPr>
            <w:tcW w:w="2538" w:type="dxa"/>
          </w:tcPr>
          <w:p w:rsidR="003E0BB0" w:rsidRPr="000A0372" w:rsidRDefault="003E0BB0" w:rsidP="00263F34">
            <w:r w:rsidRPr="000A0372">
              <w:t xml:space="preserve">Mise en œuvre </w:t>
            </w:r>
          </w:p>
        </w:tc>
        <w:tc>
          <w:tcPr>
            <w:tcW w:w="6749" w:type="dxa"/>
          </w:tcPr>
          <w:p w:rsidR="003E0BB0" w:rsidRPr="000A0372" w:rsidRDefault="003E0BB0" w:rsidP="00263F34">
            <w:r w:rsidRPr="000A0372">
              <w:t>Cette recommandation est en cours de mise en œuvre depuis 2009.  Elle a été examinée à la première session du CDIP (CDIP/1/4) et a fait l’objet des activités convenues lors de la deuxième session du CDIP, comme indiqué dans les documents CDIP/2/4 et CDIP/3/INF/2.</w:t>
            </w:r>
          </w:p>
          <w:p w:rsidR="003E0BB0" w:rsidRPr="000A0372" w:rsidRDefault="003E0BB0" w:rsidP="00263F34"/>
        </w:tc>
      </w:tr>
      <w:tr w:rsidR="003E0BB0" w:rsidRPr="000A0372" w:rsidTr="00263F34">
        <w:tc>
          <w:tcPr>
            <w:tcW w:w="2538" w:type="dxa"/>
          </w:tcPr>
          <w:p w:rsidR="003E0BB0" w:rsidRPr="000A0372" w:rsidRDefault="003E0BB0" w:rsidP="00263F34">
            <w:r w:rsidRPr="000A0372">
              <w:t>Projets du Plan d’action pour le développement liés à la recommandation</w:t>
            </w:r>
          </w:p>
        </w:tc>
        <w:tc>
          <w:tcPr>
            <w:tcW w:w="6749" w:type="dxa"/>
          </w:tcPr>
          <w:p w:rsidR="003E0BB0" w:rsidRPr="000A0372" w:rsidRDefault="003E0BB0" w:rsidP="00263F34">
            <w:r w:rsidRPr="000A0372">
              <w:t xml:space="preserve">Cette recommandation a été mise en œuvre essentiellement par le projet sur la </w:t>
            </w:r>
            <w:hyperlink r:id="rId37" w:tgtFrame="_self" w:history="1">
              <w:r w:rsidRPr="000A0372">
                <w:t xml:space="preserve">Base de données de mise en parallèle des besoins de développement liés à la propriété intellectuelle </w:t>
              </w:r>
            </w:hyperlink>
            <w:r w:rsidRPr="000A0372">
              <w:t>(IP</w:t>
            </w:r>
            <w:r w:rsidRPr="000A0372">
              <w:noBreakHyphen/>
              <w:t>TAD) (CDIP/3/INF/2, annexe IV).</w:t>
            </w:r>
          </w:p>
          <w:p w:rsidR="003E0BB0" w:rsidRPr="000A0372" w:rsidRDefault="003E0BB0" w:rsidP="00263F34">
            <w:pPr>
              <w:rPr>
                <w:b/>
              </w:rPr>
            </w:pPr>
          </w:p>
        </w:tc>
      </w:tr>
      <w:tr w:rsidR="003E0BB0" w:rsidRPr="000A0372" w:rsidTr="00263F34">
        <w:tc>
          <w:tcPr>
            <w:tcW w:w="2538" w:type="dxa"/>
          </w:tcPr>
          <w:p w:rsidR="003E0BB0" w:rsidRPr="000A0372" w:rsidRDefault="003E0BB0" w:rsidP="00263F34">
            <w:r w:rsidRPr="000A0372">
              <w:t xml:space="preserve">Activités/réalisations </w:t>
            </w:r>
          </w:p>
        </w:tc>
        <w:tc>
          <w:tcPr>
            <w:tcW w:w="6749" w:type="dxa"/>
          </w:tcPr>
          <w:p w:rsidR="003E0BB0" w:rsidRPr="000A0372" w:rsidRDefault="003E0BB0" w:rsidP="00263F34">
            <w:r w:rsidRPr="000A0372">
              <w:t>La plateforme en ligne WIPO Match sur l’assistance technique s’est étendue et compte désormais 60 contributeurs de 33 pays, dont des offices de propriété intellectuelle, des ONG, des entreprises, des universités et des offices de transfert de technologie.  Elle contient actuellement 13 offres d’aide et 13 expressions de besoins, et a permis quatre mises en relation à ce jour.</w:t>
            </w:r>
          </w:p>
          <w:p w:rsidR="003E0BB0" w:rsidRPr="000A0372" w:rsidRDefault="003E0BB0" w:rsidP="00263F34"/>
          <w:p w:rsidR="003E0BB0" w:rsidRPr="000A0372" w:rsidRDefault="003E0BB0" w:rsidP="00263F34">
            <w:r w:rsidRPr="000A0372">
              <w:t>La plateforme est en cours d’intégration dans la plateforme en ligne des Nations Unies dans le but de contribuer à la réalisation du Programme de développement durable à l’horizon 2030.</w:t>
            </w:r>
          </w:p>
          <w:p w:rsidR="003E0BB0" w:rsidRPr="000A0372" w:rsidRDefault="003E0BB0" w:rsidP="00263F34"/>
        </w:tc>
      </w:tr>
      <w:tr w:rsidR="003E0BB0" w:rsidRPr="000A0372" w:rsidTr="00263F34">
        <w:tc>
          <w:tcPr>
            <w:tcW w:w="2538" w:type="dxa"/>
          </w:tcPr>
          <w:p w:rsidR="003E0BB0" w:rsidRPr="000A0372" w:rsidRDefault="003E0BB0" w:rsidP="00263F34">
            <w:r w:rsidRPr="000A0372">
              <w:t>Autres rapports/documents liés à la recommandation</w:t>
            </w:r>
          </w:p>
        </w:tc>
        <w:tc>
          <w:tcPr>
            <w:tcW w:w="6749" w:type="dxa"/>
          </w:tcPr>
          <w:p w:rsidR="003E0BB0" w:rsidRPr="000A0372" w:rsidRDefault="003E0BB0" w:rsidP="00263F34">
            <w:r w:rsidRPr="000A0372">
              <w:t>Rapports examinés par le CDIP : CDIP/4/2;  CDIP/6/2;  CDIP/8/2;  CDIP/10/3.</w:t>
            </w:r>
          </w:p>
          <w:p w:rsidR="003E0BB0" w:rsidRPr="000A0372" w:rsidRDefault="003E0BB0" w:rsidP="00263F34"/>
          <w:p w:rsidR="003E0BB0" w:rsidRPr="000A0372" w:rsidRDefault="003E0BB0" w:rsidP="00263F34">
            <w:r w:rsidRPr="000A0372">
              <w:t>Outre les activités figurant dans la Base de données de l’assistance technique dans le domaine de la propriété intellectuelle, pour plus d’informations sur les réalisations liées à cette recommandation, voir le rapport sur l’exécution du programme de l’OMPI en 2016</w:t>
            </w:r>
            <w:r w:rsidRPr="000A0372">
              <w:noBreakHyphen/>
              <w:t>2017 (document WO/PBC/28/7).</w:t>
            </w:r>
          </w:p>
          <w:p w:rsidR="003E0BB0" w:rsidRPr="000A0372" w:rsidRDefault="003E0BB0" w:rsidP="00263F34"/>
        </w:tc>
      </w:tr>
    </w:tbl>
    <w:p w:rsidR="003E0BB0" w:rsidRPr="000A0372" w:rsidRDefault="003E0BB0" w:rsidP="003E0BB0"/>
    <w:p w:rsidR="00F972E3" w:rsidRDefault="00F972E3">
      <w:r>
        <w:br w:type="page"/>
      </w:r>
    </w:p>
    <w:p w:rsidR="003E0BB0" w:rsidRPr="000A0372" w:rsidRDefault="003E0BB0" w:rsidP="003E0BB0"/>
    <w:tbl>
      <w:tblPr>
        <w:tblStyle w:val="TableGrid"/>
        <w:tblW w:w="0" w:type="auto"/>
        <w:tblLook w:val="04A0" w:firstRow="1" w:lastRow="0" w:firstColumn="1" w:lastColumn="0" w:noHBand="0" w:noVBand="1"/>
      </w:tblPr>
      <w:tblGrid>
        <w:gridCol w:w="2538"/>
        <w:gridCol w:w="6749"/>
      </w:tblGrid>
      <w:tr w:rsidR="003E0BB0" w:rsidRPr="000A0372" w:rsidTr="00263F34">
        <w:tc>
          <w:tcPr>
            <w:tcW w:w="2538" w:type="dxa"/>
            <w:shd w:val="clear" w:color="auto" w:fill="BFBFBF" w:themeFill="background1" w:themeFillShade="BF"/>
          </w:tcPr>
          <w:p w:rsidR="003E0BB0" w:rsidRPr="000A0372" w:rsidRDefault="003E0BB0" w:rsidP="00263F34">
            <w:r w:rsidRPr="000A0372">
              <w:t>Recommandation(s)</w:t>
            </w:r>
          </w:p>
        </w:tc>
        <w:tc>
          <w:tcPr>
            <w:tcW w:w="6749" w:type="dxa"/>
            <w:shd w:val="clear" w:color="auto" w:fill="BFBFBF" w:themeFill="background1" w:themeFillShade="BF"/>
          </w:tcPr>
          <w:p w:rsidR="003E0BB0" w:rsidRPr="000A0372" w:rsidRDefault="003E0BB0" w:rsidP="00263F34">
            <w:pPr>
              <w:rPr>
                <w:i/>
              </w:rPr>
            </w:pPr>
            <w:r w:rsidRPr="000A0372">
              <w:rPr>
                <w:i/>
              </w:rPr>
              <w:t>Recommandation n° 10</w:t>
            </w:r>
          </w:p>
          <w:p w:rsidR="003E0BB0" w:rsidRPr="000A0372" w:rsidRDefault="003E0BB0" w:rsidP="00263F34">
            <w:pPr>
              <w:rPr>
                <w:i/>
              </w:rPr>
            </w:pPr>
          </w:p>
          <w:p w:rsidR="003E0BB0" w:rsidRPr="000A0372" w:rsidRDefault="003E0BB0" w:rsidP="00263F34">
            <w:r w:rsidRPr="000A0372">
              <w:t>Aider les États membres à développer et à améliorer les capacités institutionnelles nationales en propriété intellectuelle par le développement des infrastructures et autres moyens en vue de renforcer l’efficacité des institutions nationales de propriété intellectuelle et de concilier protection de la propriété intellectuelle et préservation de l’intérêt général.  Cette assistance technique devrait également être étendue aux organisations sous</w:t>
            </w:r>
            <w:r w:rsidRPr="000A0372">
              <w:noBreakHyphen/>
              <w:t>régionales et régionales œuvrant dans le domaine de la propriété intellectuelle.</w:t>
            </w:r>
          </w:p>
          <w:p w:rsidR="003E0BB0" w:rsidRPr="000A0372" w:rsidRDefault="003E0BB0" w:rsidP="00263F34"/>
        </w:tc>
      </w:tr>
      <w:tr w:rsidR="003E0BB0" w:rsidRPr="000A0372" w:rsidTr="00263F34">
        <w:tc>
          <w:tcPr>
            <w:tcW w:w="2538" w:type="dxa"/>
          </w:tcPr>
          <w:p w:rsidR="003E0BB0" w:rsidRPr="000A0372" w:rsidRDefault="003E0BB0" w:rsidP="00263F34">
            <w:r w:rsidRPr="000A0372">
              <w:t>Programmes du Programme et budget 2018/2019 liés à la recommandation</w:t>
            </w:r>
          </w:p>
          <w:p w:rsidR="003E0BB0" w:rsidRPr="000A0372" w:rsidRDefault="003E0BB0" w:rsidP="00263F34"/>
        </w:tc>
        <w:tc>
          <w:tcPr>
            <w:tcW w:w="6749" w:type="dxa"/>
          </w:tcPr>
          <w:p w:rsidR="003E0BB0" w:rsidRPr="000A0372" w:rsidRDefault="003E0BB0" w:rsidP="00263F34">
            <w:r w:rsidRPr="000A0372">
              <w:t>1, 2, 3, 4, 7, 9, 10, 11, 15, 17 et 30</w:t>
            </w:r>
          </w:p>
        </w:tc>
      </w:tr>
      <w:tr w:rsidR="003E0BB0" w:rsidRPr="000A0372" w:rsidTr="00263F34">
        <w:tc>
          <w:tcPr>
            <w:tcW w:w="2538" w:type="dxa"/>
          </w:tcPr>
          <w:p w:rsidR="003E0BB0" w:rsidRPr="000A0372" w:rsidRDefault="003E0BB0" w:rsidP="00263F34">
            <w:r w:rsidRPr="000A0372">
              <w:t xml:space="preserve">Mise en œuvre </w:t>
            </w:r>
          </w:p>
        </w:tc>
        <w:tc>
          <w:tcPr>
            <w:tcW w:w="6749" w:type="dxa"/>
          </w:tcPr>
          <w:p w:rsidR="003E0BB0" w:rsidRPr="000A0372" w:rsidRDefault="003E0BB0" w:rsidP="00263F34">
            <w:r w:rsidRPr="000A0372">
              <w:t>Cette recommandation est en cours de mise en œuvre depuis 2009.  Elle a été examinée à la première session du CDIP (CDIP/1/4) et a fait l’objet des activités convenues lors de la deuxième session du CDIP, comme indiqué dans les documents CDIP/2/4 et CDIP/3/INF/2.</w:t>
            </w:r>
          </w:p>
          <w:p w:rsidR="003E0BB0" w:rsidRPr="000A0372" w:rsidRDefault="003E0BB0" w:rsidP="00263F34"/>
        </w:tc>
      </w:tr>
      <w:tr w:rsidR="003E0BB0" w:rsidRPr="000A0372" w:rsidTr="00263F34">
        <w:tc>
          <w:tcPr>
            <w:tcW w:w="2538" w:type="dxa"/>
          </w:tcPr>
          <w:p w:rsidR="003E0BB0" w:rsidRPr="000A0372" w:rsidRDefault="003E0BB0" w:rsidP="00263F34">
            <w:r w:rsidRPr="000A0372">
              <w:t>Projets du Plan d’action pour le développement liés à la recommandation</w:t>
            </w:r>
          </w:p>
        </w:tc>
        <w:tc>
          <w:tcPr>
            <w:tcW w:w="6749" w:type="dxa"/>
          </w:tcPr>
          <w:p w:rsidR="003E0BB0" w:rsidRPr="000A0372" w:rsidRDefault="003E0BB0" w:rsidP="00263F34">
            <w:r w:rsidRPr="000A0372">
              <w:t>Cette recommandation a été mise en œuvre essentiellement dans le cadre des projets ci</w:t>
            </w:r>
            <w:r w:rsidRPr="000A0372">
              <w:noBreakHyphen/>
              <w:t>après :</w:t>
            </w:r>
          </w:p>
          <w:p w:rsidR="003E0BB0" w:rsidRPr="00F972E3" w:rsidRDefault="003E0BB0" w:rsidP="00263F34">
            <w:pPr>
              <w:rPr>
                <w:sz w:val="16"/>
                <w:szCs w:val="24"/>
              </w:rPr>
            </w:pPr>
          </w:p>
          <w:p w:rsidR="003E0BB0" w:rsidRPr="000A0372" w:rsidRDefault="007A5E26" w:rsidP="00263F34">
            <w:hyperlink r:id="rId38" w:history="1">
              <w:r w:rsidR="003E0BB0" w:rsidRPr="000A0372">
                <w:t xml:space="preserve">Un projet pilote de création d’académies nationales de la propriété intellectuelle, phases I </w:t>
              </w:r>
            </w:hyperlink>
            <w:r w:rsidR="003E0BB0" w:rsidRPr="000A0372">
              <w:t>et II (CDIP/3/INF/2 et CDIP/9/10 Rev.1);</w:t>
            </w:r>
          </w:p>
          <w:p w:rsidR="003E0BB0" w:rsidRPr="00F972E3" w:rsidRDefault="003E0BB0" w:rsidP="00263F34">
            <w:pPr>
              <w:rPr>
                <w:sz w:val="16"/>
              </w:rPr>
            </w:pPr>
          </w:p>
          <w:p w:rsidR="003E0BB0" w:rsidRPr="000A0372" w:rsidRDefault="003E0BB0" w:rsidP="00263F34">
            <w:r w:rsidRPr="000A0372">
              <w:t xml:space="preserve">– </w:t>
            </w:r>
            <w:hyperlink r:id="rId39" w:tgtFrame="_self" w:history="1">
              <w:r w:rsidRPr="000A0372">
                <w:t xml:space="preserve">Projet relatif à des institutions de propriété intellectuelle efficaces </w:t>
              </w:r>
            </w:hyperlink>
            <w:r w:rsidRPr="000A0372">
              <w:t>(CDIP/3/INF/2)</w:t>
            </w:r>
          </w:p>
          <w:p w:rsidR="003E0BB0" w:rsidRPr="000A0372" w:rsidRDefault="007A5E26" w:rsidP="00263F34">
            <w:hyperlink r:id="rId40" w:tgtFrame="_self" w:history="1">
              <w:r w:rsidR="003E0BB0" w:rsidRPr="000A0372">
                <w:t>Structure d’appui à l’innovation et au transfert de technologie à l’intention des institutions nationales</w:t>
              </w:r>
            </w:hyperlink>
            <w:r w:rsidR="003E0BB0" w:rsidRPr="000A0372">
              <w:t xml:space="preserve"> (CDIP/3/INF/2);</w:t>
            </w:r>
          </w:p>
          <w:p w:rsidR="003E0BB0" w:rsidRPr="00F972E3" w:rsidRDefault="003E0BB0" w:rsidP="00263F34">
            <w:pPr>
              <w:rPr>
                <w:sz w:val="16"/>
              </w:rPr>
            </w:pPr>
          </w:p>
          <w:p w:rsidR="003E0BB0" w:rsidRPr="000A0372" w:rsidRDefault="003E0BB0" w:rsidP="00263F34">
            <w:r w:rsidRPr="000A0372">
              <w:t xml:space="preserve">– </w:t>
            </w:r>
            <w:hyperlink r:id="rId41" w:tgtFrame="_self" w:history="1">
              <w:r w:rsidRPr="000A0372">
                <w:t xml:space="preserve">Renforcement de la capacité des institutions gouvernementales et partenaires œuvrant dans le domaine de la propriété intellectuelle au niveau national à gérer, superviser et promouvoir les industries de la création et à améliorer les résultats et l’organisation en réseau des organisations de gestion collective du droit d’auteur </w:t>
              </w:r>
            </w:hyperlink>
            <w:r w:rsidRPr="000A0372">
              <w:t>(CDIP/3/INF/2).</w:t>
            </w:r>
          </w:p>
          <w:p w:rsidR="003E0BB0" w:rsidRPr="00F972E3" w:rsidRDefault="003E0BB0" w:rsidP="00263F34">
            <w:pPr>
              <w:rPr>
                <w:sz w:val="16"/>
              </w:rPr>
            </w:pPr>
          </w:p>
          <w:p w:rsidR="003E0BB0" w:rsidRPr="000A0372" w:rsidRDefault="007A5E26" w:rsidP="00263F34">
            <w:hyperlink r:id="rId42" w:tgtFrame="_self" w:history="1">
              <w:r w:rsidR="003E0BB0" w:rsidRPr="000A0372">
                <w:t>– Renforcement des capacités des institutions de propriété intellectuelle et des utilisateurs aux niveaux national, sous</w:t>
              </w:r>
              <w:r w:rsidR="003E0BB0" w:rsidRPr="000A0372">
                <w:noBreakHyphen/>
                <w:t>régional et régional</w:t>
              </w:r>
            </w:hyperlink>
            <w:r w:rsidR="003E0BB0" w:rsidRPr="000A0372">
              <w:t xml:space="preserve"> (CDIP/3/INF/2, Annexe IX))</w:t>
            </w:r>
          </w:p>
          <w:p w:rsidR="003E0BB0" w:rsidRPr="00F972E3" w:rsidRDefault="003E0BB0" w:rsidP="00263F34">
            <w:pPr>
              <w:rPr>
                <w:sz w:val="16"/>
              </w:rPr>
            </w:pPr>
          </w:p>
          <w:p w:rsidR="003E0BB0" w:rsidRPr="000A0372" w:rsidRDefault="003E0BB0" w:rsidP="00263F34">
            <w:r w:rsidRPr="000A0372">
              <w:t xml:space="preserve">– </w:t>
            </w:r>
            <w:hyperlink r:id="rId43" w:tgtFrame="_self" w:history="1">
              <w:r w:rsidRPr="000A0372">
                <w:t>Propriété intellectuelle et commercialisation de produits aux fins de développement des entreprises dans les pays en développement et les pays les moins avancés (PMA)</w:t>
              </w:r>
            </w:hyperlink>
            <w:r w:rsidRPr="000A0372">
              <w:t xml:space="preserve"> (CDIP/5/5)</w:t>
            </w:r>
          </w:p>
          <w:p w:rsidR="003E0BB0" w:rsidRPr="00F972E3" w:rsidRDefault="003E0BB0" w:rsidP="00263F34">
            <w:pPr>
              <w:rPr>
                <w:sz w:val="18"/>
              </w:rPr>
            </w:pPr>
          </w:p>
          <w:p w:rsidR="003E0BB0" w:rsidRPr="000A0372" w:rsidRDefault="003E0BB0" w:rsidP="00263F34">
            <w:r w:rsidRPr="000A0372">
              <w:t xml:space="preserve">– </w:t>
            </w:r>
            <w:hyperlink r:id="rId44" w:tgtFrame="_self" w:history="1">
              <w:r w:rsidRPr="000A0372">
                <w:t>Projet de renforcement de la coopération Sud</w:t>
              </w:r>
              <w:r w:rsidRPr="000A0372">
                <w:noBreakHyphen/>
                <w:t>Sud dans le domaine de la propriété intellectuelle au service du développement parmi les pays en développement et les pays les moins avancés</w:t>
              </w:r>
            </w:hyperlink>
            <w:r w:rsidRPr="000A0372">
              <w:t xml:space="preserve"> (CDIP/7/6).</w:t>
            </w:r>
          </w:p>
          <w:p w:rsidR="003E0BB0" w:rsidRPr="00F972E3" w:rsidRDefault="003E0BB0" w:rsidP="00263F34">
            <w:pPr>
              <w:rPr>
                <w:sz w:val="16"/>
              </w:rPr>
            </w:pPr>
          </w:p>
          <w:p w:rsidR="003E0BB0" w:rsidRPr="000A0372" w:rsidRDefault="003E0BB0" w:rsidP="00263F34">
            <w:r w:rsidRPr="000A0372">
              <w:t xml:space="preserve">– </w:t>
            </w:r>
            <w:hyperlink r:id="rId45" w:tgtFrame="_self" w:history="1">
              <w:r w:rsidRPr="000A0372">
                <w:t xml:space="preserve">Renforcement et développement du secteur de l’audiovisuel au Burkina Faso et dans certains pays africains – phase I </w:t>
              </w:r>
            </w:hyperlink>
            <w:r w:rsidRPr="000A0372">
              <w:t>(CDIP/9/13)</w:t>
            </w:r>
          </w:p>
          <w:p w:rsidR="003E0BB0" w:rsidRPr="000A0372" w:rsidRDefault="003E0BB0" w:rsidP="00263F34"/>
          <w:p w:rsidR="003E0BB0" w:rsidRPr="000A0372" w:rsidRDefault="003E0BB0" w:rsidP="00263F34">
            <w:r w:rsidRPr="000A0372">
              <w:t xml:space="preserve">– </w:t>
            </w:r>
            <w:hyperlink r:id="rId46" w:history="1">
              <w:r w:rsidRPr="000A0372">
                <w:t xml:space="preserve">Projet pilote sur la propriété intellectuelle et la gestion des dessins et modèles pour le développement des entreprises dans les pays en développement et les pays les moins avancés (PMA) </w:t>
              </w:r>
            </w:hyperlink>
            <w:r w:rsidRPr="000A0372">
              <w:t>(CDIP/12/6)</w:t>
            </w:r>
          </w:p>
          <w:p w:rsidR="003E0BB0" w:rsidRPr="000A0372" w:rsidRDefault="003E0BB0" w:rsidP="00263F34"/>
          <w:p w:rsidR="003E0BB0" w:rsidRPr="000A0372" w:rsidRDefault="003E0BB0" w:rsidP="00263F34">
            <w:r w:rsidRPr="000A0372">
              <w:t>De plus, cette recommandation est mise en œuvre dans le cadre des projets en cours du Plan d’action pour le développement ci</w:t>
            </w:r>
            <w:r w:rsidRPr="000A0372">
              <w:noBreakHyphen/>
              <w:t>après :</w:t>
            </w:r>
          </w:p>
          <w:p w:rsidR="003E0BB0" w:rsidRPr="000A0372" w:rsidRDefault="003E0BB0" w:rsidP="00263F34"/>
          <w:p w:rsidR="003E0BB0" w:rsidRPr="000A0372" w:rsidRDefault="003E0BB0" w:rsidP="00263F34">
            <w:r w:rsidRPr="000A0372">
              <w:t xml:space="preserve">– </w:t>
            </w:r>
            <w:hyperlink r:id="rId47" w:history="1">
              <w:r w:rsidRPr="000A0372">
                <w:t>Propriété intellectuelle, tourisme et culture : contribution aux objectifs de développement et promotion du patrimoine culturel en Égypte et dans d’autres pays en développement</w:t>
              </w:r>
            </w:hyperlink>
            <w:r w:rsidRPr="000A0372">
              <w:t xml:space="preserve"> (CDIP/15/7 Rev.)</w:t>
            </w:r>
          </w:p>
          <w:p w:rsidR="003E0BB0" w:rsidRPr="000A0372" w:rsidRDefault="003E0BB0" w:rsidP="00263F34"/>
          <w:p w:rsidR="003E0BB0" w:rsidRPr="000A0372" w:rsidRDefault="003E0BB0" w:rsidP="00263F34">
            <w:r w:rsidRPr="000A0372">
              <w:t xml:space="preserve">– </w:t>
            </w:r>
            <w:hyperlink r:id="rId48" w:history="1">
              <w:r w:rsidRPr="000A0372">
                <w:t xml:space="preserve">Renforcement et développement du secteur de l’audiovisuel au Burkina Faso et dans certains pays africains – phase II </w:t>
              </w:r>
            </w:hyperlink>
            <w:r w:rsidRPr="000A0372">
              <w:t>(CDIP/17/7)</w:t>
            </w:r>
          </w:p>
          <w:p w:rsidR="003E0BB0" w:rsidRPr="000A0372" w:rsidRDefault="003E0BB0" w:rsidP="00263F34"/>
          <w:p w:rsidR="003E0BB0" w:rsidRPr="000A0372" w:rsidRDefault="003E0BB0" w:rsidP="00263F34">
            <w:r w:rsidRPr="000A0372">
              <w:t xml:space="preserve">– </w:t>
            </w:r>
            <w:hyperlink r:id="rId49" w:history="1">
              <w:r w:rsidRPr="000A0372">
                <w:t xml:space="preserve">Coopération avec les instituts de formation judiciaire des pays en développement et des pays les moins avancés dans le domaine du développement et de l’enseignement et de la formation professionnelle en matière de droits de propriété intellectuelle </w:t>
              </w:r>
            </w:hyperlink>
            <w:r w:rsidRPr="000A0372">
              <w:t>(CDIP/16/7 Rev. 2)</w:t>
            </w:r>
          </w:p>
          <w:p w:rsidR="003E0BB0" w:rsidRPr="000A0372" w:rsidRDefault="003E0BB0" w:rsidP="00263F34"/>
          <w:p w:rsidR="003E0BB0" w:rsidRPr="000A0372" w:rsidRDefault="003E0BB0" w:rsidP="00263F34">
            <w:r w:rsidRPr="000A0372">
              <w:t xml:space="preserve">– </w:t>
            </w:r>
            <w:hyperlink r:id="rId50" w:history="1">
              <w:r w:rsidRPr="000A0372">
                <w:t>Gestion de la propriété intellectuelle et transfert de technologie : promouvoir l’utilisation efficace de la propriété intellectuelle dans les pays en développement, les pays les moins avancés et les pays en transition</w:t>
              </w:r>
            </w:hyperlink>
            <w:r w:rsidRPr="000A0372">
              <w:t xml:space="preserve"> (CDIP/19/11 Rev.)</w:t>
            </w:r>
          </w:p>
          <w:p w:rsidR="003E0BB0" w:rsidRPr="000A0372" w:rsidRDefault="003E0BB0" w:rsidP="00263F34"/>
          <w:p w:rsidR="003E0BB0" w:rsidRPr="000A0372" w:rsidRDefault="003E0BB0" w:rsidP="00263F34">
            <w:r w:rsidRPr="000A0372">
              <w:t xml:space="preserve">– </w:t>
            </w:r>
            <w:hyperlink r:id="rId51" w:history="1">
              <w:r w:rsidRPr="000A0372">
                <w:t>Renforcer le rôle des femmes dans l’innovation et l’entrepreneuriat : encourager les femmes des pays en développement à utiliser le système de la propriété intellectuelle</w:t>
              </w:r>
            </w:hyperlink>
            <w:r w:rsidRPr="000A0372">
              <w:t xml:space="preserve"> (CDIP/21/12 Rev.)</w:t>
            </w:r>
          </w:p>
          <w:p w:rsidR="003E0BB0" w:rsidRPr="000A0372" w:rsidRDefault="003E0BB0" w:rsidP="00263F34">
            <w:pPr>
              <w:rPr>
                <w:b/>
              </w:rPr>
            </w:pPr>
          </w:p>
        </w:tc>
      </w:tr>
      <w:tr w:rsidR="003E0BB0" w:rsidRPr="000A0372" w:rsidTr="00263F34">
        <w:tc>
          <w:tcPr>
            <w:tcW w:w="2538" w:type="dxa"/>
          </w:tcPr>
          <w:p w:rsidR="003E0BB0" w:rsidRPr="000A0372" w:rsidRDefault="003E0BB0" w:rsidP="00263F34">
            <w:r w:rsidRPr="000A0372">
              <w:t xml:space="preserve">Activités/réalisations </w:t>
            </w:r>
          </w:p>
        </w:tc>
        <w:tc>
          <w:tcPr>
            <w:tcW w:w="6749" w:type="dxa"/>
          </w:tcPr>
          <w:p w:rsidR="003E0BB0" w:rsidRPr="000A0372" w:rsidRDefault="003E0BB0" w:rsidP="00263F34">
            <w:r w:rsidRPr="000A0372">
              <w:t>Dans le cadre du projet sur la propriété intellectuelle, le tourisme et la culture : contribution aux objectifs de développement et promotion du patrimoine culturel en Égypte et dans d’autres pays en développement, l’étude sur la propriété intellectuelle au service du renforcement de l’identité provinciale dans le cadre du projet de géoparc d’Imbabura, en Équateur, a été menée à bien et présentée au CDIP à sa vingt et unième session.  D’autres études achevées qui ont été entreprises dans le cadre de ce projet seront présentées à la session en cours.  Pour de plus amples informations sur les activités entreprises dans le cadre de ce projet, voir l’annexe IV du présent document.</w:t>
            </w:r>
          </w:p>
          <w:p w:rsidR="003E0BB0" w:rsidRPr="000A0372" w:rsidRDefault="003E0BB0" w:rsidP="00263F34"/>
          <w:p w:rsidR="003E0BB0" w:rsidRPr="000A0372" w:rsidRDefault="003E0BB0" w:rsidP="00263F34">
            <w:r w:rsidRPr="000A0372">
              <w:t>Dans le cadre du projet sur le renforcement et le développement du secteur de l’audiovisuel au Burkina Faso et dans certains pays africains – Phase II, une étude de faisabilité sur l’amélioration de la collecte de données économiques sur le secteur de l’audiovisuel dans plusieurs pays africains a été présentée au comité à sa vingt et unième session.  On trouvera à l’annexe V du présent document des informations plus détaillées sur les autres activités entreprises dans le cadre de ce projet.</w:t>
            </w:r>
          </w:p>
          <w:p w:rsidR="003E0BB0" w:rsidRPr="000A0372" w:rsidRDefault="003E0BB0" w:rsidP="00263F34"/>
          <w:p w:rsidR="003E0BB0" w:rsidRPr="000A0372" w:rsidRDefault="003E0BB0" w:rsidP="00263F34">
            <w:r w:rsidRPr="000A0372">
              <w:t xml:space="preserve">En ce qui concerne le projet sur la </w:t>
            </w:r>
            <w:hyperlink r:id="rId52" w:history="1">
              <w:r w:rsidRPr="000A0372">
                <w:t>coopération avec les instituts de formation judiciaire des pays en développement et des pays les moins avancés dans le domaine du développement et de l’enseignement et de la formation professionnelle en matière de droits de propriété intellectuelle</w:t>
              </w:r>
            </w:hyperlink>
            <w:r w:rsidRPr="000A0372">
              <w:t>, la plupart des produits ont été obtenus étant donné que ce projet est en phase d’achèvement.  Pour de plus amples informations sur les activités entreprises dans le cadre de ce projet et ses produits, voir l’annexe III du présent document.</w:t>
            </w:r>
          </w:p>
          <w:p w:rsidR="003E0BB0" w:rsidRPr="000A0372" w:rsidRDefault="003E0BB0" w:rsidP="00263F34"/>
          <w:p w:rsidR="003E0BB0" w:rsidRPr="000A0372" w:rsidRDefault="003E0BB0" w:rsidP="00263F34">
            <w:r w:rsidRPr="000A0372">
              <w:t>Le projet “Gestion de la propriété intellectuelle et transfert de technologie : promouvoir l’utilisation efficace de la propriété intellectuelle dans les pays en développement, les pays les moins avancés et les pays en transition, décrit dans le document CDIP/19/11 Rev., comprenait le recrutement d’un expert en évaluation des besoins de formation et de quatre experts nationaux dans chacun des pays pilotes désignés : l’Afrique du Sud, le Chili, l’Indonésie et le Rwanda.  Pour de plus amples informations sur les activités entreprises dans le cadre de ce projet, voir l’annexe I du présent document.</w:t>
            </w:r>
          </w:p>
          <w:p w:rsidR="003E0BB0" w:rsidRPr="000A0372" w:rsidRDefault="003E0BB0" w:rsidP="00263F34"/>
          <w:p w:rsidR="003E0BB0" w:rsidRPr="000A0372" w:rsidRDefault="003E0BB0" w:rsidP="00263F34">
            <w:r w:rsidRPr="000A0372">
              <w:t xml:space="preserve">Un nouveau projet visant à la mise en œuvre de cette recommandation a été approuvé en 2018.  Il est intitulé “Renforcer le rôle des femmes dans l’innovation et l’entrepreneuriat : encourager les femmes des pays en développement à utiliser le système de la propriété intellectuelle (CDIP/21/12 Rev.).  La mise en œuvre de ce projet </w:t>
            </w:r>
            <w:r w:rsidRPr="000A0372">
              <w:rPr>
                <w:lang w:eastAsia="zh-CN"/>
              </w:rPr>
              <w:t>commencera en </w:t>
            </w:r>
            <w:r w:rsidRPr="000A0372">
              <w:t>2019.</w:t>
            </w:r>
          </w:p>
          <w:p w:rsidR="003E0BB0" w:rsidRPr="000A0372" w:rsidRDefault="003E0BB0" w:rsidP="00263F34"/>
          <w:p w:rsidR="003E0BB0" w:rsidRPr="000A0372" w:rsidRDefault="003E0BB0" w:rsidP="00263F34">
            <w:r w:rsidRPr="000A0372">
              <w:t>Comme indiqué dans la recommandation n° 1, l’OMPI a également continué de fournir aux États contractants du PCT des informations détaillées sur le système du PCT pour les utilisateurs, de former les offices, y compris les administrations internationales, à l’exercice de leurs fonctions au titre du PCT et de leur fournir une assistance technique liée aux TIC.</w:t>
            </w:r>
          </w:p>
          <w:p w:rsidR="003E0BB0" w:rsidRPr="000A0372" w:rsidRDefault="003E0BB0" w:rsidP="00263F34"/>
        </w:tc>
      </w:tr>
      <w:tr w:rsidR="003E0BB0" w:rsidRPr="000A0372" w:rsidTr="00263F34">
        <w:tc>
          <w:tcPr>
            <w:tcW w:w="2538" w:type="dxa"/>
          </w:tcPr>
          <w:p w:rsidR="003E0BB0" w:rsidRPr="000A0372" w:rsidRDefault="003E0BB0" w:rsidP="00263F34">
            <w:r w:rsidRPr="000A0372">
              <w:t>Autres rapports/documents liés à la recommandation</w:t>
            </w:r>
          </w:p>
        </w:tc>
        <w:tc>
          <w:tcPr>
            <w:tcW w:w="6749" w:type="dxa"/>
          </w:tcPr>
          <w:p w:rsidR="003E0BB0" w:rsidRPr="000A0372" w:rsidRDefault="003E0BB0" w:rsidP="00263F34">
            <w:r w:rsidRPr="000A0372">
              <w:t>Rapports examinés par le CDIP : CDIP/4/2;  CDIP/6/2;  CDIP/8/2;  CDIP/9/6;  CDIP/10/2;  CDIP/10/4;  CDIP/10/7;  CDIP/10/8;  CDIP/12/2;  CDIP/13/3;  CDIP/13/4;  CDIP/14/2;  CDIP/14/4;  CDIP/15/4;  CDIP/16/2;  CDIP/17/3;  CDIP/18/2;  CDIP/19/4;  CDIP/20/2.</w:t>
            </w:r>
          </w:p>
          <w:p w:rsidR="003E0BB0" w:rsidRPr="000A0372" w:rsidRDefault="003E0BB0" w:rsidP="00263F34"/>
          <w:p w:rsidR="003E0BB0" w:rsidRPr="000A0372" w:rsidRDefault="003E0BB0" w:rsidP="00263F34">
            <w:r w:rsidRPr="000A0372">
              <w:t>Outre les activités figurant dans la Base de données de l’assistance technique dans le domaine de la propriété intellectuelle, pour plus d’informations sur les réalisations liées à cette recommandation, voir le rapport sur l’exécution du programme de l’OMPI en 2016</w:t>
            </w:r>
            <w:r w:rsidRPr="000A0372">
              <w:noBreakHyphen/>
              <w:t>2017 (document WO/PBC/28/7).</w:t>
            </w:r>
          </w:p>
          <w:p w:rsidR="003E0BB0" w:rsidRPr="000A0372" w:rsidRDefault="003E0BB0" w:rsidP="00263F34"/>
        </w:tc>
      </w:tr>
    </w:tbl>
    <w:p w:rsidR="003E0BB0" w:rsidRPr="000A0372" w:rsidRDefault="003E0BB0" w:rsidP="003E0BB0">
      <w:r w:rsidRPr="000A0372">
        <w:br w:type="page"/>
      </w:r>
    </w:p>
    <w:tbl>
      <w:tblPr>
        <w:tblStyle w:val="TableGrid"/>
        <w:tblW w:w="0" w:type="auto"/>
        <w:tblLook w:val="04A0" w:firstRow="1" w:lastRow="0" w:firstColumn="1" w:lastColumn="0" w:noHBand="0" w:noVBand="1"/>
      </w:tblPr>
      <w:tblGrid>
        <w:gridCol w:w="2538"/>
        <w:gridCol w:w="6749"/>
      </w:tblGrid>
      <w:tr w:rsidR="003E0BB0" w:rsidRPr="000A0372" w:rsidTr="00263F34">
        <w:tc>
          <w:tcPr>
            <w:tcW w:w="2538" w:type="dxa"/>
            <w:shd w:val="clear" w:color="auto" w:fill="BFBFBF" w:themeFill="background1" w:themeFillShade="BF"/>
          </w:tcPr>
          <w:p w:rsidR="003E0BB0" w:rsidRPr="000A0372" w:rsidRDefault="003E0BB0" w:rsidP="00263F34">
            <w:r w:rsidRPr="000A0372">
              <w:t xml:space="preserve">Recommandation(s) </w:t>
            </w:r>
          </w:p>
        </w:tc>
        <w:tc>
          <w:tcPr>
            <w:tcW w:w="6749" w:type="dxa"/>
            <w:shd w:val="clear" w:color="auto" w:fill="BFBFBF" w:themeFill="background1" w:themeFillShade="BF"/>
          </w:tcPr>
          <w:p w:rsidR="003E0BB0" w:rsidRPr="000A0372" w:rsidRDefault="003E0BB0" w:rsidP="00263F34">
            <w:pPr>
              <w:rPr>
                <w:i/>
              </w:rPr>
            </w:pPr>
            <w:r w:rsidRPr="000A0372">
              <w:rPr>
                <w:i/>
              </w:rPr>
              <w:t>Recommandation n° 11</w:t>
            </w:r>
          </w:p>
          <w:p w:rsidR="003E0BB0" w:rsidRPr="000A0372" w:rsidRDefault="003E0BB0" w:rsidP="00263F34"/>
          <w:p w:rsidR="003E0BB0" w:rsidRPr="000A0372" w:rsidRDefault="003E0BB0" w:rsidP="00263F34">
            <w:r w:rsidRPr="000A0372">
              <w:t>Aider les États membres à renforcer leur capacité nationale de protection des créations, innovations et inventions nationales et soutenir le développement des infrastructures scientifiques et technologiques nationales, le cas échéant, conformément au mandat de l’OMPI.</w:t>
            </w:r>
          </w:p>
          <w:p w:rsidR="003E0BB0" w:rsidRPr="000A0372" w:rsidRDefault="003E0BB0" w:rsidP="00263F34"/>
        </w:tc>
      </w:tr>
      <w:tr w:rsidR="003E0BB0" w:rsidRPr="000A0372" w:rsidTr="00263F34">
        <w:tc>
          <w:tcPr>
            <w:tcW w:w="2538" w:type="dxa"/>
          </w:tcPr>
          <w:p w:rsidR="003E0BB0" w:rsidRPr="000A0372" w:rsidRDefault="003E0BB0" w:rsidP="00263F34">
            <w:r w:rsidRPr="000A0372">
              <w:t>Programmes du Programme et budget 2018/2019 liés à la recommandation</w:t>
            </w:r>
          </w:p>
          <w:p w:rsidR="003E0BB0" w:rsidRPr="000A0372" w:rsidRDefault="003E0BB0" w:rsidP="00263F34"/>
        </w:tc>
        <w:tc>
          <w:tcPr>
            <w:tcW w:w="6749" w:type="dxa"/>
          </w:tcPr>
          <w:p w:rsidR="003E0BB0" w:rsidRPr="000A0372" w:rsidRDefault="003E0BB0" w:rsidP="00263F34">
            <w:r w:rsidRPr="000A0372">
              <w:t>1, 2, 3, 4, 5, 9, 14, 15, 17 et 30</w:t>
            </w:r>
          </w:p>
        </w:tc>
      </w:tr>
      <w:tr w:rsidR="003E0BB0" w:rsidRPr="000A0372" w:rsidTr="00263F34">
        <w:tc>
          <w:tcPr>
            <w:tcW w:w="2538" w:type="dxa"/>
          </w:tcPr>
          <w:p w:rsidR="003E0BB0" w:rsidRPr="000A0372" w:rsidRDefault="003E0BB0" w:rsidP="00263F34">
            <w:r w:rsidRPr="000A0372">
              <w:t xml:space="preserve">Mise en œuvre </w:t>
            </w:r>
          </w:p>
        </w:tc>
        <w:tc>
          <w:tcPr>
            <w:tcW w:w="6749" w:type="dxa"/>
          </w:tcPr>
          <w:p w:rsidR="003E0BB0" w:rsidRPr="000A0372" w:rsidRDefault="003E0BB0" w:rsidP="00263F34">
            <w:r w:rsidRPr="000A0372">
              <w:t>Cette recommandation avait été examinée à la deuxième session du CDIP (CDIP/2/4) et est en cours de mise en œuvre depuis l’adoption du Plan d’action pour le développement de l’OMPI en 2007.  La stratégie de mise en œuvre de cette recommandation est fondée sur les débats qui ont eu lieu pendant la deuxième session du CDIP (document CDIP/2/4) et est présentée dans le document CDIP/3/5.  Cette stratégie compte de nombreux niveaux;  la voici :</w:t>
            </w:r>
          </w:p>
          <w:p w:rsidR="003E0BB0" w:rsidRPr="000A0372" w:rsidRDefault="003E0BB0" w:rsidP="00263F34"/>
          <w:p w:rsidR="003E0BB0" w:rsidRPr="000A0372" w:rsidRDefault="003E0BB0" w:rsidP="004733D4">
            <w:pPr>
              <w:pStyle w:val="ListParagraph"/>
              <w:numPr>
                <w:ilvl w:val="0"/>
                <w:numId w:val="8"/>
              </w:numPr>
              <w:ind w:left="14" w:firstLine="567"/>
            </w:pPr>
            <w:r w:rsidRPr="000A0372">
              <w:t>Cours en matière de formation sur la protection de la propriété intellectuelle et la rédaction de demandes de brevet destiné aux scientifiques, aux chercheurs, aux directeurs de la technologie, aux inventeurs et aux conseils dans le but d’améliorer leurs connaissances dans le domaine de la protection intellectuelle et du système de brevets et de permettre aux entreprises nationales générant de la propriété intellectuelle, aux universités et aux instituts de recherche</w:t>
            </w:r>
            <w:r w:rsidRPr="000A0372">
              <w:noBreakHyphen/>
              <w:t>développement de mieux utiliser le système des brevets afin d’exploiter leurs créations efficacement en matière de développement durable dans les pays en développement et les PMA</w:t>
            </w:r>
          </w:p>
          <w:p w:rsidR="003E0BB0" w:rsidRPr="000A0372" w:rsidRDefault="003E0BB0" w:rsidP="00263F34">
            <w:r w:rsidRPr="000A0372">
              <w:t>Mise au point d’instruments concrets visant à aider les États membres et leurs instituts de recherche</w:t>
            </w:r>
            <w:r w:rsidRPr="000A0372">
              <w:noBreakHyphen/>
              <w:t>développement à définir et à mettre en œuvre des systèmes efficaces de transfert de technologie</w:t>
            </w:r>
          </w:p>
          <w:p w:rsidR="003E0BB0" w:rsidRPr="000A0372" w:rsidRDefault="003E0BB0" w:rsidP="00263F34">
            <w:r w:rsidRPr="000A0372">
              <w:t>Amélioration de l’utilisation des informations en matière de brevets et l’accès à celle</w:t>
            </w:r>
            <w:r w:rsidRPr="000A0372">
              <w:noBreakHyphen/>
              <w:t>ci</w:t>
            </w:r>
          </w:p>
          <w:p w:rsidR="003E0BB0" w:rsidRPr="000A0372" w:rsidRDefault="003E0BB0" w:rsidP="00263F34"/>
          <w:p w:rsidR="003E0BB0" w:rsidRPr="000A0372" w:rsidRDefault="003E0BB0" w:rsidP="004733D4">
            <w:pPr>
              <w:pStyle w:val="ListParagraph"/>
              <w:numPr>
                <w:ilvl w:val="0"/>
                <w:numId w:val="8"/>
              </w:numPr>
              <w:ind w:left="14" w:firstLine="567"/>
            </w:pPr>
            <w:r w:rsidRPr="000A0372">
              <w:t>Mise en œuvre du Programme d’assistance aux inventeurs pour aider les inventeurs manquant de ressources des pays en développement à bénéficier d’une assistance professionnelle gratuite concernant la procédure d’octroi de brevets auprès de leur office national ou régional de brevets</w:t>
            </w:r>
          </w:p>
          <w:p w:rsidR="003E0BB0" w:rsidRPr="000A0372" w:rsidRDefault="003E0BB0" w:rsidP="00263F34"/>
          <w:p w:rsidR="003E0BB0" w:rsidRPr="000A0372" w:rsidRDefault="003E0BB0" w:rsidP="00263F34">
            <w:r w:rsidRPr="000A0372">
              <w:t>Délivrance d’une assistance gratuite aux personnes manquant de ressources dans les pays en développement améliorera l’accès au système de brevets et l’innovation locale</w:t>
            </w:r>
          </w:p>
          <w:p w:rsidR="003E0BB0" w:rsidRPr="000A0372" w:rsidRDefault="003E0BB0" w:rsidP="00263F34"/>
          <w:p w:rsidR="003E0BB0" w:rsidRPr="000A0372" w:rsidRDefault="003E0BB0" w:rsidP="00263F34">
            <w:r w:rsidRPr="000A0372">
              <w:t>Large diffusion de la culture sur les services gratuits dans le domaine des brevets</w:t>
            </w:r>
          </w:p>
          <w:p w:rsidR="003E0BB0" w:rsidRDefault="003E0BB0" w:rsidP="00263F34"/>
          <w:p w:rsidR="00F972E3" w:rsidRDefault="00F972E3" w:rsidP="00263F34"/>
          <w:p w:rsidR="00F972E3" w:rsidRPr="004733D4" w:rsidRDefault="00F972E3" w:rsidP="00263F34">
            <w:pPr>
              <w:rPr>
                <w:sz w:val="14"/>
              </w:rPr>
            </w:pPr>
          </w:p>
          <w:p w:rsidR="003E0BB0" w:rsidRPr="000A0372" w:rsidRDefault="003E0BB0" w:rsidP="004733D4">
            <w:pPr>
              <w:pStyle w:val="ListParagraph"/>
              <w:numPr>
                <w:ilvl w:val="0"/>
                <w:numId w:val="8"/>
              </w:numPr>
              <w:ind w:left="14" w:firstLine="567"/>
            </w:pPr>
            <w:r w:rsidRPr="000A0372">
              <w:t>Sensibilisation aux aspects pratiques et théoriques de la gestion collective de différentes catégories d’œuvres protégées par le droit d’auteur et en ce qui concerne les artistes interprètes ou exécutants</w:t>
            </w:r>
          </w:p>
          <w:p w:rsidR="003E0BB0" w:rsidRPr="004733D4" w:rsidRDefault="003E0BB0" w:rsidP="00263F34">
            <w:pPr>
              <w:rPr>
                <w:sz w:val="14"/>
              </w:rPr>
            </w:pPr>
          </w:p>
        </w:tc>
      </w:tr>
      <w:tr w:rsidR="003E0BB0" w:rsidRPr="000A0372" w:rsidTr="00263F34">
        <w:tc>
          <w:tcPr>
            <w:tcW w:w="2538" w:type="dxa"/>
          </w:tcPr>
          <w:p w:rsidR="003E0BB0" w:rsidRPr="000A0372" w:rsidRDefault="003E0BB0" w:rsidP="00263F34">
            <w:r w:rsidRPr="000A0372">
              <w:t>Projets du Plan d’action pour le développement liés à la recommandation</w:t>
            </w:r>
          </w:p>
        </w:tc>
        <w:tc>
          <w:tcPr>
            <w:tcW w:w="6749" w:type="dxa"/>
          </w:tcPr>
          <w:p w:rsidR="003E0BB0" w:rsidRPr="000A0372" w:rsidRDefault="003E0BB0" w:rsidP="00263F34">
            <w:r w:rsidRPr="000A0372">
              <w:t>Cette recommandation a été mise en œuvre dans le cadre des projets achevés du Plan d’action pour le développement ci</w:t>
            </w:r>
            <w:r w:rsidRPr="000A0372">
              <w:noBreakHyphen/>
              <w:t>après :</w:t>
            </w:r>
          </w:p>
          <w:p w:rsidR="003E0BB0" w:rsidRPr="000A0372" w:rsidRDefault="003E0BB0" w:rsidP="00263F34"/>
          <w:p w:rsidR="003E0BB0" w:rsidRPr="000A0372" w:rsidRDefault="003E0BB0" w:rsidP="00263F34">
            <w:r w:rsidRPr="000A0372">
              <w:t xml:space="preserve">– </w:t>
            </w:r>
            <w:hyperlink r:id="rId53" w:tgtFrame="_self" w:history="1">
              <w:r w:rsidRPr="000A0372">
                <w:t>Projet de renforcement de la coopération Sud</w:t>
              </w:r>
              <w:r w:rsidRPr="000A0372">
                <w:noBreakHyphen/>
                <w:t>Sud dans le domaine de la propriété intellectuelle au service du développement parmi les pays en développement et les pays les moins avancés</w:t>
              </w:r>
            </w:hyperlink>
            <w:r w:rsidRPr="000A0372">
              <w:t xml:space="preserve"> (CDIP/7/6).</w:t>
            </w:r>
          </w:p>
          <w:p w:rsidR="003E0BB0" w:rsidRPr="000A0372" w:rsidRDefault="003E0BB0" w:rsidP="00263F34"/>
          <w:p w:rsidR="003E0BB0" w:rsidRPr="000A0372" w:rsidRDefault="003E0BB0" w:rsidP="00263F34">
            <w:r w:rsidRPr="000A0372">
              <w:t xml:space="preserve">– </w:t>
            </w:r>
            <w:hyperlink r:id="rId54" w:tgtFrame="_self" w:history="1">
              <w:r w:rsidRPr="000A0372">
                <w:t>Renforcement et développement du secteur de l’audiovisuel au Burkina Faso et dans certains pays africains – phase I</w:t>
              </w:r>
            </w:hyperlink>
            <w:hyperlink r:id="rId55" w:tgtFrame="_self" w:history="1">
              <w:r w:rsidRPr="000A0372">
                <w:t xml:space="preserve"> </w:t>
              </w:r>
            </w:hyperlink>
            <w:r w:rsidRPr="000A0372">
              <w:t>(CDIP/9/13)</w:t>
            </w:r>
          </w:p>
          <w:p w:rsidR="003E0BB0" w:rsidRPr="000A0372" w:rsidRDefault="003E0BB0" w:rsidP="00263F34"/>
          <w:p w:rsidR="003E0BB0" w:rsidRPr="000A0372" w:rsidRDefault="003E0BB0" w:rsidP="00263F34">
            <w:r w:rsidRPr="000A0372">
              <w:t>De plus, cette recommandation est mise en œuvre dans le cadre du projet en cours du Plan d’action pour le développement ci</w:t>
            </w:r>
            <w:r w:rsidRPr="000A0372">
              <w:noBreakHyphen/>
              <w:t>après :</w:t>
            </w:r>
          </w:p>
          <w:p w:rsidR="003E0BB0" w:rsidRPr="000A0372" w:rsidRDefault="003E0BB0" w:rsidP="00263F34"/>
          <w:p w:rsidR="003E0BB0" w:rsidRPr="000A0372" w:rsidRDefault="003E0BB0" w:rsidP="00263F34">
            <w:r w:rsidRPr="000A0372">
              <w:t xml:space="preserve">– </w:t>
            </w:r>
            <w:hyperlink r:id="rId56" w:history="1">
              <w:r w:rsidRPr="000A0372">
                <w:t>Renforcement et développement du secteur de l’audiovisuel au Burkina Faso et dans certains pays africains – phase II</w:t>
              </w:r>
            </w:hyperlink>
            <w:r w:rsidRPr="000A0372">
              <w:t xml:space="preserve"> (CDIP/17/7)</w:t>
            </w:r>
          </w:p>
          <w:p w:rsidR="003E0BB0" w:rsidRPr="004733D4" w:rsidRDefault="003E0BB0" w:rsidP="00263F34">
            <w:pPr>
              <w:rPr>
                <w:sz w:val="14"/>
              </w:rPr>
            </w:pPr>
          </w:p>
        </w:tc>
      </w:tr>
      <w:tr w:rsidR="003E0BB0" w:rsidRPr="000A0372" w:rsidTr="00263F34">
        <w:tc>
          <w:tcPr>
            <w:tcW w:w="2538" w:type="dxa"/>
          </w:tcPr>
          <w:p w:rsidR="003E0BB0" w:rsidRPr="000A0372" w:rsidRDefault="003E0BB0" w:rsidP="00263F34">
            <w:r w:rsidRPr="000A0372">
              <w:t xml:space="preserve">Activités/réalisations </w:t>
            </w:r>
          </w:p>
        </w:tc>
        <w:tc>
          <w:tcPr>
            <w:tcW w:w="6749" w:type="dxa"/>
          </w:tcPr>
          <w:p w:rsidR="004733D4" w:rsidRPr="004733D4" w:rsidRDefault="004733D4" w:rsidP="004733D4">
            <w:pPr>
              <w:rPr>
                <w:sz w:val="12"/>
              </w:rPr>
            </w:pPr>
          </w:p>
          <w:p w:rsidR="003E0BB0" w:rsidRPr="000A0372" w:rsidRDefault="003E0BB0" w:rsidP="004733D4">
            <w:pPr>
              <w:pStyle w:val="ListParagraph"/>
              <w:numPr>
                <w:ilvl w:val="0"/>
                <w:numId w:val="9"/>
              </w:numPr>
              <w:ind w:left="0" w:firstLine="581"/>
            </w:pPr>
            <w:r w:rsidRPr="000A0372">
              <w:t xml:space="preserve">Élaboration de nouveaux projets régionaux </w:t>
            </w:r>
            <w:proofErr w:type="gramStart"/>
            <w:r w:rsidRPr="000A0372">
              <w:t>et</w:t>
            </w:r>
            <w:proofErr w:type="gramEnd"/>
            <w:r w:rsidRPr="000A0372">
              <w:t xml:space="preserve"> nationaux visant à renforcer la capacité des acteurs de l’innovation dans les États membres à créer un environnement propice au transfert de connaissances et un capital humain capable de produire des résultats durables en matière de propriété intellectuelle au profit de la société.</w:t>
            </w:r>
          </w:p>
          <w:p w:rsidR="003E0BB0" w:rsidRPr="004733D4" w:rsidRDefault="003E0BB0" w:rsidP="00263F34">
            <w:pPr>
              <w:rPr>
                <w:sz w:val="10"/>
              </w:rPr>
            </w:pPr>
          </w:p>
          <w:p w:rsidR="003E0BB0" w:rsidRPr="000A0372" w:rsidRDefault="003E0BB0" w:rsidP="00263F34">
            <w:r w:rsidRPr="000A0372">
              <w:t>Organisation de deux formations sous</w:t>
            </w:r>
            <w:r w:rsidRPr="000A0372">
              <w:noBreakHyphen/>
              <w:t>régionales/régionales, de trois formations régionales et de six formations nationales sur le transfert des connaissances et la commercialisation de la propriété intellectuelle dans les pays en développement et les pays en transition pour permettre l’échange de bonnes pratiques sur les processus de transfert de technologie et sur la commercialisation des technologies mises au point par les universités.</w:t>
            </w:r>
          </w:p>
          <w:p w:rsidR="003E0BB0" w:rsidRPr="004733D4" w:rsidRDefault="003E0BB0" w:rsidP="00263F34">
            <w:pPr>
              <w:rPr>
                <w:sz w:val="10"/>
              </w:rPr>
            </w:pPr>
          </w:p>
          <w:p w:rsidR="003E0BB0" w:rsidRPr="000A0372" w:rsidRDefault="003E0BB0" w:rsidP="00263F34">
            <w:r w:rsidRPr="000A0372">
              <w:t xml:space="preserve">Participation et contribution ont été apportées aux discussions de </w:t>
            </w:r>
            <w:r w:rsidRPr="000A0372">
              <w:rPr>
                <w:lang w:eastAsia="zh-CN"/>
              </w:rPr>
              <w:t>deux</w:t>
            </w:r>
            <w:r w:rsidRPr="000A0372">
              <w:t> </w:t>
            </w:r>
            <w:r w:rsidRPr="000A0372">
              <w:rPr>
                <w:lang w:eastAsia="zh-CN"/>
              </w:rPr>
              <w:t>conférences</w:t>
            </w:r>
            <w:r w:rsidRPr="000A0372">
              <w:t xml:space="preserve"> internationales sur la gestion de la propriété intellectuelle et le transfert de connaissances sur celle</w:t>
            </w:r>
            <w:r w:rsidRPr="000A0372">
              <w:noBreakHyphen/>
              <w:t>ci dans des “bureaux de transfert de technologie” de centres de recherche, d’universités et d’instituts de recherche</w:t>
            </w:r>
            <w:r w:rsidRPr="000A0372">
              <w:noBreakHyphen/>
              <w:t>développement.</w:t>
            </w:r>
          </w:p>
          <w:p w:rsidR="003E0BB0" w:rsidRPr="004733D4" w:rsidRDefault="003E0BB0" w:rsidP="00263F34">
            <w:pPr>
              <w:rPr>
                <w:sz w:val="10"/>
              </w:rPr>
            </w:pPr>
          </w:p>
          <w:p w:rsidR="003E0BB0" w:rsidRPr="000A0372" w:rsidRDefault="003E0BB0" w:rsidP="00263F34">
            <w:r w:rsidRPr="000A0372">
              <w:t>Élaboration du nouvel Instrument relatif à la propriété intellectuelle à l’intention des établissements universitaires, présentant un modèle et un guide pour l’élaboration de politiques institutionnelles en matière de propriété intellectuelle dans les établissements universitaires ainsi que des outils de mise en œuvre des politiques tels que les modèles d’accords et la carte des actifs de propriété intellectuelle dans les établissements universitaires.  Cet</w:t>
            </w:r>
            <w:r w:rsidR="004733D4">
              <w:t> </w:t>
            </w:r>
            <w:r w:rsidRPr="000A0372">
              <w:t>instrument a été traduit en indonésien grâce au soutien du programme de l’OMPI et du Fonds fiduciaire de l’Australie sur le transfert de technologie en Asie.</w:t>
            </w:r>
          </w:p>
          <w:p w:rsidR="003E0BB0" w:rsidRPr="004733D4" w:rsidRDefault="003E0BB0" w:rsidP="00263F34">
            <w:pPr>
              <w:rPr>
                <w:sz w:val="12"/>
              </w:rPr>
            </w:pPr>
          </w:p>
          <w:p w:rsidR="003E0BB0" w:rsidRPr="000A0372" w:rsidRDefault="003E0BB0" w:rsidP="004733D4">
            <w:pPr>
              <w:pStyle w:val="ListParagraph"/>
              <w:numPr>
                <w:ilvl w:val="0"/>
                <w:numId w:val="9"/>
              </w:numPr>
              <w:ind w:left="0" w:firstLine="581"/>
            </w:pPr>
            <w:r w:rsidRPr="000A0372">
              <w:t>Le programme d’aide aux inventeurs, qui a d’abord été mis en œuvre dans trois pays pilotes (la Colombie, le Maroc et les Philippines), a été élargi en 2017 de façon à inclure l’Équateur et l’Afrique du Sud.  Le réseau de conseils en brevets bénévoles compte désormais plus de 90 membres, et plus de 30 inventeurs avaient bénéficié du programme à la mi</w:t>
            </w:r>
            <w:r w:rsidRPr="000A0372">
              <w:noBreakHyphen/>
              <w:t>2018.  Il a été fait la promotion de ce programme lors des réunions de l’OMPI, au sein des pays membres et des instances</w:t>
            </w:r>
            <w:r w:rsidRPr="000A0372">
              <w:rPr>
                <w:i/>
              </w:rPr>
              <w:t xml:space="preserve"> </w:t>
            </w:r>
            <w:r w:rsidRPr="000A0372">
              <w:t>extérieures, ainsi que par l’intermédiaire des parrains du programme.</w:t>
            </w:r>
          </w:p>
          <w:p w:rsidR="003E0BB0" w:rsidRPr="004733D4" w:rsidRDefault="003E0BB0" w:rsidP="00263F34">
            <w:pPr>
              <w:rPr>
                <w:sz w:val="14"/>
              </w:rPr>
            </w:pPr>
          </w:p>
          <w:p w:rsidR="003E0BB0" w:rsidRPr="000A0372" w:rsidRDefault="003E0BB0" w:rsidP="00263F34">
            <w:r w:rsidRPr="000A0372">
              <w:t>L’OMPI a également continué de fournir aux États contractants du PCT des informations détaillées sur le système du PCT pour les utilisateurs, de former les offices, y compris les administrations internationales, à l’exercice de leurs fonctions au titre du PCT et de leur fournir une assistance technique liée aux TIC.  En outre, une assistance a été fournie aux pays qui envisagent d’adhérer au PCT, notamment sous la forme de conseils et de sensibilisation.  Un rapport détaillé sur la coordination de l’assistance technique relevant du PCT en 2017 et 2018 a été présenté au Groupe de travail du PCT, dans le cadre du processus ordinaire de présentation d’informations (voir le document PCT/WG/11/22).  Dans l’ensemble, au cours de la période considérée, l’OMPI a organisé 66 manifestations liées au PCT ou y a participé;  ces manifestations se sont tenues dans 57 pays et au siège de l’OMPI.  Plus de 3900 participants de plus de 90 pays ont assisté à ces manifestations, qui s’adressaient au personnel des offices, aux utilisateurs et aux demandeurs potentiels des entreprises, des universités et des instituts de recherche.</w:t>
            </w:r>
          </w:p>
          <w:p w:rsidR="003E0BB0" w:rsidRPr="004733D4" w:rsidRDefault="003E0BB0" w:rsidP="00263F34">
            <w:pPr>
              <w:rPr>
                <w:sz w:val="14"/>
              </w:rPr>
            </w:pPr>
          </w:p>
          <w:p w:rsidR="003E0BB0" w:rsidRPr="000A0372" w:rsidRDefault="003E0BB0" w:rsidP="004733D4">
            <w:pPr>
              <w:pStyle w:val="ListParagraph"/>
              <w:numPr>
                <w:ilvl w:val="0"/>
                <w:numId w:val="9"/>
              </w:numPr>
              <w:ind w:left="0" w:firstLine="581"/>
            </w:pPr>
            <w:r w:rsidRPr="000A0372">
              <w:t>On a obtenu les réalisations suivantes dans le domaine de la gestion collective :</w:t>
            </w:r>
          </w:p>
          <w:p w:rsidR="003E0BB0" w:rsidRPr="004733D4" w:rsidRDefault="003E0BB0" w:rsidP="00263F34">
            <w:pPr>
              <w:rPr>
                <w:sz w:val="14"/>
                <w:szCs w:val="22"/>
              </w:rPr>
            </w:pPr>
          </w:p>
          <w:p w:rsidR="003E0BB0" w:rsidRPr="000A0372" w:rsidRDefault="003E0BB0" w:rsidP="00263F34">
            <w:pPr>
              <w:pStyle w:val="ListParagraph"/>
              <w:numPr>
                <w:ilvl w:val="0"/>
                <w:numId w:val="36"/>
              </w:numPr>
              <w:rPr>
                <w:rFonts w:eastAsia="SimSun"/>
                <w:szCs w:val="22"/>
              </w:rPr>
            </w:pPr>
            <w:r w:rsidRPr="000A0372">
              <w:t>Mentorat de la Société de perception des droits à Banjul (Gambie) (avec l’aide des organisations de gestion collective du Malawi et du Ghana, de la COSOMA et de CopyGhana) – avril à juin 2018</w:t>
            </w:r>
          </w:p>
          <w:p w:rsidR="003E0BB0" w:rsidRPr="004733D4" w:rsidRDefault="003E0BB0" w:rsidP="00263F34">
            <w:pPr>
              <w:pStyle w:val="ListParagraph"/>
              <w:rPr>
                <w:sz w:val="14"/>
                <w:szCs w:val="22"/>
              </w:rPr>
            </w:pPr>
          </w:p>
          <w:p w:rsidR="003E0BB0" w:rsidRPr="000A0372" w:rsidRDefault="003E0BB0" w:rsidP="00263F34">
            <w:pPr>
              <w:pStyle w:val="ListParagraph"/>
              <w:numPr>
                <w:ilvl w:val="0"/>
                <w:numId w:val="36"/>
              </w:numPr>
              <w:rPr>
                <w:szCs w:val="22"/>
              </w:rPr>
            </w:pPr>
            <w:r w:rsidRPr="000A0372">
              <w:t>Dans le cadre du projet NERICOM de l’OMPI, de l’IFPI et du SCAPR, assistance au Bureau du droit d’auteur et aux organisations de gestion collective et organisation d’un atelier à Manille (Philippines) sur la gestion collective des droits connexes sur les œuvres musicales, de décembre 2017 à juin 2018</w:t>
            </w:r>
          </w:p>
          <w:p w:rsidR="003E0BB0" w:rsidRPr="004733D4" w:rsidRDefault="003E0BB0" w:rsidP="00263F34">
            <w:pPr>
              <w:pStyle w:val="ListParagraph"/>
              <w:rPr>
                <w:sz w:val="14"/>
                <w:szCs w:val="22"/>
              </w:rPr>
            </w:pPr>
          </w:p>
          <w:p w:rsidR="003E0BB0" w:rsidRPr="000A0372" w:rsidRDefault="003E0BB0" w:rsidP="00263F34">
            <w:pPr>
              <w:pStyle w:val="ListParagraph"/>
              <w:numPr>
                <w:ilvl w:val="0"/>
                <w:numId w:val="36"/>
              </w:numPr>
              <w:rPr>
                <w:szCs w:val="22"/>
              </w:rPr>
            </w:pPr>
            <w:r w:rsidRPr="000A0372">
              <w:t>Contribution à la mise en place d’un système de gestion collective de la reprographie en Tunisie, de juillet 2017 à juin 2018</w:t>
            </w:r>
          </w:p>
          <w:p w:rsidR="003E0BB0" w:rsidRPr="004733D4" w:rsidRDefault="003E0BB0" w:rsidP="00263F34">
            <w:pPr>
              <w:rPr>
                <w:sz w:val="14"/>
                <w:szCs w:val="22"/>
              </w:rPr>
            </w:pPr>
          </w:p>
          <w:p w:rsidR="003E0BB0" w:rsidRPr="000A0372" w:rsidRDefault="003E0BB0" w:rsidP="00263F34">
            <w:pPr>
              <w:numPr>
                <w:ilvl w:val="0"/>
                <w:numId w:val="36"/>
              </w:numPr>
              <w:spacing w:line="288" w:lineRule="auto"/>
              <w:contextualSpacing/>
              <w:rPr>
                <w:rFonts w:eastAsiaTheme="minorEastAsia"/>
                <w:szCs w:val="22"/>
              </w:rPr>
            </w:pPr>
            <w:r w:rsidRPr="000A0372">
              <w:t>Organisation d’une visite d’étude de représentants des bureaux du droit d’auteur et des organisations de gestion collective du Botswana, de Cabo Verde, de l’Éthiopie, du Kenya, du Libéria et de Sao Tomé</w:t>
            </w:r>
            <w:r w:rsidRPr="000A0372">
              <w:noBreakHyphen/>
              <w:t>et</w:t>
            </w:r>
            <w:r w:rsidRPr="000A0372">
              <w:noBreakHyphen/>
              <w:t>Principe en Namibie – novembre 2017</w:t>
            </w:r>
          </w:p>
          <w:p w:rsidR="003E0BB0" w:rsidRPr="000A0372" w:rsidRDefault="003E0BB0" w:rsidP="00263F34">
            <w:pPr>
              <w:pStyle w:val="ListParagraph"/>
              <w:rPr>
                <w:rFonts w:eastAsiaTheme="minorEastAsia"/>
                <w:szCs w:val="22"/>
                <w:lang w:val="en-AU"/>
              </w:rPr>
            </w:pPr>
          </w:p>
          <w:p w:rsidR="003E0BB0" w:rsidRPr="000A0372" w:rsidRDefault="003E0BB0" w:rsidP="00263F34">
            <w:pPr>
              <w:numPr>
                <w:ilvl w:val="0"/>
                <w:numId w:val="36"/>
              </w:numPr>
              <w:spacing w:line="288" w:lineRule="auto"/>
              <w:contextualSpacing/>
              <w:rPr>
                <w:rFonts w:eastAsiaTheme="minorEastAsia"/>
                <w:szCs w:val="22"/>
              </w:rPr>
            </w:pPr>
            <w:r w:rsidRPr="000A0372">
              <w:t>Organisation d’une visite d’étude de représentants des bureaux du droit d’auteur et des organisations de gestion collective du Cambodge, du Myanmar et de la Mongolie à Séoul, République de Corée – mars 2018</w:t>
            </w:r>
          </w:p>
          <w:p w:rsidR="003E0BB0" w:rsidRPr="000A0372" w:rsidRDefault="003E0BB0" w:rsidP="00263F34">
            <w:pPr>
              <w:pStyle w:val="ListParagraph"/>
              <w:rPr>
                <w:rFonts w:eastAsiaTheme="minorEastAsia"/>
                <w:szCs w:val="22"/>
                <w:lang w:val="en-AU"/>
              </w:rPr>
            </w:pPr>
          </w:p>
          <w:p w:rsidR="003E0BB0" w:rsidRPr="000A0372" w:rsidRDefault="003E0BB0" w:rsidP="00263F34">
            <w:pPr>
              <w:numPr>
                <w:ilvl w:val="0"/>
                <w:numId w:val="36"/>
              </w:numPr>
              <w:spacing w:line="288" w:lineRule="auto"/>
              <w:contextualSpacing/>
              <w:rPr>
                <w:rFonts w:eastAsiaTheme="minorEastAsia"/>
                <w:szCs w:val="22"/>
              </w:rPr>
            </w:pPr>
            <w:r w:rsidRPr="000A0372">
              <w:t>Organisation d’une visite d’étude de la COSOMA (Malawi) en Pologne, à propos du système de redevances relatives à la copie privée et aux œuvres textuelles et visuelles – février 2018</w:t>
            </w:r>
          </w:p>
          <w:p w:rsidR="003E0BB0" w:rsidRPr="000A0372" w:rsidRDefault="003E0BB0" w:rsidP="00263F34">
            <w:pPr>
              <w:numPr>
                <w:ilvl w:val="0"/>
                <w:numId w:val="36"/>
              </w:numPr>
              <w:spacing w:before="200" w:after="200" w:line="288" w:lineRule="auto"/>
              <w:rPr>
                <w:rFonts w:eastAsiaTheme="minorEastAsia"/>
                <w:szCs w:val="22"/>
              </w:rPr>
            </w:pPr>
            <w:r w:rsidRPr="000A0372">
              <w:t>Assistance à Haïti pour l’élaboration d’une réglementation sur la gestion collective (distribution et établissement des tarifs) – octobre à novembre 2017</w:t>
            </w:r>
          </w:p>
          <w:p w:rsidR="003E0BB0" w:rsidRPr="000A0372" w:rsidRDefault="003E0BB0" w:rsidP="00263F34">
            <w:pPr>
              <w:pStyle w:val="ListParagraph"/>
              <w:numPr>
                <w:ilvl w:val="0"/>
                <w:numId w:val="36"/>
              </w:numPr>
              <w:rPr>
                <w:rFonts w:eastAsia="SimSun"/>
                <w:szCs w:val="22"/>
              </w:rPr>
            </w:pPr>
            <w:r w:rsidRPr="000A0372">
              <w:t>Fourniture à la Papouasie–Nouvelle</w:t>
            </w:r>
            <w:r w:rsidRPr="000A0372">
              <w:noBreakHyphen/>
              <w:t>Guinée d’un avis législatif concernant les dispositions relatives à la gestion collective – septembre 2017</w:t>
            </w:r>
          </w:p>
          <w:p w:rsidR="003E0BB0" w:rsidRPr="000A0372" w:rsidRDefault="003E0BB0" w:rsidP="00263F34">
            <w:pPr>
              <w:pStyle w:val="ListParagraph"/>
              <w:rPr>
                <w:szCs w:val="22"/>
                <w:lang w:val="en-AU"/>
              </w:rPr>
            </w:pPr>
          </w:p>
          <w:p w:rsidR="003E0BB0" w:rsidRPr="000A0372" w:rsidRDefault="003E0BB0" w:rsidP="00263F34">
            <w:pPr>
              <w:pStyle w:val="ListParagraph"/>
              <w:numPr>
                <w:ilvl w:val="0"/>
                <w:numId w:val="36"/>
              </w:numPr>
              <w:rPr>
                <w:szCs w:val="22"/>
              </w:rPr>
            </w:pPr>
            <w:r w:rsidRPr="000A0372">
              <w:t>Organisation d’un atelier sur la gestion collective au Bénin – avril 2018</w:t>
            </w:r>
          </w:p>
          <w:p w:rsidR="003E0BB0" w:rsidRPr="000A0372" w:rsidRDefault="003E0BB0" w:rsidP="00263F34">
            <w:pPr>
              <w:pStyle w:val="ListParagraph"/>
              <w:rPr>
                <w:szCs w:val="22"/>
              </w:rPr>
            </w:pPr>
          </w:p>
          <w:p w:rsidR="003E0BB0" w:rsidRPr="000A0372" w:rsidRDefault="003E0BB0" w:rsidP="00263F34">
            <w:r w:rsidRPr="000A0372">
              <w:t>En outre, des consultations ont été menées avec les États membres de l’OMPI et d’autres parties prenantes à propos de la Boîte à outils de l’OMPI relative aux bonnes pratiques à l’intention des organisations de gestion collective, un document non normatif rassemblant des exemples de législation, de réglementation et de codes de conduite en matière de gestion collective dans le monde entier.</w:t>
            </w:r>
          </w:p>
          <w:p w:rsidR="003E0BB0" w:rsidRPr="000A0372" w:rsidRDefault="003E0BB0" w:rsidP="00263F34"/>
        </w:tc>
      </w:tr>
      <w:tr w:rsidR="003E0BB0" w:rsidRPr="000A0372" w:rsidTr="00263F34">
        <w:tc>
          <w:tcPr>
            <w:tcW w:w="2538" w:type="dxa"/>
          </w:tcPr>
          <w:p w:rsidR="003E0BB0" w:rsidRPr="000A0372" w:rsidRDefault="003E0BB0" w:rsidP="00263F34">
            <w:r w:rsidRPr="000A0372">
              <w:t>Autres rapports/documents liés à la recommandation</w:t>
            </w:r>
          </w:p>
        </w:tc>
        <w:tc>
          <w:tcPr>
            <w:tcW w:w="6749" w:type="dxa"/>
          </w:tcPr>
          <w:p w:rsidR="003E0BB0" w:rsidRPr="000A0372" w:rsidRDefault="003E0BB0" w:rsidP="00263F34">
            <w:r w:rsidRPr="000A0372">
              <w:t>Rapports examinés par le CDIP : CDIP/3/5;  CDIP/6/3;  CDIP/8/2;  CDIP/10/2;  CDIP/12/2;  CDIP/13/4;  CDIP/14/2;  CDIP/16/2;  CDIP/17/3;  CDIP/17/4;  CDIP/18/2;  CDIP/19/5;  CDIP/20/2.</w:t>
            </w:r>
          </w:p>
          <w:p w:rsidR="003E0BB0" w:rsidRPr="000A0372" w:rsidRDefault="003E0BB0" w:rsidP="00263F34"/>
          <w:p w:rsidR="003E0BB0" w:rsidRPr="000A0372" w:rsidRDefault="003E0BB0" w:rsidP="00263F34">
            <w:r w:rsidRPr="000A0372">
              <w:t>Outre les activités figurant dans la Base de données de l’assistance technique dans le domaine de la propriété intellectuelle, pour plus d’informations sur les réalisations liées à cette recommandation, voir le rapport sur l’exécution du programme de l’OMPI en 2016</w:t>
            </w:r>
            <w:r w:rsidRPr="000A0372">
              <w:noBreakHyphen/>
              <w:t>2017 (document WO/PBC/28/7).</w:t>
            </w:r>
          </w:p>
          <w:p w:rsidR="003E0BB0" w:rsidRPr="000A0372" w:rsidRDefault="003E0BB0" w:rsidP="00263F34">
            <w:pPr>
              <w:rPr>
                <w:i/>
                <w:sz w:val="21"/>
                <w:szCs w:val="21"/>
                <w:highlight w:val="yellow"/>
                <w:bdr w:val="none" w:sz="0" w:space="0" w:color="auto" w:frame="1"/>
              </w:rPr>
            </w:pPr>
          </w:p>
        </w:tc>
      </w:tr>
    </w:tbl>
    <w:p w:rsidR="003E0BB0" w:rsidRPr="000A0372" w:rsidRDefault="003E0BB0" w:rsidP="003E0BB0">
      <w:r w:rsidRPr="000A0372">
        <w:br w:type="page"/>
      </w:r>
    </w:p>
    <w:tbl>
      <w:tblPr>
        <w:tblStyle w:val="TableGrid"/>
        <w:tblW w:w="0" w:type="auto"/>
        <w:tblLook w:val="04A0" w:firstRow="1" w:lastRow="0" w:firstColumn="1" w:lastColumn="0" w:noHBand="0" w:noVBand="1"/>
      </w:tblPr>
      <w:tblGrid>
        <w:gridCol w:w="2538"/>
        <w:gridCol w:w="6749"/>
      </w:tblGrid>
      <w:tr w:rsidR="003E0BB0" w:rsidRPr="000A0372" w:rsidTr="00263F34">
        <w:tc>
          <w:tcPr>
            <w:tcW w:w="2538" w:type="dxa"/>
            <w:shd w:val="clear" w:color="auto" w:fill="BFBFBF" w:themeFill="background1" w:themeFillShade="BF"/>
          </w:tcPr>
          <w:p w:rsidR="003E0BB0" w:rsidRPr="000A0372" w:rsidRDefault="003E0BB0" w:rsidP="00263F34">
            <w:r w:rsidRPr="000A0372">
              <w:t xml:space="preserve">Recommandation(s) </w:t>
            </w:r>
          </w:p>
        </w:tc>
        <w:tc>
          <w:tcPr>
            <w:tcW w:w="6749" w:type="dxa"/>
            <w:shd w:val="clear" w:color="auto" w:fill="BFBFBF" w:themeFill="background1" w:themeFillShade="BF"/>
          </w:tcPr>
          <w:p w:rsidR="003E0BB0" w:rsidRPr="000A0372" w:rsidRDefault="003E0BB0" w:rsidP="00263F34">
            <w:pPr>
              <w:rPr>
                <w:i/>
              </w:rPr>
            </w:pPr>
            <w:r w:rsidRPr="000A0372">
              <w:rPr>
                <w:i/>
              </w:rPr>
              <w:t>Recommandation n° 12</w:t>
            </w:r>
          </w:p>
          <w:p w:rsidR="003E0BB0" w:rsidRPr="000A0372" w:rsidRDefault="003E0BB0" w:rsidP="00263F34"/>
          <w:p w:rsidR="003E0BB0" w:rsidRPr="000A0372" w:rsidRDefault="003E0BB0" w:rsidP="00263F34">
            <w:pPr>
              <w:rPr>
                <w:bCs/>
                <w:szCs w:val="22"/>
              </w:rPr>
            </w:pPr>
            <w:r w:rsidRPr="000A0372">
              <w:rPr>
                <w:bCs/>
                <w:szCs w:val="22"/>
              </w:rPr>
              <w:t>Intégrer davantage la dimension du développement dans les activités et délibérations de l’OMPI portant sur les questions de fond et l’assistance technique, conformément au mandat de l’Organisation.</w:t>
            </w:r>
          </w:p>
          <w:p w:rsidR="003E0BB0" w:rsidRPr="000A0372" w:rsidRDefault="003E0BB0" w:rsidP="00263F34"/>
        </w:tc>
      </w:tr>
      <w:tr w:rsidR="003E0BB0" w:rsidRPr="000A0372" w:rsidTr="00263F34">
        <w:tc>
          <w:tcPr>
            <w:tcW w:w="2538" w:type="dxa"/>
          </w:tcPr>
          <w:p w:rsidR="003E0BB0" w:rsidRPr="000A0372" w:rsidRDefault="003E0BB0" w:rsidP="00263F34">
            <w:r w:rsidRPr="000A0372">
              <w:t>Programmes du Programme et budget 2018/2019 liés à la recommandation</w:t>
            </w:r>
          </w:p>
          <w:p w:rsidR="003E0BB0" w:rsidRPr="000A0372" w:rsidRDefault="003E0BB0" w:rsidP="00263F34"/>
        </w:tc>
        <w:tc>
          <w:tcPr>
            <w:tcW w:w="6749" w:type="dxa"/>
          </w:tcPr>
          <w:p w:rsidR="003E0BB0" w:rsidRPr="000A0372" w:rsidRDefault="003E0BB0" w:rsidP="00263F34">
            <w:r w:rsidRPr="000A0372">
              <w:t>1, 2, 3, 4, 5, 6, 9, 10, 11, 14, 15, 16, 17, 19, 20, 30, 31 et 32</w:t>
            </w:r>
          </w:p>
        </w:tc>
      </w:tr>
      <w:tr w:rsidR="003E0BB0" w:rsidRPr="000A0372" w:rsidTr="00263F34">
        <w:tc>
          <w:tcPr>
            <w:tcW w:w="2538" w:type="dxa"/>
          </w:tcPr>
          <w:p w:rsidR="003E0BB0" w:rsidRPr="000A0372" w:rsidRDefault="003E0BB0" w:rsidP="00263F34">
            <w:r w:rsidRPr="000A0372">
              <w:t xml:space="preserve">Mise en œuvre </w:t>
            </w:r>
          </w:p>
        </w:tc>
        <w:tc>
          <w:tcPr>
            <w:tcW w:w="6749" w:type="dxa"/>
          </w:tcPr>
          <w:p w:rsidR="003E0BB0" w:rsidRPr="000A0372" w:rsidRDefault="003E0BB0" w:rsidP="00263F34">
            <w:r w:rsidRPr="000A0372">
              <w:t>Cette recommandation est en cours de mise en œuvre depuis l’adoption du Plan d’action pour le développement de l’OMPI en 2007.  Elle a été examinée à la deuxième session du CDIP (CDIP/2/4) et a fait l’objet des activités largement approuvées lors des débats tenus à la troisième session du CDIP (document CDIP/3/3), comme indiqué dans le document CDIP/3/5.  La stratégie de mise en œuvre est la suivante :</w:t>
            </w:r>
          </w:p>
          <w:p w:rsidR="003E0BB0" w:rsidRPr="000A0372" w:rsidRDefault="003E0BB0" w:rsidP="00263F34"/>
          <w:p w:rsidR="003E0BB0" w:rsidRPr="000A0372" w:rsidRDefault="003E0BB0" w:rsidP="00263F34">
            <w:r w:rsidRPr="000A0372">
              <w:t>Afin d’intégrer davantage la dimension du développement dans tous les domaines d’activités de l’OMPI, et en particulier dans les activités portant sur les questions de fond et l’assistance technique, le programme et budget tient compte des recommandations adoptées dans le cadre du Plan d’action de l’OMPI pour le développement dans chacun des programmes pertinents.</w:t>
            </w:r>
          </w:p>
          <w:p w:rsidR="003E0BB0" w:rsidRPr="000A0372" w:rsidRDefault="003E0BB0" w:rsidP="00263F34"/>
          <w:p w:rsidR="003E0BB0" w:rsidRPr="000A0372" w:rsidRDefault="003E0BB0" w:rsidP="00263F34">
            <w:r w:rsidRPr="000A0372">
              <w:t>En particulier, des références à des recommandations précises du Plan d’action pour le développement ont été incluses dans le libellé des différents programmes et une nouvelle section consacrée aux “liens avec le Plan d’action pour le développement” a été créée pour chacun des programmes.  Cette mesure a permis d’intégrer le Plan d’action pour le développement dans le processus de programmation ordinaire de l’OMPI et d’assurer sa mise en œuvre efficace (on est prié de se reporter au programme et budget révisé pour l’exercice biennal 2014</w:t>
            </w:r>
            <w:r w:rsidRPr="000A0372">
              <w:noBreakHyphen/>
              <w:t>2015 pour voir en détail comment le Plan d’action pour le développement a été intégré aux activités de l’OMPI).</w:t>
            </w:r>
          </w:p>
          <w:p w:rsidR="003E0BB0" w:rsidRPr="000A0372" w:rsidRDefault="003E0BB0" w:rsidP="00263F34"/>
        </w:tc>
      </w:tr>
      <w:tr w:rsidR="003E0BB0" w:rsidRPr="000A0372" w:rsidTr="00263F34">
        <w:tc>
          <w:tcPr>
            <w:tcW w:w="2538" w:type="dxa"/>
          </w:tcPr>
          <w:p w:rsidR="003E0BB0" w:rsidRPr="000A0372" w:rsidRDefault="003E0BB0" w:rsidP="00263F34">
            <w:r w:rsidRPr="000A0372">
              <w:t>Projets du Plan d’action pour le développement liés à la recommandation</w:t>
            </w:r>
          </w:p>
        </w:tc>
        <w:tc>
          <w:tcPr>
            <w:tcW w:w="6749" w:type="dxa"/>
          </w:tcPr>
          <w:p w:rsidR="003E0BB0" w:rsidRPr="000A0372" w:rsidRDefault="003E0BB0" w:rsidP="00263F34">
            <w:r w:rsidRPr="000A0372">
              <w:t>Cette recommandation a été mise en œuvre essentiellement dans le cadre du projet ci</w:t>
            </w:r>
            <w:r w:rsidRPr="000A0372">
              <w:noBreakHyphen/>
              <w:t>après :</w:t>
            </w:r>
          </w:p>
          <w:p w:rsidR="003E0BB0" w:rsidRPr="000A0372" w:rsidRDefault="003E0BB0" w:rsidP="00263F34"/>
          <w:p w:rsidR="003E0BB0" w:rsidRPr="000A0372" w:rsidRDefault="003E0BB0" w:rsidP="00263F34">
            <w:r w:rsidRPr="000A0372">
              <w:t>– Amélioration du cadre de gestion axée sur les résultats mis en œuvre par l’OMPI aux fins du suivi et de l’évaluation de l’incidence des activités de l’Organisation sur le développement (CDIP/4/8/Rev.).</w:t>
            </w:r>
          </w:p>
          <w:p w:rsidR="003E0BB0" w:rsidRPr="000A0372" w:rsidRDefault="003E0BB0" w:rsidP="00263F34"/>
          <w:p w:rsidR="003E0BB0" w:rsidRPr="000A0372" w:rsidRDefault="003E0BB0" w:rsidP="00263F34">
            <w:r w:rsidRPr="000A0372">
              <w:t>De plus, cette recommandation est mise en œuvre dans le cadre des projets en cours du Plan d’action pour le développement ci</w:t>
            </w:r>
            <w:r w:rsidRPr="000A0372">
              <w:noBreakHyphen/>
              <w:t>après :</w:t>
            </w:r>
          </w:p>
          <w:p w:rsidR="003E0BB0" w:rsidRDefault="003E0BB0" w:rsidP="00263F34"/>
          <w:p w:rsidR="004733D4" w:rsidRPr="000A0372" w:rsidRDefault="004733D4" w:rsidP="00263F34"/>
          <w:p w:rsidR="003E0BB0" w:rsidRPr="000A0372" w:rsidRDefault="003E0BB0" w:rsidP="00263F34">
            <w:r w:rsidRPr="000A0372">
              <w:t>–</w:t>
            </w:r>
            <w:hyperlink r:id="rId57" w:history="1">
              <w:r w:rsidRPr="000A0372">
                <w:t xml:space="preserve"> Propriété intellectuelle, tourisme et culture : contribution aux objectifs de développement et promotion du patrimoine culturel en Égypte et dans d’autres pays en développement </w:t>
              </w:r>
            </w:hyperlink>
            <w:r w:rsidRPr="000A0372">
              <w:t>(CDIP/15/7 Rev.)</w:t>
            </w:r>
          </w:p>
          <w:p w:rsidR="003E0BB0" w:rsidRPr="000A0372" w:rsidRDefault="003E0BB0" w:rsidP="00263F34"/>
          <w:p w:rsidR="003E0BB0" w:rsidRPr="000A0372" w:rsidRDefault="003E0BB0" w:rsidP="00263F34">
            <w:r w:rsidRPr="000A0372">
              <w:t xml:space="preserve">– </w:t>
            </w:r>
            <w:hyperlink r:id="rId58" w:history="1">
              <w:r w:rsidRPr="000A0372">
                <w:t>Gestion de la propriété intellectuelle et transfert de technologie :</w:t>
              </w:r>
            </w:hyperlink>
            <w:hyperlink r:id="rId59" w:history="1">
              <w:r w:rsidRPr="000A0372">
                <w:t xml:space="preserve"> promouvoir l’utilisation efficace de la propriété intellectuelle dans les pays en développement, les pays les moins avancés et les pays en transition, proposé par l’Afrique du Sud</w:t>
              </w:r>
            </w:hyperlink>
            <w:r w:rsidRPr="000A0372">
              <w:t xml:space="preserve"> (CDIP/19/11 Rev.)</w:t>
            </w:r>
          </w:p>
          <w:p w:rsidR="003E0BB0" w:rsidRPr="000A0372" w:rsidRDefault="003E0BB0" w:rsidP="00263F34"/>
          <w:p w:rsidR="003E0BB0" w:rsidRPr="000A0372" w:rsidRDefault="003E0BB0" w:rsidP="00263F34">
            <w:r w:rsidRPr="000A0372">
              <w:t>–</w:t>
            </w:r>
            <w:r w:rsidRPr="000A0372">
              <w:rPr>
                <w:lang w:eastAsia="zh-CN"/>
              </w:rPr>
              <w:t xml:space="preserve"> </w:t>
            </w:r>
            <w:hyperlink r:id="rId60" w:history="1">
              <w:r w:rsidRPr="000A0372">
                <w:rPr>
                  <w:lang w:eastAsia="zh-CN"/>
                </w:rPr>
                <w:t>Proposition de projet présentée par les délégations du Canada, des États</w:t>
              </w:r>
              <w:r w:rsidRPr="000A0372">
                <w:rPr>
                  <w:lang w:eastAsia="zh-CN"/>
                </w:rPr>
                <w:noBreakHyphen/>
                <w:t xml:space="preserve">Unis d’Amérique et du Mexique visant à renforcer le rôle des femmes dans l’innovation et l’entrepreneuriat, en encourageant les femmes des pays en développement à utiliser le système de la propriété intellectuelle </w:t>
              </w:r>
            </w:hyperlink>
            <w:r w:rsidRPr="000A0372">
              <w:t>(CDIP/21/12 Rev.)</w:t>
            </w:r>
          </w:p>
          <w:p w:rsidR="003E0BB0" w:rsidRPr="000A0372" w:rsidRDefault="003E0BB0" w:rsidP="00263F34"/>
        </w:tc>
      </w:tr>
      <w:tr w:rsidR="003E0BB0" w:rsidRPr="000A0372" w:rsidTr="00263F34">
        <w:tc>
          <w:tcPr>
            <w:tcW w:w="2538" w:type="dxa"/>
          </w:tcPr>
          <w:p w:rsidR="003E0BB0" w:rsidRPr="000A0372" w:rsidRDefault="003E0BB0" w:rsidP="00263F34">
            <w:r w:rsidRPr="000A0372">
              <w:t xml:space="preserve">Activités/réalisations </w:t>
            </w:r>
          </w:p>
        </w:tc>
        <w:tc>
          <w:tcPr>
            <w:tcW w:w="6749" w:type="dxa"/>
          </w:tcPr>
          <w:p w:rsidR="003E0BB0" w:rsidRPr="000A0372" w:rsidRDefault="003E0BB0" w:rsidP="00263F34">
            <w:r w:rsidRPr="000A0372">
              <w:t>Des recommandations relatives au Plan d’action pour le développement sont toujours incluses dans leur totalité aux processus de planification de l’Organisation, comme l’indiquent les exposés de programme dans le programme et budget pour 2016</w:t>
            </w:r>
            <w:r w:rsidRPr="000A0372">
              <w:noBreakHyphen/>
              <w:t>2017 et les stratégies de mise en œuvre figurant dans le programme et budget proposé pour l’exercice biennal 2018</w:t>
            </w:r>
            <w:r w:rsidRPr="000A0372">
              <w:noBreakHyphen/>
              <w:t>2019.  Les liens entre les programmes et les recommandations relatives au Plan d’action pour le développement ont été davantage mis en évidence grâce à des graphiques dans le programme et budget proposé pour l’exercice biennal 2018</w:t>
            </w:r>
            <w:r w:rsidRPr="000A0372">
              <w:noBreakHyphen/>
              <w:t>2019.</w:t>
            </w:r>
          </w:p>
          <w:p w:rsidR="003E0BB0" w:rsidRPr="000A0372" w:rsidRDefault="003E0BB0" w:rsidP="00263F34">
            <w:pPr>
              <w:rPr>
                <w:bCs/>
                <w:szCs w:val="22"/>
              </w:rPr>
            </w:pPr>
          </w:p>
          <w:p w:rsidR="003E0BB0" w:rsidRPr="000A0372" w:rsidRDefault="003E0BB0" w:rsidP="00263F34">
            <w:r w:rsidRPr="000A0372">
              <w:t>Le degré d’intégration de la dimension du développement à l’OMPI, compte tenu des recommandations relatives au Plan d’action pour le développement et sur la base de celles</w:t>
            </w:r>
            <w:r w:rsidRPr="000A0372">
              <w:noBreakHyphen/>
              <w:t>ci, est mesuré au moyen de la part des ressources de l’Organisation consacrées au développement, soit 20,3% pour l’exercice biennal 2016</w:t>
            </w:r>
            <w:r w:rsidRPr="000A0372">
              <w:noBreakHyphen/>
              <w:t>2017 selon le budget final après virements pour l’exercice biennal.  Pour l’ensemble des objectifs stratégiques, 27 des 39 résultats escomptés de l’OMPI consacraient une part des ressources au développement en 2016</w:t>
            </w:r>
            <w:r w:rsidRPr="000A0372">
              <w:noBreakHyphen/>
              <w:t>2017.  Selon la définition révisée des dépenses de développement dans le programme et budget 2018</w:t>
            </w:r>
            <w:r w:rsidRPr="000A0372">
              <w:noBreakHyphen/>
              <w:t>2019, la part des ressources consacrées au développement devrait être de 18,3% pour l’exercice biennal, et 19 des 39 résultats escomptés de l’OMPI consacreront une part des ressources au développement.</w:t>
            </w:r>
          </w:p>
          <w:p w:rsidR="003E0BB0" w:rsidRPr="000A0372" w:rsidRDefault="003E0BB0" w:rsidP="00263F34">
            <w:pPr>
              <w:rPr>
                <w:bCs/>
                <w:szCs w:val="22"/>
              </w:rPr>
            </w:pPr>
          </w:p>
          <w:p w:rsidR="003E0BB0" w:rsidRPr="000A0372" w:rsidRDefault="003E0BB0" w:rsidP="00263F34">
            <w:r w:rsidRPr="000A0372">
              <w:rPr>
                <w:szCs w:val="22"/>
              </w:rPr>
              <w:t>Le tableau des résultats 2018</w:t>
            </w:r>
            <w:r w:rsidRPr="000A0372">
              <w:rPr>
                <w:szCs w:val="22"/>
              </w:rPr>
              <w:noBreakHyphen/>
              <w:t xml:space="preserve">2019 met aussi en évidence les objectifs stratégiques et les résultats escomptés qui contribuent à la réalisation des ODD.  Pour chaque objectif stratégique, un large éventail de programmes et d’activités faisant intervenir les secteurs compétents de l’Organisation contribuent aux ODD.  </w:t>
            </w:r>
            <w:r w:rsidRPr="000A0372">
              <w:t>Sur un total de 31 programmes figurant dans le programme et budget 2018</w:t>
            </w:r>
            <w:r w:rsidRPr="000A0372">
              <w:noBreakHyphen/>
              <w:t>2019 et dont il est rendu compte dans le rapport sur l’exécution du programme de l’OMPI en 2016</w:t>
            </w:r>
            <w:r w:rsidRPr="000A0372">
              <w:noBreakHyphen/>
              <w:t>2017 (document </w:t>
            </w:r>
            <w:r w:rsidRPr="000A0372">
              <w:rPr>
                <w:szCs w:val="22"/>
                <w:bdr w:val="none" w:sz="0" w:space="0" w:color="auto" w:frame="1"/>
                <w:shd w:val="clear" w:color="auto" w:fill="FFFFFF"/>
              </w:rPr>
              <w:t>WO/PBC/28/7</w:t>
            </w:r>
            <w:r w:rsidRPr="000A0372">
              <w:t>), 22 sont liés aux ODD.</w:t>
            </w:r>
          </w:p>
          <w:p w:rsidR="003E0BB0" w:rsidRDefault="003E0BB0" w:rsidP="00263F34">
            <w:pPr>
              <w:rPr>
                <w:szCs w:val="22"/>
              </w:rPr>
            </w:pPr>
          </w:p>
          <w:p w:rsidR="004733D4" w:rsidRDefault="004733D4" w:rsidP="00263F34">
            <w:pPr>
              <w:rPr>
                <w:szCs w:val="22"/>
              </w:rPr>
            </w:pPr>
          </w:p>
          <w:p w:rsidR="004733D4" w:rsidRPr="000A0372" w:rsidRDefault="004733D4" w:rsidP="00263F34">
            <w:pPr>
              <w:rPr>
                <w:szCs w:val="22"/>
              </w:rPr>
            </w:pPr>
          </w:p>
          <w:p w:rsidR="003E0BB0" w:rsidRPr="000A0372" w:rsidRDefault="003E0BB0" w:rsidP="00263F34">
            <w:r w:rsidRPr="000A0372">
              <w:rPr>
                <w:szCs w:val="22"/>
              </w:rPr>
              <w:t xml:space="preserve">La conception, la planification et la mise en œuvre d’activités de l’OMPI continuent d’être guides par les recommandations pertinentes du Plan d’action pour le développement.  </w:t>
            </w:r>
            <w:r w:rsidRPr="000A0372">
              <w:t>Un rapport complet et détaillé sur la mise en œuvre du Plan d’action pour le développement est fourni dans le rapport sur l’exécution du programme de l’OMPI en 2016</w:t>
            </w:r>
            <w:r w:rsidRPr="000A0372">
              <w:noBreakHyphen/>
              <w:t>2017.  En outre, 12 programmes ont contribué à la mise en œuvre d’activités approuvées par le CDIP, et 23 programmes intégraient le Plan d’action pour le développement dans leurs activités.</w:t>
            </w:r>
          </w:p>
          <w:p w:rsidR="003E0BB0" w:rsidRPr="000A0372" w:rsidRDefault="003E0BB0" w:rsidP="00263F34">
            <w:pPr>
              <w:rPr>
                <w:szCs w:val="22"/>
              </w:rPr>
            </w:pPr>
          </w:p>
          <w:p w:rsidR="003E0BB0" w:rsidRPr="000A0372" w:rsidRDefault="003E0BB0" w:rsidP="00263F34">
            <w:r w:rsidRPr="000A0372">
              <w:t>Pour de plus amples informations sur le projet en cours relatif à cette recommandation, voir les annexes I et IV du présent document.</w:t>
            </w:r>
          </w:p>
          <w:p w:rsidR="003E0BB0" w:rsidRPr="000A0372" w:rsidRDefault="003E0BB0" w:rsidP="00263F34"/>
          <w:p w:rsidR="003E0BB0" w:rsidRPr="000A0372" w:rsidRDefault="003E0BB0" w:rsidP="00263F34">
            <w:r w:rsidRPr="000A0372">
              <w:t>Un nouveau projet visant à la mise en œuvre de cette recommandation a été approuvé en 2018.  Il est intitulé “Renforcer le rôle des femmes dans l’innovation et l’entrepreneuriat : encourager les femmes des pays en développement à utiliser le système de la propriété intellectuelle (CDIP/21/12 Rev.).  La mise en œuvre de ce projet commencera en 2019.</w:t>
            </w:r>
          </w:p>
          <w:p w:rsidR="003E0BB0" w:rsidRPr="000A0372" w:rsidRDefault="003E0BB0" w:rsidP="00263F34"/>
        </w:tc>
      </w:tr>
      <w:tr w:rsidR="003E0BB0" w:rsidRPr="000A0372" w:rsidTr="00263F34">
        <w:tc>
          <w:tcPr>
            <w:tcW w:w="2538" w:type="dxa"/>
          </w:tcPr>
          <w:p w:rsidR="003E0BB0" w:rsidRPr="000A0372" w:rsidRDefault="003E0BB0" w:rsidP="00263F34">
            <w:r w:rsidRPr="000A0372">
              <w:t>Autres rapports/documents liés à la recommandation</w:t>
            </w:r>
          </w:p>
        </w:tc>
        <w:tc>
          <w:tcPr>
            <w:tcW w:w="6749" w:type="dxa"/>
          </w:tcPr>
          <w:p w:rsidR="003E0BB0" w:rsidRPr="000A0372" w:rsidRDefault="003E0BB0" w:rsidP="00263F34">
            <w:r w:rsidRPr="000A0372">
              <w:t>Rapports examinés par le CDIP : CDIP/3/5;  CDIP/6/2;  CDIP/8/2;  CDIP/10/2;  CDIP/12/4;  CDIP/14/2;  CDIP/16/2;  CDIP/18/2;  CDIP/20/2.</w:t>
            </w:r>
          </w:p>
          <w:p w:rsidR="003E0BB0" w:rsidRPr="000A0372" w:rsidRDefault="003E0BB0" w:rsidP="00263F34"/>
          <w:p w:rsidR="003E0BB0" w:rsidRPr="000A0372" w:rsidRDefault="003E0BB0" w:rsidP="00263F34">
            <w:r w:rsidRPr="000A0372">
              <w:t>Outre les activités figurant dans la Base de données de l’assistance technique dans le domaine de la propriété intellectuelle, pour plus d’informations sur les réalisations liées à cette recommandation, voir le rapport sur l’exécution du programme de l’OMPI en 2016</w:t>
            </w:r>
            <w:r w:rsidRPr="000A0372">
              <w:noBreakHyphen/>
              <w:t>2017 (document WO/PBC/28/7).</w:t>
            </w:r>
          </w:p>
          <w:p w:rsidR="003E0BB0" w:rsidRPr="000A0372" w:rsidRDefault="003E0BB0" w:rsidP="00263F34">
            <w:pPr>
              <w:rPr>
                <w:i/>
                <w:sz w:val="21"/>
                <w:szCs w:val="21"/>
                <w:highlight w:val="yellow"/>
                <w:bdr w:val="none" w:sz="0" w:space="0" w:color="auto" w:frame="1"/>
              </w:rPr>
            </w:pPr>
          </w:p>
        </w:tc>
      </w:tr>
    </w:tbl>
    <w:p w:rsidR="003E0BB0" w:rsidRPr="000A0372" w:rsidRDefault="003E0BB0" w:rsidP="003E0BB0">
      <w:r w:rsidRPr="000A0372">
        <w:br w:type="page"/>
      </w:r>
    </w:p>
    <w:tbl>
      <w:tblPr>
        <w:tblStyle w:val="TableGrid"/>
        <w:tblW w:w="0" w:type="auto"/>
        <w:tblLook w:val="04A0" w:firstRow="1" w:lastRow="0" w:firstColumn="1" w:lastColumn="0" w:noHBand="0" w:noVBand="1"/>
      </w:tblPr>
      <w:tblGrid>
        <w:gridCol w:w="2462"/>
        <w:gridCol w:w="6825"/>
      </w:tblGrid>
      <w:tr w:rsidR="003E0BB0" w:rsidRPr="000A0372" w:rsidTr="00263F34">
        <w:tc>
          <w:tcPr>
            <w:tcW w:w="2518" w:type="dxa"/>
            <w:shd w:val="clear" w:color="auto" w:fill="BFBFBF" w:themeFill="background1" w:themeFillShade="BF"/>
          </w:tcPr>
          <w:p w:rsidR="003E0BB0" w:rsidRPr="000A0372" w:rsidRDefault="003E0BB0" w:rsidP="00263F34">
            <w:r w:rsidRPr="000A0372">
              <w:br w:type="page"/>
            </w:r>
            <w:r w:rsidRPr="000A0372">
              <w:br w:type="page"/>
              <w:t xml:space="preserve">Recommandation(s) </w:t>
            </w:r>
          </w:p>
        </w:tc>
        <w:tc>
          <w:tcPr>
            <w:tcW w:w="6771" w:type="dxa"/>
            <w:shd w:val="clear" w:color="auto" w:fill="BFBFBF" w:themeFill="background1" w:themeFillShade="BF"/>
          </w:tcPr>
          <w:p w:rsidR="003E0BB0" w:rsidRPr="000A0372" w:rsidRDefault="003E0BB0" w:rsidP="00263F34">
            <w:pPr>
              <w:rPr>
                <w:i/>
              </w:rPr>
            </w:pPr>
            <w:r w:rsidRPr="000A0372">
              <w:rPr>
                <w:i/>
              </w:rPr>
              <w:t>Recommandation n° 13</w:t>
            </w:r>
          </w:p>
          <w:p w:rsidR="003E0BB0" w:rsidRPr="000A0372" w:rsidRDefault="003E0BB0" w:rsidP="00263F34"/>
          <w:p w:rsidR="003E0BB0" w:rsidRPr="000A0372" w:rsidRDefault="003E0BB0" w:rsidP="00263F34">
            <w:pPr>
              <w:rPr>
                <w:bCs/>
                <w:szCs w:val="22"/>
              </w:rPr>
            </w:pPr>
            <w:r w:rsidRPr="000A0372">
              <w:rPr>
                <w:bCs/>
                <w:szCs w:val="22"/>
              </w:rPr>
              <w:t>L’assistance législative de l’OMPI doit notamment être axée sur le développement et déterminée par la demande, compte tenu des priorités et des besoins particuliers des pays en développement, notamment des PMA, ainsi que des différents niveaux de développement des États membres;  les activités doivent être menées à bien dans les délais.</w:t>
            </w:r>
          </w:p>
          <w:p w:rsidR="003E0BB0" w:rsidRPr="000A0372" w:rsidRDefault="003E0BB0" w:rsidP="00263F34">
            <w:pPr>
              <w:rPr>
                <w:bCs/>
                <w:szCs w:val="22"/>
              </w:rPr>
            </w:pPr>
          </w:p>
          <w:p w:rsidR="003E0BB0" w:rsidRPr="000A0372" w:rsidRDefault="003E0BB0" w:rsidP="00263F34">
            <w:pPr>
              <w:rPr>
                <w:bCs/>
                <w:i/>
                <w:szCs w:val="22"/>
              </w:rPr>
            </w:pPr>
            <w:r w:rsidRPr="000A0372">
              <w:rPr>
                <w:bCs/>
                <w:i/>
                <w:szCs w:val="22"/>
              </w:rPr>
              <w:t>Recommandation n° 14</w:t>
            </w:r>
          </w:p>
          <w:p w:rsidR="003E0BB0" w:rsidRPr="000A0372" w:rsidRDefault="003E0BB0" w:rsidP="00263F34">
            <w:pPr>
              <w:rPr>
                <w:bCs/>
                <w:szCs w:val="22"/>
              </w:rPr>
            </w:pPr>
          </w:p>
          <w:p w:rsidR="003E0BB0" w:rsidRPr="000A0372" w:rsidRDefault="003E0BB0" w:rsidP="00263F34">
            <w:pPr>
              <w:rPr>
                <w:bCs/>
                <w:szCs w:val="22"/>
              </w:rPr>
            </w:pPr>
            <w:r w:rsidRPr="000A0372">
              <w:rPr>
                <w:bCs/>
                <w:szCs w:val="22"/>
              </w:rPr>
              <w:t>Dans le cadre de l’accord entre l’OMPI et l’OMC, l’OMPI dispensera des conseils aux pays en développement et aux PMA, sur l’exercice et le respect des droits et obligations, et sur la compréhension et l’utilisation des marges de manœuvre prévues par l’Accord sur les ADPIC.</w:t>
            </w:r>
          </w:p>
          <w:p w:rsidR="003E0BB0" w:rsidRPr="000A0372" w:rsidRDefault="003E0BB0" w:rsidP="00263F34">
            <w:pPr>
              <w:rPr>
                <w:bCs/>
                <w:szCs w:val="22"/>
              </w:rPr>
            </w:pPr>
          </w:p>
          <w:p w:rsidR="003E0BB0" w:rsidRPr="000A0372" w:rsidRDefault="003E0BB0" w:rsidP="00263F34">
            <w:pPr>
              <w:rPr>
                <w:bCs/>
                <w:i/>
                <w:szCs w:val="22"/>
              </w:rPr>
            </w:pPr>
            <w:r w:rsidRPr="000A0372">
              <w:rPr>
                <w:bCs/>
                <w:i/>
                <w:szCs w:val="22"/>
              </w:rPr>
              <w:t>Recommandation n° 17</w:t>
            </w:r>
          </w:p>
          <w:p w:rsidR="003E0BB0" w:rsidRPr="000A0372" w:rsidRDefault="003E0BB0" w:rsidP="00263F34">
            <w:pPr>
              <w:rPr>
                <w:bCs/>
                <w:i/>
                <w:szCs w:val="22"/>
              </w:rPr>
            </w:pPr>
          </w:p>
          <w:p w:rsidR="003E0BB0" w:rsidRPr="000A0372" w:rsidRDefault="003E0BB0" w:rsidP="00263F34">
            <w:pPr>
              <w:rPr>
                <w:bCs/>
                <w:szCs w:val="22"/>
              </w:rPr>
            </w:pPr>
            <w:r w:rsidRPr="000A0372">
              <w:rPr>
                <w:bCs/>
                <w:szCs w:val="22"/>
              </w:rPr>
              <w:t>Dans ses activités, notamment en matière d’établissement de normes, l’OMPI devrait tenir compte des éléments de flexibilité prévus par les arrangements internationaux dans le domaine de la propriété intellectuelle, en particulier ceux qui présentent un intérêt pour les pays en développement et les PMA.</w:t>
            </w:r>
          </w:p>
          <w:p w:rsidR="003E0BB0" w:rsidRPr="000A0372" w:rsidRDefault="003E0BB0" w:rsidP="00263F34"/>
        </w:tc>
      </w:tr>
      <w:tr w:rsidR="003E0BB0" w:rsidRPr="000A0372" w:rsidTr="00263F34">
        <w:tc>
          <w:tcPr>
            <w:tcW w:w="2518" w:type="dxa"/>
          </w:tcPr>
          <w:p w:rsidR="003E0BB0" w:rsidRPr="000A0372" w:rsidRDefault="003E0BB0" w:rsidP="00263F34">
            <w:r w:rsidRPr="000A0372">
              <w:t>Programmes du Programme et budget 2018/2019 liés à la recommandation</w:t>
            </w:r>
          </w:p>
          <w:p w:rsidR="003E0BB0" w:rsidRPr="000A0372" w:rsidRDefault="003E0BB0" w:rsidP="00263F34"/>
        </w:tc>
        <w:tc>
          <w:tcPr>
            <w:tcW w:w="6771" w:type="dxa"/>
          </w:tcPr>
          <w:p w:rsidR="003E0BB0" w:rsidRPr="000A0372" w:rsidRDefault="003E0BB0" w:rsidP="00263F34">
            <w:r w:rsidRPr="000A0372">
              <w:t>1, 2, 3, 4, 5, 6, 9, 10, 17 et 32</w:t>
            </w:r>
          </w:p>
        </w:tc>
      </w:tr>
      <w:tr w:rsidR="003E0BB0" w:rsidRPr="000A0372" w:rsidTr="00263F34">
        <w:tc>
          <w:tcPr>
            <w:tcW w:w="2518" w:type="dxa"/>
          </w:tcPr>
          <w:p w:rsidR="003E0BB0" w:rsidRPr="000A0372" w:rsidRDefault="003E0BB0" w:rsidP="00263F34">
            <w:r w:rsidRPr="000A0372">
              <w:t xml:space="preserve">Mise en œuvre </w:t>
            </w:r>
          </w:p>
        </w:tc>
        <w:tc>
          <w:tcPr>
            <w:tcW w:w="6771" w:type="dxa"/>
          </w:tcPr>
          <w:p w:rsidR="003E0BB0" w:rsidRPr="000A0372" w:rsidRDefault="003E0BB0" w:rsidP="00263F34">
            <w:r w:rsidRPr="000A0372">
              <w:t>La stratégie de mise en œuvre de ces recommandations est fondée sur les débats consacrés à différents rapports d’activité (documents CDIP/3/5, CDIP/6/3, CDIP/8/2 et CDIP/10/2), et aux documents suivants : CDIP/5/4, CDIP/6/10, CDIP/7/3, CDIP/8/5, CDIP/9/11, CDIP/10/10, CDIP/10/11, CDIP/13/10, CDIP/15/6 et CDIP/16/5.  Ces recommandations sont en cours de mise en œuvre depuis l’adoption du Plan d’action pour le développement de l’OMPI en 2007.  La stratégie de mise en œuvre est la suivante :</w:t>
            </w:r>
          </w:p>
          <w:p w:rsidR="003E0BB0" w:rsidRPr="000A0372" w:rsidRDefault="003E0BB0" w:rsidP="00263F34"/>
          <w:p w:rsidR="003E0BB0" w:rsidRPr="000A0372" w:rsidRDefault="003E0BB0" w:rsidP="00263F34">
            <w:r w:rsidRPr="000A0372">
              <w:t>L’assistance technique de l’OMPI dans le domaine des éléments de flexibilité est axée sur l’assistance législative, la sensibilisation et le renforcement des capacités.  Elle revêt différentes formes, notamment les suivantes :</w:t>
            </w:r>
          </w:p>
          <w:p w:rsidR="003E0BB0" w:rsidRPr="000A0372" w:rsidRDefault="003E0BB0" w:rsidP="00263F34"/>
          <w:p w:rsidR="003E0BB0" w:rsidRPr="000A0372" w:rsidRDefault="003E0BB0" w:rsidP="00263F34">
            <w:pPr>
              <w:numPr>
                <w:ilvl w:val="0"/>
                <w:numId w:val="10"/>
              </w:numPr>
              <w:autoSpaceDE w:val="0"/>
              <w:autoSpaceDN w:val="0"/>
              <w:adjustRightInd w:val="0"/>
            </w:pPr>
            <w:r w:rsidRPr="000A0372">
              <w:t>consultations de haut niveau;</w:t>
            </w:r>
          </w:p>
          <w:p w:rsidR="003E0BB0" w:rsidRPr="000A0372" w:rsidRDefault="003E0BB0" w:rsidP="00263F34">
            <w:pPr>
              <w:numPr>
                <w:ilvl w:val="0"/>
                <w:numId w:val="10"/>
              </w:numPr>
              <w:autoSpaceDE w:val="0"/>
              <w:autoSpaceDN w:val="0"/>
              <w:adjustRightInd w:val="0"/>
            </w:pPr>
            <w:r w:rsidRPr="000A0372">
              <w:t>étude et examen de projets de loi et de règlement et conseils dans ce domaine;</w:t>
            </w:r>
          </w:p>
          <w:p w:rsidR="003E0BB0" w:rsidRPr="000A0372" w:rsidRDefault="003E0BB0" w:rsidP="00263F34">
            <w:pPr>
              <w:numPr>
                <w:ilvl w:val="0"/>
                <w:numId w:val="10"/>
              </w:numPr>
              <w:autoSpaceDE w:val="0"/>
              <w:autoSpaceDN w:val="0"/>
              <w:adjustRightInd w:val="0"/>
            </w:pPr>
            <w:r w:rsidRPr="000A0372">
              <w:t>étude et examen des projets de lois et règlements;</w:t>
            </w:r>
          </w:p>
          <w:p w:rsidR="003E0BB0" w:rsidRPr="000A0372" w:rsidRDefault="003E0BB0" w:rsidP="00263F34">
            <w:pPr>
              <w:numPr>
                <w:ilvl w:val="0"/>
                <w:numId w:val="10"/>
              </w:numPr>
              <w:autoSpaceDE w:val="0"/>
              <w:autoSpaceDN w:val="0"/>
              <w:adjustRightInd w:val="0"/>
            </w:pPr>
            <w:r w:rsidRPr="000A0372">
              <w:t>organisation de réunions et participation à ces réunions;</w:t>
            </w:r>
          </w:p>
          <w:p w:rsidR="003E0BB0" w:rsidRPr="000A0372" w:rsidRDefault="003E0BB0" w:rsidP="00263F34">
            <w:pPr>
              <w:numPr>
                <w:ilvl w:val="0"/>
                <w:numId w:val="10"/>
              </w:numPr>
              <w:autoSpaceDE w:val="0"/>
              <w:autoSpaceDN w:val="0"/>
              <w:adjustRightInd w:val="0"/>
            </w:pPr>
            <w:r w:rsidRPr="000A0372">
              <w:t>missions techniques d’experts et voyages d’étude;</w:t>
            </w:r>
          </w:p>
          <w:p w:rsidR="003E0BB0" w:rsidRPr="000A0372" w:rsidRDefault="003E0BB0" w:rsidP="00263F34">
            <w:pPr>
              <w:numPr>
                <w:ilvl w:val="0"/>
                <w:numId w:val="10"/>
              </w:numPr>
              <w:autoSpaceDE w:val="0"/>
              <w:autoSpaceDN w:val="0"/>
              <w:adjustRightInd w:val="0"/>
            </w:pPr>
            <w:r w:rsidRPr="000A0372">
              <w:t>visites techniques de fonctionnaires nationaux en poste dans les capitales;  et</w:t>
            </w:r>
          </w:p>
          <w:p w:rsidR="003E0BB0" w:rsidRPr="000A0372" w:rsidRDefault="003E0BB0" w:rsidP="00263F34">
            <w:pPr>
              <w:numPr>
                <w:ilvl w:val="0"/>
                <w:numId w:val="10"/>
              </w:numPr>
              <w:autoSpaceDE w:val="0"/>
              <w:autoSpaceDN w:val="0"/>
              <w:adjustRightInd w:val="0"/>
            </w:pPr>
            <w:r w:rsidRPr="000A0372">
              <w:t>formation et renforcement des capacités de décideurs locaux.</w:t>
            </w:r>
          </w:p>
          <w:p w:rsidR="003E0BB0" w:rsidRPr="000A0372" w:rsidRDefault="003E0BB0" w:rsidP="00263F34"/>
          <w:p w:rsidR="003E0BB0" w:rsidRPr="000A0372" w:rsidRDefault="003E0BB0" w:rsidP="00263F34">
            <w:r w:rsidRPr="000A0372">
              <w:t>L’assistance législative dans le domaine des éléments de flexibilité est déterminée par la demande et fournie dès que possible sur une base bilatérale de nature confidentielle compte tenu des ressources disponibles.  Cette assistance permet aux décideurs et aux experts juridiques des pays en développement et des pays les moins avancés de prendre des décisions éclairées sur la mise en œuvre, dans leurs législations nationales, des options juridiques et des éléments de flexibilité prévus dans le cadre juridique international, en particulier l’Accord sur les ADPIC au niveau de la mise en œuvre dans les législations nationales.</w:t>
            </w:r>
          </w:p>
          <w:p w:rsidR="003E0BB0" w:rsidRPr="000A0372" w:rsidRDefault="003E0BB0" w:rsidP="00263F34"/>
          <w:p w:rsidR="003E0BB0" w:rsidRPr="000A0372" w:rsidRDefault="003E0BB0" w:rsidP="00263F34">
            <w:r w:rsidRPr="000A0372">
              <w:t>Dans le cadre de l’Accord OMPI</w:t>
            </w:r>
            <w:r w:rsidRPr="000A0372">
              <w:noBreakHyphen/>
              <w:t>OMC, l’OMC propose, en toute confidentialité et neutralité, une coopération technique et des conseils juridiques et législatifs aux pays en développement et aux PMA pour la mise en œuvre de l’Accord sur les ADPIC, compte tenu des options législatives possibles.  À cet égard, des réunions et des consultations conjointes ont été organisées avec l’OMC afin de renforcer la coopération mutuelle.</w:t>
            </w:r>
          </w:p>
          <w:p w:rsidR="003E0BB0" w:rsidRPr="000A0372" w:rsidRDefault="003E0BB0" w:rsidP="00263F34">
            <w:pPr>
              <w:rPr>
                <w:szCs w:val="22"/>
              </w:rPr>
            </w:pPr>
          </w:p>
          <w:p w:rsidR="003E0BB0" w:rsidRPr="000A0372" w:rsidRDefault="003E0BB0" w:rsidP="00263F34">
            <w:r w:rsidRPr="000A0372">
              <w:t>Une assistance est également fournie sur demande aux pays en ce qui concerne l’adhésion à des traités internationaux ou la mise en œuvre de ces traités, notamment des accords régionaux, compte tenu de leurs priorités et de leurs objectifs en matière de développement.  Les dispositions particulières applicables aux PMA et leurs besoins spécifiques sont pleinement pris en considération.</w:t>
            </w:r>
          </w:p>
          <w:p w:rsidR="003E0BB0" w:rsidRPr="000A0372" w:rsidRDefault="003E0BB0" w:rsidP="00263F34"/>
          <w:p w:rsidR="003E0BB0" w:rsidRPr="000A0372" w:rsidRDefault="003E0BB0" w:rsidP="00263F34"/>
          <w:p w:rsidR="003E0BB0" w:rsidRPr="000A0372" w:rsidRDefault="003E0BB0" w:rsidP="00263F34">
            <w:r w:rsidRPr="000A0372">
              <w:t>Dans ses activités d’établissement de normes, des mesures ont été prises pour veiller à ce que les activités du Comité intergouvernemental de la propriété intellectuelle relative aux ressources génétiques, aux savoirs traditionnels et au folklore (IGC), du Comité permanent du droit d’auteur et des droits connexes (SCCR), du Comité permanent du droit des brevets (SCP) et du Comité permanent du droit des marques, des dessins et modèles industriels et des indications géographiques (SCT) tiennent compte des éléments de flexibilité prévus par les arrangements internationaux dans le domaine de la propriété intellectuelle.</w:t>
            </w:r>
          </w:p>
          <w:p w:rsidR="003E0BB0" w:rsidRPr="000A0372" w:rsidRDefault="003E0BB0" w:rsidP="00263F34"/>
          <w:p w:rsidR="003E0BB0" w:rsidRPr="000A0372" w:rsidRDefault="003E0BB0" w:rsidP="00263F34"/>
          <w:p w:rsidR="003E0BB0" w:rsidRPr="000A0372" w:rsidRDefault="003E0BB0" w:rsidP="00263F34">
            <w:r w:rsidRPr="000A0372">
              <w:t>De plus, un document sur les “Éléments de flexibilité relatifs aux brevets dans le cadre juridique multilatéral et leur mise en œuvre législative aux niveaux national et régional” a été présenté à la cinquième session du CDIP.  Depuis lors, le CDIP a poursuivi l’examen de cette question sur la base de ce document.</w:t>
            </w:r>
          </w:p>
          <w:p w:rsidR="003E0BB0" w:rsidRPr="000A0372" w:rsidRDefault="003E0BB0" w:rsidP="00263F34"/>
          <w:p w:rsidR="003E0BB0" w:rsidRPr="000A0372" w:rsidRDefault="003E0BB0" w:rsidP="00263F34">
            <w:r w:rsidRPr="000A0372">
              <w:t>En outre, comme convenu par les États membres à la sixième session du CDIP, l’OMPI a publié une page Web consacrée à la mise à disposition d’informations sur l’utilisation des éléments de flexibilité dans le système de propriété intellectuelle, y compris des ressources sur les éléments de flexibilité produites par l’OMPI et d’autres OIG compétentes, ainsi qu’une base de données des dispositions relatives aux éléments de flexibilité dans les législations nationales sur la propriété intellectuelle.  Cette base de données a été actualisée ainsi que l’a demandé le CDIP à sa quinzième session et contient désormais 1371 dispositions relatives aux éléments de flexibilité issues des lois nationales de propriété intellectuelle de 202 ressorts juridiques.  Les versions actualisées de la page Web consacrée aux éléments de flexibilité et de la base de données ont été présentées au comité à sa seizième session.</w:t>
            </w:r>
          </w:p>
          <w:p w:rsidR="003E0BB0" w:rsidRPr="000A0372" w:rsidRDefault="003E0BB0" w:rsidP="00263F34"/>
          <w:p w:rsidR="003E0BB0" w:rsidRPr="000A0372" w:rsidRDefault="003E0BB0" w:rsidP="00263F34">
            <w:r w:rsidRPr="000A0372">
              <w:t>Un rapport sur la mise à jour de la base de données consacrée aux éléments de flexibilité (document CDIP/16/5) a également été présenté au CDIP à sa seizième session.</w:t>
            </w:r>
          </w:p>
          <w:p w:rsidR="003E0BB0" w:rsidRPr="000A0372" w:rsidRDefault="003E0BB0" w:rsidP="00263F34"/>
          <w:p w:rsidR="003E0BB0" w:rsidRPr="000A0372" w:rsidRDefault="003E0BB0" w:rsidP="00263F34">
            <w:r w:rsidRPr="000A0372">
              <w:t>Un mécanisme de mise à jour de la base de données consacrée aux éléments de flexibilité a été présenté à la dix</w:t>
            </w:r>
            <w:r w:rsidRPr="000A0372">
              <w:noBreakHyphen/>
              <w:t>septième session du CDIP et une proposition révisée de mécanisme de mise à jour de la base de données consacrée aux éléments de flexibilité à la dix</w:t>
            </w:r>
            <w:r w:rsidRPr="000A0372">
              <w:noBreakHyphen/>
              <w:t>huitième session (documents CDIP/17/5 et CDIP/18/5 respectivement).  Le comité a approuvé l’une des options présentées dans la proposition révisée, à savoir un mécanisme permettant d’effectuer une mise à jour périodique de la base de données consacrée aux éléments de flexibilité dans le système de propriété intellectuelle.  À titre de suivi, le Secrétariat a présenté un document sur les mesures prises pour diffuser l’information contenue dans la base de données consacrée aux éléments de flexibilité (document CDIP/20/5) et le comité a pris note des informations contenues dans ce document.</w:t>
            </w:r>
          </w:p>
          <w:p w:rsidR="003E0BB0" w:rsidRPr="000A0372" w:rsidRDefault="003E0BB0" w:rsidP="00263F34"/>
          <w:p w:rsidR="003E0BB0" w:rsidRPr="004733D4" w:rsidRDefault="003E0BB0" w:rsidP="00263F34">
            <w:pPr>
              <w:rPr>
                <w:spacing w:val="-4"/>
              </w:rPr>
            </w:pPr>
            <w:r w:rsidRPr="000A0372">
              <w:t xml:space="preserve">L’adresse de la page Web sur les éléments de flexibilité est : </w:t>
            </w:r>
            <w:hyperlink r:id="rId61" w:history="1">
              <w:r w:rsidRPr="004733D4">
                <w:rPr>
                  <w:spacing w:val="-4"/>
                </w:rPr>
                <w:t>http://www.wipo.int/ip</w:t>
              </w:r>
              <w:r w:rsidRPr="004733D4">
                <w:rPr>
                  <w:spacing w:val="-4"/>
                </w:rPr>
                <w:noBreakHyphen/>
                <w:t>development/fr/agenda/flexibilities/database.html</w:t>
              </w:r>
            </w:hyperlink>
          </w:p>
          <w:p w:rsidR="003E0BB0" w:rsidRPr="000A0372" w:rsidRDefault="003E0BB0" w:rsidP="00263F34"/>
        </w:tc>
      </w:tr>
      <w:tr w:rsidR="003E0BB0" w:rsidRPr="000A0372" w:rsidTr="00263F34">
        <w:tc>
          <w:tcPr>
            <w:tcW w:w="2518" w:type="dxa"/>
          </w:tcPr>
          <w:p w:rsidR="003E0BB0" w:rsidRPr="000A0372" w:rsidRDefault="003E0BB0" w:rsidP="00263F34">
            <w:r w:rsidRPr="000A0372">
              <w:t>Projets du Plan d’action pour le développement liés à la recommandation</w:t>
            </w:r>
          </w:p>
        </w:tc>
        <w:tc>
          <w:tcPr>
            <w:tcW w:w="6771" w:type="dxa"/>
          </w:tcPr>
          <w:p w:rsidR="003E0BB0" w:rsidRPr="000A0372" w:rsidRDefault="003E0BB0" w:rsidP="00263F34">
            <w:r w:rsidRPr="000A0372">
              <w:t xml:space="preserve">Ces recommandations ont également été mises en œuvre dans le cadre du projet du Plan d’action pour le développement sur le </w:t>
            </w:r>
            <w:hyperlink r:id="rId62" w:tgtFrame="_self" w:history="1">
              <w:r w:rsidRPr="000A0372">
                <w:t>renforcement de la coopération Sud</w:t>
              </w:r>
              <w:r w:rsidRPr="000A0372">
                <w:noBreakHyphen/>
                <w:t>Sud dans le domaine de la propriété intellectuelle au service du développement parmi les pays en développement et les pays les moins avancés</w:t>
              </w:r>
            </w:hyperlink>
            <w:r w:rsidRPr="000A0372">
              <w:t xml:space="preserve"> (CDIP/7/6).</w:t>
            </w:r>
          </w:p>
          <w:p w:rsidR="003E0BB0" w:rsidRPr="000A0372" w:rsidRDefault="003E0BB0" w:rsidP="00263F34"/>
        </w:tc>
      </w:tr>
      <w:tr w:rsidR="003E0BB0" w:rsidRPr="000A0372" w:rsidTr="00263F34">
        <w:tc>
          <w:tcPr>
            <w:tcW w:w="2518" w:type="dxa"/>
          </w:tcPr>
          <w:p w:rsidR="003E0BB0" w:rsidRPr="000A0372" w:rsidRDefault="003E0BB0" w:rsidP="00263F34">
            <w:r w:rsidRPr="000A0372">
              <w:t xml:space="preserve">Activités/réalisations </w:t>
            </w:r>
          </w:p>
        </w:tc>
        <w:tc>
          <w:tcPr>
            <w:tcW w:w="6771" w:type="dxa"/>
          </w:tcPr>
          <w:p w:rsidR="003E0BB0" w:rsidRPr="000A0372" w:rsidRDefault="003E0BB0" w:rsidP="00263F34">
            <w:r w:rsidRPr="000A0372">
              <w:t>À sa vingt et unième session, dans le cadre de l’examen du document CDIP/21/4, le comité a examiné les caractéristiques de l’assistance législative fournie par l’OMPI, ainsi que les étapes de ce processus.  L’assistance législative n’est fournie que sur demande;  l’OMPI informe des options politiques de manière objective et interactive, en tenant compte des caractéristiques et des besoins de l’État membre demandeur;  cette assistance couvre différents domaines liés à la propriété intellectuelle (droits d’auteur, brevets ou savoirs traditionnels, entre autres) et activités (révision et actualisation des lois et règlements, ratification des traités ou mise en œuvre des éléments de flexibilité, par exemple).  En outre, ce processus est strictement bilatéral et confidentiel;  il concerne des domaines essentiels et implique les bureaux régionaux;  il vise à impliquer toutes les parties prenantes concernées et à garantir l’expertise requise.</w:t>
            </w:r>
          </w:p>
          <w:p w:rsidR="003E0BB0" w:rsidRDefault="003E0BB0" w:rsidP="00263F34"/>
          <w:p w:rsidR="004733D4" w:rsidRPr="000A0372" w:rsidRDefault="004733D4" w:rsidP="00263F34"/>
          <w:p w:rsidR="003E0BB0" w:rsidRPr="000A0372" w:rsidRDefault="003E0BB0" w:rsidP="00263F34">
            <w:r w:rsidRPr="000A0372">
              <w:t>Au cours de la période considérée, la Division du droit des brevets a fourni des conseils législatifs et de politique générale à 20 pays en développement et PMA sur la mise en œuvre et le fonctionnement des droits et obligations et sur la compréhension et l’utilisation des éléments de flexibilité prévus dans l’Accord sur les ADPIC.</w:t>
            </w:r>
          </w:p>
          <w:p w:rsidR="003E0BB0" w:rsidRPr="000A0372" w:rsidRDefault="003E0BB0" w:rsidP="00263F34"/>
          <w:p w:rsidR="003E0BB0" w:rsidRPr="000A0372" w:rsidRDefault="003E0BB0" w:rsidP="00263F34">
            <w:r w:rsidRPr="000A0372">
              <w:t>La Division du droit des brevets a organisé ou participé à huit séminaires au cours desquels les éléments de flexibilité liés au droit des brevets ont été examinés en détail, notamment avec des discussions sur les options politiques pour leur mise en œuvre et leur utilisation efficace.</w:t>
            </w:r>
          </w:p>
          <w:p w:rsidR="003E0BB0" w:rsidRPr="000A0372" w:rsidRDefault="003E0BB0" w:rsidP="00263F34"/>
        </w:tc>
      </w:tr>
      <w:tr w:rsidR="003E0BB0" w:rsidRPr="000A0372" w:rsidTr="00263F34">
        <w:tc>
          <w:tcPr>
            <w:tcW w:w="2518" w:type="dxa"/>
          </w:tcPr>
          <w:p w:rsidR="003E0BB0" w:rsidRPr="000A0372" w:rsidRDefault="003E0BB0" w:rsidP="00263F34">
            <w:r w:rsidRPr="000A0372">
              <w:t>Autres rapports/documents liés à la recommandation</w:t>
            </w:r>
          </w:p>
        </w:tc>
        <w:tc>
          <w:tcPr>
            <w:tcW w:w="6771" w:type="dxa"/>
          </w:tcPr>
          <w:p w:rsidR="003E0BB0" w:rsidRPr="000A0372" w:rsidRDefault="003E0BB0" w:rsidP="00263F34">
            <w:pPr>
              <w:rPr>
                <w:highlight w:val="red"/>
              </w:rPr>
            </w:pPr>
            <w:r w:rsidRPr="000A0372">
              <w:t>Rapports examinés par le CDIP : CDIP/3/5;  CDIP/6/3;  CDIP/8/2;  CDIP/10/2;  CDIP/12/2;  CDIP/13/4;  CDIP/14/2;  CDIP/16/2;  CDIP/17/4;  CDIP/18/2;  CDIP/19/5;  CDIP/20/2;  CDIP/16/5;  CDIP/17/5;  CDIP/18/5;  CDIP/20/5.</w:t>
            </w:r>
          </w:p>
          <w:p w:rsidR="003E0BB0" w:rsidRPr="000A0372" w:rsidRDefault="003E0BB0" w:rsidP="00263F34"/>
          <w:p w:rsidR="003E0BB0" w:rsidRPr="000A0372" w:rsidRDefault="003E0BB0" w:rsidP="00263F34">
            <w:r w:rsidRPr="000A0372">
              <w:t>Outre les activités figurant dans la Base de données de l’assistance technique dans le domaine de la propriété intellectuelle, pour plus d’informations sur les réalisations liées à ces recommandations, voir le rapport sur l’exécution du programme de l’OMPI en 2016</w:t>
            </w:r>
            <w:r w:rsidRPr="000A0372">
              <w:noBreakHyphen/>
              <w:t>2017 (document WO/PBC/28/7).</w:t>
            </w:r>
          </w:p>
          <w:p w:rsidR="003E0BB0" w:rsidRPr="000A0372" w:rsidRDefault="003E0BB0" w:rsidP="00263F34">
            <w:pPr>
              <w:rPr>
                <w:i/>
                <w:sz w:val="21"/>
                <w:szCs w:val="21"/>
                <w:highlight w:val="yellow"/>
                <w:bdr w:val="none" w:sz="0" w:space="0" w:color="auto" w:frame="1"/>
              </w:rPr>
            </w:pPr>
          </w:p>
        </w:tc>
      </w:tr>
    </w:tbl>
    <w:p w:rsidR="003E0BB0" w:rsidRPr="000A0372" w:rsidRDefault="003E0BB0" w:rsidP="003E0BB0"/>
    <w:p w:rsidR="003E0BB0" w:rsidRPr="000A0372" w:rsidRDefault="003E0BB0" w:rsidP="003E0BB0">
      <w:r w:rsidRPr="000A0372">
        <w:br w:type="page"/>
      </w:r>
    </w:p>
    <w:tbl>
      <w:tblPr>
        <w:tblStyle w:val="TableGrid"/>
        <w:tblW w:w="0" w:type="auto"/>
        <w:tblLook w:val="04A0" w:firstRow="1" w:lastRow="0" w:firstColumn="1" w:lastColumn="0" w:noHBand="0" w:noVBand="1"/>
      </w:tblPr>
      <w:tblGrid>
        <w:gridCol w:w="2538"/>
        <w:gridCol w:w="6749"/>
      </w:tblGrid>
      <w:tr w:rsidR="003E0BB0" w:rsidRPr="000A0372" w:rsidTr="00263F34">
        <w:tc>
          <w:tcPr>
            <w:tcW w:w="2538" w:type="dxa"/>
            <w:shd w:val="clear" w:color="auto" w:fill="BFBFBF" w:themeFill="background1" w:themeFillShade="BF"/>
          </w:tcPr>
          <w:p w:rsidR="003E0BB0" w:rsidRPr="000A0372" w:rsidRDefault="003E0BB0" w:rsidP="00263F34">
            <w:r w:rsidRPr="000A0372">
              <w:t xml:space="preserve">Recommandation(s) </w:t>
            </w:r>
          </w:p>
        </w:tc>
        <w:tc>
          <w:tcPr>
            <w:tcW w:w="6749" w:type="dxa"/>
            <w:shd w:val="clear" w:color="auto" w:fill="BFBFBF" w:themeFill="background1" w:themeFillShade="BF"/>
          </w:tcPr>
          <w:p w:rsidR="003E0BB0" w:rsidRPr="000A0372" w:rsidRDefault="003E0BB0" w:rsidP="00263F34">
            <w:pPr>
              <w:rPr>
                <w:i/>
              </w:rPr>
            </w:pPr>
            <w:r w:rsidRPr="000A0372">
              <w:rPr>
                <w:i/>
              </w:rPr>
              <w:t>Recommandation n° 15</w:t>
            </w:r>
          </w:p>
          <w:p w:rsidR="003E0BB0" w:rsidRPr="000A0372" w:rsidRDefault="003E0BB0" w:rsidP="00263F34"/>
          <w:p w:rsidR="003E0BB0" w:rsidRPr="000A0372" w:rsidRDefault="003E0BB0" w:rsidP="00263F34">
            <w:pPr>
              <w:rPr>
                <w:bCs/>
                <w:i/>
                <w:szCs w:val="22"/>
              </w:rPr>
            </w:pPr>
            <w:r w:rsidRPr="000A0372">
              <w:rPr>
                <w:bCs/>
                <w:i/>
                <w:szCs w:val="22"/>
              </w:rPr>
              <w:t>Les activités d’établissement de normes doivent :</w:t>
            </w:r>
          </w:p>
          <w:p w:rsidR="003E0BB0" w:rsidRPr="000A0372" w:rsidRDefault="003E0BB0" w:rsidP="00263F34">
            <w:pPr>
              <w:rPr>
                <w:bCs/>
              </w:rPr>
            </w:pPr>
          </w:p>
          <w:p w:rsidR="003E0BB0" w:rsidRPr="000A0372" w:rsidRDefault="003E0BB0" w:rsidP="00263F34">
            <w:pPr>
              <w:numPr>
                <w:ilvl w:val="0"/>
                <w:numId w:val="11"/>
              </w:numPr>
              <w:spacing w:after="220"/>
            </w:pPr>
            <w:r w:rsidRPr="000A0372">
              <w:t>être exhaustives et réalisées à l’initiative des membres;</w:t>
            </w:r>
          </w:p>
          <w:p w:rsidR="003E0BB0" w:rsidRPr="000A0372" w:rsidRDefault="003E0BB0" w:rsidP="00263F34">
            <w:pPr>
              <w:numPr>
                <w:ilvl w:val="0"/>
                <w:numId w:val="11"/>
              </w:numPr>
              <w:spacing w:after="220"/>
            </w:pPr>
            <w:r w:rsidRPr="000A0372">
              <w:t>prendre en considération les différents niveaux de développement;</w:t>
            </w:r>
          </w:p>
          <w:p w:rsidR="003E0BB0" w:rsidRPr="000A0372" w:rsidRDefault="003E0BB0" w:rsidP="00263F34">
            <w:pPr>
              <w:numPr>
                <w:ilvl w:val="0"/>
                <w:numId w:val="11"/>
              </w:numPr>
              <w:spacing w:after="220"/>
            </w:pPr>
            <w:r w:rsidRPr="000A0372">
              <w:t>établir un équilibre entre les coûts et les avantages;  et</w:t>
            </w:r>
          </w:p>
          <w:p w:rsidR="003E0BB0" w:rsidRPr="000A0372" w:rsidRDefault="003E0BB0" w:rsidP="00263F34">
            <w:pPr>
              <w:numPr>
                <w:ilvl w:val="0"/>
                <w:numId w:val="11"/>
              </w:numPr>
              <w:spacing w:after="220"/>
            </w:pPr>
            <w:r w:rsidRPr="000A0372">
              <w:t>constituer un processus participatif, qui prenne en considération les intérêts et priorités de l’ensemble des États membres de l’OMPI ainsi que les points de vue d’autres parties prenantes, notamment des organisations intergouvernementales et non gouvernementales accréditées;  et être conformes au principe de neutralité du Secrétariat de l’OMPI.</w:t>
            </w:r>
          </w:p>
          <w:p w:rsidR="003E0BB0" w:rsidRPr="000A0372" w:rsidRDefault="003E0BB0" w:rsidP="00263F34">
            <w:pPr>
              <w:rPr>
                <w:bCs/>
                <w:i/>
                <w:szCs w:val="22"/>
              </w:rPr>
            </w:pPr>
            <w:r w:rsidRPr="000A0372">
              <w:rPr>
                <w:bCs/>
                <w:i/>
                <w:szCs w:val="22"/>
              </w:rPr>
              <w:t>Recommandation n° 21</w:t>
            </w:r>
          </w:p>
          <w:p w:rsidR="003E0BB0" w:rsidRPr="000A0372" w:rsidRDefault="003E0BB0" w:rsidP="00263F34">
            <w:pPr>
              <w:rPr>
                <w:bCs/>
                <w:szCs w:val="22"/>
              </w:rPr>
            </w:pPr>
          </w:p>
          <w:p w:rsidR="003E0BB0" w:rsidRPr="000A0372" w:rsidRDefault="003E0BB0" w:rsidP="00263F34">
            <w:pPr>
              <w:rPr>
                <w:bCs/>
                <w:szCs w:val="22"/>
              </w:rPr>
            </w:pPr>
            <w:r w:rsidRPr="000A0372">
              <w:rPr>
                <w:bCs/>
                <w:szCs w:val="22"/>
              </w:rPr>
              <w:t>L’OMPI mènera des consultations informelles, ouvertes et équilibrées, selon que de besoin, avant d’entreprendre toute nouvelle activité d’établissement de normes, dans le cadre d’un processus placé sous le contrôle des membres, en favorisant la participation d’experts des États membres, et notamment des pays en développement et des PMA.</w:t>
            </w:r>
          </w:p>
          <w:p w:rsidR="003E0BB0" w:rsidRPr="000A0372" w:rsidRDefault="003E0BB0" w:rsidP="00263F34">
            <w:pPr>
              <w:rPr>
                <w:bCs/>
                <w:szCs w:val="22"/>
              </w:rPr>
            </w:pPr>
          </w:p>
          <w:p w:rsidR="003E0BB0" w:rsidRPr="000A0372" w:rsidRDefault="003E0BB0" w:rsidP="00263F34">
            <w:pPr>
              <w:rPr>
                <w:bCs/>
                <w:i/>
                <w:szCs w:val="22"/>
              </w:rPr>
            </w:pPr>
            <w:r w:rsidRPr="000A0372">
              <w:rPr>
                <w:bCs/>
                <w:i/>
                <w:szCs w:val="22"/>
              </w:rPr>
              <w:t>Recommandation n° 44</w:t>
            </w:r>
          </w:p>
          <w:p w:rsidR="003E0BB0" w:rsidRPr="000A0372" w:rsidRDefault="003E0BB0" w:rsidP="00263F34">
            <w:pPr>
              <w:rPr>
                <w:bCs/>
              </w:rPr>
            </w:pPr>
          </w:p>
          <w:p w:rsidR="003E0BB0" w:rsidRPr="000A0372" w:rsidRDefault="003E0BB0" w:rsidP="00263F34">
            <w:pPr>
              <w:rPr>
                <w:bCs/>
              </w:rPr>
            </w:pPr>
            <w:r w:rsidRPr="000A0372">
              <w:rPr>
                <w:bCs/>
              </w:rPr>
              <w:t>Compte tenu de la nature de l’OMPI, qui est une organisation contrôlée par ses membres en tant qu’institution spécialisée de l’Organisation des Nations Unies, les réunions ou les consultations formelles et informelles relatives aux activités d’établissement de normes dans l’Organisation, organisées par le Bureau international, à la demande des États membres, devraient se tenir principalement à Genève, d’une manière ouverte et transparente pour tous les membres.  Lorsque de telles réunions se tiendront hors de Genève, les États membres seront informés par les voies officielles, suffisamment tôt, et consultés sur le projet d’ordre du jour et de programme.</w:t>
            </w:r>
          </w:p>
          <w:p w:rsidR="003E0BB0" w:rsidRPr="000A0372" w:rsidRDefault="003E0BB0" w:rsidP="00263F34"/>
        </w:tc>
      </w:tr>
      <w:tr w:rsidR="003E0BB0" w:rsidRPr="000A0372" w:rsidTr="00263F34">
        <w:tc>
          <w:tcPr>
            <w:tcW w:w="2538" w:type="dxa"/>
          </w:tcPr>
          <w:p w:rsidR="003E0BB0" w:rsidRPr="000A0372" w:rsidRDefault="003E0BB0" w:rsidP="00263F34">
            <w:r w:rsidRPr="000A0372">
              <w:t>Programmes du Programme et budget 2018/2019 liés à la recommandation</w:t>
            </w:r>
          </w:p>
          <w:p w:rsidR="003E0BB0" w:rsidRPr="000A0372" w:rsidRDefault="003E0BB0" w:rsidP="00263F34"/>
        </w:tc>
        <w:tc>
          <w:tcPr>
            <w:tcW w:w="6749" w:type="dxa"/>
          </w:tcPr>
          <w:p w:rsidR="003E0BB0" w:rsidRPr="000A0372" w:rsidRDefault="003E0BB0" w:rsidP="00263F34">
            <w:r w:rsidRPr="000A0372">
              <w:t>1, 2, 3, 4, 5, 6, 31 et 32</w:t>
            </w:r>
          </w:p>
        </w:tc>
      </w:tr>
      <w:tr w:rsidR="003E0BB0" w:rsidRPr="000A0372" w:rsidTr="00263F34">
        <w:tc>
          <w:tcPr>
            <w:tcW w:w="2538" w:type="dxa"/>
          </w:tcPr>
          <w:p w:rsidR="003E0BB0" w:rsidRPr="000A0372" w:rsidRDefault="003E0BB0" w:rsidP="00263F34">
            <w:r w:rsidRPr="000A0372">
              <w:t xml:space="preserve">Mise en œuvre </w:t>
            </w:r>
          </w:p>
        </w:tc>
        <w:tc>
          <w:tcPr>
            <w:tcW w:w="6749" w:type="dxa"/>
          </w:tcPr>
          <w:p w:rsidR="003E0BB0" w:rsidRPr="000A0372" w:rsidRDefault="003E0BB0" w:rsidP="00263F34">
            <w:r w:rsidRPr="000A0372">
              <w:t>En octobre 2007, l’Assemblée générale a demandé à tous les organes de l’OMPI, y compris les comités chargés de l’élaboration des normes, d’appliquer ces recommandations (parallèlement aux 16 recommandations devant faire l’objet d’une mise en œuvre immédiate).  La stratégie de mise en œuvre de ces recommandations est fondée sur les débats consacrés à différents rapports d’activité (documents CDIP/3/5, CDIP/6/3, CDIP/8/2 et CDIP/10/2).  Ces recommandations sont en cours de mise en œuvre depuis l’adoption du Plan d’action pour le développement de l’OMPI en 2007.  La stratégie de mise en œuvre est la suivante :</w:t>
            </w:r>
          </w:p>
          <w:p w:rsidR="003E0BB0" w:rsidRPr="000A0372" w:rsidRDefault="003E0BB0" w:rsidP="00263F34"/>
          <w:p w:rsidR="003E0BB0" w:rsidRPr="000A0372" w:rsidRDefault="003E0BB0" w:rsidP="00263F34">
            <w:r w:rsidRPr="000A0372">
              <w:t>Ces recommandations ont été mises en œuvre dans le cadre de l’IGC, du SCCR, du SCP et du SCT.</w:t>
            </w:r>
          </w:p>
          <w:p w:rsidR="003E0BB0" w:rsidRPr="000A0372" w:rsidRDefault="003E0BB0" w:rsidP="00263F34"/>
          <w:p w:rsidR="003E0BB0" w:rsidRPr="000A0372" w:rsidRDefault="003E0BB0" w:rsidP="00263F34">
            <w:r w:rsidRPr="000A0372">
              <w:t>Pour ses activités d’établissement de normes, l’OMPI finance des personnes désignées par des pays en développement.</w:t>
            </w:r>
          </w:p>
          <w:p w:rsidR="003E0BB0" w:rsidRPr="000A0372" w:rsidRDefault="003E0BB0" w:rsidP="00263F34"/>
          <w:p w:rsidR="003E0BB0" w:rsidRPr="000A0372" w:rsidRDefault="003E0BB0" w:rsidP="00263F34">
            <w:r w:rsidRPr="000A0372">
              <w:t>Les activités sont portées par les États membres qui assurent l’équilibre des processus entre les coûts et les avantages, lesquels processus sont participatifs et ouverts.</w:t>
            </w:r>
          </w:p>
          <w:p w:rsidR="003E0BB0" w:rsidRPr="000A0372" w:rsidRDefault="003E0BB0" w:rsidP="00263F34"/>
        </w:tc>
      </w:tr>
      <w:tr w:rsidR="003E0BB0" w:rsidRPr="000A0372" w:rsidTr="00263F34">
        <w:tc>
          <w:tcPr>
            <w:tcW w:w="2538" w:type="dxa"/>
          </w:tcPr>
          <w:p w:rsidR="003E0BB0" w:rsidRPr="000A0372" w:rsidRDefault="003E0BB0" w:rsidP="00263F34">
            <w:r w:rsidRPr="000A0372">
              <w:t>Projets du Plan d’action pour le développement liés à la recommandation</w:t>
            </w:r>
          </w:p>
        </w:tc>
        <w:tc>
          <w:tcPr>
            <w:tcW w:w="6749" w:type="dxa"/>
          </w:tcPr>
          <w:p w:rsidR="003E0BB0" w:rsidRPr="000A0372" w:rsidRDefault="003E0BB0" w:rsidP="00263F34">
            <w:r w:rsidRPr="000A0372">
              <w:t>S.O.</w:t>
            </w:r>
          </w:p>
          <w:p w:rsidR="003E0BB0" w:rsidRPr="000A0372" w:rsidRDefault="003E0BB0" w:rsidP="00263F34"/>
        </w:tc>
      </w:tr>
      <w:tr w:rsidR="003E0BB0" w:rsidRPr="000A0372" w:rsidTr="00263F34">
        <w:tc>
          <w:tcPr>
            <w:tcW w:w="2538" w:type="dxa"/>
          </w:tcPr>
          <w:p w:rsidR="003E0BB0" w:rsidRPr="000A0372" w:rsidRDefault="003E0BB0" w:rsidP="00263F34">
            <w:r w:rsidRPr="000A0372">
              <w:t xml:space="preserve">Activités/réalisations </w:t>
            </w:r>
          </w:p>
        </w:tc>
        <w:tc>
          <w:tcPr>
            <w:tcW w:w="6749" w:type="dxa"/>
          </w:tcPr>
          <w:p w:rsidR="003E0BB0" w:rsidRPr="000A0372" w:rsidRDefault="003E0BB0" w:rsidP="00263F34">
            <w:r w:rsidRPr="000A0372">
              <w:t>Le Comité permanent du droit des brevets (SCP) s’est réuni deux fois entre juillet 2017 et juin 2018.  Les États membres ont continué d’examiner, entre autres, les questions suivantes : i) les exceptions et limitations relatives aux droits des brevets, ii) la qualité des brevets, y compris les systèmes d’opposition, iii) les brevets et la santé, iv) la confidentialité des communications entre les conseils en brevets et leurs clients, et v) le transfert de technologie.</w:t>
            </w:r>
          </w:p>
          <w:p w:rsidR="003E0BB0" w:rsidRPr="000A0372" w:rsidRDefault="003E0BB0" w:rsidP="00263F34"/>
          <w:p w:rsidR="003E0BB0" w:rsidRPr="000A0372" w:rsidRDefault="003E0BB0" w:rsidP="00263F34">
            <w:r w:rsidRPr="000A0372">
              <w:t>Une approche progressive a élargi la base commune à partir de laquelle le comité pourrait faire avancer ses débats.  En outre, diverses méthodes utilisées par le comité, notamment la préparation d’études de fond, des séminaires et des réunions de partage de données sur la mise en œuvre du droit des brevets au niveau national et les expériences et enjeux nationaux, ont contribué à faire progresser les débats sur les questions d’intérêt commun au sein du SCP.  Un certain nombre de propositions ont été présentées par les États membres sur les thèmes susmentionnés, ce qui témoigne de leur participation active aux travaux du SCP.</w:t>
            </w:r>
          </w:p>
          <w:p w:rsidR="003E0BB0" w:rsidRPr="000A0372" w:rsidRDefault="003E0BB0" w:rsidP="00263F34"/>
          <w:p w:rsidR="003E0BB0" w:rsidRPr="000A0372" w:rsidRDefault="003E0BB0" w:rsidP="00263F34">
            <w:r w:rsidRPr="000A0372">
              <w:t>Le Comité permanent du droit d’auteur et des droits connexes (SCCR) s’est réuni deux fois depuis juillet 2017.  Il a poursuivi l’examen des sujets suivants : la protection des organismes de radiodiffusion, les limitations et exceptions concernant les bibliothèques et services d’archives ainsi que les limitations et exceptions ayant trait aux instituts d’enseignement et de recherche et aux personnes ayant d’autres handicaps.</w:t>
            </w:r>
          </w:p>
          <w:p w:rsidR="003E0BB0" w:rsidRPr="000A0372" w:rsidRDefault="003E0BB0" w:rsidP="00263F34"/>
          <w:p w:rsidR="003E0BB0" w:rsidRPr="000A0372" w:rsidRDefault="003E0BB0" w:rsidP="00263F34">
            <w:r w:rsidRPr="000A0372">
              <w:t>Le SCCR a eu des discussions fructueuses sur un texte unique pour un traité sur la protection des organismes de radiodiffusion et a envoyé une recommandation à l’Assemblée générale de 2018 au sujet d’une conférence diplomatique.</w:t>
            </w:r>
          </w:p>
          <w:p w:rsidR="003E0BB0" w:rsidRDefault="003E0BB0" w:rsidP="00263F34"/>
          <w:p w:rsidR="004733D4" w:rsidRPr="000A0372" w:rsidRDefault="004733D4" w:rsidP="00263F34"/>
          <w:p w:rsidR="003E0BB0" w:rsidRPr="000A0372" w:rsidRDefault="003E0BB0" w:rsidP="00263F34">
            <w:r w:rsidRPr="000A0372">
              <w:t>Le SCCR a reçu les résultats actualisés d’études approfondies sur les limitations et exceptions concernant les bibliothèques, les services d’archives et les instituts d’enseignement et de recherche, ainsi que d’une étude exploratoire sur les limitations et exceptions ayant trait aux personnes ayant d’autres handicaps.  Le SCCR a adopté des plans d’action pour travailler sur ces sujets en 2019.</w:t>
            </w:r>
          </w:p>
          <w:p w:rsidR="003E0BB0" w:rsidRPr="000A0372" w:rsidRDefault="003E0BB0" w:rsidP="00263F34"/>
          <w:p w:rsidR="003E0BB0" w:rsidRPr="000A0372" w:rsidRDefault="003E0BB0" w:rsidP="00263F34">
            <w:r w:rsidRPr="000A0372">
              <w:t>En outre, le SCCR a poursuivi les discussions sur trois autres questions, sous le point “Questions diverses” : l’examen du droit d’auteur dans l’environnement numérique, le droit de suite et la protection des metteurs en scène de théâtre.</w:t>
            </w:r>
          </w:p>
          <w:p w:rsidR="003E0BB0" w:rsidRPr="000A0372" w:rsidRDefault="003E0BB0" w:rsidP="00263F34"/>
          <w:p w:rsidR="003E0BB0" w:rsidRPr="000A0372" w:rsidRDefault="003E0BB0" w:rsidP="00263F34">
            <w:r w:rsidRPr="000A0372">
              <w:t>En octobre 2017, l’Assemblée générale de l’OMPI a décidé de renouveler le mandat du Comité intergouvernemental de la propriété intellectuelle relative aux ressources génétiques, aux savoirs traditionnels et au folklore (IGC) pour l’exercice biennal 2018</w:t>
            </w:r>
            <w:r w:rsidRPr="000A0372">
              <w:noBreakHyphen/>
              <w:t>2019.  Les participants sont également parvenus à un accord concernant le programme de travail de l’IGC en 2018 et 2019.</w:t>
            </w:r>
          </w:p>
          <w:p w:rsidR="003E0BB0" w:rsidRPr="000A0372" w:rsidRDefault="003E0BB0" w:rsidP="00263F34"/>
          <w:p w:rsidR="003E0BB0" w:rsidRPr="000A0372" w:rsidRDefault="003E0BB0" w:rsidP="00263F34">
            <w:r w:rsidRPr="000A0372">
              <w:t xml:space="preserve">Conformément à son nouveau mandat et son programme de travail, l’IGC s’est réuni deux fois entre janvier 2018 et juin 2018 pour négocier un instrument juridique international relatif aux ressources génétiques.  Un rapport (document WO/GA/50/8 – Rapport sur le Comité intergouvernemental de la propriété intellectuelle relative aux ressources génétiques, aux savoirs traditionnels et au folklore (IGC)) a été présenté à l’Assemblée générale de l’OMPI </w:t>
            </w:r>
            <w:r w:rsidRPr="000A0372">
              <w:rPr>
                <w:lang w:eastAsia="zh-CN"/>
              </w:rPr>
              <w:t>en septembre 2018</w:t>
            </w:r>
            <w:r w:rsidRPr="000A0372">
              <w:t>.</w:t>
            </w:r>
          </w:p>
          <w:p w:rsidR="003E0BB0" w:rsidRPr="000A0372" w:rsidRDefault="003E0BB0" w:rsidP="00263F34"/>
          <w:p w:rsidR="003E0BB0" w:rsidRPr="000A0372" w:rsidRDefault="003E0BB0" w:rsidP="00263F34">
            <w:r w:rsidRPr="000A0372">
              <w:t>Conformément au nouveau mandat, un groupe spécial d’experts sur les ressources génétiques s’est réuni le 24 juin 2018, avant la trente</w:t>
            </w:r>
            <w:r w:rsidRPr="000A0372">
              <w:noBreakHyphen/>
              <w:t>sixième session de l’IGC, pour traiter de questions juridiques, politiques ou techniques spécifiques.</w:t>
            </w:r>
          </w:p>
          <w:p w:rsidR="003E0BB0" w:rsidRPr="000A0372" w:rsidRDefault="003E0BB0" w:rsidP="00263F34"/>
          <w:p w:rsidR="003E0BB0" w:rsidRPr="000A0372" w:rsidRDefault="003E0BB0" w:rsidP="00263F34">
            <w:r w:rsidRPr="000A0372">
              <w:t>De nouvelles publications et ressources ont été mises à disposition, s’ajoutant à une série de guides pratiques et d’autres ressources rationalisés et intégrés : i) Instrument d’aide à la fixation des savoirs traditionnels, ii) un guide des questions de propriété intellectuelle dans les accords relatifs à l’accès et au partage des avantages, et iii) une vidéo d’animation qui retrace l’histoire des Yakuanoi qui découvrent les questions fondamentales liées à la propriété intellectuelle et aux savoirs traditionnels.</w:t>
            </w:r>
          </w:p>
          <w:p w:rsidR="003E0BB0" w:rsidRPr="000A0372" w:rsidRDefault="003E0BB0" w:rsidP="00263F34"/>
          <w:p w:rsidR="003E0BB0" w:rsidRPr="000A0372" w:rsidRDefault="003E0BB0" w:rsidP="00263F34">
            <w:r w:rsidRPr="000A0372">
              <w:t>Le Comité permanent du droit des marques, des dessins et modèles industriels et des indications géographiques (SCT) s’est réuni deux fois depuis juillet 2017.  Compte tenu de la décision prise en 2017 par l’Assemblée générale de l’OMPI de continuer à examiner la possibilité de convoquer une conférence diplomatique sur le traité sur le droit des dessins et modèles (DLT) à sa prochaine session en 2018, le SCT n’a pas activement examiné le DLT, bien que ce sujet continue de figurer à son ordre du jour.  Le SCT a poursuivi ses discussions sur les interfaces utilisateurs graphiques, les icônes et les polices/fontes de caractères, en se concentrant en particulier sur deux aspects, à savoir 1) l’exigence d’un lien entre le dessin et modèle et le produit ou l’article et 2) les méthodes autorisées par les offices pour la représentation des dessins et modèles animés.  En ce qui concerne les marques, le SCT a notamment poursuivi ses discussions sur la protection des noms de pays contre leur enregistrement et leur utilisation en tant que marques, en tenant compte de deux nouvelles propositions des États membres.  Enfin, en ce qui concerne les indications géographiques, le SCT a adopté un plan de travail qu’il a commencé à mettre en œuvre en diffusant deux questionnaires sur le sujet.</w:t>
            </w:r>
          </w:p>
          <w:p w:rsidR="003E0BB0" w:rsidRPr="000A0372" w:rsidRDefault="003E0BB0" w:rsidP="00263F34"/>
          <w:p w:rsidR="003E0BB0" w:rsidRPr="000A0372" w:rsidRDefault="003E0BB0" w:rsidP="00263F34">
            <w:pPr>
              <w:rPr>
                <w:bCs/>
              </w:rPr>
            </w:pPr>
            <w:r w:rsidRPr="000A0372">
              <w:rPr>
                <w:bCs/>
              </w:rPr>
              <w:t>Tous les travaux des comités ont été menés de manière exhaustive, à l’initiative des membres et à partir de consultations ouvertes et équilibrées faisant intervenir la société civile dans son ensemble.</w:t>
            </w:r>
          </w:p>
          <w:p w:rsidR="003E0BB0" w:rsidRPr="000A0372" w:rsidRDefault="003E0BB0" w:rsidP="00263F34"/>
        </w:tc>
      </w:tr>
      <w:tr w:rsidR="003E0BB0" w:rsidRPr="000A0372" w:rsidTr="00263F34">
        <w:tc>
          <w:tcPr>
            <w:tcW w:w="2538" w:type="dxa"/>
          </w:tcPr>
          <w:p w:rsidR="003E0BB0" w:rsidRPr="000A0372" w:rsidRDefault="003E0BB0" w:rsidP="00263F34">
            <w:r w:rsidRPr="000A0372">
              <w:t>Autres rapports/documents liés à la recommandation</w:t>
            </w:r>
          </w:p>
        </w:tc>
        <w:tc>
          <w:tcPr>
            <w:tcW w:w="6749" w:type="dxa"/>
          </w:tcPr>
          <w:p w:rsidR="003E0BB0" w:rsidRPr="000A0372" w:rsidRDefault="003E0BB0" w:rsidP="00263F34">
            <w:r w:rsidRPr="000A0372">
              <w:t>Rapports examinés par le CDIP : CDIP/3/5;  CDIP/6/3;  CDIP/8/2;  CDIP/10/2;  CDIP/12/2;  CDIP/14/2;  CDIP/16/2;  CDIP/18/2;  CDIP/20/2.</w:t>
            </w:r>
          </w:p>
          <w:p w:rsidR="003E0BB0" w:rsidRPr="000A0372" w:rsidRDefault="003E0BB0" w:rsidP="00263F34"/>
          <w:p w:rsidR="003E0BB0" w:rsidRPr="000A0372" w:rsidRDefault="003E0BB0" w:rsidP="00263F34">
            <w:r w:rsidRPr="000A0372">
              <w:t>Outre les activités figurant dans la Base de données de l’assistance technique dans le domaine de la propriété intellectuelle, pour plus d’informations sur les réalisations liées à ces recommandations, voir le rapport sur l’exécution du programme de l’OMPI en 2016</w:t>
            </w:r>
            <w:r w:rsidRPr="000A0372">
              <w:noBreakHyphen/>
              <w:t>2017 (document WO/PBC/28/7), les rapports sur le Comité permanent du droit des brevets présentés à l’Assemblée générale (documents WO/GA/49/6 et WO/GA/50/4), le rapport sur le Comité permanent du droit d’auteur et des droits connexes présenté à l’Assemblée générale (document WO/GA/50/3), le rapport sur le Comité intergouvernemental de la propriété intellectuelle relative aux ressources génétiques, aux savoirs traditionnels et au folklore présenté à l’Assemblée générale (document WO/GA/50/8 Prov.) et le rapport sur le Comité permanent du droit des marques, des dessins et modèles industriels et des indications géographiques présenté à l’Assemblée générale (document WO/GA/50/5).</w:t>
            </w:r>
          </w:p>
          <w:p w:rsidR="003E0BB0" w:rsidRPr="000A0372" w:rsidRDefault="003E0BB0" w:rsidP="00263F34">
            <w:pPr>
              <w:rPr>
                <w:i/>
                <w:sz w:val="21"/>
                <w:szCs w:val="21"/>
                <w:highlight w:val="yellow"/>
                <w:bdr w:val="none" w:sz="0" w:space="0" w:color="auto" w:frame="1"/>
              </w:rPr>
            </w:pPr>
          </w:p>
        </w:tc>
      </w:tr>
    </w:tbl>
    <w:p w:rsidR="003E0BB0" w:rsidRPr="000A0372" w:rsidRDefault="003E0BB0" w:rsidP="003E0BB0"/>
    <w:p w:rsidR="003E0BB0" w:rsidRDefault="003E0BB0" w:rsidP="0029527A">
      <w:pPr>
        <w:rPr>
          <w:color w:val="333333"/>
          <w:lang w:val="fr-FR"/>
        </w:rPr>
        <w:sectPr w:rsidR="003E0BB0" w:rsidSect="0066454B">
          <w:headerReference w:type="even" r:id="rId63"/>
          <w:headerReference w:type="default" r:id="rId64"/>
          <w:footerReference w:type="even" r:id="rId65"/>
          <w:footerReference w:type="default" r:id="rId66"/>
          <w:headerReference w:type="first" r:id="rId67"/>
          <w:footerReference w:type="first" r:id="rId68"/>
          <w:pgSz w:w="11907" w:h="16840" w:code="9"/>
          <w:pgMar w:top="1418" w:right="1418" w:bottom="1418" w:left="1418" w:header="709" w:footer="709" w:gutter="0"/>
          <w:pgNumType w:start="1"/>
          <w:cols w:space="720"/>
          <w:titlePg/>
          <w:docGrid w:linePitch="299"/>
        </w:sectPr>
      </w:pPr>
    </w:p>
    <w:p w:rsidR="003E0BB0" w:rsidRPr="00880AA0" w:rsidRDefault="003E0BB0" w:rsidP="003E0BB0">
      <w:pPr>
        <w:rPr>
          <w:lang w:val="fr-FR"/>
        </w:rPr>
      </w:pPr>
    </w:p>
    <w:tbl>
      <w:tblPr>
        <w:tblStyle w:val="TableGrid"/>
        <w:tblW w:w="0" w:type="auto"/>
        <w:tblLook w:val="04A0" w:firstRow="1" w:lastRow="0" w:firstColumn="1" w:lastColumn="0" w:noHBand="0" w:noVBand="1"/>
      </w:tblPr>
      <w:tblGrid>
        <w:gridCol w:w="2538"/>
        <w:gridCol w:w="6749"/>
      </w:tblGrid>
      <w:tr w:rsidR="003E0BB0" w:rsidRPr="00880AA0" w:rsidTr="00263F34">
        <w:tc>
          <w:tcPr>
            <w:tcW w:w="2538" w:type="dxa"/>
            <w:shd w:val="clear" w:color="auto" w:fill="BFBFBF" w:themeFill="background1" w:themeFillShade="BF"/>
          </w:tcPr>
          <w:p w:rsidR="003E0BB0" w:rsidRPr="00880AA0" w:rsidRDefault="003E0BB0" w:rsidP="00263F34">
            <w:pPr>
              <w:rPr>
                <w:lang w:val="fr-FR"/>
              </w:rPr>
            </w:pPr>
            <w:r w:rsidRPr="00880AA0">
              <w:rPr>
                <w:lang w:val="fr-FR"/>
              </w:rPr>
              <w:t xml:space="preserve">Recommandation(s) </w:t>
            </w:r>
          </w:p>
        </w:tc>
        <w:tc>
          <w:tcPr>
            <w:tcW w:w="6749" w:type="dxa"/>
            <w:shd w:val="clear" w:color="auto" w:fill="BFBFBF" w:themeFill="background1" w:themeFillShade="BF"/>
          </w:tcPr>
          <w:p w:rsidR="003E0BB0" w:rsidRPr="00880AA0" w:rsidRDefault="003E0BB0" w:rsidP="00263F34">
            <w:pPr>
              <w:rPr>
                <w:i/>
                <w:lang w:val="fr-FR"/>
              </w:rPr>
            </w:pPr>
            <w:r w:rsidRPr="00880AA0">
              <w:rPr>
                <w:i/>
                <w:lang w:val="fr-FR"/>
              </w:rPr>
              <w:t>Recommandation n° 16</w:t>
            </w:r>
          </w:p>
          <w:p w:rsidR="003E0BB0" w:rsidRPr="00880AA0" w:rsidRDefault="003E0BB0" w:rsidP="00263F34">
            <w:pPr>
              <w:rPr>
                <w:lang w:val="fr-FR"/>
              </w:rPr>
            </w:pPr>
          </w:p>
          <w:p w:rsidR="003E0BB0" w:rsidRPr="00880AA0" w:rsidRDefault="003E0BB0" w:rsidP="00263F34">
            <w:pPr>
              <w:rPr>
                <w:lang w:val="fr-FR"/>
              </w:rPr>
            </w:pPr>
            <w:r w:rsidRPr="00880AA0">
              <w:rPr>
                <w:lang w:val="fr-FR"/>
              </w:rPr>
              <w:t>Prendre en considération la préservation du domaine public dans l’élaboration des normes à l’OMPI et approfondir l’analyse des conséquences et des avantages d’un domaine public riche et accessible.</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Programmes connexes dans le Programme et budget 2018/2019</w:t>
            </w:r>
          </w:p>
          <w:p w:rsidR="003E0BB0" w:rsidRPr="00880AA0" w:rsidRDefault="003E0BB0" w:rsidP="00263F34">
            <w:pPr>
              <w:rPr>
                <w:lang w:val="fr-FR"/>
              </w:rPr>
            </w:pPr>
          </w:p>
        </w:tc>
        <w:tc>
          <w:tcPr>
            <w:tcW w:w="6749" w:type="dxa"/>
          </w:tcPr>
          <w:p w:rsidR="003E0BB0" w:rsidRPr="00880AA0" w:rsidRDefault="003E0BB0" w:rsidP="00263F34">
            <w:pPr>
              <w:rPr>
                <w:lang w:val="fr-FR"/>
              </w:rPr>
            </w:pPr>
            <w:r w:rsidRPr="00880AA0">
              <w:rPr>
                <w:lang w:val="fr-FR"/>
              </w:rPr>
              <w:t>1, 2, 3, 4, 9, 10, 11, 14, 16 et 30</w:t>
            </w:r>
          </w:p>
        </w:tc>
      </w:tr>
      <w:tr w:rsidR="003E0BB0" w:rsidRPr="00880AA0" w:rsidTr="00263F34">
        <w:tc>
          <w:tcPr>
            <w:tcW w:w="2538" w:type="dxa"/>
          </w:tcPr>
          <w:p w:rsidR="003E0BB0" w:rsidRPr="00880AA0" w:rsidRDefault="003E0BB0" w:rsidP="00263F34">
            <w:pPr>
              <w:rPr>
                <w:lang w:val="fr-FR"/>
              </w:rPr>
            </w:pPr>
            <w:r w:rsidRPr="00880AA0">
              <w:rPr>
                <w:lang w:val="fr-FR"/>
              </w:rPr>
              <w:t xml:space="preserve">Mise en œuvre </w:t>
            </w:r>
          </w:p>
        </w:tc>
        <w:tc>
          <w:tcPr>
            <w:tcW w:w="6749" w:type="dxa"/>
          </w:tcPr>
          <w:p w:rsidR="003E0BB0" w:rsidRPr="00880AA0" w:rsidRDefault="003E0BB0" w:rsidP="00263F34">
            <w:pPr>
              <w:rPr>
                <w:lang w:val="fr-FR"/>
              </w:rPr>
            </w:pPr>
            <w:r w:rsidRPr="00880AA0">
              <w:rPr>
                <w:lang w:val="fr-FR"/>
              </w:rPr>
              <w:t>Cette recommandation a été examinée et est mise en œuvre depuis l’adoption du Plan d’action pour le développement de l’OMPI en 2007.  Elle a été traitée selon une stratégie de mise en œuvre commune fondée sur les délibérations du CDIP/4 (document CDIP/4/3 Rev.1).  La stratégie de mise en œuvre est la suivante :</w:t>
            </w:r>
          </w:p>
          <w:p w:rsidR="003E0BB0" w:rsidRPr="00880AA0" w:rsidRDefault="003E0BB0" w:rsidP="00263F34">
            <w:pPr>
              <w:rPr>
                <w:lang w:val="fr-FR"/>
              </w:rPr>
            </w:pPr>
          </w:p>
          <w:p w:rsidR="003E0BB0" w:rsidRPr="00880AA0" w:rsidRDefault="003E0BB0" w:rsidP="00263F34">
            <w:pPr>
              <w:rPr>
                <w:lang w:val="fr-FR"/>
              </w:rPr>
            </w:pPr>
            <w:r w:rsidRPr="00880AA0">
              <w:rPr>
                <w:lang w:val="fr-FR"/>
              </w:rPr>
              <w:t>Cette recommandation faisait partie d’un projet thématique sur la propriété intellectuelle et le domaine public (CDIP/4/3) et d’un projet relatif aux brevets et au domaine public (CDIP/7/5 Rev.).</w:t>
            </w:r>
          </w:p>
          <w:p w:rsidR="003E0BB0" w:rsidRPr="00880AA0" w:rsidRDefault="003E0BB0" w:rsidP="00263F34">
            <w:pPr>
              <w:rPr>
                <w:lang w:val="fr-FR"/>
              </w:rPr>
            </w:pPr>
          </w:p>
          <w:p w:rsidR="003E0BB0" w:rsidRPr="00880AA0" w:rsidRDefault="003E0BB0" w:rsidP="00263F34">
            <w:pPr>
              <w:rPr>
                <w:lang w:val="fr-FR"/>
              </w:rPr>
            </w:pPr>
            <w:r w:rsidRPr="00880AA0">
              <w:rPr>
                <w:lang w:val="fr-FR"/>
              </w:rPr>
              <w:t>Cette recommandation a également été mise en œuvre dans le domaine des savoirs traditionnels, où des mesures pratiques et juridiques ont été combinées afin de garantir que les savoirs traditionnels qui sont clairement dans le domaine public ne font pas l’objet de brevets délivrés par erreur.</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Projets du Plan d’action pour le développement connexes</w:t>
            </w:r>
          </w:p>
          <w:p w:rsidR="003E0BB0" w:rsidRPr="00880AA0" w:rsidRDefault="003E0BB0" w:rsidP="00263F34">
            <w:pPr>
              <w:rPr>
                <w:lang w:val="fr-FR"/>
              </w:rPr>
            </w:pPr>
          </w:p>
        </w:tc>
        <w:tc>
          <w:tcPr>
            <w:tcW w:w="6749" w:type="dxa"/>
          </w:tcPr>
          <w:p w:rsidR="003E0BB0" w:rsidRPr="00880AA0" w:rsidRDefault="003E0BB0" w:rsidP="00263F34">
            <w:pPr>
              <w:rPr>
                <w:lang w:val="fr-FR"/>
              </w:rPr>
            </w:pPr>
            <w:r w:rsidRPr="00880AA0">
              <w:rPr>
                <w:lang w:val="fr-FR"/>
              </w:rPr>
              <w:t>Cette recommandation a été mise en œuvre au moyen des projets du Plan d’action pour le développement suivants désormais achevés :</w:t>
            </w:r>
          </w:p>
          <w:p w:rsidR="003E0BB0" w:rsidRPr="00880AA0" w:rsidRDefault="003E0BB0" w:rsidP="00263F34">
            <w:pPr>
              <w:rPr>
                <w:lang w:val="fr-FR"/>
              </w:rPr>
            </w:pPr>
          </w:p>
          <w:p w:rsidR="003E0BB0" w:rsidRPr="00880AA0" w:rsidRDefault="003E0BB0" w:rsidP="00263F34">
            <w:pPr>
              <w:rPr>
                <w:lang w:val="fr-FR"/>
              </w:rPr>
            </w:pPr>
            <w:r w:rsidRPr="00880AA0">
              <w:rPr>
                <w:lang w:val="fr-FR"/>
              </w:rPr>
              <w:t xml:space="preserve">– </w:t>
            </w:r>
            <w:hyperlink r:id="rId69" w:history="1">
              <w:r w:rsidRPr="00880AA0">
                <w:rPr>
                  <w:rStyle w:val="Hyperlink"/>
                  <w:color w:val="auto"/>
                  <w:lang w:val="fr-FR"/>
                </w:rPr>
                <w:t>Propriété intellectuelle et domaine public</w:t>
              </w:r>
            </w:hyperlink>
            <w:r w:rsidRPr="00880AA0">
              <w:rPr>
                <w:lang w:val="fr-FR"/>
              </w:rPr>
              <w:t xml:space="preserve"> (CDIP/6/REF/CDIP/4/3 Rev. 2)</w:t>
            </w:r>
          </w:p>
          <w:p w:rsidR="003E0BB0" w:rsidRPr="00880AA0" w:rsidRDefault="003E0BB0" w:rsidP="00263F34">
            <w:pPr>
              <w:rPr>
                <w:lang w:val="fr-FR"/>
              </w:rPr>
            </w:pPr>
          </w:p>
          <w:p w:rsidR="003E0BB0" w:rsidRPr="00880AA0" w:rsidRDefault="003E0BB0" w:rsidP="00263F34">
            <w:pPr>
              <w:rPr>
                <w:lang w:val="fr-FR"/>
              </w:rPr>
            </w:pPr>
            <w:r w:rsidRPr="00880AA0">
              <w:rPr>
                <w:lang w:val="fr-FR"/>
              </w:rPr>
              <w:t xml:space="preserve">– </w:t>
            </w:r>
            <w:hyperlink r:id="rId70" w:tgtFrame="_self" w:history="1">
              <w:r w:rsidRPr="00880AA0">
                <w:rPr>
                  <w:lang w:val="fr-FR"/>
                </w:rPr>
                <w:t xml:space="preserve">Brevets et domaine public </w:t>
              </w:r>
            </w:hyperlink>
            <w:r w:rsidRPr="00880AA0">
              <w:rPr>
                <w:lang w:val="fr-FR"/>
              </w:rPr>
              <w:t>(CDIP/7/5 Rev.).</w:t>
            </w:r>
          </w:p>
          <w:p w:rsidR="003E0BB0" w:rsidRPr="00880AA0" w:rsidRDefault="003E0BB0" w:rsidP="00263F34">
            <w:pPr>
              <w:rPr>
                <w:lang w:val="fr-FR"/>
              </w:rPr>
            </w:pPr>
          </w:p>
          <w:p w:rsidR="003E0BB0" w:rsidRPr="00880AA0" w:rsidRDefault="003E0BB0" w:rsidP="00263F34">
            <w:pPr>
              <w:rPr>
                <w:lang w:val="fr-FR"/>
              </w:rPr>
            </w:pPr>
            <w:r w:rsidRPr="00880AA0">
              <w:rPr>
                <w:lang w:val="fr-FR"/>
              </w:rPr>
              <w:t>Cette recommandation est également traitée dans le cadre du projet du Plan d’action pour le développement en cours suivant :</w:t>
            </w:r>
          </w:p>
          <w:p w:rsidR="003E0BB0" w:rsidRPr="00880AA0" w:rsidRDefault="003E0BB0" w:rsidP="00263F34">
            <w:pPr>
              <w:rPr>
                <w:lang w:val="fr-FR"/>
              </w:rPr>
            </w:pPr>
          </w:p>
          <w:p w:rsidR="003E0BB0" w:rsidRPr="00880AA0" w:rsidRDefault="003E0BB0" w:rsidP="00263F34">
            <w:pPr>
              <w:rPr>
                <w:lang w:val="fr-FR"/>
              </w:rPr>
            </w:pPr>
            <w:r w:rsidRPr="00880AA0">
              <w:rPr>
                <w:lang w:val="fr-FR"/>
              </w:rPr>
              <w:t xml:space="preserve">– </w:t>
            </w:r>
            <w:hyperlink r:id="rId71" w:history="1">
              <w:r w:rsidRPr="00880AA0">
                <w:rPr>
                  <w:lang w:val="fr-FR"/>
                </w:rPr>
                <w:t>Utilisation de l’information figurant dans le domaine public aux fins du développement économique</w:t>
              </w:r>
            </w:hyperlink>
            <w:r w:rsidRPr="00880AA0">
              <w:rPr>
                <w:lang w:val="fr-FR"/>
              </w:rPr>
              <w:t xml:space="preserve"> (CDIP/16/4 Rev.).</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Activités/réalisations</w:t>
            </w:r>
          </w:p>
        </w:tc>
        <w:tc>
          <w:tcPr>
            <w:tcW w:w="6749" w:type="dxa"/>
          </w:tcPr>
          <w:p w:rsidR="003E0BB0" w:rsidRPr="00880AA0" w:rsidRDefault="003E0BB0" w:rsidP="00263F34">
            <w:pPr>
              <w:rPr>
                <w:bCs/>
                <w:lang w:val="fr-FR"/>
              </w:rPr>
            </w:pPr>
            <w:r w:rsidRPr="00880AA0">
              <w:rPr>
                <w:bCs/>
                <w:lang w:val="fr-FR"/>
              </w:rPr>
              <w:t>Dans le cadre du Projet sur l’utilisation de l’information figurant dans le domaine public aux fins du développement économique (CDIP/16/4 REV.), deux guides pratiques ont été élaborés afin de faciliter l’identification et l’utilisation des objets tombés dans le domaine public.  Pour s’assurer qu’ils correspondent aux besoins des centres d’appui à la technologie et à l’innovation (CATI), des innovateurs et des entrepreneurs dans les pays en développement, les pays les moins avancés et les pays en transition, ces guides ont été expérimentés dans neuf réseaux nationaux de CATI.  Une réunion d’experts a été organisée à Genève les 25 et 26 juillet 2017 afin de lancer ce processus.</w:t>
            </w:r>
          </w:p>
          <w:p w:rsidR="003E0BB0" w:rsidRPr="00880AA0" w:rsidRDefault="003E0BB0" w:rsidP="00263F34">
            <w:pPr>
              <w:rPr>
                <w:bCs/>
                <w:lang w:val="fr-FR"/>
              </w:rPr>
            </w:pPr>
          </w:p>
          <w:p w:rsidR="003E0BB0" w:rsidRPr="00880AA0" w:rsidRDefault="003E0BB0" w:rsidP="00263F34">
            <w:pPr>
              <w:rPr>
                <w:bCs/>
                <w:lang w:val="fr-FR"/>
              </w:rPr>
            </w:pPr>
            <w:r w:rsidRPr="00880AA0">
              <w:rPr>
                <w:bCs/>
                <w:lang w:val="fr-FR"/>
              </w:rPr>
              <w:t>Les guides ont été finalisés et sont en cours de publication et de traduction dans les six langues officielles.  Des ateliers de formation sont organisés avec l’appui des experts participant au projet pour permettre au personnel des CATI de promouvoir et d’utiliser les guides dans leur gamme de services.</w:t>
            </w:r>
          </w:p>
          <w:p w:rsidR="003E0BB0" w:rsidRPr="00880AA0" w:rsidRDefault="003E0BB0" w:rsidP="00263F34">
            <w:pPr>
              <w:rPr>
                <w:bCs/>
                <w:lang w:val="fr-FR"/>
              </w:rPr>
            </w:pPr>
          </w:p>
          <w:p w:rsidR="003E0BB0" w:rsidRPr="00880AA0" w:rsidRDefault="003E0BB0" w:rsidP="00263F34">
            <w:pPr>
              <w:rPr>
                <w:bCs/>
                <w:lang w:val="fr-FR"/>
              </w:rPr>
            </w:pPr>
            <w:r w:rsidRPr="00880AA0">
              <w:rPr>
                <w:bCs/>
                <w:lang w:val="fr-FR"/>
              </w:rPr>
              <w:t>Pour faciliter l’accès aux registres et aux bulletins des brevets, ainsi qu’aux informations relatives à la situation juridique disponibles en ligne permettant de déterminer si une invention appartient au domaine public, le portail d’accès aux registres de brevets de l’OMPI a été revu dans le cadre du même projet avec une nouvelle interface utilisateur améliorée et un contenu mis à jour et complété pour plus de 200 pays et collections d’informations en matière de brevets.</w:t>
            </w:r>
          </w:p>
          <w:p w:rsidR="003E0BB0" w:rsidRPr="00880AA0" w:rsidRDefault="003E0BB0" w:rsidP="00263F34">
            <w:pPr>
              <w:rPr>
                <w:bCs/>
                <w:lang w:val="fr-FR"/>
              </w:rPr>
            </w:pPr>
          </w:p>
          <w:p w:rsidR="003E0BB0" w:rsidRPr="00880AA0" w:rsidRDefault="003E0BB0" w:rsidP="00263F34">
            <w:pPr>
              <w:rPr>
                <w:bCs/>
                <w:lang w:val="fr-FR"/>
              </w:rPr>
            </w:pPr>
            <w:r w:rsidRPr="00880AA0">
              <w:rPr>
                <w:bCs/>
                <w:lang w:val="fr-FR"/>
              </w:rPr>
              <w:t>Pour obtenir des renseignements plus détaillés sur les activités menées dans le cadre de ce projet, voir l’Annexe II du présent document.</w:t>
            </w:r>
          </w:p>
          <w:p w:rsidR="003E0BB0" w:rsidRPr="00880AA0" w:rsidRDefault="003E0BB0" w:rsidP="00263F34">
            <w:pPr>
              <w:rPr>
                <w:bCs/>
                <w:lang w:val="fr-FR"/>
              </w:rPr>
            </w:pPr>
          </w:p>
          <w:p w:rsidR="003E0BB0" w:rsidRPr="00880AA0" w:rsidRDefault="003E0BB0" w:rsidP="00263F34">
            <w:pPr>
              <w:rPr>
                <w:bCs/>
                <w:lang w:val="fr-FR"/>
              </w:rPr>
            </w:pPr>
            <w:r w:rsidRPr="00880AA0">
              <w:rPr>
                <w:bCs/>
                <w:lang w:val="fr-FR"/>
              </w:rPr>
              <w:t>De plus, une série d’études et d’orientations a été élaborée au titre du projet sur la propriété intellectuelle et le domaine public et de celui relatif aux brevets et au domaine public.  Une enquête sur les systèmes d’enregistrement et de dépôt volontaire, ainsi qu’une enquête sur les systèmes privés de documentation en matière de droit d’auteur et les pratiques dans ce domaine ont notamment été réalisées dans le cadre du projet sur la propriété intellectuelle et le domaine public.  Ces enquêtes constituent un élément de référence pour d’autres études envisagées dans ce contexte et elles sont toujours utilisées par les États membres.</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Autres rapports/documents connexes</w:t>
            </w:r>
          </w:p>
          <w:p w:rsidR="003E0BB0" w:rsidRPr="00880AA0" w:rsidRDefault="003E0BB0" w:rsidP="00263F34">
            <w:pPr>
              <w:rPr>
                <w:lang w:val="fr-FR"/>
              </w:rPr>
            </w:pPr>
          </w:p>
        </w:tc>
        <w:tc>
          <w:tcPr>
            <w:tcW w:w="6749" w:type="dxa"/>
          </w:tcPr>
          <w:p w:rsidR="003E0BB0" w:rsidRPr="00880AA0" w:rsidRDefault="003E0BB0" w:rsidP="00263F34">
            <w:pPr>
              <w:rPr>
                <w:lang w:val="fr-FR"/>
              </w:rPr>
            </w:pPr>
            <w:r w:rsidRPr="00880AA0">
              <w:rPr>
                <w:lang w:val="fr-FR"/>
              </w:rPr>
              <w:t>Rapports examinés par le CDIP : CDIP/3/5, CDIP/6/2, CDIP/6/3, CDIP/8/2, CDIP/9/7, CDIP/10/2, CDIP/12/2, CDIP/13/7, CDIP/16/4 Rev., CDIP/18/2, CDIP/20/2.</w:t>
            </w:r>
          </w:p>
          <w:p w:rsidR="003E0BB0" w:rsidRPr="00880AA0" w:rsidRDefault="003E0BB0" w:rsidP="00263F34">
            <w:pPr>
              <w:rPr>
                <w:lang w:val="fr-FR"/>
              </w:rPr>
            </w:pPr>
          </w:p>
          <w:p w:rsidR="003E0BB0" w:rsidRPr="00880AA0" w:rsidRDefault="003E0BB0" w:rsidP="00263F34">
            <w:pPr>
              <w:rPr>
                <w:lang w:val="fr-FR"/>
              </w:rPr>
            </w:pPr>
            <w:r w:rsidRPr="00880AA0">
              <w:rPr>
                <w:lang w:val="fr-FR"/>
              </w:rPr>
              <w:t>En dehors des activités qui figurent dans la base IP</w:t>
            </w:r>
            <w:r w:rsidRPr="00880AA0">
              <w:rPr>
                <w:lang w:val="fr-FR"/>
              </w:rPr>
              <w:noBreakHyphen/>
              <w:t>TAD, pour obtenir de plus amples informations sur les réalisations liées à cette recommandation, voir le Rapport sur la performance de l’OMPI 2016</w:t>
            </w:r>
            <w:r w:rsidRPr="00880AA0">
              <w:rPr>
                <w:lang w:val="fr-FR"/>
              </w:rPr>
              <w:noBreakHyphen/>
              <w:t>2017 (document WO/PBC/28/7).</w:t>
            </w:r>
          </w:p>
          <w:p w:rsidR="003E0BB0" w:rsidRPr="00880AA0" w:rsidRDefault="003E0BB0" w:rsidP="00263F34">
            <w:pPr>
              <w:rPr>
                <w:i/>
                <w:sz w:val="21"/>
                <w:szCs w:val="21"/>
                <w:bdr w:val="none" w:sz="0" w:space="0" w:color="auto" w:frame="1"/>
                <w:lang w:val="fr-FR"/>
              </w:rPr>
            </w:pPr>
          </w:p>
        </w:tc>
      </w:tr>
    </w:tbl>
    <w:p w:rsidR="003E0BB0" w:rsidRPr="00880AA0" w:rsidRDefault="003E0BB0" w:rsidP="003E0BB0">
      <w:pPr>
        <w:rPr>
          <w:lang w:val="fr-FR"/>
        </w:rPr>
      </w:pPr>
    </w:p>
    <w:p w:rsidR="003E0BB0" w:rsidRPr="00880AA0" w:rsidRDefault="003E0BB0" w:rsidP="003E0BB0">
      <w:pPr>
        <w:rPr>
          <w:lang w:val="fr-FR"/>
        </w:rPr>
      </w:pPr>
      <w:r w:rsidRPr="00880AA0">
        <w:rPr>
          <w:lang w:val="fr-FR"/>
        </w:rPr>
        <w:br w:type="page"/>
      </w:r>
    </w:p>
    <w:tbl>
      <w:tblPr>
        <w:tblStyle w:val="TableGrid"/>
        <w:tblW w:w="0" w:type="auto"/>
        <w:tblLook w:val="04A0" w:firstRow="1" w:lastRow="0" w:firstColumn="1" w:lastColumn="0" w:noHBand="0" w:noVBand="1"/>
      </w:tblPr>
      <w:tblGrid>
        <w:gridCol w:w="2538"/>
        <w:gridCol w:w="6749"/>
      </w:tblGrid>
      <w:tr w:rsidR="003E0BB0" w:rsidRPr="00880AA0" w:rsidTr="00263F34">
        <w:tc>
          <w:tcPr>
            <w:tcW w:w="2538" w:type="dxa"/>
            <w:shd w:val="clear" w:color="auto" w:fill="BFBFBF" w:themeFill="background1" w:themeFillShade="BF"/>
          </w:tcPr>
          <w:p w:rsidR="003E0BB0" w:rsidRPr="00880AA0" w:rsidRDefault="003E0BB0" w:rsidP="00263F34">
            <w:pPr>
              <w:rPr>
                <w:lang w:val="fr-FR"/>
              </w:rPr>
            </w:pPr>
            <w:r w:rsidRPr="00880AA0">
              <w:rPr>
                <w:lang w:val="fr-FR"/>
              </w:rPr>
              <w:t xml:space="preserve">Recommandation(s) </w:t>
            </w:r>
          </w:p>
        </w:tc>
        <w:tc>
          <w:tcPr>
            <w:tcW w:w="6749" w:type="dxa"/>
            <w:shd w:val="clear" w:color="auto" w:fill="BFBFBF" w:themeFill="background1" w:themeFillShade="BF"/>
          </w:tcPr>
          <w:p w:rsidR="003E0BB0" w:rsidRPr="00880AA0" w:rsidRDefault="003E0BB0" w:rsidP="00263F34">
            <w:pPr>
              <w:rPr>
                <w:i/>
                <w:lang w:val="fr-FR"/>
              </w:rPr>
            </w:pPr>
            <w:r w:rsidRPr="00880AA0">
              <w:rPr>
                <w:i/>
                <w:lang w:val="fr-FR"/>
              </w:rPr>
              <w:t>Recommandation n° 18</w:t>
            </w:r>
          </w:p>
          <w:p w:rsidR="003E0BB0" w:rsidRPr="00880AA0" w:rsidRDefault="003E0BB0" w:rsidP="00263F34">
            <w:pPr>
              <w:rPr>
                <w:lang w:val="fr-FR"/>
              </w:rPr>
            </w:pPr>
          </w:p>
          <w:p w:rsidR="003E0BB0" w:rsidRPr="00880AA0" w:rsidRDefault="003E0BB0" w:rsidP="00263F34">
            <w:pPr>
              <w:rPr>
                <w:lang w:val="fr-FR"/>
              </w:rPr>
            </w:pPr>
            <w:r w:rsidRPr="00880AA0">
              <w:rPr>
                <w:lang w:val="fr-FR"/>
              </w:rPr>
              <w:t>Inviter instamment le comité intergouvernemental à accélérer le processus concernant la protection des ressources génétiques, des savoirs traditionnels et du folklore, sans préjudice du résultat, y compris l’élaboration éventuelle d’un ou plusieurs instruments internationaux.</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Programmes connexes dans le Programme et budget 2018/2019</w:t>
            </w:r>
          </w:p>
          <w:p w:rsidR="003E0BB0" w:rsidRPr="00880AA0" w:rsidRDefault="003E0BB0" w:rsidP="00263F34">
            <w:pPr>
              <w:rPr>
                <w:lang w:val="fr-FR"/>
              </w:rPr>
            </w:pPr>
          </w:p>
        </w:tc>
        <w:tc>
          <w:tcPr>
            <w:tcW w:w="6749" w:type="dxa"/>
          </w:tcPr>
          <w:p w:rsidR="003E0BB0" w:rsidRPr="00880AA0" w:rsidRDefault="003E0BB0" w:rsidP="00263F34">
            <w:pPr>
              <w:rPr>
                <w:lang w:val="fr-FR"/>
              </w:rPr>
            </w:pPr>
            <w:r w:rsidRPr="00880AA0">
              <w:rPr>
                <w:lang w:val="fr-FR"/>
              </w:rPr>
              <w:t>4</w:t>
            </w:r>
          </w:p>
        </w:tc>
      </w:tr>
      <w:tr w:rsidR="003E0BB0" w:rsidRPr="00880AA0" w:rsidTr="00263F34">
        <w:tc>
          <w:tcPr>
            <w:tcW w:w="2538" w:type="dxa"/>
          </w:tcPr>
          <w:p w:rsidR="003E0BB0" w:rsidRPr="00880AA0" w:rsidRDefault="003E0BB0" w:rsidP="00263F34">
            <w:pPr>
              <w:rPr>
                <w:lang w:val="fr-FR"/>
              </w:rPr>
            </w:pPr>
            <w:r w:rsidRPr="00880AA0">
              <w:rPr>
                <w:lang w:val="fr-FR"/>
              </w:rPr>
              <w:t xml:space="preserve">Mise en œuvre </w:t>
            </w:r>
          </w:p>
        </w:tc>
        <w:tc>
          <w:tcPr>
            <w:tcW w:w="6749" w:type="dxa"/>
          </w:tcPr>
          <w:p w:rsidR="003E0BB0" w:rsidRPr="00880AA0" w:rsidRDefault="003E0BB0" w:rsidP="00263F34">
            <w:pPr>
              <w:rPr>
                <w:lang w:val="fr-FR"/>
              </w:rPr>
            </w:pPr>
            <w:r w:rsidRPr="00880AA0">
              <w:rPr>
                <w:lang w:val="fr-FR"/>
              </w:rPr>
              <w:t>Cette recommandation a été examinée et est mise en œuvre depuis l’adoption du Plan d’action pour le développement de l’OMPI en 2007.  Elle a été traitée selon une stratégie de mise en œuvre commune basée sur les délibérations ayant eu lieu dans le cadre de plusieurs rapports sur l’état d’avancement des travaux (documents CDIP/3/5, CDIP/6/3 et CDIP/8/2).  La stratégie de mise en œuvre est la suivante :</w:t>
            </w:r>
          </w:p>
          <w:p w:rsidR="003E0BB0" w:rsidRPr="00880AA0" w:rsidRDefault="003E0BB0" w:rsidP="00263F34">
            <w:pPr>
              <w:rPr>
                <w:lang w:val="fr-FR"/>
              </w:rPr>
            </w:pPr>
          </w:p>
          <w:p w:rsidR="003E0BB0" w:rsidRPr="00880AA0" w:rsidRDefault="003E0BB0" w:rsidP="00263F34">
            <w:pPr>
              <w:rPr>
                <w:szCs w:val="22"/>
                <w:lang w:val="fr-FR"/>
              </w:rPr>
            </w:pPr>
            <w:r w:rsidRPr="00880AA0">
              <w:rPr>
                <w:szCs w:val="22"/>
                <w:lang w:val="fr-FR"/>
              </w:rPr>
              <w:t>L’IGC est porté par les débats avec les États membres dans le cadre du mandat et du programme de travail établis par l’Assemblée générale.  À la demande des États membres, le Secrétariat met à disposition de l’IGC ses ressources et son savoir</w:t>
            </w:r>
            <w:r w:rsidRPr="00880AA0">
              <w:rPr>
                <w:szCs w:val="22"/>
                <w:lang w:val="fr-FR"/>
              </w:rPr>
              <w:noBreakHyphen/>
              <w:t>faire majeurs aux fins de faciliter les négociations et de créer un environnement propice à la conclusion d’accords.</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Projets du Plan d’action pour le développement connexes</w:t>
            </w:r>
          </w:p>
        </w:tc>
        <w:tc>
          <w:tcPr>
            <w:tcW w:w="6749" w:type="dxa"/>
          </w:tcPr>
          <w:p w:rsidR="003E0BB0" w:rsidRPr="00880AA0" w:rsidRDefault="003E0BB0" w:rsidP="00263F34">
            <w:pPr>
              <w:rPr>
                <w:lang w:val="fr-FR"/>
              </w:rPr>
            </w:pPr>
            <w:r w:rsidRPr="00880AA0">
              <w:rPr>
                <w:lang w:val="fr-FR"/>
              </w:rPr>
              <w:t>Sans objet</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 xml:space="preserve">Activités/réalisations </w:t>
            </w:r>
          </w:p>
        </w:tc>
        <w:tc>
          <w:tcPr>
            <w:tcW w:w="6749" w:type="dxa"/>
          </w:tcPr>
          <w:p w:rsidR="003E0BB0" w:rsidRPr="00880AA0" w:rsidRDefault="003E0BB0" w:rsidP="00263F34">
            <w:pPr>
              <w:autoSpaceDE w:val="0"/>
              <w:rPr>
                <w:lang w:val="fr-FR"/>
              </w:rPr>
            </w:pPr>
            <w:r w:rsidRPr="00880AA0">
              <w:rPr>
                <w:lang w:val="fr-FR"/>
              </w:rPr>
              <w:t>En octobre 2017, l’Assemblée générale de l’OMPI a décidé de renouveler le mandat de l’IGC pour l’exercice biennal 2018/2019.  Les participants sont également parvenus à un accord concernant le programme de travail de l’IGC en 2018 et 2019.</w:t>
            </w:r>
          </w:p>
          <w:p w:rsidR="003E0BB0" w:rsidRPr="00880AA0" w:rsidRDefault="003E0BB0" w:rsidP="00263F34">
            <w:pPr>
              <w:autoSpaceDE w:val="0"/>
              <w:rPr>
                <w:lang w:val="fr-FR"/>
              </w:rPr>
            </w:pPr>
          </w:p>
          <w:p w:rsidR="003E0BB0" w:rsidRPr="00880AA0" w:rsidRDefault="003E0BB0" w:rsidP="00263F34">
            <w:pPr>
              <w:autoSpaceDE w:val="0"/>
              <w:rPr>
                <w:lang w:val="fr-FR"/>
              </w:rPr>
            </w:pPr>
            <w:r w:rsidRPr="00880AA0">
              <w:rPr>
                <w:lang w:val="fr-FR"/>
              </w:rPr>
              <w:t>Conformément à son nouveau mandat et son programme de travail, l’IGC s’est réuni deux fois entre janvier 2018 et juin 2018 pour négocier un instrument juridique international relatif aux ressources génétiques.</w:t>
            </w:r>
          </w:p>
          <w:p w:rsidR="003E0BB0" w:rsidRPr="00880AA0" w:rsidRDefault="003E0BB0" w:rsidP="00263F34">
            <w:pPr>
              <w:autoSpaceDE w:val="0"/>
              <w:rPr>
                <w:lang w:val="fr-FR"/>
              </w:rPr>
            </w:pPr>
          </w:p>
          <w:p w:rsidR="003E0BB0" w:rsidRPr="00880AA0" w:rsidRDefault="003E0BB0" w:rsidP="00263F34">
            <w:pPr>
              <w:autoSpaceDE w:val="0"/>
              <w:rPr>
                <w:lang w:val="fr-FR"/>
              </w:rPr>
            </w:pPr>
            <w:r w:rsidRPr="00880AA0">
              <w:rPr>
                <w:lang w:val="fr-FR"/>
              </w:rPr>
              <w:t>Le “Rapport sur le Comité intergouvernemental de la propriété intellectuelle relative aux ressources génétiques, aux savoirs traditionnels et au folklore (IGC)” (document WO/GA/50/8) a été présenté à l’Assemblée générale de l’OMPI en septembre 2018.</w:t>
            </w:r>
          </w:p>
          <w:p w:rsidR="003E0BB0" w:rsidRPr="00CB18B0" w:rsidRDefault="003E0BB0" w:rsidP="00263F34">
            <w:pPr>
              <w:autoSpaceDE w:val="0"/>
              <w:rPr>
                <w:sz w:val="16"/>
                <w:lang w:val="fr-FR"/>
              </w:rPr>
            </w:pPr>
          </w:p>
          <w:p w:rsidR="003E0BB0" w:rsidRPr="00880AA0" w:rsidRDefault="003E0BB0" w:rsidP="00263F34">
            <w:pPr>
              <w:autoSpaceDE w:val="0"/>
              <w:rPr>
                <w:lang w:val="fr-FR"/>
              </w:rPr>
            </w:pPr>
            <w:r w:rsidRPr="00880AA0">
              <w:rPr>
                <w:lang w:val="fr-FR"/>
              </w:rPr>
              <w:t>Conformément au nouveau mandat, un groupe spécial d’experts sur les ressources génétiques s’est réuni le 24 juin 2018, avant la trente</w:t>
            </w:r>
            <w:r w:rsidRPr="00880AA0">
              <w:rPr>
                <w:lang w:val="fr-FR"/>
              </w:rPr>
              <w:noBreakHyphen/>
              <w:t>sixième session de l’IGC, pour traiter des questions précises d’ordre juridique, politique ou technique.</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Autres rapports/documents connexes</w:t>
            </w:r>
          </w:p>
        </w:tc>
        <w:tc>
          <w:tcPr>
            <w:tcW w:w="6749" w:type="dxa"/>
          </w:tcPr>
          <w:p w:rsidR="003E0BB0" w:rsidRPr="00880AA0" w:rsidRDefault="003E0BB0" w:rsidP="00263F34">
            <w:pPr>
              <w:rPr>
                <w:lang w:val="fr-FR"/>
              </w:rPr>
            </w:pPr>
            <w:r w:rsidRPr="00880AA0">
              <w:rPr>
                <w:lang w:val="fr-FR"/>
              </w:rPr>
              <w:t>Rapports examinés par le CDIP : CDIP/3/5, CDIP/6/3, CDIP/8/2, CDIP/10/2, CDIP/12/2, CDIP/14/2, CDIP/16/2, CDIP/18/2, CDIP/20/2.</w:t>
            </w:r>
          </w:p>
          <w:p w:rsidR="003E0BB0" w:rsidRPr="00880AA0" w:rsidRDefault="003E0BB0" w:rsidP="00263F34">
            <w:pPr>
              <w:rPr>
                <w:lang w:val="fr-FR"/>
              </w:rPr>
            </w:pPr>
          </w:p>
          <w:p w:rsidR="003E0BB0" w:rsidRPr="00880AA0" w:rsidRDefault="003E0BB0" w:rsidP="00263F34">
            <w:pPr>
              <w:rPr>
                <w:lang w:val="fr-FR"/>
              </w:rPr>
            </w:pPr>
            <w:r w:rsidRPr="00880AA0">
              <w:rPr>
                <w:lang w:val="fr-FR"/>
              </w:rPr>
              <w:t>En dehors des activités qui figurent dans la base IP</w:t>
            </w:r>
            <w:r w:rsidRPr="00880AA0">
              <w:rPr>
                <w:lang w:val="fr-FR"/>
              </w:rPr>
              <w:noBreakHyphen/>
              <w:t>TAD, pour obtenir de plus amples informations sur les réalisations liées à cette recommandation, voir le Rapport sur la performance de l’OMPI 2016</w:t>
            </w:r>
            <w:r w:rsidRPr="00880AA0">
              <w:rPr>
                <w:lang w:val="fr-FR"/>
              </w:rPr>
              <w:noBreakHyphen/>
              <w:t>2017 (document WO/PBC/28/7).</w:t>
            </w:r>
          </w:p>
          <w:p w:rsidR="003E0BB0" w:rsidRPr="00880AA0" w:rsidRDefault="003E0BB0" w:rsidP="00263F34">
            <w:pPr>
              <w:rPr>
                <w:lang w:val="fr-FR"/>
              </w:rPr>
            </w:pPr>
          </w:p>
          <w:p w:rsidR="003E0BB0" w:rsidRPr="00880AA0" w:rsidRDefault="003E0BB0" w:rsidP="00263F34">
            <w:pPr>
              <w:rPr>
                <w:i/>
                <w:sz w:val="21"/>
                <w:szCs w:val="21"/>
                <w:bdr w:val="none" w:sz="0" w:space="0" w:color="auto" w:frame="1"/>
                <w:lang w:val="fr-FR"/>
              </w:rPr>
            </w:pPr>
          </w:p>
        </w:tc>
      </w:tr>
      <w:tr w:rsidR="003E0BB0" w:rsidRPr="00880AA0" w:rsidTr="00263F34">
        <w:tc>
          <w:tcPr>
            <w:tcW w:w="2538" w:type="dxa"/>
            <w:shd w:val="clear" w:color="auto" w:fill="BFBFBF" w:themeFill="background1" w:themeFillShade="BF"/>
          </w:tcPr>
          <w:p w:rsidR="003E0BB0" w:rsidRPr="00880AA0" w:rsidRDefault="003E0BB0" w:rsidP="00263F34">
            <w:pPr>
              <w:rPr>
                <w:lang w:val="fr-FR"/>
              </w:rPr>
            </w:pPr>
            <w:r w:rsidRPr="00880AA0">
              <w:rPr>
                <w:lang w:val="fr-FR"/>
              </w:rPr>
              <w:t xml:space="preserve">Recommandation(s) </w:t>
            </w:r>
          </w:p>
        </w:tc>
        <w:tc>
          <w:tcPr>
            <w:tcW w:w="6749" w:type="dxa"/>
            <w:shd w:val="clear" w:color="auto" w:fill="BFBFBF" w:themeFill="background1" w:themeFillShade="BF"/>
          </w:tcPr>
          <w:p w:rsidR="003E0BB0" w:rsidRPr="00880AA0" w:rsidRDefault="003E0BB0" w:rsidP="00263F34">
            <w:pPr>
              <w:rPr>
                <w:i/>
                <w:lang w:val="fr-FR"/>
              </w:rPr>
            </w:pPr>
            <w:r w:rsidRPr="00880AA0">
              <w:rPr>
                <w:i/>
                <w:lang w:val="fr-FR"/>
              </w:rPr>
              <w:t>Recommandation n° 19</w:t>
            </w:r>
          </w:p>
          <w:p w:rsidR="003E0BB0" w:rsidRPr="00880AA0" w:rsidRDefault="003E0BB0" w:rsidP="00263F34">
            <w:pPr>
              <w:rPr>
                <w:lang w:val="fr-FR"/>
              </w:rPr>
            </w:pPr>
          </w:p>
          <w:p w:rsidR="003E0BB0" w:rsidRPr="00880AA0" w:rsidRDefault="003E0BB0" w:rsidP="00263F34">
            <w:pPr>
              <w:rPr>
                <w:lang w:val="fr-FR"/>
              </w:rPr>
            </w:pPr>
            <w:r w:rsidRPr="00880AA0">
              <w:rPr>
                <w:lang w:val="fr-FR"/>
              </w:rPr>
              <w:t>Engager les discussions sur les moyens à mettre en œuvre, dans le cadre du mandat de l’OMPI, pour faciliter davantage l’accès des pays en développement et des PMA aux savoirs et à la technologie afin de stimuler la créativité et l’innovation et renforcer les activités déjà entreprises dans ce domaine au sein de l’OMPI.</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Programmes connexes dans le Programme et budget 2018/2019</w:t>
            </w:r>
          </w:p>
          <w:p w:rsidR="003E0BB0" w:rsidRPr="00880AA0" w:rsidRDefault="003E0BB0" w:rsidP="00263F34">
            <w:pPr>
              <w:rPr>
                <w:lang w:val="fr-FR"/>
              </w:rPr>
            </w:pPr>
          </w:p>
        </w:tc>
        <w:tc>
          <w:tcPr>
            <w:tcW w:w="6749" w:type="dxa"/>
          </w:tcPr>
          <w:p w:rsidR="003E0BB0" w:rsidRPr="00880AA0" w:rsidRDefault="003E0BB0" w:rsidP="00263F34">
            <w:pPr>
              <w:rPr>
                <w:lang w:val="fr-FR"/>
              </w:rPr>
            </w:pPr>
            <w:r w:rsidRPr="00880AA0">
              <w:rPr>
                <w:lang w:val="fr-FR"/>
              </w:rPr>
              <w:t>1, 2, 3, 5, 14, 15 et 30</w:t>
            </w:r>
          </w:p>
        </w:tc>
      </w:tr>
      <w:tr w:rsidR="003E0BB0" w:rsidRPr="00880AA0" w:rsidTr="00263F34">
        <w:tc>
          <w:tcPr>
            <w:tcW w:w="2538" w:type="dxa"/>
          </w:tcPr>
          <w:p w:rsidR="003E0BB0" w:rsidRPr="00880AA0" w:rsidRDefault="003E0BB0" w:rsidP="00263F34">
            <w:pPr>
              <w:rPr>
                <w:lang w:val="fr-FR"/>
              </w:rPr>
            </w:pPr>
            <w:r w:rsidRPr="00880AA0">
              <w:rPr>
                <w:lang w:val="fr-FR"/>
              </w:rPr>
              <w:t xml:space="preserve">Mise en œuvre </w:t>
            </w:r>
          </w:p>
        </w:tc>
        <w:tc>
          <w:tcPr>
            <w:tcW w:w="6749" w:type="dxa"/>
          </w:tcPr>
          <w:p w:rsidR="003E0BB0" w:rsidRPr="00880AA0" w:rsidRDefault="003E0BB0" w:rsidP="00263F34">
            <w:pPr>
              <w:rPr>
                <w:lang w:val="fr-FR"/>
              </w:rPr>
            </w:pPr>
            <w:r w:rsidRPr="00880AA0">
              <w:rPr>
                <w:lang w:val="fr-FR"/>
              </w:rPr>
              <w:t>Cette recommandation a été examinée et est mise en œuvre depuis l’adoption du Plan d’action pour le développement de l’OMPI en 2007.  Elle a été traitée selon une stratégie de mise en œuvre commune fondée sur les délibérations du CDIP/4 (CDIP/4/5 Rev. et CDIP/4/6) et du CDIP/6 (CDIP/6/4).</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Projets du Plan d’action pour le développement connexes</w:t>
            </w:r>
          </w:p>
        </w:tc>
        <w:tc>
          <w:tcPr>
            <w:tcW w:w="6749" w:type="dxa"/>
          </w:tcPr>
          <w:p w:rsidR="003E0BB0" w:rsidRPr="00880AA0" w:rsidRDefault="003E0BB0" w:rsidP="00263F34">
            <w:pPr>
              <w:rPr>
                <w:lang w:val="fr-FR"/>
              </w:rPr>
            </w:pPr>
            <w:r w:rsidRPr="00880AA0">
              <w:rPr>
                <w:lang w:val="fr-FR"/>
              </w:rPr>
              <w:t>Cette recommandation a été mise en œuvre au moyen des projets du Plan d’action pour le développement suivants désormais achevés :</w:t>
            </w:r>
          </w:p>
          <w:p w:rsidR="003E0BB0" w:rsidRPr="00880AA0" w:rsidRDefault="003E0BB0" w:rsidP="00263F34">
            <w:pPr>
              <w:rPr>
                <w:lang w:val="fr-FR"/>
              </w:rPr>
            </w:pPr>
          </w:p>
          <w:p w:rsidR="003E0BB0" w:rsidRPr="00880AA0" w:rsidRDefault="003E0BB0" w:rsidP="00263F34">
            <w:pPr>
              <w:rPr>
                <w:rFonts w:eastAsia="SimSun"/>
                <w:lang w:val="fr-FR" w:eastAsia="zh-CN"/>
              </w:rPr>
            </w:pPr>
            <w:r w:rsidRPr="00880AA0">
              <w:rPr>
                <w:lang w:val="fr-FR"/>
              </w:rPr>
              <w:t xml:space="preserve">– </w:t>
            </w:r>
            <w:hyperlink r:id="rId72" w:history="1">
              <w:r w:rsidRPr="00880AA0">
                <w:rPr>
                  <w:lang w:val="fr-FR"/>
                </w:rPr>
                <w:t>La propriété intellectuelle, les TIC, la fracture numérique et l’accès au savoir</w:t>
              </w:r>
              <w:r w:rsidRPr="00880AA0">
                <w:rPr>
                  <w:rStyle w:val="Hyperlink"/>
                  <w:color w:val="auto"/>
                  <w:lang w:val="fr-FR"/>
                </w:rPr>
                <w:t xml:space="preserve"> </w:t>
              </w:r>
            </w:hyperlink>
            <w:r w:rsidRPr="00880AA0">
              <w:rPr>
                <w:lang w:val="fr-FR"/>
              </w:rPr>
              <w:t>(CDIP/5</w:t>
            </w:r>
            <w:r w:rsidRPr="00880AA0">
              <w:rPr>
                <w:rFonts w:eastAsia="SimSun"/>
                <w:lang w:val="fr-FR" w:eastAsia="zh-CN"/>
              </w:rPr>
              <w:t>/REF_CDIP/4/5 Rev.)</w:t>
            </w:r>
          </w:p>
          <w:p w:rsidR="003E0BB0" w:rsidRPr="00880AA0" w:rsidRDefault="003E0BB0" w:rsidP="00263F34">
            <w:pPr>
              <w:rPr>
                <w:rFonts w:eastAsia="SimSun"/>
                <w:lang w:val="fr-FR" w:eastAsia="zh-CN"/>
              </w:rPr>
            </w:pPr>
          </w:p>
          <w:p w:rsidR="003E0BB0" w:rsidRPr="00880AA0" w:rsidRDefault="003E0BB0" w:rsidP="00263F34">
            <w:pPr>
              <w:rPr>
                <w:rFonts w:eastAsia="SimSun"/>
                <w:lang w:val="fr-FR" w:eastAsia="zh-CN"/>
              </w:rPr>
            </w:pPr>
            <w:r w:rsidRPr="00880AA0">
              <w:rPr>
                <w:rFonts w:eastAsia="SimSun"/>
                <w:lang w:val="fr-FR" w:eastAsia="zh-CN"/>
              </w:rPr>
              <w:t xml:space="preserve">– </w:t>
            </w:r>
            <w:hyperlink r:id="rId73" w:history="1">
              <w:r w:rsidRPr="00880AA0">
                <w:rPr>
                  <w:rFonts w:eastAsia="SimSun"/>
                  <w:lang w:val="fr-FR" w:eastAsia="zh-CN"/>
                </w:rPr>
                <w:t>Élaboration d’instruments permettant d’accéder à l’information en matière de brevets – phases I</w:t>
              </w:r>
            </w:hyperlink>
            <w:r w:rsidRPr="00880AA0">
              <w:rPr>
                <w:rFonts w:eastAsia="SimSun"/>
                <w:lang w:val="fr-FR" w:eastAsia="zh-CN"/>
              </w:rPr>
              <w:t xml:space="preserve"> et II (CDIP/5/REF_CDIP et CDIP/10/13);</w:t>
            </w:r>
          </w:p>
          <w:p w:rsidR="003E0BB0" w:rsidRPr="00880AA0" w:rsidRDefault="003E0BB0" w:rsidP="00263F34">
            <w:pPr>
              <w:rPr>
                <w:lang w:val="fr-FR"/>
              </w:rPr>
            </w:pPr>
          </w:p>
          <w:p w:rsidR="003E0BB0" w:rsidRPr="00880AA0" w:rsidRDefault="003E0BB0" w:rsidP="00263F34">
            <w:pPr>
              <w:rPr>
                <w:lang w:val="fr-FR"/>
              </w:rPr>
            </w:pPr>
            <w:r w:rsidRPr="00880AA0">
              <w:rPr>
                <w:lang w:val="fr-FR"/>
              </w:rPr>
              <w:t xml:space="preserve">– </w:t>
            </w:r>
            <w:hyperlink r:id="rId74" w:history="1">
              <w:r w:rsidRPr="00880AA0">
                <w:rPr>
                  <w:rStyle w:val="Hyperlink"/>
                  <w:color w:val="auto"/>
                  <w:lang w:val="fr-FR"/>
                </w:rPr>
                <w:t>Renforcement des capacités d’utilisation de l’information technique et scientifique axée sur les technologies appropriées pour répondre à certains enjeux de développement</w:t>
              </w:r>
            </w:hyperlink>
            <w:r w:rsidRPr="00880AA0">
              <w:rPr>
                <w:lang w:val="fr-FR"/>
              </w:rPr>
              <w:t xml:space="preserve"> – </w:t>
            </w:r>
            <w:r w:rsidRPr="00880AA0">
              <w:rPr>
                <w:bCs/>
                <w:lang w:val="fr-FR"/>
              </w:rPr>
              <w:t xml:space="preserve">Phase I et II </w:t>
            </w:r>
            <w:r w:rsidRPr="00880AA0">
              <w:rPr>
                <w:lang w:val="fr-FR"/>
              </w:rPr>
              <w:t>(CDIP/5/6 Rev. et CDIP/13/9)</w:t>
            </w:r>
          </w:p>
          <w:p w:rsidR="003E0BB0" w:rsidRPr="00880AA0" w:rsidRDefault="003E0BB0" w:rsidP="00263F34">
            <w:pPr>
              <w:rPr>
                <w:lang w:val="fr-FR"/>
              </w:rPr>
            </w:pPr>
          </w:p>
          <w:p w:rsidR="003E0BB0" w:rsidRPr="00880AA0" w:rsidRDefault="007A5E26" w:rsidP="00263F34">
            <w:pPr>
              <w:rPr>
                <w:lang w:val="fr-FR"/>
              </w:rPr>
            </w:pPr>
            <w:hyperlink r:id="rId75" w:tgtFrame="_self" w:history="1">
              <w:r w:rsidR="003E0BB0" w:rsidRPr="00880AA0">
                <w:rPr>
                  <w:lang w:val="fr-FR"/>
                </w:rPr>
                <w:t>Propriété intellectuelle et au transfert de technologie : élaborer des solutions face aux défis communs</w:t>
              </w:r>
            </w:hyperlink>
            <w:r w:rsidR="003E0BB0" w:rsidRPr="00880AA0">
              <w:rPr>
                <w:lang w:val="fr-FR"/>
              </w:rPr>
              <w:t xml:space="preserve"> (CDIP/6/4 Rev.).</w:t>
            </w:r>
          </w:p>
          <w:p w:rsidR="003E0BB0" w:rsidRPr="00880AA0" w:rsidRDefault="003E0BB0" w:rsidP="00263F34">
            <w:pPr>
              <w:rPr>
                <w:lang w:val="fr-FR"/>
              </w:rPr>
            </w:pPr>
          </w:p>
          <w:p w:rsidR="003E0BB0" w:rsidRPr="00880AA0" w:rsidRDefault="003E0BB0" w:rsidP="00263F34">
            <w:pPr>
              <w:rPr>
                <w:lang w:val="fr-FR"/>
              </w:rPr>
            </w:pPr>
            <w:r w:rsidRPr="00880AA0">
              <w:rPr>
                <w:lang w:val="fr-FR"/>
              </w:rPr>
              <w:t xml:space="preserve">– </w:t>
            </w:r>
            <w:hyperlink r:id="rId76" w:tgtFrame="_self" w:history="1">
              <w:r w:rsidRPr="00880AA0">
                <w:rPr>
                  <w:lang w:val="fr-FR"/>
                </w:rPr>
                <w:t>Projet de renforcement de la coopération Sud</w:t>
              </w:r>
              <w:r w:rsidRPr="00880AA0">
                <w:rPr>
                  <w:lang w:val="fr-FR"/>
                </w:rPr>
                <w:noBreakHyphen/>
                <w:t>Sud dans le domaine de la propriété intellectuelle au service du développement parmi les pays en développement et les pays les moins avancés</w:t>
              </w:r>
            </w:hyperlink>
            <w:r w:rsidRPr="00880AA0">
              <w:rPr>
                <w:lang w:val="fr-FR"/>
              </w:rPr>
              <w:t xml:space="preserve"> (CDIP/7/6).</w:t>
            </w:r>
          </w:p>
          <w:p w:rsidR="003E0BB0" w:rsidRPr="00880AA0" w:rsidRDefault="003E0BB0" w:rsidP="00263F34">
            <w:pPr>
              <w:rPr>
                <w:lang w:val="fr-FR"/>
              </w:rPr>
            </w:pPr>
          </w:p>
          <w:p w:rsidR="003E0BB0" w:rsidRPr="00880AA0" w:rsidRDefault="003E0BB0" w:rsidP="00263F34">
            <w:pPr>
              <w:rPr>
                <w:lang w:val="fr-FR"/>
              </w:rPr>
            </w:pPr>
            <w:r w:rsidRPr="00880AA0">
              <w:rPr>
                <w:lang w:val="fr-FR"/>
              </w:rPr>
              <w:t>Cette recommandation est également traitée par les projets suivants :</w:t>
            </w:r>
          </w:p>
          <w:p w:rsidR="003E0BB0" w:rsidRPr="00880AA0" w:rsidRDefault="003E0BB0" w:rsidP="00263F34">
            <w:pPr>
              <w:rPr>
                <w:lang w:val="fr-FR"/>
              </w:rPr>
            </w:pPr>
          </w:p>
          <w:p w:rsidR="003E0BB0" w:rsidRPr="00880AA0" w:rsidRDefault="003E0BB0" w:rsidP="00263F34">
            <w:pPr>
              <w:rPr>
                <w:lang w:val="fr-FR"/>
              </w:rPr>
            </w:pPr>
            <w:r w:rsidRPr="00880AA0">
              <w:rPr>
                <w:lang w:val="fr-FR"/>
              </w:rPr>
              <w:t xml:space="preserve">– </w:t>
            </w:r>
            <w:r w:rsidRPr="00880AA0">
              <w:rPr>
                <w:i/>
                <w:lang w:val="fr-FR"/>
              </w:rPr>
              <w:t>Gestion de la propriété intellectuelle et transfert de technologie : promouvoir l’utilisation efficace de la propriété intellectuelle dans les pays en développement, les pays les moins avancés et les pays en transition</w:t>
            </w:r>
            <w:r w:rsidRPr="00880AA0">
              <w:rPr>
                <w:lang w:val="fr-FR"/>
              </w:rPr>
              <w:t xml:space="preserve"> (CDIP/19/11 Rev.)</w:t>
            </w:r>
          </w:p>
          <w:p w:rsidR="003E0BB0" w:rsidRPr="00880AA0" w:rsidRDefault="003E0BB0" w:rsidP="00263F34">
            <w:pPr>
              <w:rPr>
                <w:lang w:val="fr-FR"/>
              </w:rPr>
            </w:pPr>
          </w:p>
          <w:p w:rsidR="003E0BB0" w:rsidRPr="00880AA0" w:rsidRDefault="003E0BB0" w:rsidP="00263F34">
            <w:pPr>
              <w:rPr>
                <w:lang w:val="fr-FR"/>
              </w:rPr>
            </w:pPr>
            <w:r w:rsidRPr="00880AA0">
              <w:rPr>
                <w:lang w:val="fr-FR"/>
              </w:rPr>
              <w:t>– Renforcer le rôle des femmes dans l’innovation et l’entrepreneuriat : encourager les femmes des pays en développement à utiliser le système de la propriété intellectuelle (CDIP/21/12 Rev.) La mise en œuvre débutera en janvier 2019.</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 xml:space="preserve">Activités/réalisations </w:t>
            </w:r>
          </w:p>
        </w:tc>
        <w:tc>
          <w:tcPr>
            <w:tcW w:w="6749" w:type="dxa"/>
          </w:tcPr>
          <w:p w:rsidR="003E0BB0" w:rsidRPr="00880AA0" w:rsidRDefault="003E0BB0" w:rsidP="00263F34">
            <w:pPr>
              <w:rPr>
                <w:bCs/>
                <w:lang w:val="fr-FR"/>
              </w:rPr>
            </w:pPr>
            <w:r w:rsidRPr="00880AA0">
              <w:rPr>
                <w:bCs/>
                <w:lang w:val="fr-FR"/>
              </w:rPr>
              <w:t>Pour obtenir de plus amples informations sur les réalisations liées à cette recommandation, voir les rapports d’évaluation des projets sur :</w:t>
            </w:r>
          </w:p>
          <w:p w:rsidR="003E0BB0" w:rsidRPr="00880AA0" w:rsidRDefault="003E0BB0" w:rsidP="00263F34">
            <w:pPr>
              <w:rPr>
                <w:bCs/>
                <w:lang w:val="fr-FR"/>
              </w:rPr>
            </w:pPr>
          </w:p>
          <w:p w:rsidR="003E0BB0" w:rsidRPr="00880AA0" w:rsidRDefault="003E0BB0" w:rsidP="00263F34">
            <w:pPr>
              <w:ind w:left="567"/>
              <w:rPr>
                <w:bCs/>
                <w:lang w:val="fr-FR"/>
              </w:rPr>
            </w:pPr>
            <w:r w:rsidRPr="00880AA0">
              <w:rPr>
                <w:bCs/>
                <w:lang w:val="fr-FR"/>
              </w:rPr>
              <w:t>i)</w:t>
            </w:r>
            <w:r w:rsidRPr="00880AA0">
              <w:rPr>
                <w:bCs/>
                <w:lang w:val="fr-FR"/>
              </w:rPr>
              <w:tab/>
              <w:t>la propriété intellectuelle, les techniques de l’information et de la communication (TIC), la fracture numérique et l’accès au savoir (CDIP/10/5);</w:t>
            </w:r>
          </w:p>
          <w:p w:rsidR="003E0BB0" w:rsidRPr="00880AA0" w:rsidRDefault="003E0BB0" w:rsidP="00263F34">
            <w:pPr>
              <w:ind w:left="567"/>
              <w:rPr>
                <w:bCs/>
                <w:lang w:val="fr-FR"/>
              </w:rPr>
            </w:pPr>
          </w:p>
          <w:p w:rsidR="003E0BB0" w:rsidRPr="00880AA0" w:rsidRDefault="003E0BB0" w:rsidP="00263F34">
            <w:pPr>
              <w:ind w:left="567"/>
              <w:rPr>
                <w:bCs/>
                <w:lang w:val="fr-FR"/>
              </w:rPr>
            </w:pPr>
            <w:r w:rsidRPr="00880AA0">
              <w:rPr>
                <w:bCs/>
                <w:lang w:val="fr-FR"/>
              </w:rPr>
              <w:t>ii)</w:t>
            </w:r>
            <w:r w:rsidRPr="00880AA0">
              <w:rPr>
                <w:bCs/>
                <w:lang w:val="fr-FR"/>
              </w:rPr>
              <w:tab/>
              <w:t>l’élaboration d’instruments permettant d’accéder à l’information en matière de brevets, phases I et II (CDIP/10/6 et CDIP/14/6);</w:t>
            </w:r>
          </w:p>
          <w:p w:rsidR="003E0BB0" w:rsidRPr="00880AA0" w:rsidRDefault="003E0BB0" w:rsidP="00263F34">
            <w:pPr>
              <w:ind w:left="567"/>
              <w:rPr>
                <w:bCs/>
                <w:lang w:val="fr-FR"/>
              </w:rPr>
            </w:pPr>
          </w:p>
          <w:p w:rsidR="003E0BB0" w:rsidRPr="00880AA0" w:rsidRDefault="003E0BB0" w:rsidP="00263F34">
            <w:pPr>
              <w:ind w:left="567"/>
              <w:rPr>
                <w:rFonts w:eastAsia="SimSun"/>
                <w:lang w:val="fr-FR" w:eastAsia="zh-CN"/>
              </w:rPr>
            </w:pPr>
            <w:r w:rsidRPr="00880AA0">
              <w:rPr>
                <w:bCs/>
                <w:lang w:val="fr-FR"/>
              </w:rPr>
              <w:t>iii)</w:t>
            </w:r>
            <w:r w:rsidRPr="00880AA0">
              <w:rPr>
                <w:bCs/>
                <w:lang w:val="fr-FR"/>
              </w:rPr>
              <w:tab/>
              <w:t xml:space="preserve">renforcement des capacités d’utilisation de l’information technique et scientifique axée sur les technologies appropriées pour répondre à certains enjeux </w:t>
            </w:r>
            <w:r w:rsidRPr="00880AA0">
              <w:rPr>
                <w:rFonts w:eastAsia="SimSun"/>
                <w:lang w:val="fr-FR" w:eastAsia="zh-CN"/>
              </w:rPr>
              <w:t>de développement – phases I et II (CDIP/12/3 et CDIP/12/12);</w:t>
            </w:r>
          </w:p>
          <w:p w:rsidR="003E0BB0" w:rsidRPr="00880AA0" w:rsidRDefault="003E0BB0" w:rsidP="00263F34">
            <w:pPr>
              <w:ind w:left="567"/>
              <w:rPr>
                <w:rFonts w:eastAsia="SimSun"/>
                <w:lang w:val="fr-FR" w:eastAsia="zh-CN"/>
              </w:rPr>
            </w:pPr>
          </w:p>
          <w:p w:rsidR="003E0BB0" w:rsidRPr="00880AA0" w:rsidRDefault="003E0BB0" w:rsidP="00263F34">
            <w:pPr>
              <w:ind w:left="567"/>
              <w:rPr>
                <w:bCs/>
                <w:lang w:val="fr-FR"/>
              </w:rPr>
            </w:pPr>
            <w:r w:rsidRPr="00880AA0">
              <w:rPr>
                <w:bCs/>
                <w:lang w:val="fr-FR"/>
              </w:rPr>
              <w:t>iv)</w:t>
            </w:r>
            <w:r w:rsidRPr="00880AA0">
              <w:rPr>
                <w:bCs/>
                <w:lang w:val="fr-FR"/>
              </w:rPr>
              <w:tab/>
              <w:t>renforcement de la coopération Sud</w:t>
            </w:r>
            <w:r w:rsidRPr="00880AA0">
              <w:rPr>
                <w:bCs/>
                <w:lang w:val="fr-FR"/>
              </w:rPr>
              <w:noBreakHyphen/>
              <w:t>Sud dans le domaine de la propriété intellectuelle au service du développement parmi les pays en développement et les pays les moins avancés (CDIP/13/4);  et</w:t>
            </w:r>
          </w:p>
          <w:p w:rsidR="003E0BB0" w:rsidRPr="00880AA0" w:rsidRDefault="003E0BB0" w:rsidP="00263F34">
            <w:pPr>
              <w:ind w:left="567"/>
              <w:rPr>
                <w:bCs/>
                <w:lang w:val="fr-FR"/>
              </w:rPr>
            </w:pPr>
          </w:p>
          <w:p w:rsidR="003E0BB0" w:rsidRPr="00880AA0" w:rsidRDefault="003E0BB0" w:rsidP="00263F34">
            <w:pPr>
              <w:pStyle w:val="ListParagraph"/>
              <w:numPr>
                <w:ilvl w:val="0"/>
                <w:numId w:val="41"/>
              </w:numPr>
              <w:ind w:left="581" w:firstLine="0"/>
              <w:rPr>
                <w:bCs/>
                <w:lang w:val="fr-FR"/>
              </w:rPr>
            </w:pPr>
            <w:r w:rsidRPr="00880AA0">
              <w:rPr>
                <w:bCs/>
                <w:lang w:val="fr-FR"/>
              </w:rPr>
              <w:t>la propriété intellectuelle et le transfert de technologie : élaborer des solutions face aux défis communs (CDIP/16/3).</w:t>
            </w:r>
          </w:p>
          <w:p w:rsidR="003E0BB0" w:rsidRPr="00880AA0" w:rsidRDefault="003E0BB0" w:rsidP="00263F34">
            <w:pPr>
              <w:pStyle w:val="ListParagraph"/>
              <w:ind w:left="567"/>
              <w:rPr>
                <w:bCs/>
                <w:lang w:val="fr-FR"/>
              </w:rPr>
            </w:pPr>
          </w:p>
          <w:p w:rsidR="003E0BB0" w:rsidRPr="00880AA0" w:rsidRDefault="003E0BB0" w:rsidP="00263F34">
            <w:pPr>
              <w:rPr>
                <w:bCs/>
                <w:lang w:val="fr-FR"/>
              </w:rPr>
            </w:pPr>
            <w:r w:rsidRPr="00880AA0">
              <w:rPr>
                <w:bCs/>
                <w:lang w:val="fr-FR"/>
              </w:rPr>
              <w:t>Par ailleurs, dans le cadre du Projet relatif à la propriété intellectuelle et au transfert de technologie : élaborer des solutions face aux défis communs, la dix</w:t>
            </w:r>
            <w:r w:rsidRPr="00880AA0">
              <w:rPr>
                <w:bCs/>
                <w:lang w:val="fr-FR"/>
              </w:rPr>
              <w:noBreakHyphen/>
              <w:t>huitième session du CDIP a décidé de mener un certain nombre d’actions qui avaient été proposées par les États membres (CDIP/18/6 Rev.).  À la suite de cette décision, au cours de la période couverte par le rapport, le Secrétariat a présenté les documents suivants à la vingtième et à la vingt et unième session du CDIP (du 27 novembre au 1</w:t>
            </w:r>
            <w:r w:rsidRPr="00880AA0">
              <w:rPr>
                <w:bCs/>
                <w:vertAlign w:val="superscript"/>
                <w:lang w:val="fr-FR"/>
              </w:rPr>
              <w:t>er</w:t>
            </w:r>
            <w:r w:rsidRPr="00880AA0">
              <w:rPr>
                <w:bCs/>
                <w:lang w:val="fr-FR"/>
              </w:rPr>
              <w:t> décembre 2017 et du 14 au 18 mai 2018) :</w:t>
            </w:r>
          </w:p>
          <w:p w:rsidR="003E0BB0" w:rsidRPr="00880AA0" w:rsidRDefault="003E0BB0" w:rsidP="00263F34">
            <w:pPr>
              <w:rPr>
                <w:bCs/>
                <w:lang w:val="fr-FR"/>
              </w:rPr>
            </w:pPr>
          </w:p>
          <w:p w:rsidR="003E0BB0" w:rsidRPr="00880AA0" w:rsidRDefault="003E0BB0" w:rsidP="00263F34">
            <w:pPr>
              <w:rPr>
                <w:lang w:val="fr-FR"/>
              </w:rPr>
            </w:pPr>
            <w:r w:rsidRPr="00880AA0">
              <w:rPr>
                <w:bCs/>
                <w:lang w:val="fr-FR"/>
              </w:rPr>
              <w:t>– Promotion des activités et ressources de l’OMPI relatives au transfert de technologie (CDIP/20/11).  Le comité a pris note des informations contenues dans le document et encouragé le Secrétariat à poursuivre la promotion des activités et des ressources de l’OMPI relatives au transfert de technologie.</w:t>
            </w:r>
          </w:p>
          <w:p w:rsidR="003E0BB0" w:rsidRPr="00880AA0" w:rsidRDefault="003E0BB0" w:rsidP="00263F34">
            <w:pPr>
              <w:rPr>
                <w:bCs/>
                <w:lang w:val="fr-FR"/>
              </w:rPr>
            </w:pPr>
          </w:p>
          <w:p w:rsidR="003E0BB0" w:rsidRPr="00880AA0" w:rsidRDefault="003E0BB0" w:rsidP="00263F34">
            <w:pPr>
              <w:rPr>
                <w:bCs/>
                <w:lang w:val="fr-FR"/>
              </w:rPr>
            </w:pPr>
            <w:r w:rsidRPr="00880AA0">
              <w:rPr>
                <w:bCs/>
                <w:lang w:val="fr-FR"/>
              </w:rPr>
              <w:t>– Inventaire des instances et conférences internationales prévoyant des initiatives en matière de transfert de technologie (CDIP/20/12).</w:t>
            </w:r>
          </w:p>
          <w:p w:rsidR="003E0BB0" w:rsidRDefault="003E0BB0" w:rsidP="00263F34">
            <w:pPr>
              <w:rPr>
                <w:bCs/>
                <w:lang w:val="fr-FR"/>
              </w:rPr>
            </w:pPr>
          </w:p>
          <w:p w:rsidR="00CB18B0" w:rsidRPr="00880AA0" w:rsidRDefault="00CB18B0" w:rsidP="00263F34">
            <w:pPr>
              <w:rPr>
                <w:bCs/>
                <w:lang w:val="fr-FR"/>
              </w:rPr>
            </w:pPr>
          </w:p>
          <w:p w:rsidR="003E0BB0" w:rsidRPr="00880AA0" w:rsidRDefault="003E0BB0" w:rsidP="00263F34">
            <w:pPr>
              <w:rPr>
                <w:lang w:val="fr-FR"/>
              </w:rPr>
            </w:pPr>
            <w:r w:rsidRPr="00880AA0">
              <w:rPr>
                <w:lang w:val="fr-FR"/>
              </w:rPr>
              <w:t>– Feuille de route pour encourager l’utilisation du forum sur le Web mis en place dans le cadre du Projet relatif à la propriété intellectuelle et au transfert de technologie : élaborer des solutions face aux défis communs (CDIP/20/7).  Par ailleurs, le Secrétariat a établi une estimation des coûts de mise en œuvre, qui a été présentée lors du CDIP/21 (CDIP/21/6).  Il a été décidé que le Secrétariat examinerait les propositions faites par les délégations concernant l’utilisation des plateformes existantes, notamment e</w:t>
            </w:r>
            <w:r w:rsidRPr="00880AA0">
              <w:rPr>
                <w:lang w:val="fr-FR"/>
              </w:rPr>
              <w:noBreakHyphen/>
              <w:t>TISC, et qu’il établirait une feuille de route révisée ainsi qu’une estimation des coûts pour la prochaine session du comité.</w:t>
            </w:r>
          </w:p>
          <w:p w:rsidR="003E0BB0" w:rsidRPr="00880AA0" w:rsidRDefault="003E0BB0" w:rsidP="00263F34">
            <w:pPr>
              <w:rPr>
                <w:lang w:val="fr-FR"/>
              </w:rPr>
            </w:pPr>
          </w:p>
          <w:p w:rsidR="003E0BB0" w:rsidRPr="00880AA0" w:rsidRDefault="003E0BB0" w:rsidP="00263F34">
            <w:pPr>
              <w:rPr>
                <w:lang w:val="fr-FR"/>
              </w:rPr>
            </w:pPr>
            <w:r w:rsidRPr="00880AA0">
              <w:rPr>
                <w:lang w:val="fr-FR"/>
              </w:rPr>
              <w:t xml:space="preserve">– Analyse des lacunes dans les services et activités de l’OMPI en matière de transfert de technologie au regard des recommandations du groupe </w:t>
            </w:r>
            <w:r w:rsidRPr="00880AA0">
              <w:rPr>
                <w:rFonts w:eastAsia="SimSun"/>
                <w:lang w:val="fr-FR" w:eastAsia="zh-CN"/>
              </w:rPr>
              <w:t>C du Plan d’action pour le développement (CDIP/21/5).  Le comité avait décidé que “les délégations intére</w:t>
            </w:r>
            <w:r w:rsidRPr="00880AA0">
              <w:rPr>
                <w:lang w:val="fr-FR"/>
              </w:rPr>
              <w:t>ssées soumettraient au Secrétariat une liste d’indicateurs pour évaluer les activités figurant dans le document.  Ces indicateurs seraient ensuite regroupés et présentés à la vingt</w:t>
            </w:r>
            <w:r w:rsidRPr="00880AA0">
              <w:rPr>
                <w:lang w:val="fr-FR"/>
              </w:rPr>
              <w:noBreakHyphen/>
              <w:t>deuxième session du comité.</w:t>
            </w:r>
          </w:p>
          <w:p w:rsidR="003E0BB0" w:rsidRPr="00880AA0" w:rsidRDefault="003E0BB0" w:rsidP="00263F34">
            <w:pPr>
              <w:rPr>
                <w:lang w:val="fr-FR"/>
              </w:rPr>
            </w:pPr>
          </w:p>
          <w:p w:rsidR="003E0BB0" w:rsidRPr="00880AA0" w:rsidRDefault="003E0BB0" w:rsidP="00263F34">
            <w:pPr>
              <w:rPr>
                <w:lang w:val="fr-FR"/>
              </w:rPr>
            </w:pPr>
            <w:r w:rsidRPr="00880AA0">
              <w:rPr>
                <w:lang w:val="fr-FR"/>
              </w:rPr>
              <w:t>Le Projet sur la gestion de la propriété intellectuelle et le transfert de technologie : promouvoir l’utilisation efficace de la propriété intellectuelle dans les pays en développement, les pays les moins avancés et les pays en transition, figurant dans le document CDIP/19/11 Rev., prévoyait le recrutement d’un expert en évaluation des besoins de formation et de quatre experts des pays dans chacun des pays pilotes désignés : Afrique du Sud, Chili, Indonésie et Rwanda.  Pour de plus amples renseignements concernant les activités menées dans le cadre de ce projet, voir l’Annexe I du présent document.</w:t>
            </w:r>
          </w:p>
          <w:p w:rsidR="003E0BB0" w:rsidRPr="00880AA0" w:rsidRDefault="003E0BB0" w:rsidP="00263F34">
            <w:pPr>
              <w:rPr>
                <w:lang w:val="fr-FR"/>
              </w:rPr>
            </w:pPr>
          </w:p>
          <w:p w:rsidR="003E0BB0" w:rsidRPr="00880AA0" w:rsidRDefault="003E0BB0" w:rsidP="00263F34">
            <w:pPr>
              <w:rPr>
                <w:bCs/>
                <w:lang w:val="fr-FR"/>
              </w:rPr>
            </w:pPr>
            <w:r w:rsidRPr="00880AA0">
              <w:rPr>
                <w:bCs/>
                <w:lang w:val="fr-FR"/>
              </w:rPr>
              <w:t>Le projet sur le Renforcement des capacités d’utilisation de l’information technique et scientifique axée sur les technologies appropriées pour répondre à certains enjeux de développement – phase II a été finalisé puis évalué.  L’évaluation a été examinée par le CDIP à sa vingt et unième session (document CDIP/21/13).</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Autres rapports/documents connexes</w:t>
            </w:r>
          </w:p>
        </w:tc>
        <w:tc>
          <w:tcPr>
            <w:tcW w:w="6749" w:type="dxa"/>
          </w:tcPr>
          <w:p w:rsidR="003E0BB0" w:rsidRPr="00880AA0" w:rsidRDefault="003E0BB0" w:rsidP="00263F34">
            <w:pPr>
              <w:rPr>
                <w:lang w:val="fr-FR"/>
              </w:rPr>
            </w:pPr>
            <w:r w:rsidRPr="00880AA0">
              <w:rPr>
                <w:lang w:val="fr-FR"/>
              </w:rPr>
              <w:t>Rapports examinés par le CDIP : CDIP/3/5, CDIP/6/2, CDIP/6/3, CDIP/8/2, CDIP/10/2, CDIP/10/5, CDIP/10/6, CDIP/12/2, CDIP/12/3, CDIP/13/4, CDIP/14/2, CDIP/14/6, CDIP/16/2, CDIP/16/3, CDIP/17/4, CDIP/18/2, CDIP/19/5, CDIP/20/2, CDIP/21/13.</w:t>
            </w:r>
          </w:p>
          <w:p w:rsidR="003E0BB0" w:rsidRPr="00880AA0" w:rsidRDefault="003E0BB0" w:rsidP="00263F34">
            <w:pPr>
              <w:rPr>
                <w:lang w:val="fr-FR"/>
              </w:rPr>
            </w:pPr>
          </w:p>
          <w:p w:rsidR="003E0BB0" w:rsidRPr="00880AA0" w:rsidRDefault="003E0BB0" w:rsidP="00263F34">
            <w:pPr>
              <w:rPr>
                <w:lang w:val="fr-FR"/>
              </w:rPr>
            </w:pPr>
            <w:r w:rsidRPr="00880AA0">
              <w:rPr>
                <w:lang w:val="fr-FR"/>
              </w:rPr>
              <w:t>En dehors des activités qui figurent dans la base IP</w:t>
            </w:r>
            <w:r w:rsidRPr="00880AA0">
              <w:rPr>
                <w:lang w:val="fr-FR"/>
              </w:rPr>
              <w:noBreakHyphen/>
              <w:t>TAD, pour obtenir de plus amples informations sur les réalisations liées à cette recommandation, voir le Rapport sur la performance de l’OMPI 2016</w:t>
            </w:r>
            <w:r w:rsidRPr="00880AA0">
              <w:rPr>
                <w:lang w:val="fr-FR"/>
              </w:rPr>
              <w:noBreakHyphen/>
              <w:t>2017 (document WO/PBC/28/7).</w:t>
            </w:r>
          </w:p>
          <w:p w:rsidR="003E0BB0" w:rsidRPr="00880AA0" w:rsidRDefault="003E0BB0" w:rsidP="00263F34">
            <w:pPr>
              <w:rPr>
                <w:i/>
                <w:sz w:val="21"/>
                <w:szCs w:val="21"/>
                <w:bdr w:val="none" w:sz="0" w:space="0" w:color="auto" w:frame="1"/>
                <w:lang w:val="fr-FR"/>
              </w:rPr>
            </w:pPr>
          </w:p>
        </w:tc>
      </w:tr>
    </w:tbl>
    <w:p w:rsidR="003E0BB0" w:rsidRPr="00880AA0" w:rsidRDefault="003E0BB0" w:rsidP="003E0BB0">
      <w:pPr>
        <w:rPr>
          <w:lang w:val="fr-FR"/>
        </w:rPr>
      </w:pPr>
      <w:r w:rsidRPr="00880AA0">
        <w:rPr>
          <w:lang w:val="fr-FR"/>
        </w:rPr>
        <w:br w:type="page"/>
      </w:r>
    </w:p>
    <w:tbl>
      <w:tblPr>
        <w:tblStyle w:val="TableGrid"/>
        <w:tblW w:w="0" w:type="auto"/>
        <w:tblLook w:val="04A0" w:firstRow="1" w:lastRow="0" w:firstColumn="1" w:lastColumn="0" w:noHBand="0" w:noVBand="1"/>
      </w:tblPr>
      <w:tblGrid>
        <w:gridCol w:w="2538"/>
        <w:gridCol w:w="6749"/>
      </w:tblGrid>
      <w:tr w:rsidR="003E0BB0" w:rsidRPr="00880AA0" w:rsidTr="00263F34">
        <w:tc>
          <w:tcPr>
            <w:tcW w:w="2538" w:type="dxa"/>
            <w:shd w:val="clear" w:color="auto" w:fill="BFBFBF" w:themeFill="background1" w:themeFillShade="BF"/>
          </w:tcPr>
          <w:p w:rsidR="003E0BB0" w:rsidRPr="00880AA0" w:rsidRDefault="003E0BB0" w:rsidP="00263F34">
            <w:pPr>
              <w:rPr>
                <w:lang w:val="fr-FR"/>
              </w:rPr>
            </w:pPr>
            <w:r w:rsidRPr="00880AA0">
              <w:rPr>
                <w:lang w:val="fr-FR"/>
              </w:rPr>
              <w:t>Recommandation(s)</w:t>
            </w:r>
          </w:p>
        </w:tc>
        <w:tc>
          <w:tcPr>
            <w:tcW w:w="6751" w:type="dxa"/>
            <w:shd w:val="clear" w:color="auto" w:fill="BFBFBF" w:themeFill="background1" w:themeFillShade="BF"/>
          </w:tcPr>
          <w:p w:rsidR="003E0BB0" w:rsidRPr="00880AA0" w:rsidRDefault="003E0BB0" w:rsidP="00263F34">
            <w:pPr>
              <w:rPr>
                <w:i/>
                <w:lang w:val="fr-FR"/>
              </w:rPr>
            </w:pPr>
            <w:r w:rsidRPr="00880AA0">
              <w:rPr>
                <w:i/>
                <w:lang w:val="fr-FR"/>
              </w:rPr>
              <w:t>Recommandation n° 20</w:t>
            </w:r>
          </w:p>
          <w:p w:rsidR="003E0BB0" w:rsidRPr="00880AA0" w:rsidRDefault="003E0BB0" w:rsidP="00263F34">
            <w:pPr>
              <w:rPr>
                <w:i/>
                <w:lang w:val="fr-FR"/>
              </w:rPr>
            </w:pPr>
          </w:p>
          <w:p w:rsidR="003E0BB0" w:rsidRPr="00880AA0" w:rsidRDefault="003E0BB0" w:rsidP="00263F34">
            <w:pPr>
              <w:rPr>
                <w:lang w:val="fr-FR"/>
              </w:rPr>
            </w:pPr>
            <w:r w:rsidRPr="00880AA0">
              <w:rPr>
                <w:lang w:val="fr-FR"/>
              </w:rPr>
              <w:t>Promouvoir les activités d’établissement de normes relatives à la propriété intellectuelle favorisant la consolidation du domaine public dans les États membres de l’OMPI, y compris l’élaboration éventuelle de principes directeurs susceptibles d’aider les États membres intéressés à recenser les objets tombés dans le domaine public sur leurs territoires respectifs.</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Programmes connexes dans le Programme et budget 2018/2019</w:t>
            </w:r>
          </w:p>
          <w:p w:rsidR="003E0BB0" w:rsidRPr="00880AA0" w:rsidRDefault="003E0BB0" w:rsidP="00263F34">
            <w:pPr>
              <w:rPr>
                <w:lang w:val="fr-FR"/>
              </w:rPr>
            </w:pPr>
          </w:p>
        </w:tc>
        <w:tc>
          <w:tcPr>
            <w:tcW w:w="6751" w:type="dxa"/>
          </w:tcPr>
          <w:p w:rsidR="003E0BB0" w:rsidRPr="00880AA0" w:rsidRDefault="003E0BB0" w:rsidP="00263F34">
            <w:pPr>
              <w:rPr>
                <w:lang w:val="fr-FR"/>
              </w:rPr>
            </w:pPr>
            <w:r w:rsidRPr="00880AA0">
              <w:rPr>
                <w:lang w:val="fr-FR"/>
              </w:rPr>
              <w:t>2, 4, 9, 14 et 32</w:t>
            </w:r>
          </w:p>
        </w:tc>
      </w:tr>
      <w:tr w:rsidR="003E0BB0" w:rsidRPr="00880AA0" w:rsidTr="00263F34">
        <w:tc>
          <w:tcPr>
            <w:tcW w:w="2538" w:type="dxa"/>
          </w:tcPr>
          <w:p w:rsidR="003E0BB0" w:rsidRPr="00880AA0" w:rsidRDefault="003E0BB0" w:rsidP="00263F34">
            <w:pPr>
              <w:rPr>
                <w:lang w:val="fr-FR"/>
              </w:rPr>
            </w:pPr>
            <w:r w:rsidRPr="00880AA0">
              <w:rPr>
                <w:lang w:val="fr-FR"/>
              </w:rPr>
              <w:t xml:space="preserve">Mise en œuvre </w:t>
            </w:r>
          </w:p>
        </w:tc>
        <w:tc>
          <w:tcPr>
            <w:tcW w:w="6751" w:type="dxa"/>
          </w:tcPr>
          <w:p w:rsidR="003E0BB0" w:rsidRPr="00880AA0" w:rsidRDefault="003E0BB0" w:rsidP="00263F34">
            <w:pPr>
              <w:rPr>
                <w:lang w:val="fr-FR"/>
              </w:rPr>
            </w:pPr>
            <w:r w:rsidRPr="00880AA0">
              <w:rPr>
                <w:lang w:val="fr-FR"/>
              </w:rPr>
              <w:t>Cette recommandation a été mise en œuvre depuis 2010.  Elle a été examinée lors de la deuxième session du CDIP (CDIP/2/4) et traitée au moyen des activités convenues lors de la troisième session du CDIP, comme il ressort du document CDIP/4/3 Rev.</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Projets du Plan d’action pour le développement connexes</w:t>
            </w:r>
          </w:p>
        </w:tc>
        <w:tc>
          <w:tcPr>
            <w:tcW w:w="6751" w:type="dxa"/>
          </w:tcPr>
          <w:p w:rsidR="003E0BB0" w:rsidRPr="00880AA0" w:rsidRDefault="003E0BB0" w:rsidP="00263F34">
            <w:pPr>
              <w:rPr>
                <w:lang w:val="fr-FR"/>
              </w:rPr>
            </w:pPr>
            <w:r w:rsidRPr="00880AA0">
              <w:rPr>
                <w:lang w:val="fr-FR"/>
              </w:rPr>
              <w:t>La recommandation a été essentiellement traitée par les projets suivants :</w:t>
            </w:r>
          </w:p>
          <w:p w:rsidR="003E0BB0" w:rsidRPr="00880AA0" w:rsidRDefault="003E0BB0" w:rsidP="00263F34">
            <w:pPr>
              <w:rPr>
                <w:lang w:val="fr-FR"/>
              </w:rPr>
            </w:pPr>
          </w:p>
          <w:p w:rsidR="003E0BB0" w:rsidRPr="00880AA0" w:rsidRDefault="003E0BB0" w:rsidP="00263F34">
            <w:pPr>
              <w:rPr>
                <w:lang w:val="fr-FR"/>
              </w:rPr>
            </w:pPr>
            <w:r w:rsidRPr="00880AA0">
              <w:rPr>
                <w:lang w:val="fr-FR"/>
              </w:rPr>
              <w:t xml:space="preserve">– </w:t>
            </w:r>
            <w:hyperlink r:id="rId77" w:history="1">
              <w:r w:rsidRPr="00880AA0">
                <w:rPr>
                  <w:lang w:val="fr-FR"/>
                </w:rPr>
                <w:t>La propriété intellectuelle et le domaine public</w:t>
              </w:r>
            </w:hyperlink>
            <w:r w:rsidRPr="00880AA0">
              <w:rPr>
                <w:lang w:val="fr-FR"/>
              </w:rPr>
              <w:t xml:space="preserve"> (CDIP/6/REF/CDIP/4/3 Rev. 2)</w:t>
            </w:r>
          </w:p>
          <w:p w:rsidR="003E0BB0" w:rsidRPr="00880AA0" w:rsidRDefault="003E0BB0" w:rsidP="00263F34">
            <w:pPr>
              <w:rPr>
                <w:lang w:val="fr-FR"/>
              </w:rPr>
            </w:pPr>
          </w:p>
          <w:p w:rsidR="003E0BB0" w:rsidRPr="00880AA0" w:rsidRDefault="003E0BB0" w:rsidP="00263F34">
            <w:pPr>
              <w:rPr>
                <w:lang w:val="fr-FR"/>
              </w:rPr>
            </w:pPr>
            <w:r w:rsidRPr="00880AA0">
              <w:rPr>
                <w:lang w:val="fr-FR"/>
              </w:rPr>
              <w:t xml:space="preserve">– </w:t>
            </w:r>
            <w:hyperlink r:id="rId78" w:tgtFrame="_self" w:history="1">
              <w:r w:rsidRPr="00880AA0">
                <w:rPr>
                  <w:lang w:val="fr-FR"/>
                </w:rPr>
                <w:t xml:space="preserve">Brevets et domaine public </w:t>
              </w:r>
            </w:hyperlink>
            <w:r w:rsidRPr="00880AA0">
              <w:rPr>
                <w:lang w:val="fr-FR"/>
              </w:rPr>
              <w:t>(CDIP/7/5 Rev.).</w:t>
            </w:r>
          </w:p>
          <w:p w:rsidR="003E0BB0" w:rsidRPr="00880AA0" w:rsidRDefault="003E0BB0" w:rsidP="00263F34">
            <w:pPr>
              <w:rPr>
                <w:lang w:val="fr-FR"/>
              </w:rPr>
            </w:pPr>
          </w:p>
          <w:p w:rsidR="003E0BB0" w:rsidRPr="00880AA0" w:rsidRDefault="003E0BB0" w:rsidP="00263F34">
            <w:pPr>
              <w:rPr>
                <w:lang w:val="fr-FR"/>
              </w:rPr>
            </w:pPr>
            <w:r w:rsidRPr="00880AA0">
              <w:rPr>
                <w:lang w:val="fr-FR"/>
              </w:rPr>
              <w:t>Cette recommandation est également traitée dans le cadre du projet du Plan d’action pour le développement en cours sur</w:t>
            </w:r>
          </w:p>
          <w:p w:rsidR="003E0BB0" w:rsidRPr="00880AA0" w:rsidRDefault="007A5E26" w:rsidP="00263F34">
            <w:pPr>
              <w:rPr>
                <w:lang w:val="fr-FR"/>
              </w:rPr>
            </w:pPr>
            <w:hyperlink r:id="rId79" w:history="1">
              <w:r w:rsidR="003E0BB0" w:rsidRPr="00CB18B0">
                <w:rPr>
                  <w:rStyle w:val="Hyperlink"/>
                  <w:color w:val="auto"/>
                  <w:u w:val="none"/>
                  <w:lang w:val="fr-FR"/>
                </w:rPr>
                <w:t>l’utilisation de l’information figurant dans le domaine public aux fins du développement économique</w:t>
              </w:r>
            </w:hyperlink>
            <w:r w:rsidR="003E0BB0" w:rsidRPr="00CB18B0">
              <w:rPr>
                <w:lang w:val="fr-FR"/>
              </w:rPr>
              <w:t xml:space="preserve"> </w:t>
            </w:r>
            <w:r w:rsidR="003E0BB0" w:rsidRPr="00880AA0">
              <w:rPr>
                <w:lang w:val="fr-FR"/>
              </w:rPr>
              <w:t>(CDIP/16/4 Rev.).</w:t>
            </w:r>
          </w:p>
          <w:p w:rsidR="003E0BB0" w:rsidRPr="00880AA0" w:rsidRDefault="003E0BB0" w:rsidP="00263F34">
            <w:pPr>
              <w:rPr>
                <w:b/>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 xml:space="preserve">Activités/réalisations </w:t>
            </w:r>
          </w:p>
        </w:tc>
        <w:tc>
          <w:tcPr>
            <w:tcW w:w="6751" w:type="dxa"/>
          </w:tcPr>
          <w:p w:rsidR="003E0BB0" w:rsidRPr="00880AA0" w:rsidRDefault="003E0BB0" w:rsidP="00263F34">
            <w:pPr>
              <w:rPr>
                <w:bCs/>
                <w:lang w:val="fr-FR"/>
              </w:rPr>
            </w:pPr>
            <w:r w:rsidRPr="00880AA0">
              <w:rPr>
                <w:bCs/>
                <w:lang w:val="fr-FR"/>
              </w:rPr>
              <w:t>Dans le cadre du Projet sur l’utilisation de l’information figurant dans le domaine public aux fins du développement économique (CDIP/16/4 REV.), deux guides pratiques ont été élaborés afin de faciliter l’identification et l’utilisation des objets tombés dans le domaine public.  Pour s’assurer qu’ils correspondent aux besoins des centres d’appui à la technologie et à l’innovation (CATI), des innovateurs et des entrepreneurs dans les pays en développement, les pays les moins avancés et les pays en transition, ces guides ont été expérimentés dans neuf réseaux nationaux de CATI.  Une réunion d’experts a été organisée à Genève les 25 et 26 juillet 2017 afin de lancer ce processus.</w:t>
            </w:r>
          </w:p>
          <w:p w:rsidR="003E0BB0" w:rsidRPr="00880AA0" w:rsidRDefault="003E0BB0" w:rsidP="00263F34">
            <w:pPr>
              <w:rPr>
                <w:bCs/>
                <w:lang w:val="fr-FR"/>
              </w:rPr>
            </w:pPr>
          </w:p>
          <w:p w:rsidR="003E0BB0" w:rsidRPr="00880AA0" w:rsidRDefault="003E0BB0" w:rsidP="00263F34">
            <w:pPr>
              <w:rPr>
                <w:bCs/>
                <w:lang w:val="fr-FR"/>
              </w:rPr>
            </w:pPr>
            <w:r w:rsidRPr="00880AA0">
              <w:rPr>
                <w:bCs/>
                <w:lang w:val="fr-FR"/>
              </w:rPr>
              <w:t>Les guides ont été finalisés et sont en cours de publication et de traduction dans les six langues officielles.  Des ateliers de formation sont organisés avec l’appui des experts participant au projet pour permettre au personnel des CATI de promouvoir et d’utiliser les guides dans leur gamme de services.</w:t>
            </w:r>
          </w:p>
          <w:p w:rsidR="003E0BB0" w:rsidRPr="00880AA0" w:rsidRDefault="003E0BB0" w:rsidP="00263F34">
            <w:pPr>
              <w:rPr>
                <w:bCs/>
                <w:lang w:val="fr-FR"/>
              </w:rPr>
            </w:pPr>
          </w:p>
          <w:p w:rsidR="003E0BB0" w:rsidRPr="00880AA0" w:rsidRDefault="003E0BB0" w:rsidP="00263F34">
            <w:pPr>
              <w:rPr>
                <w:bCs/>
                <w:lang w:val="fr-FR"/>
              </w:rPr>
            </w:pPr>
            <w:r w:rsidRPr="00880AA0">
              <w:rPr>
                <w:bCs/>
                <w:lang w:val="fr-FR"/>
              </w:rPr>
              <w:t>Pour obtenir des renseignements plus détaillés sur les activités menées dans le cadre de ce projet, voir l’Annexe II du présent document.</w:t>
            </w:r>
          </w:p>
          <w:p w:rsidR="003E0BB0" w:rsidRPr="00880AA0" w:rsidRDefault="003E0BB0" w:rsidP="00263F34">
            <w:pPr>
              <w:rPr>
                <w:bCs/>
                <w:lang w:val="fr-FR"/>
              </w:rPr>
            </w:pPr>
          </w:p>
          <w:p w:rsidR="003E0BB0" w:rsidRPr="00880AA0" w:rsidRDefault="003E0BB0" w:rsidP="00263F34">
            <w:pPr>
              <w:rPr>
                <w:bCs/>
                <w:lang w:val="fr-FR"/>
              </w:rPr>
            </w:pPr>
            <w:r w:rsidRPr="00880AA0">
              <w:rPr>
                <w:bCs/>
                <w:lang w:val="fr-FR"/>
              </w:rPr>
              <w:t>De plus, les études et orientations élaborées au titre du projet sur la propriété intellectuelle et le domaine public et de celui relatif aux brevets et au domaine public (Étude exploratoire sur le droit d’auteur et les droits connexes et le domaine public, Étude sur les brevets et le domaine public (I et II), Étude sur l’appropriation illicite des signes, Étude de faisabilité concernant la création d’une base de données nationale sur les registres de brevets et son rattachement à PATENTSCOPE, et Analyse comparative des approches nationales en matière de renonciation volontaire au droit d’auteur) ont continué d’être utilisées par les États membres, ainsi que par l’OMPI dans le cadre de ses activités d’assistance technique.</w:t>
            </w:r>
          </w:p>
          <w:p w:rsidR="003E0BB0" w:rsidRPr="00880AA0" w:rsidRDefault="003E0BB0" w:rsidP="00263F34">
            <w:pPr>
              <w:rPr>
                <w:bCs/>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Autres rapports/documents connexes</w:t>
            </w:r>
          </w:p>
        </w:tc>
        <w:tc>
          <w:tcPr>
            <w:tcW w:w="6751" w:type="dxa"/>
          </w:tcPr>
          <w:p w:rsidR="003E0BB0" w:rsidRPr="00880AA0" w:rsidRDefault="003E0BB0" w:rsidP="00263F34">
            <w:pPr>
              <w:rPr>
                <w:bCs/>
                <w:lang w:val="fr-FR"/>
              </w:rPr>
            </w:pPr>
            <w:r w:rsidRPr="00880AA0">
              <w:rPr>
                <w:bCs/>
                <w:lang w:val="fr-FR"/>
              </w:rPr>
              <w:t>Rapports et documents examinés par le CDIP : CDIP/1/3, CDIP/3/3, CDIP/3/4, CDIP/6/2, CDIP/8/2, CDIP/9/7, CDIP/10/2, CDIP/12/2, CDIP/13/7, CDIP/16/4 Rev., CDIP/20/2, CDIP/21/2.</w:t>
            </w:r>
          </w:p>
          <w:p w:rsidR="003E0BB0" w:rsidRPr="00880AA0" w:rsidRDefault="003E0BB0" w:rsidP="00263F34">
            <w:pPr>
              <w:rPr>
                <w:bCs/>
                <w:lang w:val="fr-FR"/>
              </w:rPr>
            </w:pPr>
          </w:p>
          <w:p w:rsidR="003E0BB0" w:rsidRPr="00880AA0" w:rsidRDefault="003E0BB0" w:rsidP="00263F34">
            <w:pPr>
              <w:rPr>
                <w:lang w:val="fr-FR"/>
              </w:rPr>
            </w:pPr>
            <w:r w:rsidRPr="00880AA0">
              <w:rPr>
                <w:lang w:val="fr-FR"/>
              </w:rPr>
              <w:t>En dehors des activités qui figurent dans la base IP</w:t>
            </w:r>
            <w:r w:rsidRPr="00880AA0">
              <w:rPr>
                <w:lang w:val="fr-FR"/>
              </w:rPr>
              <w:noBreakHyphen/>
              <w:t>TAD, pour obtenir de plus amples informations sur les réalisations liées à cette recommandation, voir le Rapport sur la performance de l’OMPI 2016</w:t>
            </w:r>
            <w:r w:rsidRPr="00880AA0">
              <w:rPr>
                <w:lang w:val="fr-FR"/>
              </w:rPr>
              <w:noBreakHyphen/>
              <w:t>2017 (document WO/PBC/28/7).</w:t>
            </w:r>
          </w:p>
          <w:p w:rsidR="003E0BB0" w:rsidRPr="00880AA0" w:rsidRDefault="003E0BB0" w:rsidP="00263F34">
            <w:pPr>
              <w:rPr>
                <w:bCs/>
                <w:lang w:val="fr-FR"/>
              </w:rPr>
            </w:pPr>
          </w:p>
        </w:tc>
      </w:tr>
    </w:tbl>
    <w:p w:rsidR="003E0BB0" w:rsidRPr="00880AA0" w:rsidRDefault="003E0BB0" w:rsidP="003E0BB0">
      <w:pPr>
        <w:rPr>
          <w:lang w:val="fr-FR"/>
        </w:rPr>
      </w:pPr>
      <w:r w:rsidRPr="00880AA0">
        <w:rPr>
          <w:lang w:val="fr-FR"/>
        </w:rPr>
        <w:br w:type="page"/>
      </w:r>
    </w:p>
    <w:tbl>
      <w:tblPr>
        <w:tblStyle w:val="TableGrid"/>
        <w:tblW w:w="0" w:type="auto"/>
        <w:tblLook w:val="04A0" w:firstRow="1" w:lastRow="0" w:firstColumn="1" w:lastColumn="0" w:noHBand="0" w:noVBand="1"/>
      </w:tblPr>
      <w:tblGrid>
        <w:gridCol w:w="2538"/>
        <w:gridCol w:w="6749"/>
      </w:tblGrid>
      <w:tr w:rsidR="003E0BB0" w:rsidRPr="00880AA0" w:rsidTr="00263F34">
        <w:tc>
          <w:tcPr>
            <w:tcW w:w="2538" w:type="dxa"/>
            <w:shd w:val="clear" w:color="auto" w:fill="BFBFBF" w:themeFill="background1" w:themeFillShade="BF"/>
          </w:tcPr>
          <w:p w:rsidR="003E0BB0" w:rsidRPr="00880AA0" w:rsidRDefault="003E0BB0" w:rsidP="00263F34">
            <w:pPr>
              <w:rPr>
                <w:lang w:val="fr-FR"/>
              </w:rPr>
            </w:pPr>
            <w:r w:rsidRPr="00880AA0">
              <w:rPr>
                <w:lang w:val="fr-FR"/>
              </w:rPr>
              <w:t>Recommandation(s)</w:t>
            </w:r>
          </w:p>
        </w:tc>
        <w:tc>
          <w:tcPr>
            <w:tcW w:w="6749" w:type="dxa"/>
            <w:shd w:val="clear" w:color="auto" w:fill="BFBFBF" w:themeFill="background1" w:themeFillShade="BF"/>
          </w:tcPr>
          <w:p w:rsidR="003E0BB0" w:rsidRPr="00880AA0" w:rsidRDefault="003E0BB0" w:rsidP="00263F34">
            <w:pPr>
              <w:rPr>
                <w:i/>
                <w:lang w:val="fr-FR"/>
              </w:rPr>
            </w:pPr>
            <w:r w:rsidRPr="00880AA0">
              <w:rPr>
                <w:i/>
                <w:lang w:val="fr-FR"/>
              </w:rPr>
              <w:t>Recommandation n° 22</w:t>
            </w:r>
          </w:p>
          <w:p w:rsidR="003E0BB0" w:rsidRPr="001465D9" w:rsidRDefault="003E0BB0" w:rsidP="00263F34">
            <w:pPr>
              <w:rPr>
                <w:i/>
                <w:sz w:val="8"/>
                <w:lang w:val="fr-FR"/>
              </w:rPr>
            </w:pPr>
          </w:p>
          <w:p w:rsidR="003E0BB0" w:rsidRPr="00880AA0" w:rsidRDefault="003E0BB0" w:rsidP="00263F34">
            <w:pPr>
              <w:rPr>
                <w:lang w:val="fr-FR"/>
              </w:rPr>
            </w:pPr>
            <w:r w:rsidRPr="00880AA0">
              <w:rPr>
                <w:lang w:val="fr-FR"/>
              </w:rPr>
              <w:t>Les activités d’établissement de normes de l’OMPI devraient appuyer les objectifs de développement arrêtés à l’intérieur du système des Nations Unies, notamment ceux énoncés dans la Déclaration du Millénaire.</w:t>
            </w:r>
          </w:p>
          <w:p w:rsidR="003E0BB0" w:rsidRPr="001465D9" w:rsidRDefault="003E0BB0" w:rsidP="00263F34">
            <w:pPr>
              <w:rPr>
                <w:sz w:val="6"/>
                <w:lang w:val="fr-FR"/>
              </w:rPr>
            </w:pPr>
          </w:p>
          <w:p w:rsidR="003E0BB0" w:rsidRPr="00880AA0" w:rsidRDefault="003E0BB0" w:rsidP="00263F34">
            <w:pPr>
              <w:rPr>
                <w:lang w:val="fr-FR"/>
              </w:rPr>
            </w:pPr>
            <w:r w:rsidRPr="00880AA0">
              <w:rPr>
                <w:lang w:val="fr-FR"/>
              </w:rPr>
              <w:t>Le Secrétariat de l’OMPI, sans préjudice du résultat des réflexions des États membres, devrait traiter dans ses documents relatifs aux activités d’établissement de normes, selon que de besoin et compte tenu des directives des États membres, des questions telles que : a) la garantie de la mise en œuvre nationale des normes de propriété intellectuelle, b) les liens entre propriété intellectuelle et concurrence, c) le transfert de technologie en rapport avec la propriété intellectuelle, d) les flexibilités potentielles et les exceptions et limitations pour les États membres et e) la possibilité de dispositions particulières supplémentaires pour les pays en développement et les PMA.</w:t>
            </w:r>
          </w:p>
          <w:p w:rsidR="003E0BB0" w:rsidRPr="001465D9" w:rsidRDefault="003E0BB0" w:rsidP="00263F34">
            <w:pPr>
              <w:rPr>
                <w:sz w:val="14"/>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Programmes connexes dans le Programme et budget 2018/2019</w:t>
            </w:r>
          </w:p>
          <w:p w:rsidR="003E0BB0" w:rsidRPr="001465D9" w:rsidRDefault="003E0BB0" w:rsidP="00263F34">
            <w:pPr>
              <w:rPr>
                <w:sz w:val="16"/>
                <w:lang w:val="fr-FR"/>
              </w:rPr>
            </w:pPr>
          </w:p>
        </w:tc>
        <w:tc>
          <w:tcPr>
            <w:tcW w:w="6749" w:type="dxa"/>
          </w:tcPr>
          <w:p w:rsidR="003E0BB0" w:rsidRPr="00880AA0" w:rsidRDefault="003E0BB0" w:rsidP="00263F34">
            <w:pPr>
              <w:rPr>
                <w:lang w:val="fr-FR"/>
              </w:rPr>
            </w:pPr>
            <w:r w:rsidRPr="00880AA0">
              <w:rPr>
                <w:lang w:val="fr-FR"/>
              </w:rPr>
              <w:t>1, 2, 3, 4, 9, 20 et 21</w:t>
            </w:r>
          </w:p>
        </w:tc>
      </w:tr>
      <w:tr w:rsidR="003E0BB0" w:rsidRPr="00880AA0" w:rsidTr="00263F34">
        <w:tc>
          <w:tcPr>
            <w:tcW w:w="2538" w:type="dxa"/>
          </w:tcPr>
          <w:p w:rsidR="003E0BB0" w:rsidRPr="00880AA0" w:rsidRDefault="003E0BB0" w:rsidP="00263F34">
            <w:pPr>
              <w:rPr>
                <w:lang w:val="fr-FR"/>
              </w:rPr>
            </w:pPr>
            <w:r w:rsidRPr="00880AA0">
              <w:rPr>
                <w:lang w:val="fr-FR"/>
              </w:rPr>
              <w:t xml:space="preserve">Mise en œuvre </w:t>
            </w:r>
          </w:p>
        </w:tc>
        <w:tc>
          <w:tcPr>
            <w:tcW w:w="6749" w:type="dxa"/>
          </w:tcPr>
          <w:p w:rsidR="003E0BB0" w:rsidRPr="00880AA0" w:rsidRDefault="003E0BB0" w:rsidP="00263F34">
            <w:pPr>
              <w:rPr>
                <w:lang w:val="fr-FR"/>
              </w:rPr>
            </w:pPr>
            <w:r w:rsidRPr="00880AA0">
              <w:rPr>
                <w:lang w:val="fr-FR"/>
              </w:rPr>
              <w:t>Cette recommandation a été examinée lors de la deuxième session du CDIP (CDIP/2/4) et traitée au moyen des activités convenues lors de la troisième session du CDIP, comme il ressort du document CDIP/3/3.</w:t>
            </w:r>
          </w:p>
          <w:p w:rsidR="003E0BB0" w:rsidRPr="001465D9" w:rsidRDefault="003E0BB0" w:rsidP="00263F34">
            <w:pPr>
              <w:rPr>
                <w:sz w:val="8"/>
                <w:lang w:val="fr-FR"/>
              </w:rPr>
            </w:pPr>
          </w:p>
          <w:p w:rsidR="003E0BB0" w:rsidRPr="00880AA0" w:rsidRDefault="003E0BB0" w:rsidP="00263F34">
            <w:pPr>
              <w:rPr>
                <w:lang w:val="fr-FR"/>
              </w:rPr>
            </w:pPr>
            <w:r w:rsidRPr="00880AA0">
              <w:rPr>
                <w:lang w:val="fr-FR"/>
              </w:rPr>
              <w:t>De nouvelles délibérations ont été menées par le CDIP dans le cadre des documents suivants : CDIP/5/3, CDIP/6/10, CDIP/8/4, CDIP10/9, CDIP/11/3, CDIP/12/8 et CDIP/14/12 Rev.</w:t>
            </w:r>
          </w:p>
          <w:p w:rsidR="003E0BB0" w:rsidRPr="001465D9" w:rsidRDefault="003E0BB0" w:rsidP="00263F34">
            <w:pPr>
              <w:rPr>
                <w:sz w:val="8"/>
                <w:lang w:val="fr-FR"/>
              </w:rPr>
            </w:pPr>
          </w:p>
          <w:p w:rsidR="003E0BB0" w:rsidRPr="00880AA0" w:rsidRDefault="003E0BB0" w:rsidP="00263F34">
            <w:pPr>
              <w:rPr>
                <w:lang w:val="fr-FR"/>
              </w:rPr>
            </w:pPr>
            <w:r w:rsidRPr="00880AA0">
              <w:rPr>
                <w:lang w:val="fr-FR"/>
              </w:rPr>
              <w:t>Un rapport sur la part de l’OMPI dans les activités visant à atteindre les objectifs du Millénaire pour le développement (OMD) (document CDIP/5/3) a été examiné à la cinquième session du CDIP.  Une page Web sur les OMD et l’OMPI a été créée (en anglais) à l’adresse suivante : (</w:t>
            </w:r>
            <w:hyperlink r:id="rId80" w:history="1">
              <w:r w:rsidR="001465D9" w:rsidRPr="009D7760">
                <w:rPr>
                  <w:rStyle w:val="Hyperlink"/>
                </w:rPr>
                <w:t>http://www.wipo.int/ipdevelopment/en/agenda/millennium_goals/</w:t>
              </w:r>
            </w:hyperlink>
            <w:r w:rsidRPr="00880AA0">
              <w:rPr>
                <w:lang w:val="fr-FR"/>
              </w:rPr>
              <w:t>).</w:t>
            </w:r>
          </w:p>
          <w:p w:rsidR="003E0BB0" w:rsidRPr="001465D9" w:rsidRDefault="003E0BB0" w:rsidP="00263F34">
            <w:pPr>
              <w:rPr>
                <w:sz w:val="14"/>
                <w:lang w:val="fr-FR"/>
              </w:rPr>
            </w:pPr>
          </w:p>
          <w:p w:rsidR="003E0BB0" w:rsidRPr="00880AA0" w:rsidRDefault="003E0BB0" w:rsidP="00263F34">
            <w:pPr>
              <w:rPr>
                <w:lang w:val="fr-FR"/>
              </w:rPr>
            </w:pPr>
            <w:r w:rsidRPr="00880AA0">
              <w:rPr>
                <w:lang w:val="fr-FR"/>
              </w:rPr>
              <w:t>Un document révisé sur l’évaluation de la contribution de l’OMPI à la réalisation des objectifs du Millénaire pour le développement (OMD) (CDIP/8/4) a été examiné au cours de la huitième session du comité.  Ce document a été révisé pour prendre en compte les observations des États membres (document CDIP/10/9) et a été examiné à la dixième session du comité.</w:t>
            </w:r>
          </w:p>
          <w:p w:rsidR="003E0BB0" w:rsidRPr="001465D9" w:rsidRDefault="003E0BB0" w:rsidP="00263F34">
            <w:pPr>
              <w:rPr>
                <w:sz w:val="14"/>
                <w:lang w:val="fr-FR"/>
              </w:rPr>
            </w:pPr>
          </w:p>
          <w:p w:rsidR="003E0BB0" w:rsidRPr="00880AA0" w:rsidRDefault="003E0BB0" w:rsidP="00263F34">
            <w:pPr>
              <w:rPr>
                <w:lang w:val="fr-FR"/>
              </w:rPr>
            </w:pPr>
            <w:r w:rsidRPr="00880AA0">
              <w:rPr>
                <w:lang w:val="fr-FR"/>
              </w:rPr>
              <w:t>En outre, une étude sur la faisabilité de la prise en considération des besoins et résultats visés dans les OMD dans le tableau des résultats de l’exercice biennal de l’OMPI (document CDIP/11/3) a été examinée à la onzième session du comité.  Celui</w:t>
            </w:r>
            <w:r w:rsidRPr="00880AA0">
              <w:rPr>
                <w:lang w:val="fr-FR"/>
              </w:rPr>
              <w:noBreakHyphen/>
              <w:t>ci a examiné à sa douzième session un document sur les OMD dans d’autres institutions des Nations Unies et la contribution de l’OMPI aux OMD (document CDIP/12/8), et un document révisé sur cette question, portant sur d’autres organisations et programmes des Nations Unies et élargissant l’enquête menée dans le document CDIP/12/8, a été examiné par le comité à sa quatorzième session (document CDIP/14/12 Rev.).</w:t>
            </w:r>
          </w:p>
          <w:p w:rsidR="003E0BB0" w:rsidRPr="001465D9" w:rsidRDefault="003E0BB0" w:rsidP="00263F34">
            <w:pPr>
              <w:rPr>
                <w:sz w:val="12"/>
                <w:lang w:val="fr-FR"/>
              </w:rPr>
            </w:pPr>
          </w:p>
          <w:p w:rsidR="003E0BB0" w:rsidRPr="00880AA0" w:rsidRDefault="003E0BB0" w:rsidP="00263F34">
            <w:pPr>
              <w:rPr>
                <w:bCs/>
                <w:lang w:val="fr-FR"/>
              </w:rPr>
            </w:pPr>
            <w:r w:rsidRPr="00880AA0">
              <w:rPr>
                <w:bCs/>
                <w:lang w:val="fr-FR"/>
              </w:rPr>
              <w:t>Les délibérations sur les OMD ont abouti au moment de l’adoption en 2015 du Programme de développement durable à l’horizon 2030 et des objectifs de développement durable (ODD).  À cet égard, à sa seizième session, le Secrétariat a présenté un document intitulé “L’OMPI et le Programme de développement pour l’après</w:t>
            </w:r>
            <w:r w:rsidRPr="00880AA0">
              <w:rPr>
                <w:bCs/>
                <w:lang w:val="fr-FR"/>
              </w:rPr>
              <w:noBreakHyphen/>
              <w:t>2015” (CDIP/16/8), contenant un bref résumé de la participation de l’OMPI au processus d’exécution du Programme de développement pour l’après</w:t>
            </w:r>
            <w:r w:rsidRPr="00880AA0">
              <w:rPr>
                <w:bCs/>
                <w:lang w:val="fr-FR"/>
              </w:rPr>
              <w:noBreakHyphen/>
              <w:t>2015 et aux travaux en cours concernant le cadre d’indicateurs des objectifs de développement.  À titre de suivi, à la dix</w:t>
            </w:r>
            <w:r w:rsidRPr="00880AA0">
              <w:rPr>
                <w:bCs/>
                <w:lang w:val="fr-FR"/>
              </w:rPr>
              <w:noBreakHyphen/>
              <w:t xml:space="preserve">septième session, le Secrétariat a présenté une Cartographie des activités de l’OMPI relatives à la mise en œuvre des objectifs de développement durable </w:t>
            </w:r>
            <w:r w:rsidRPr="00880AA0">
              <w:rPr>
                <w:lang w:val="fr-FR"/>
              </w:rPr>
              <w:t>(CDIP/17/8), qui recense les activités menées par l’OMPI en rapport avec les objectifs de développement durable.</w:t>
            </w:r>
          </w:p>
          <w:p w:rsidR="003E0BB0" w:rsidRPr="001465D9" w:rsidRDefault="003E0BB0" w:rsidP="00263F34">
            <w:pPr>
              <w:rPr>
                <w:bCs/>
                <w:sz w:val="12"/>
                <w:lang w:val="fr-FR"/>
              </w:rPr>
            </w:pPr>
          </w:p>
          <w:p w:rsidR="003E0BB0" w:rsidRPr="00880AA0" w:rsidRDefault="003E0BB0" w:rsidP="00263F34">
            <w:pPr>
              <w:rPr>
                <w:bCs/>
                <w:lang w:val="fr-FR"/>
              </w:rPr>
            </w:pPr>
            <w:r w:rsidRPr="00880AA0">
              <w:rPr>
                <w:bCs/>
                <w:lang w:val="fr-FR"/>
              </w:rPr>
              <w:t>Les débats sur ces deux documents ont conduit à la décision de demander aux États membres de transmettre des commentaires concernant les objectifs de développement durable qu’ils jugeaient pertinents pour les travaux l’OMPI, accompagnés d’une explication ou justification de leurs avis et le comité a examiné à sa dix</w:t>
            </w:r>
            <w:r w:rsidRPr="00880AA0">
              <w:rPr>
                <w:bCs/>
                <w:lang w:val="fr-FR"/>
              </w:rPr>
              <w:noBreakHyphen/>
              <w:t>huitième session la “Compilation des contributions reçues de la part des États membres en ce qui concerne les objectifs de développement durable présentant un intérêt pour les activités de l’OMPI” (</w:t>
            </w:r>
            <w:r w:rsidRPr="00880AA0">
              <w:rPr>
                <w:lang w:val="fr-FR"/>
              </w:rPr>
              <w:t>CDIP/18/4)</w:t>
            </w:r>
            <w:r w:rsidRPr="00880AA0">
              <w:rPr>
                <w:bCs/>
                <w:lang w:val="fr-FR"/>
              </w:rPr>
              <w:t>.  Ce document comprenait entre autres les contributions reçues de la délégation du Brésil, demandant l’établissement d’un point permanent de l’ordre du jour sur les ODD.  Cette question a été débattue lors de cinq sessions consécutives.</w:t>
            </w:r>
          </w:p>
          <w:p w:rsidR="003E0BB0" w:rsidRPr="001465D9" w:rsidRDefault="003E0BB0" w:rsidP="00263F34">
            <w:pPr>
              <w:rPr>
                <w:bCs/>
                <w:sz w:val="14"/>
                <w:lang w:val="fr-FR"/>
              </w:rPr>
            </w:pPr>
          </w:p>
          <w:p w:rsidR="003E0BB0" w:rsidRPr="00880AA0" w:rsidRDefault="003E0BB0" w:rsidP="00263F34">
            <w:pPr>
              <w:rPr>
                <w:lang w:val="fr-FR"/>
              </w:rPr>
            </w:pPr>
            <w:r w:rsidRPr="00880AA0">
              <w:rPr>
                <w:lang w:val="fr-FR"/>
              </w:rPr>
              <w:t>En outre, le comité a décidé à sa dix</w:t>
            </w:r>
            <w:r w:rsidRPr="00880AA0">
              <w:rPr>
                <w:lang w:val="fr-FR"/>
              </w:rPr>
              <w:noBreakHyphen/>
              <w:t>huitième session qu’un rapport annuel devrait lui être présenté à sa première session de l’année, contenant des informations sur la contribution de l’OMPI à la mise en œuvre des objectifs de développement durable et des cibles qui leur sont associées notamment en ce qui concerne : a) les activités et les initiatives entreprises de manière individuelle par l’Organisation;  b) les activités entreprises par l’Organisation dans le cadre du système des Nations Unies;  et c) l’assistance fournie par l’OMPI à la demande des États membres.  Le premier rapport établi sur le sujet a été présenté à la dix</w:t>
            </w:r>
            <w:r w:rsidRPr="00880AA0">
              <w:rPr>
                <w:lang w:val="fr-FR"/>
              </w:rPr>
              <w:noBreakHyphen/>
              <w:t>neuvième session du CDIP par le représentant spécial du Directeur général pour les objectifs de développement durable des Nations Unies (CDIP/19/6).</w:t>
            </w:r>
          </w:p>
          <w:p w:rsidR="003E0BB0" w:rsidRPr="001465D9" w:rsidRDefault="003E0BB0" w:rsidP="00263F34">
            <w:pPr>
              <w:rPr>
                <w:sz w:val="14"/>
                <w:lang w:val="fr-FR"/>
              </w:rPr>
            </w:pPr>
          </w:p>
        </w:tc>
      </w:tr>
      <w:tr w:rsidR="003E0BB0" w:rsidRPr="00880AA0" w:rsidTr="00263F34">
        <w:trPr>
          <w:trHeight w:val="535"/>
        </w:trPr>
        <w:tc>
          <w:tcPr>
            <w:tcW w:w="2538" w:type="dxa"/>
          </w:tcPr>
          <w:p w:rsidR="003E0BB0" w:rsidRPr="00880AA0" w:rsidRDefault="003E0BB0" w:rsidP="00263F34">
            <w:pPr>
              <w:rPr>
                <w:lang w:val="fr-FR"/>
              </w:rPr>
            </w:pPr>
            <w:r w:rsidRPr="00880AA0">
              <w:rPr>
                <w:lang w:val="fr-FR"/>
              </w:rPr>
              <w:t>Projets du Plan d’action pour le développement connexes</w:t>
            </w:r>
          </w:p>
        </w:tc>
        <w:tc>
          <w:tcPr>
            <w:tcW w:w="6749" w:type="dxa"/>
          </w:tcPr>
          <w:p w:rsidR="003E0BB0" w:rsidRPr="00880AA0" w:rsidRDefault="003E0BB0" w:rsidP="00263F34">
            <w:pPr>
              <w:rPr>
                <w:szCs w:val="24"/>
                <w:lang w:val="fr-FR"/>
              </w:rPr>
            </w:pPr>
            <w:r w:rsidRPr="00880AA0">
              <w:rPr>
                <w:lang w:val="fr-FR"/>
              </w:rPr>
              <w:t>Sans objet</w:t>
            </w:r>
          </w:p>
          <w:p w:rsidR="003E0BB0" w:rsidRPr="00880AA0" w:rsidRDefault="003E0BB0" w:rsidP="00263F34">
            <w:pPr>
              <w:rPr>
                <w:b/>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 xml:space="preserve">Activités/réalisations </w:t>
            </w:r>
          </w:p>
        </w:tc>
        <w:tc>
          <w:tcPr>
            <w:tcW w:w="6749" w:type="dxa"/>
          </w:tcPr>
          <w:p w:rsidR="003E0BB0" w:rsidRPr="00880AA0" w:rsidRDefault="003E0BB0" w:rsidP="00263F34">
            <w:pPr>
              <w:rPr>
                <w:lang w:val="fr-FR"/>
              </w:rPr>
            </w:pPr>
            <w:r w:rsidRPr="00880AA0">
              <w:rPr>
                <w:lang w:val="fr-FR"/>
              </w:rPr>
              <w:t xml:space="preserve">À la vingt et unième session du CDIP, les délibérations sur </w:t>
            </w:r>
            <w:r w:rsidRPr="00880AA0">
              <w:rPr>
                <w:bCs/>
                <w:lang w:val="fr-FR"/>
              </w:rPr>
              <w:t>l’inscription d’un point permanent sur les ODD</w:t>
            </w:r>
            <w:r w:rsidRPr="00880AA0">
              <w:rPr>
                <w:lang w:val="fr-FR"/>
              </w:rPr>
              <w:t xml:space="preserve"> à l’ordre du jour du CDIP ont été conclues.  Il a été décidé que, à l’avenir, toutes les questions relatives aux objectifs de développement durable seraient traitées sous le point de l’ordre du jour “Propriété intellectuelle et développement”.</w:t>
            </w:r>
          </w:p>
          <w:p w:rsidR="003E0BB0" w:rsidRPr="00880AA0" w:rsidRDefault="003E0BB0" w:rsidP="00263F34">
            <w:pPr>
              <w:rPr>
                <w:lang w:val="fr-FR"/>
              </w:rPr>
            </w:pPr>
          </w:p>
          <w:p w:rsidR="003E0BB0" w:rsidRPr="00880AA0" w:rsidRDefault="003E0BB0" w:rsidP="00263F34">
            <w:pPr>
              <w:rPr>
                <w:lang w:val="fr-FR"/>
              </w:rPr>
            </w:pPr>
            <w:r w:rsidRPr="00880AA0">
              <w:rPr>
                <w:lang w:val="fr-FR"/>
              </w:rPr>
              <w:t>Le second rapport annuel sur la contribution de l’OMPI à la mise en œuvre des objectifs de développement durable et des cibles qui leur sont associées a également été présenté lors de la vingt et unième session du CDIP (CDIP/21/10).</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Autres rapports/documents connexes</w:t>
            </w:r>
          </w:p>
        </w:tc>
        <w:tc>
          <w:tcPr>
            <w:tcW w:w="6749" w:type="dxa"/>
          </w:tcPr>
          <w:p w:rsidR="003E0BB0" w:rsidRPr="00880AA0" w:rsidRDefault="003E0BB0" w:rsidP="00263F34">
            <w:pPr>
              <w:rPr>
                <w:lang w:val="fr-FR"/>
              </w:rPr>
            </w:pPr>
            <w:r w:rsidRPr="00880AA0">
              <w:rPr>
                <w:lang w:val="fr-FR"/>
              </w:rPr>
              <w:t>Documents examinés par le CDIP : CDIP/16/8, CDIP/17/8, CDIP/18/4, CDIP/19/6, CDIP/21/10.</w:t>
            </w:r>
          </w:p>
          <w:p w:rsidR="003E0BB0" w:rsidRPr="00880AA0" w:rsidRDefault="003E0BB0" w:rsidP="00263F34">
            <w:pPr>
              <w:rPr>
                <w:lang w:val="fr-FR"/>
              </w:rPr>
            </w:pPr>
          </w:p>
          <w:p w:rsidR="003E0BB0" w:rsidRPr="00880AA0" w:rsidRDefault="003E0BB0" w:rsidP="00263F34">
            <w:pPr>
              <w:rPr>
                <w:lang w:val="fr-FR"/>
              </w:rPr>
            </w:pPr>
            <w:r w:rsidRPr="00880AA0">
              <w:rPr>
                <w:lang w:val="fr-FR"/>
              </w:rPr>
              <w:t>En dehors des activités qui figurent dans la base IP</w:t>
            </w:r>
            <w:r w:rsidRPr="00880AA0">
              <w:rPr>
                <w:lang w:val="fr-FR"/>
              </w:rPr>
              <w:noBreakHyphen/>
              <w:t>TAD, pour obtenir de plus amples informations sur les réalisations liées à cette recommandation, voir le Rapport sur la performance de l’OMPI 2016</w:t>
            </w:r>
            <w:r w:rsidRPr="00880AA0">
              <w:rPr>
                <w:lang w:val="fr-FR"/>
              </w:rPr>
              <w:noBreakHyphen/>
              <w:t>2017 (document WO/PBC/28/7).</w:t>
            </w:r>
          </w:p>
        </w:tc>
      </w:tr>
    </w:tbl>
    <w:p w:rsidR="001465D9" w:rsidRDefault="001465D9">
      <w:r>
        <w:br w:type="page"/>
      </w:r>
    </w:p>
    <w:tbl>
      <w:tblPr>
        <w:tblStyle w:val="TableGrid"/>
        <w:tblW w:w="0" w:type="auto"/>
        <w:tblLook w:val="04A0" w:firstRow="1" w:lastRow="0" w:firstColumn="1" w:lastColumn="0" w:noHBand="0" w:noVBand="1"/>
      </w:tblPr>
      <w:tblGrid>
        <w:gridCol w:w="2538"/>
        <w:gridCol w:w="6749"/>
      </w:tblGrid>
      <w:tr w:rsidR="003E0BB0" w:rsidRPr="00880AA0" w:rsidTr="00263F34">
        <w:tc>
          <w:tcPr>
            <w:tcW w:w="2538" w:type="dxa"/>
            <w:shd w:val="clear" w:color="auto" w:fill="BFBFBF" w:themeFill="background1" w:themeFillShade="BF"/>
          </w:tcPr>
          <w:p w:rsidR="003E0BB0" w:rsidRPr="00880AA0" w:rsidRDefault="003E0BB0" w:rsidP="00263F34">
            <w:pPr>
              <w:rPr>
                <w:lang w:val="fr-FR"/>
              </w:rPr>
            </w:pPr>
            <w:r w:rsidRPr="00880AA0">
              <w:rPr>
                <w:lang w:val="fr-FR"/>
              </w:rPr>
              <w:br w:type="page"/>
              <w:t>Recommandation(s)</w:t>
            </w:r>
          </w:p>
        </w:tc>
        <w:tc>
          <w:tcPr>
            <w:tcW w:w="6749" w:type="dxa"/>
            <w:shd w:val="clear" w:color="auto" w:fill="BFBFBF" w:themeFill="background1" w:themeFillShade="BF"/>
          </w:tcPr>
          <w:p w:rsidR="003E0BB0" w:rsidRPr="00880AA0" w:rsidRDefault="003E0BB0" w:rsidP="00263F34">
            <w:pPr>
              <w:rPr>
                <w:i/>
                <w:lang w:val="fr-FR"/>
              </w:rPr>
            </w:pPr>
            <w:r w:rsidRPr="00880AA0">
              <w:rPr>
                <w:i/>
                <w:lang w:val="fr-FR"/>
              </w:rPr>
              <w:t>Recommandation n° 23</w:t>
            </w:r>
          </w:p>
          <w:p w:rsidR="003E0BB0" w:rsidRPr="00880AA0" w:rsidRDefault="003E0BB0" w:rsidP="00263F34">
            <w:pPr>
              <w:rPr>
                <w:lang w:val="fr-FR"/>
              </w:rPr>
            </w:pPr>
          </w:p>
          <w:p w:rsidR="003E0BB0" w:rsidRPr="00880AA0" w:rsidRDefault="003E0BB0" w:rsidP="00263F34">
            <w:pPr>
              <w:rPr>
                <w:lang w:val="fr-FR"/>
              </w:rPr>
            </w:pPr>
            <w:r w:rsidRPr="00880AA0">
              <w:rPr>
                <w:lang w:val="fr-FR"/>
              </w:rPr>
              <w:t>Examiner les moyens de mieux promouvoir des pratiques en matière de concession de licences de propriété intellectuelle stimulant la concurrence, en vue notamment de favoriser la créativité, l’innovation et le transfert et la diffusion de la technologie en faveur des pays intéressés, en particulier les pays en développement et les PMA.</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Programmes connexes dans le Programme et budget 2018/2019</w:t>
            </w:r>
          </w:p>
          <w:p w:rsidR="003E0BB0" w:rsidRPr="00880AA0" w:rsidRDefault="003E0BB0" w:rsidP="00263F34">
            <w:pPr>
              <w:rPr>
                <w:lang w:val="fr-FR"/>
              </w:rPr>
            </w:pPr>
          </w:p>
        </w:tc>
        <w:tc>
          <w:tcPr>
            <w:tcW w:w="6749" w:type="dxa"/>
          </w:tcPr>
          <w:p w:rsidR="003E0BB0" w:rsidRPr="00880AA0" w:rsidRDefault="003E0BB0" w:rsidP="00263F34">
            <w:pPr>
              <w:rPr>
                <w:lang w:val="fr-FR"/>
              </w:rPr>
            </w:pPr>
            <w:r w:rsidRPr="00880AA0">
              <w:rPr>
                <w:lang w:val="fr-FR"/>
              </w:rPr>
              <w:t>1, 2, 3, 9 et 30</w:t>
            </w:r>
          </w:p>
        </w:tc>
      </w:tr>
      <w:tr w:rsidR="003E0BB0" w:rsidRPr="00880AA0" w:rsidTr="00263F34">
        <w:tc>
          <w:tcPr>
            <w:tcW w:w="2538" w:type="dxa"/>
          </w:tcPr>
          <w:p w:rsidR="003E0BB0" w:rsidRPr="00880AA0" w:rsidRDefault="003E0BB0" w:rsidP="00263F34">
            <w:pPr>
              <w:rPr>
                <w:lang w:val="fr-FR"/>
              </w:rPr>
            </w:pPr>
            <w:r w:rsidRPr="00880AA0">
              <w:rPr>
                <w:lang w:val="fr-FR"/>
              </w:rPr>
              <w:t xml:space="preserve">Mise en œuvre </w:t>
            </w:r>
          </w:p>
        </w:tc>
        <w:tc>
          <w:tcPr>
            <w:tcW w:w="6749" w:type="dxa"/>
          </w:tcPr>
          <w:p w:rsidR="003E0BB0" w:rsidRPr="00880AA0" w:rsidRDefault="003E0BB0" w:rsidP="00263F34">
            <w:pPr>
              <w:rPr>
                <w:lang w:val="fr-FR"/>
              </w:rPr>
            </w:pPr>
            <w:r w:rsidRPr="00880AA0">
              <w:rPr>
                <w:lang w:val="fr-FR"/>
              </w:rPr>
              <w:t>Cette recommandation a été mise en œuvre depuis janvier 2010.  Elle a été examinée lors de la deuxième session du CDIP (CDIP/2/4) et traitée au moyen des activités convenues lors de la troisième session du CDIP, comme il ressort du document CDIP/4/4 Rev.</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Projets du Plan d’action pour le développement connexes</w:t>
            </w:r>
          </w:p>
        </w:tc>
        <w:tc>
          <w:tcPr>
            <w:tcW w:w="6749" w:type="dxa"/>
          </w:tcPr>
          <w:p w:rsidR="003E0BB0" w:rsidRPr="00880AA0" w:rsidRDefault="003E0BB0" w:rsidP="00263F34">
            <w:pPr>
              <w:rPr>
                <w:lang w:val="fr-FR"/>
              </w:rPr>
            </w:pPr>
            <w:r w:rsidRPr="00880AA0">
              <w:rPr>
                <w:lang w:val="fr-FR"/>
              </w:rPr>
              <w:t xml:space="preserve">La recommandation a été principalement traitée par le projet sur la </w:t>
            </w:r>
            <w:hyperlink r:id="rId81" w:history="1">
              <w:r w:rsidRPr="00880AA0">
                <w:rPr>
                  <w:rStyle w:val="Hyperlink"/>
                  <w:color w:val="auto"/>
                  <w:lang w:val="fr-FR"/>
                </w:rPr>
                <w:t>Propriété intellectuelle et la politique en matière de concurrence</w:t>
              </w:r>
            </w:hyperlink>
            <w:r w:rsidRPr="00880AA0">
              <w:rPr>
                <w:lang w:val="fr-FR"/>
              </w:rPr>
              <w:t xml:space="preserve"> (CDIP/4/4 Rev.).</w:t>
            </w:r>
          </w:p>
          <w:p w:rsidR="003E0BB0" w:rsidRPr="00880AA0" w:rsidRDefault="003E0BB0" w:rsidP="00263F34">
            <w:pPr>
              <w:rPr>
                <w:lang w:val="fr-FR"/>
              </w:rPr>
            </w:pPr>
          </w:p>
          <w:p w:rsidR="003E0BB0" w:rsidRPr="00880AA0" w:rsidRDefault="003E0BB0" w:rsidP="00263F34">
            <w:pPr>
              <w:rPr>
                <w:lang w:val="fr-FR"/>
              </w:rPr>
            </w:pPr>
            <w:r w:rsidRPr="00880AA0">
              <w:rPr>
                <w:lang w:val="fr-FR"/>
              </w:rPr>
              <w:t>Cette recommandation est également traitée par le Projet sur la gestion de la propriété intellectuelle et le transfert de technologie : promouvoir l’utilisation efficace de la propriété intellectuelle dans les pays en développement, les pays les moins avancés et les pays en transition (CDIP/19/11/Rev.).</w:t>
            </w:r>
          </w:p>
          <w:p w:rsidR="003E0BB0" w:rsidRPr="00880AA0" w:rsidRDefault="003E0BB0" w:rsidP="00263F34">
            <w:pPr>
              <w:rPr>
                <w:b/>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 xml:space="preserve">Activités/réalisations </w:t>
            </w:r>
          </w:p>
        </w:tc>
        <w:tc>
          <w:tcPr>
            <w:tcW w:w="6749" w:type="dxa"/>
          </w:tcPr>
          <w:p w:rsidR="003E0BB0" w:rsidRPr="00880AA0" w:rsidRDefault="003E0BB0" w:rsidP="00263F34">
            <w:pPr>
              <w:rPr>
                <w:lang w:val="fr-FR"/>
              </w:rPr>
            </w:pPr>
            <w:r w:rsidRPr="00880AA0">
              <w:rPr>
                <w:lang w:val="fr-FR"/>
              </w:rPr>
              <w:t>Le projet de “Gestion de la propriété intellectuelle et transfert de technologie : promouvoir l’utilisation efficace de la propriété intellectuelle dans les pays en développement, les pays les moins avancés et les pays en transition” a été approuvé à la dix</w:t>
            </w:r>
            <w:r w:rsidRPr="00880AA0">
              <w:rPr>
                <w:lang w:val="fr-FR"/>
              </w:rPr>
              <w:noBreakHyphen/>
              <w:t>neuvième session du CDIP et sa mise en œuvre a commencé en 2018 (document CDIP/19/11/Rev.).  Ce projet prévoyait le recrutement d’un expert en évaluation des besoins de formation et de quatre experts des pays dans chacun des pays pilotes désignés : Afrique du Sud, Chili, Indonésie et Rwanda.</w:t>
            </w:r>
          </w:p>
          <w:p w:rsidR="003E0BB0" w:rsidRPr="00880AA0" w:rsidRDefault="003E0BB0" w:rsidP="00263F34">
            <w:pPr>
              <w:rPr>
                <w:lang w:val="fr-FR"/>
              </w:rPr>
            </w:pPr>
          </w:p>
          <w:p w:rsidR="003E0BB0" w:rsidRPr="00880AA0" w:rsidRDefault="003E0BB0" w:rsidP="00263F34">
            <w:pPr>
              <w:rPr>
                <w:lang w:val="fr-FR"/>
              </w:rPr>
            </w:pPr>
            <w:r w:rsidRPr="00880AA0">
              <w:rPr>
                <w:lang w:val="fr-FR"/>
              </w:rPr>
              <w:t>Un premier projet de manuel, comprenant une méthodologie et une série d’outils afin d’évaluer les besoins de formation dans les domaines liés au transfert de technologie et à la commercialisation ou utilisation pour mieux cibler les activités de formation en termes de public, de sujet et de mode d’enseignement, a été finalisé par l’expert en évaluation des besoins de formation.  En parallèle, les experts des pays ont préparé un inventaire détaillé des chaînes de valorisation de l’innovation dans leurs pays respectifs, notamment de leurs acteurs (les donateurs, concepteurs, gestionnaires et utilisateurs de la propriété intellectuelle ainsi que les institutions d’appui associées telles que les CATI) et des relations existant entre eux.  Pour de plus amples informations sur les activités menées dans le cadre de ce projet, voir l’Annexe I du présent document.</w:t>
            </w:r>
          </w:p>
          <w:p w:rsidR="003E0BB0" w:rsidRPr="00880AA0" w:rsidRDefault="003E0BB0" w:rsidP="00263F34">
            <w:pPr>
              <w:rPr>
                <w:lang w:val="fr-FR"/>
              </w:rPr>
            </w:pPr>
          </w:p>
          <w:p w:rsidR="003E0BB0" w:rsidRPr="00880AA0" w:rsidRDefault="003E0BB0" w:rsidP="00263F34">
            <w:pPr>
              <w:rPr>
                <w:lang w:val="fr-FR"/>
              </w:rPr>
            </w:pPr>
            <w:r w:rsidRPr="00880AA0">
              <w:rPr>
                <w:lang w:val="fr-FR"/>
              </w:rPr>
              <w:t>Plusieurs ateliers ont par ailleurs été organisés sur le thème des politiques en matière de propriété intellectuelle pour les instituts de recherche et celui de la commercialisation de la propriété intellectuelle aux Philippines, en Indonésie, en Malaisie, en Ouzbékistan, en République islamique d’Iran, en Colombie et au Maroc.</w:t>
            </w:r>
          </w:p>
          <w:p w:rsidR="003E0BB0" w:rsidRPr="00880AA0" w:rsidRDefault="003E0BB0" w:rsidP="00263F34">
            <w:pPr>
              <w:rPr>
                <w:lang w:val="fr-FR"/>
              </w:rPr>
            </w:pPr>
          </w:p>
          <w:p w:rsidR="003E0BB0" w:rsidRPr="00880AA0" w:rsidRDefault="003E0BB0" w:rsidP="00263F34">
            <w:pPr>
              <w:autoSpaceDE w:val="0"/>
              <w:autoSpaceDN w:val="0"/>
              <w:adjustRightInd w:val="0"/>
              <w:rPr>
                <w:lang w:val="fr-FR"/>
              </w:rPr>
            </w:pPr>
            <w:r w:rsidRPr="00880AA0">
              <w:rPr>
                <w:rFonts w:eastAsia="SimSun"/>
                <w:bCs/>
                <w:szCs w:val="22"/>
                <w:lang w:val="fr-FR" w:eastAsia="en-CA"/>
              </w:rPr>
              <w:t>Dans le cadre du Programme de l’OMPI et du Fonds fiduciaire pour l’Australie sur le transfert de technologie, deux programmes de renforcement des capacités en matière de concession de licences ont été organisés en Asie afin de promouvoir des pratiques en matière de concession de licences de propriété intellectuelle stimulant la concurrence dans le milieu universitaire.</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Autres rapports/documents connexes</w:t>
            </w:r>
          </w:p>
        </w:tc>
        <w:tc>
          <w:tcPr>
            <w:tcW w:w="6749" w:type="dxa"/>
          </w:tcPr>
          <w:p w:rsidR="003E0BB0" w:rsidRPr="00880AA0" w:rsidRDefault="003E0BB0" w:rsidP="00263F34">
            <w:pPr>
              <w:rPr>
                <w:lang w:val="fr-FR"/>
              </w:rPr>
            </w:pPr>
            <w:r w:rsidRPr="00880AA0">
              <w:rPr>
                <w:lang w:val="fr-FR"/>
              </w:rPr>
              <w:t>Rapports examines par le CDIP : CDIP/4/2, CDIP/6/2, CDIP/8/2, CDIP/9/8.</w:t>
            </w:r>
          </w:p>
          <w:p w:rsidR="003E0BB0" w:rsidRPr="00880AA0" w:rsidRDefault="003E0BB0" w:rsidP="00263F34">
            <w:pPr>
              <w:rPr>
                <w:lang w:val="fr-FR"/>
              </w:rPr>
            </w:pPr>
          </w:p>
          <w:p w:rsidR="003E0BB0" w:rsidRPr="00880AA0" w:rsidRDefault="003E0BB0" w:rsidP="00263F34">
            <w:pPr>
              <w:rPr>
                <w:lang w:val="fr-FR"/>
              </w:rPr>
            </w:pPr>
            <w:r w:rsidRPr="00880AA0">
              <w:rPr>
                <w:lang w:val="fr-FR"/>
              </w:rPr>
              <w:t>En dehors des activités qui figurent dans la base IP</w:t>
            </w:r>
            <w:r w:rsidRPr="00880AA0">
              <w:rPr>
                <w:lang w:val="fr-FR"/>
              </w:rPr>
              <w:noBreakHyphen/>
              <w:t>TAD, pour obtenir de plus amples informations sur les réalisations liées à cette recommandation, voir le Rapport sur la performance de l’OMPI 2016</w:t>
            </w:r>
            <w:r w:rsidRPr="00880AA0">
              <w:rPr>
                <w:lang w:val="fr-FR"/>
              </w:rPr>
              <w:noBreakHyphen/>
              <w:t>2017 (document WO/PBC/28/7).</w:t>
            </w:r>
          </w:p>
          <w:p w:rsidR="003E0BB0" w:rsidRPr="00880AA0" w:rsidRDefault="003E0BB0" w:rsidP="00263F34">
            <w:pPr>
              <w:rPr>
                <w:lang w:val="fr-FR"/>
              </w:rPr>
            </w:pPr>
          </w:p>
        </w:tc>
      </w:tr>
    </w:tbl>
    <w:p w:rsidR="003E0BB0" w:rsidRPr="00880AA0" w:rsidRDefault="003E0BB0" w:rsidP="003E0BB0">
      <w:pPr>
        <w:rPr>
          <w:lang w:val="fr-FR"/>
        </w:rPr>
      </w:pPr>
      <w:r w:rsidRPr="00880AA0">
        <w:rPr>
          <w:lang w:val="fr-FR"/>
        </w:rPr>
        <w:br w:type="page"/>
      </w:r>
    </w:p>
    <w:tbl>
      <w:tblPr>
        <w:tblStyle w:val="TableGrid"/>
        <w:tblW w:w="0" w:type="auto"/>
        <w:tblLook w:val="04A0" w:firstRow="1" w:lastRow="0" w:firstColumn="1" w:lastColumn="0" w:noHBand="0" w:noVBand="1"/>
      </w:tblPr>
      <w:tblGrid>
        <w:gridCol w:w="2538"/>
        <w:gridCol w:w="6749"/>
      </w:tblGrid>
      <w:tr w:rsidR="003E0BB0" w:rsidRPr="00880AA0" w:rsidTr="00263F34">
        <w:tc>
          <w:tcPr>
            <w:tcW w:w="2538" w:type="dxa"/>
            <w:shd w:val="clear" w:color="auto" w:fill="BFBFBF" w:themeFill="background1" w:themeFillShade="BF"/>
          </w:tcPr>
          <w:p w:rsidR="003E0BB0" w:rsidRPr="00880AA0" w:rsidRDefault="003E0BB0" w:rsidP="00263F34">
            <w:pPr>
              <w:rPr>
                <w:lang w:val="fr-FR"/>
              </w:rPr>
            </w:pPr>
            <w:r w:rsidRPr="00880AA0">
              <w:rPr>
                <w:lang w:val="fr-FR"/>
              </w:rPr>
              <w:t>Recommandation(s)</w:t>
            </w:r>
          </w:p>
        </w:tc>
        <w:tc>
          <w:tcPr>
            <w:tcW w:w="6751" w:type="dxa"/>
            <w:shd w:val="clear" w:color="auto" w:fill="BFBFBF" w:themeFill="background1" w:themeFillShade="BF"/>
          </w:tcPr>
          <w:p w:rsidR="003E0BB0" w:rsidRPr="00880AA0" w:rsidRDefault="003E0BB0" w:rsidP="00263F34">
            <w:pPr>
              <w:rPr>
                <w:i/>
                <w:lang w:val="fr-FR"/>
              </w:rPr>
            </w:pPr>
            <w:r w:rsidRPr="00880AA0">
              <w:rPr>
                <w:i/>
                <w:lang w:val="fr-FR"/>
              </w:rPr>
              <w:t>Recommandation n° 24</w:t>
            </w:r>
          </w:p>
          <w:p w:rsidR="003E0BB0" w:rsidRPr="00880AA0" w:rsidRDefault="003E0BB0" w:rsidP="00263F34">
            <w:pPr>
              <w:rPr>
                <w:i/>
                <w:lang w:val="fr-FR"/>
              </w:rPr>
            </w:pPr>
          </w:p>
          <w:p w:rsidR="003E0BB0" w:rsidRPr="00880AA0" w:rsidRDefault="003E0BB0" w:rsidP="00263F34">
            <w:pPr>
              <w:rPr>
                <w:lang w:val="fr-FR"/>
              </w:rPr>
            </w:pPr>
            <w:r w:rsidRPr="00880AA0">
              <w:rPr>
                <w:lang w:val="fr-FR"/>
              </w:rPr>
              <w:t>Demander à l’OMPI, dans le cadre de son mandat, d’étendre la portée de ses activités visant à réduire la fracture numérique, conformément aux conclusions du Sommet mondial sur la société de l’information (SMSI), en prenant aussi en considération l’importance du Fonds de solidarité numérique.</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Programmes connexes dans le Programme et budget 2018/2019</w:t>
            </w:r>
          </w:p>
          <w:p w:rsidR="003E0BB0" w:rsidRPr="00880AA0" w:rsidRDefault="003E0BB0" w:rsidP="00263F34">
            <w:pPr>
              <w:rPr>
                <w:lang w:val="fr-FR"/>
              </w:rPr>
            </w:pPr>
          </w:p>
        </w:tc>
        <w:tc>
          <w:tcPr>
            <w:tcW w:w="6751" w:type="dxa"/>
          </w:tcPr>
          <w:p w:rsidR="003E0BB0" w:rsidRPr="00880AA0" w:rsidRDefault="003E0BB0" w:rsidP="00263F34">
            <w:pPr>
              <w:rPr>
                <w:lang w:val="fr-FR"/>
              </w:rPr>
            </w:pPr>
            <w:r w:rsidRPr="00880AA0">
              <w:rPr>
                <w:lang w:val="fr-FR"/>
              </w:rPr>
              <w:t>9, 13, 14, 15, 18 et 20</w:t>
            </w:r>
          </w:p>
        </w:tc>
      </w:tr>
      <w:tr w:rsidR="003E0BB0" w:rsidRPr="00880AA0" w:rsidTr="00263F34">
        <w:tc>
          <w:tcPr>
            <w:tcW w:w="2538" w:type="dxa"/>
          </w:tcPr>
          <w:p w:rsidR="003E0BB0" w:rsidRPr="00880AA0" w:rsidRDefault="003E0BB0" w:rsidP="00263F34">
            <w:pPr>
              <w:rPr>
                <w:lang w:val="fr-FR"/>
              </w:rPr>
            </w:pPr>
            <w:r w:rsidRPr="00880AA0">
              <w:rPr>
                <w:lang w:val="fr-FR"/>
              </w:rPr>
              <w:t xml:space="preserve">Mise en œuvre </w:t>
            </w:r>
          </w:p>
        </w:tc>
        <w:tc>
          <w:tcPr>
            <w:tcW w:w="6751" w:type="dxa"/>
          </w:tcPr>
          <w:p w:rsidR="003E0BB0" w:rsidRPr="00880AA0" w:rsidRDefault="003E0BB0" w:rsidP="00263F34">
            <w:pPr>
              <w:rPr>
                <w:lang w:val="fr-FR"/>
              </w:rPr>
            </w:pPr>
            <w:r w:rsidRPr="00880AA0">
              <w:rPr>
                <w:lang w:val="fr-FR"/>
              </w:rPr>
              <w:t>Cette recommandation a été mise en œuvre depuis 2010.  Elle a été examinée et traitée au moyen des activités convenues lors de la troisième session du CDIP, comme il ressort du document CDIP/4/5 Rev.</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Projets du Plan d’action pour le développement connexes</w:t>
            </w:r>
          </w:p>
        </w:tc>
        <w:tc>
          <w:tcPr>
            <w:tcW w:w="6751" w:type="dxa"/>
          </w:tcPr>
          <w:p w:rsidR="003E0BB0" w:rsidRPr="00880AA0" w:rsidRDefault="003E0BB0" w:rsidP="00263F34">
            <w:pPr>
              <w:rPr>
                <w:lang w:val="fr-FR"/>
              </w:rPr>
            </w:pPr>
            <w:r w:rsidRPr="00880AA0">
              <w:rPr>
                <w:lang w:val="fr-FR"/>
              </w:rPr>
              <w:t xml:space="preserve">Cette recommandation a été principalement traitée par le </w:t>
            </w:r>
            <w:hyperlink r:id="rId82" w:history="1">
              <w:r w:rsidRPr="00880AA0">
                <w:rPr>
                  <w:rStyle w:val="Hyperlink"/>
                  <w:color w:val="auto"/>
                  <w:lang w:val="fr-FR"/>
                </w:rPr>
                <w:t>Projet relatif à la propriété intellectuelle, aux techniques de l’information et de la communication (TIC), à la fracture numérique et à l’accès au savoir</w:t>
              </w:r>
            </w:hyperlink>
            <w:r w:rsidRPr="00880AA0">
              <w:rPr>
                <w:lang w:val="fr-FR"/>
              </w:rPr>
              <w:t xml:space="preserve"> (CDIP/5/REF_CDIP/4/5 Rev.).</w:t>
            </w:r>
          </w:p>
          <w:p w:rsidR="003E0BB0" w:rsidRPr="00880AA0" w:rsidRDefault="003E0BB0" w:rsidP="00263F34">
            <w:pPr>
              <w:rPr>
                <w:b/>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 xml:space="preserve">Activités/réalisations </w:t>
            </w:r>
          </w:p>
        </w:tc>
        <w:tc>
          <w:tcPr>
            <w:tcW w:w="6751" w:type="dxa"/>
          </w:tcPr>
          <w:p w:rsidR="003E0BB0" w:rsidRPr="00880AA0" w:rsidRDefault="003E0BB0" w:rsidP="00263F34">
            <w:pPr>
              <w:rPr>
                <w:lang w:val="fr-FR"/>
              </w:rPr>
            </w:pPr>
            <w:r w:rsidRPr="00880AA0">
              <w:rPr>
                <w:lang w:val="fr-FR"/>
              </w:rPr>
              <w:t>Le Secrétariat de l’OMPI a pris une part active au Forum 2017 du SMSI.  Le Directeur général de l’OMPI a envoyé un message vidéo au Forum.  Pour sa part, le Secrétariat a organisé une session sur “Les organisations internationales et le libre accès” et a pris part à une session organisée par l’UNESCO sur le “Contexte des mégadonnées et analyses pour les sociétés fondées sur le savoir”.</w:t>
            </w:r>
          </w:p>
          <w:p w:rsidR="003E0BB0" w:rsidRPr="00880AA0" w:rsidRDefault="003E0BB0" w:rsidP="00263F34">
            <w:pPr>
              <w:rPr>
                <w:lang w:val="fr-FR"/>
              </w:rPr>
            </w:pPr>
          </w:p>
          <w:p w:rsidR="003E0BB0" w:rsidRPr="00880AA0" w:rsidRDefault="003E0BB0" w:rsidP="00263F34">
            <w:pPr>
              <w:rPr>
                <w:lang w:val="fr-FR"/>
              </w:rPr>
            </w:pPr>
            <w:r w:rsidRPr="00880AA0">
              <w:rPr>
                <w:lang w:val="fr-FR"/>
              </w:rPr>
              <w:t>Une Conférence internationale à l’intention des PMA sur le droit d’auteur et la gestion de l’information émanant du secteur public, destinée à sensibiliser certains PMA et pays en développement à des questions relatives à l’information émanant du secteur public et au droit d’auteur est actuellement en cours de préparation et se tiendra en 2019.</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Autres rapports/documents connexes</w:t>
            </w:r>
          </w:p>
        </w:tc>
        <w:tc>
          <w:tcPr>
            <w:tcW w:w="6751" w:type="dxa"/>
          </w:tcPr>
          <w:p w:rsidR="003E0BB0" w:rsidRPr="00880AA0" w:rsidRDefault="003E0BB0" w:rsidP="00263F34">
            <w:pPr>
              <w:rPr>
                <w:lang w:val="fr-FR"/>
              </w:rPr>
            </w:pPr>
            <w:r w:rsidRPr="00880AA0">
              <w:rPr>
                <w:lang w:val="fr-FR"/>
              </w:rPr>
              <w:t>Rapports examinés par le CDIP : CDIP/6/2, CDIP/8/2, CDIP/10/5.</w:t>
            </w:r>
          </w:p>
          <w:p w:rsidR="003E0BB0" w:rsidRPr="00880AA0" w:rsidRDefault="003E0BB0" w:rsidP="00263F34">
            <w:pPr>
              <w:rPr>
                <w:lang w:val="fr-FR"/>
              </w:rPr>
            </w:pPr>
          </w:p>
          <w:p w:rsidR="003E0BB0" w:rsidRPr="00880AA0" w:rsidRDefault="003E0BB0" w:rsidP="00263F34">
            <w:pPr>
              <w:rPr>
                <w:lang w:val="fr-FR"/>
              </w:rPr>
            </w:pPr>
            <w:r w:rsidRPr="00880AA0">
              <w:rPr>
                <w:lang w:val="fr-FR"/>
              </w:rPr>
              <w:t>En dehors des activités qui figurent dans la base IP</w:t>
            </w:r>
            <w:r w:rsidRPr="00880AA0">
              <w:rPr>
                <w:lang w:val="fr-FR"/>
              </w:rPr>
              <w:noBreakHyphen/>
              <w:t>TAD, pour obtenir de plus amples informations sur les réalisations liées à cette recommandation, voir le Rapport sur la performance de l’OMPI 2016</w:t>
            </w:r>
            <w:r w:rsidRPr="00880AA0">
              <w:rPr>
                <w:lang w:val="fr-FR"/>
              </w:rPr>
              <w:noBreakHyphen/>
              <w:t>2017 (document WO/PBC/28/7).</w:t>
            </w:r>
          </w:p>
          <w:p w:rsidR="003E0BB0" w:rsidRPr="00880AA0" w:rsidRDefault="003E0BB0" w:rsidP="00263F34">
            <w:pPr>
              <w:rPr>
                <w:lang w:val="fr-FR"/>
              </w:rPr>
            </w:pPr>
          </w:p>
        </w:tc>
      </w:tr>
    </w:tbl>
    <w:p w:rsidR="003E0BB0" w:rsidRPr="00880AA0" w:rsidRDefault="003E0BB0" w:rsidP="003E0BB0">
      <w:pPr>
        <w:rPr>
          <w:lang w:val="fr-FR"/>
        </w:rPr>
      </w:pPr>
      <w:r w:rsidRPr="00880AA0">
        <w:rPr>
          <w:lang w:val="fr-FR"/>
        </w:rPr>
        <w:br w:type="page"/>
      </w:r>
    </w:p>
    <w:tbl>
      <w:tblPr>
        <w:tblStyle w:val="TableGrid"/>
        <w:tblW w:w="0" w:type="auto"/>
        <w:tblLook w:val="04A0" w:firstRow="1" w:lastRow="0" w:firstColumn="1" w:lastColumn="0" w:noHBand="0" w:noVBand="1"/>
      </w:tblPr>
      <w:tblGrid>
        <w:gridCol w:w="2538"/>
        <w:gridCol w:w="6749"/>
      </w:tblGrid>
      <w:tr w:rsidR="003E0BB0" w:rsidRPr="00880AA0" w:rsidTr="00263F34">
        <w:tc>
          <w:tcPr>
            <w:tcW w:w="2538" w:type="dxa"/>
            <w:shd w:val="clear" w:color="auto" w:fill="BFBFBF" w:themeFill="background1" w:themeFillShade="BF"/>
          </w:tcPr>
          <w:p w:rsidR="003E0BB0" w:rsidRPr="00880AA0" w:rsidRDefault="003E0BB0" w:rsidP="00263F34">
            <w:pPr>
              <w:rPr>
                <w:lang w:val="fr-FR"/>
              </w:rPr>
            </w:pPr>
            <w:r w:rsidRPr="00880AA0">
              <w:rPr>
                <w:lang w:val="fr-FR"/>
              </w:rPr>
              <w:t>Recommandation(s)</w:t>
            </w:r>
          </w:p>
        </w:tc>
        <w:tc>
          <w:tcPr>
            <w:tcW w:w="6751" w:type="dxa"/>
            <w:shd w:val="clear" w:color="auto" w:fill="BFBFBF" w:themeFill="background1" w:themeFillShade="BF"/>
          </w:tcPr>
          <w:p w:rsidR="003E0BB0" w:rsidRPr="00880AA0" w:rsidRDefault="003E0BB0" w:rsidP="00263F34">
            <w:pPr>
              <w:tabs>
                <w:tab w:val="center" w:pos="3267"/>
              </w:tabs>
              <w:rPr>
                <w:i/>
                <w:lang w:val="fr-FR"/>
              </w:rPr>
            </w:pPr>
            <w:r w:rsidRPr="00880AA0">
              <w:rPr>
                <w:i/>
                <w:lang w:val="fr-FR"/>
              </w:rPr>
              <w:t>Recommandation n° 25</w:t>
            </w:r>
          </w:p>
          <w:p w:rsidR="003E0BB0" w:rsidRPr="00880AA0" w:rsidRDefault="003E0BB0" w:rsidP="00263F34">
            <w:pPr>
              <w:tabs>
                <w:tab w:val="center" w:pos="3267"/>
              </w:tabs>
              <w:rPr>
                <w:i/>
                <w:lang w:val="fr-FR"/>
              </w:rPr>
            </w:pPr>
          </w:p>
          <w:p w:rsidR="003E0BB0" w:rsidRPr="00880AA0" w:rsidRDefault="003E0BB0" w:rsidP="00263F34">
            <w:pPr>
              <w:tabs>
                <w:tab w:val="center" w:pos="3267"/>
              </w:tabs>
              <w:rPr>
                <w:lang w:val="fr-FR"/>
              </w:rPr>
            </w:pPr>
            <w:r w:rsidRPr="00880AA0">
              <w:rPr>
                <w:lang w:val="fr-FR"/>
              </w:rPr>
              <w:t>Étudier les politiques et initiatives relatives à la propriété intellectuelle nécessaires pour promouvoir le transfert et la diffusion de la technologie au profit des pays en développement, et prendre les mesures appropriées pour permettre à ces pays de comprendre pleinement les différentes dispositions concernant les flexibilités prévues dans les accords internationaux et d’en tirer profit, le cas échéant.</w:t>
            </w:r>
          </w:p>
          <w:p w:rsidR="003E0BB0" w:rsidRPr="00880AA0" w:rsidRDefault="003E0BB0" w:rsidP="00263F34">
            <w:pPr>
              <w:tabs>
                <w:tab w:val="center" w:pos="3267"/>
              </w:tabs>
              <w:rPr>
                <w:lang w:val="fr-FR"/>
              </w:rPr>
            </w:pPr>
            <w:r w:rsidRPr="00880AA0">
              <w:rPr>
                <w:i/>
                <w:lang w:val="fr-FR"/>
              </w:rPr>
              <w:tab/>
            </w:r>
          </w:p>
        </w:tc>
      </w:tr>
      <w:tr w:rsidR="003E0BB0" w:rsidRPr="00880AA0" w:rsidTr="00263F34">
        <w:tc>
          <w:tcPr>
            <w:tcW w:w="2538" w:type="dxa"/>
          </w:tcPr>
          <w:p w:rsidR="003E0BB0" w:rsidRPr="00880AA0" w:rsidRDefault="003E0BB0" w:rsidP="00263F34">
            <w:pPr>
              <w:rPr>
                <w:lang w:val="fr-FR"/>
              </w:rPr>
            </w:pPr>
            <w:r w:rsidRPr="00880AA0">
              <w:rPr>
                <w:lang w:val="fr-FR"/>
              </w:rPr>
              <w:t>Programmes connexes dans le Programme et budget 2018/2019</w:t>
            </w:r>
          </w:p>
          <w:p w:rsidR="003E0BB0" w:rsidRPr="00880AA0" w:rsidRDefault="003E0BB0" w:rsidP="00263F34">
            <w:pPr>
              <w:rPr>
                <w:lang w:val="fr-FR"/>
              </w:rPr>
            </w:pPr>
          </w:p>
        </w:tc>
        <w:tc>
          <w:tcPr>
            <w:tcW w:w="6751" w:type="dxa"/>
          </w:tcPr>
          <w:p w:rsidR="003E0BB0" w:rsidRPr="00880AA0" w:rsidRDefault="003E0BB0" w:rsidP="00263F34">
            <w:pPr>
              <w:rPr>
                <w:lang w:val="fr-FR"/>
              </w:rPr>
            </w:pPr>
            <w:r w:rsidRPr="00880AA0">
              <w:rPr>
                <w:lang w:val="fr-FR"/>
              </w:rPr>
              <w:t>1, 2, 3, 5, 9, 18 et 30</w:t>
            </w:r>
          </w:p>
        </w:tc>
      </w:tr>
      <w:tr w:rsidR="003E0BB0" w:rsidRPr="00880AA0" w:rsidTr="00263F34">
        <w:tc>
          <w:tcPr>
            <w:tcW w:w="2538" w:type="dxa"/>
          </w:tcPr>
          <w:p w:rsidR="003E0BB0" w:rsidRPr="00880AA0" w:rsidRDefault="003E0BB0" w:rsidP="00263F34">
            <w:pPr>
              <w:rPr>
                <w:lang w:val="fr-FR"/>
              </w:rPr>
            </w:pPr>
            <w:r w:rsidRPr="00880AA0">
              <w:rPr>
                <w:lang w:val="fr-FR"/>
              </w:rPr>
              <w:t xml:space="preserve">Mise en œuvre </w:t>
            </w:r>
          </w:p>
        </w:tc>
        <w:tc>
          <w:tcPr>
            <w:tcW w:w="6751" w:type="dxa"/>
          </w:tcPr>
          <w:p w:rsidR="003E0BB0" w:rsidRPr="00880AA0" w:rsidRDefault="003E0BB0" w:rsidP="00263F34">
            <w:pPr>
              <w:rPr>
                <w:lang w:val="fr-FR"/>
              </w:rPr>
            </w:pPr>
            <w:r w:rsidRPr="00880AA0">
              <w:rPr>
                <w:lang w:val="fr-FR"/>
              </w:rPr>
              <w:t>Cette recommandation est mise en œuvre depuis 2010.  Elle a été examinée et traitée au moyen des activités convenues lors de la cinquième session du CDIP, comme il ressort du document CDIP/6/4.</w:t>
            </w:r>
          </w:p>
          <w:p w:rsidR="003E0BB0" w:rsidRPr="00880AA0" w:rsidRDefault="003E0BB0" w:rsidP="00263F34">
            <w:pPr>
              <w:rPr>
                <w:lang w:val="fr-FR"/>
              </w:rPr>
            </w:pPr>
          </w:p>
          <w:p w:rsidR="003E0BB0" w:rsidRPr="00880AA0" w:rsidRDefault="003E0BB0" w:rsidP="00263F34">
            <w:pPr>
              <w:rPr>
                <w:lang w:val="fr-FR"/>
              </w:rPr>
            </w:pPr>
            <w:r w:rsidRPr="00880AA0">
              <w:rPr>
                <w:lang w:val="fr-FR"/>
              </w:rPr>
              <w:t>De nouvelles délibérations ont été menées par le CDIP dans le cadre des documents suivants : CDIP/6/10, CDIP/7/3, CDIP/8/5, CDIP/9/11, CDIP/10/10 et CDIP/10/11.</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Projets du Plan d’action pour le développement connexes</w:t>
            </w:r>
          </w:p>
        </w:tc>
        <w:tc>
          <w:tcPr>
            <w:tcW w:w="6751" w:type="dxa"/>
          </w:tcPr>
          <w:p w:rsidR="003E0BB0" w:rsidRPr="00880AA0" w:rsidRDefault="003E0BB0" w:rsidP="00263F34">
            <w:pPr>
              <w:rPr>
                <w:lang w:val="fr-FR"/>
              </w:rPr>
            </w:pPr>
            <w:r w:rsidRPr="00880AA0">
              <w:rPr>
                <w:lang w:val="fr-FR"/>
              </w:rPr>
              <w:t>Cette recommandation a été principalement traitée par les projets suivants :</w:t>
            </w:r>
          </w:p>
          <w:p w:rsidR="003E0BB0" w:rsidRPr="00880AA0" w:rsidRDefault="003E0BB0" w:rsidP="00263F34">
            <w:pPr>
              <w:rPr>
                <w:lang w:val="fr-FR"/>
              </w:rPr>
            </w:pPr>
          </w:p>
          <w:p w:rsidR="003E0BB0" w:rsidRPr="00880AA0" w:rsidRDefault="003E0BB0" w:rsidP="00263F34">
            <w:pPr>
              <w:rPr>
                <w:lang w:val="fr-FR"/>
              </w:rPr>
            </w:pPr>
            <w:r w:rsidRPr="00880AA0">
              <w:rPr>
                <w:lang w:val="fr-FR"/>
              </w:rPr>
              <w:t>– Propriété intellectuelle et au transfert de technologie : élaborer des solutions face aux défis communs (CDIP/6/4 Rev.).</w:t>
            </w:r>
          </w:p>
          <w:p w:rsidR="003E0BB0" w:rsidRPr="00880AA0" w:rsidRDefault="003E0BB0" w:rsidP="00263F34">
            <w:pPr>
              <w:rPr>
                <w:lang w:val="fr-FR"/>
              </w:rPr>
            </w:pPr>
          </w:p>
          <w:p w:rsidR="003E0BB0" w:rsidRPr="00880AA0" w:rsidRDefault="003E0BB0" w:rsidP="00263F34">
            <w:pPr>
              <w:rPr>
                <w:lang w:val="fr-FR"/>
              </w:rPr>
            </w:pPr>
            <w:r w:rsidRPr="00880AA0">
              <w:rPr>
                <w:lang w:val="fr-FR"/>
              </w:rPr>
              <w:t>– Projet de renforcement de la coopération Sud</w:t>
            </w:r>
            <w:r w:rsidRPr="00880AA0">
              <w:rPr>
                <w:lang w:val="fr-FR"/>
              </w:rPr>
              <w:noBreakHyphen/>
              <w:t>Sud dans le domaine de la propriété intellectuelle au service du développement parmi les pays en développement et les pays les moins avancés (CDIP/7/6).</w:t>
            </w:r>
          </w:p>
          <w:p w:rsidR="003E0BB0" w:rsidRPr="00880AA0" w:rsidRDefault="003E0BB0" w:rsidP="00263F34">
            <w:pPr>
              <w:rPr>
                <w:lang w:val="fr-FR"/>
              </w:rPr>
            </w:pPr>
          </w:p>
          <w:p w:rsidR="003E0BB0" w:rsidRPr="00880AA0" w:rsidRDefault="003E0BB0" w:rsidP="00263F34">
            <w:pPr>
              <w:rPr>
                <w:lang w:val="fr-FR"/>
              </w:rPr>
            </w:pPr>
            <w:r w:rsidRPr="00880AA0">
              <w:rPr>
                <w:lang w:val="fr-FR"/>
              </w:rPr>
              <w:t>Dans le cadre des délibérations sur le Projet relatif à la propriété intellectuelle et au transfert de technologie : élaborer des solutions face aux défis communs, le comité a examiné, à ses quinzième, seizième et dix</w:t>
            </w:r>
            <w:r w:rsidRPr="00880AA0">
              <w:rPr>
                <w:lang w:val="fr-FR"/>
              </w:rPr>
              <w:noBreakHyphen/>
              <w:t>septième sessions, les documents suivants : i) Rapport sur le Forum d’experts de l’OMPI sur le transfert international de technologie (CDIP/15/5);  (ii) Rapport d’évaluation du projet (CDIP/16/3), et (iii) Cartographie des activités relatives au transfert de technologie (CDIP/17/9).</w:t>
            </w:r>
          </w:p>
          <w:p w:rsidR="003E0BB0" w:rsidRPr="00880AA0" w:rsidRDefault="003E0BB0" w:rsidP="00263F34">
            <w:pPr>
              <w:rPr>
                <w:lang w:val="fr-FR"/>
              </w:rPr>
            </w:pPr>
          </w:p>
          <w:p w:rsidR="003E0BB0" w:rsidRPr="00880AA0" w:rsidRDefault="003E0BB0" w:rsidP="00263F34">
            <w:pPr>
              <w:rPr>
                <w:lang w:val="fr-FR"/>
              </w:rPr>
            </w:pPr>
            <w:r w:rsidRPr="00880AA0">
              <w:rPr>
                <w:lang w:val="fr-FR"/>
              </w:rPr>
              <w:t>Au cours des débats sur le document CDIP/17/9, le comité a décidé que les États membres intéressés devraient transmettre pour examen des propositions séparant les questions de politique générale et les propositions spécifiques concernant d’éventuelles mesures à prendre.  Le document CDIP/18/6 Rev. contient des propositions faites par la délégation de l’Afrique du Sud et une proposition conjointe présentée par les délégations de l’Australie, du Canada et des États</w:t>
            </w:r>
            <w:r w:rsidRPr="00880AA0">
              <w:rPr>
                <w:lang w:val="fr-FR"/>
              </w:rPr>
              <w:noBreakHyphen/>
              <w:t>Unis d’Amérique.</w:t>
            </w:r>
          </w:p>
          <w:p w:rsidR="003E0BB0" w:rsidRDefault="003E0BB0" w:rsidP="00263F34">
            <w:pPr>
              <w:rPr>
                <w:lang w:val="fr-FR"/>
              </w:rPr>
            </w:pPr>
          </w:p>
          <w:p w:rsidR="001465D9" w:rsidRPr="00880AA0" w:rsidRDefault="001465D9" w:rsidP="00263F34">
            <w:pPr>
              <w:rPr>
                <w:lang w:val="fr-FR"/>
              </w:rPr>
            </w:pPr>
          </w:p>
          <w:p w:rsidR="003E0BB0" w:rsidRPr="00880AA0" w:rsidRDefault="003E0BB0" w:rsidP="00263F34">
            <w:pPr>
              <w:rPr>
                <w:lang w:val="fr-FR"/>
              </w:rPr>
            </w:pPr>
            <w:r w:rsidRPr="00880AA0">
              <w:rPr>
                <w:lang w:val="fr-FR"/>
              </w:rPr>
              <w:t>À la suite de la proposition conjointe, le comité a examiné les documents suivants :</w:t>
            </w:r>
          </w:p>
          <w:p w:rsidR="003E0BB0" w:rsidRPr="00880AA0" w:rsidRDefault="003E0BB0" w:rsidP="00263F34">
            <w:pPr>
              <w:rPr>
                <w:lang w:val="fr-FR"/>
              </w:rPr>
            </w:pPr>
          </w:p>
          <w:p w:rsidR="003E0BB0" w:rsidRPr="00880AA0" w:rsidRDefault="003E0BB0" w:rsidP="00263F34">
            <w:pPr>
              <w:rPr>
                <w:lang w:val="fr-FR"/>
              </w:rPr>
            </w:pPr>
            <w:r w:rsidRPr="00880AA0">
              <w:rPr>
                <w:lang w:val="fr-FR"/>
              </w:rPr>
              <w:t>– Promotion des activités et ressources de l’OMPI relatives au transfert de technologie (CDIP/20/11)</w:t>
            </w:r>
          </w:p>
          <w:p w:rsidR="003E0BB0" w:rsidRPr="00880AA0" w:rsidRDefault="003E0BB0" w:rsidP="00263F34">
            <w:pPr>
              <w:rPr>
                <w:lang w:val="fr-FR"/>
              </w:rPr>
            </w:pPr>
          </w:p>
          <w:p w:rsidR="003E0BB0" w:rsidRPr="00880AA0" w:rsidRDefault="003E0BB0" w:rsidP="00263F34">
            <w:pPr>
              <w:rPr>
                <w:lang w:val="fr-FR"/>
              </w:rPr>
            </w:pPr>
            <w:r w:rsidRPr="00880AA0">
              <w:rPr>
                <w:lang w:val="fr-FR"/>
              </w:rPr>
              <w:t>– Inventaire des instances et conférences internationales prévoyant des initiatives en matière de transfert de technologie (CDIP/20/12).</w:t>
            </w:r>
          </w:p>
          <w:p w:rsidR="003E0BB0" w:rsidRPr="00880AA0" w:rsidRDefault="003E0BB0" w:rsidP="00263F34">
            <w:pPr>
              <w:rPr>
                <w:lang w:val="fr-FR"/>
              </w:rPr>
            </w:pPr>
          </w:p>
          <w:p w:rsidR="003E0BB0" w:rsidRPr="00880AA0" w:rsidRDefault="003E0BB0" w:rsidP="00263F34">
            <w:pPr>
              <w:rPr>
                <w:lang w:val="fr-FR"/>
              </w:rPr>
            </w:pPr>
            <w:r w:rsidRPr="00880AA0">
              <w:rPr>
                <w:lang w:val="fr-FR"/>
              </w:rPr>
              <w:t>– Feuille de route pour encourager l’utilisation du forum sur le Web mis en place dans le cadre du Projet relatif à la propriété intellectuelle et au transfert de technologie : élaborer des solutions face aux défis communs (CDIP/20/7);</w:t>
            </w:r>
          </w:p>
          <w:p w:rsidR="003E0BB0" w:rsidRPr="00880AA0" w:rsidRDefault="003E0BB0" w:rsidP="00263F34">
            <w:pPr>
              <w:rPr>
                <w:lang w:val="fr-FR"/>
              </w:rPr>
            </w:pPr>
          </w:p>
          <w:p w:rsidR="003E0BB0" w:rsidRPr="00880AA0" w:rsidRDefault="003E0BB0" w:rsidP="00263F34">
            <w:pPr>
              <w:rPr>
                <w:lang w:val="fr-FR"/>
              </w:rPr>
            </w:pPr>
            <w:r w:rsidRPr="00880AA0">
              <w:rPr>
                <w:lang w:val="fr-FR"/>
              </w:rPr>
              <w:t>– Compilation des plateformes d’échange de technologies et de concession de licences de technologie (CDIP/20/10 Rev.)</w:t>
            </w:r>
          </w:p>
          <w:p w:rsidR="003E0BB0" w:rsidRPr="00880AA0" w:rsidRDefault="003E0BB0" w:rsidP="00263F34">
            <w:pPr>
              <w:rPr>
                <w:lang w:val="fr-FR"/>
              </w:rPr>
            </w:pPr>
          </w:p>
          <w:p w:rsidR="003E0BB0" w:rsidRPr="00880AA0" w:rsidRDefault="003E0BB0" w:rsidP="00263F34">
            <w:pPr>
              <w:rPr>
                <w:lang w:val="fr-FR"/>
              </w:rPr>
            </w:pPr>
            <w:r w:rsidRPr="00880AA0">
              <w:rPr>
                <w:lang w:val="fr-FR"/>
              </w:rPr>
              <w:t>Le Projet proposé par l’Afrique du Sud sur la gestion de la propriété intellectuelle et le transfert de technologie : promouvoir l’utilisation efficace de la propriété intellectuelle dans les pays en développement, les pays les moins avancés et les pays en transition a été approuvé à la vingtième session du CDIP (CDIP/19/11 Rev.).</w:t>
            </w:r>
          </w:p>
          <w:p w:rsidR="003E0BB0" w:rsidRPr="00880AA0" w:rsidRDefault="003E0BB0" w:rsidP="00263F34">
            <w:pPr>
              <w:rPr>
                <w:lang w:val="fr-FR"/>
              </w:rPr>
            </w:pPr>
          </w:p>
          <w:p w:rsidR="003E0BB0" w:rsidRPr="00880AA0" w:rsidRDefault="003E0BB0" w:rsidP="00263F34">
            <w:pPr>
              <w:rPr>
                <w:lang w:val="fr-FR"/>
              </w:rPr>
            </w:pPr>
            <w:r w:rsidRPr="00880AA0">
              <w:rPr>
                <w:lang w:val="fr-FR"/>
              </w:rPr>
              <w:t>À la suite du projet de renforcement de la coopération Sud</w:t>
            </w:r>
            <w:r w:rsidRPr="00880AA0">
              <w:rPr>
                <w:lang w:val="fr-FR"/>
              </w:rPr>
              <w:noBreakHyphen/>
              <w:t>Sud dans le domaine de la propriété intellectuelle au service du développement parmi les pays en développement et les pays les moins avancés, un état des lieux des activités de coopération Sud</w:t>
            </w:r>
            <w:r w:rsidRPr="00880AA0">
              <w:rPr>
                <w:lang w:val="fr-FR"/>
              </w:rPr>
              <w:noBreakHyphen/>
              <w:t>Sud au sein de l’Organisation Mondiale de la Propriété Intellectuelle (document CDIP/17/4) a d’abord été présenté à la dix</w:t>
            </w:r>
            <w:r w:rsidRPr="00880AA0">
              <w:rPr>
                <w:lang w:val="fr-FR"/>
              </w:rPr>
              <w:noBreakHyphen/>
              <w:t>septième session du CDIP.  Un deuxième document de ce type a été présenté au CDIP à sa dix</w:t>
            </w:r>
            <w:r w:rsidRPr="00880AA0">
              <w:rPr>
                <w:lang w:val="fr-FR"/>
              </w:rPr>
              <w:noBreakHyphen/>
              <w:t>neuvième session (document CDIP/19/5), qui tenait compte des observations formulées par les États membres et portait sur les activités de coopération Sud</w:t>
            </w:r>
            <w:r w:rsidRPr="00880AA0">
              <w:rPr>
                <w:lang w:val="fr-FR"/>
              </w:rPr>
              <w:noBreakHyphen/>
              <w:t>Sud menées de 2014 à 2016.</w:t>
            </w:r>
          </w:p>
          <w:p w:rsidR="003E0BB0" w:rsidRPr="00880AA0" w:rsidRDefault="003E0BB0" w:rsidP="00263F34">
            <w:pPr>
              <w:rPr>
                <w:b/>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 xml:space="preserve">Activités/réalisations </w:t>
            </w:r>
          </w:p>
        </w:tc>
        <w:tc>
          <w:tcPr>
            <w:tcW w:w="6751" w:type="dxa"/>
          </w:tcPr>
          <w:p w:rsidR="003E0BB0" w:rsidRPr="00880AA0" w:rsidRDefault="003E0BB0" w:rsidP="00263F34">
            <w:pPr>
              <w:rPr>
                <w:lang w:val="fr-FR"/>
              </w:rPr>
            </w:pPr>
            <w:r w:rsidRPr="00880AA0">
              <w:rPr>
                <w:lang w:val="fr-FR"/>
              </w:rPr>
              <w:t xml:space="preserve">Le sujet du transfert de technologie a été examiné par le CDIP depuis sa création.  </w:t>
            </w:r>
            <w:r w:rsidRPr="00880AA0">
              <w:rPr>
                <w:bCs/>
                <w:lang w:val="fr-FR"/>
              </w:rPr>
              <w:t>Au cours de la période couverte par le rapport, des débats sur cette question ont eu lieu sur la base de la proposition conjointe présentée par les délégations de l’Australie, du Canada et des États</w:t>
            </w:r>
            <w:r w:rsidRPr="00880AA0">
              <w:rPr>
                <w:bCs/>
                <w:lang w:val="fr-FR"/>
              </w:rPr>
              <w:noBreakHyphen/>
              <w:t>Unis d’Amérique et le comité a par conséquent examiné les documents suivants :</w:t>
            </w:r>
          </w:p>
          <w:p w:rsidR="003E0BB0" w:rsidRPr="00880AA0" w:rsidRDefault="003E0BB0" w:rsidP="00263F34">
            <w:pPr>
              <w:rPr>
                <w:lang w:val="fr-FR"/>
              </w:rPr>
            </w:pPr>
          </w:p>
          <w:p w:rsidR="003E0BB0" w:rsidRPr="00880AA0" w:rsidRDefault="003E0BB0" w:rsidP="00263F34">
            <w:pPr>
              <w:rPr>
                <w:lang w:val="fr-FR"/>
              </w:rPr>
            </w:pPr>
            <w:r w:rsidRPr="00880AA0">
              <w:rPr>
                <w:lang w:val="fr-FR"/>
              </w:rPr>
              <w:t>– Analyse des lacunes dans les services et activités de l’OMPI en matière de transfert de technologie au regard des recommandations du groupe C du Plan d’action pour le développement (CDIP/21/5);  et</w:t>
            </w:r>
          </w:p>
          <w:p w:rsidR="003E0BB0" w:rsidRPr="00880AA0" w:rsidRDefault="003E0BB0" w:rsidP="00263F34">
            <w:pPr>
              <w:rPr>
                <w:lang w:val="fr-FR"/>
              </w:rPr>
            </w:pPr>
          </w:p>
          <w:p w:rsidR="003E0BB0" w:rsidRPr="00880AA0" w:rsidRDefault="003E0BB0" w:rsidP="00263F34">
            <w:pPr>
              <w:rPr>
                <w:lang w:val="fr-FR"/>
              </w:rPr>
            </w:pPr>
            <w:r w:rsidRPr="00880AA0">
              <w:rPr>
                <w:lang w:val="fr-FR"/>
              </w:rPr>
              <w:t>– Estimation des coûts liés à la mise en œuvre de la feuille de route pour encourager l’utilisation du forum sur le Web mis en place dans le cadre du “Projet relatif à la propriété intellectuelle et au transfert de technologie : élaborer des solutions face aux défis communs” (CDIP/21/6).</w:t>
            </w:r>
          </w:p>
          <w:p w:rsidR="003E0BB0" w:rsidRPr="00880AA0" w:rsidRDefault="003E0BB0" w:rsidP="00263F34">
            <w:pPr>
              <w:rPr>
                <w:lang w:val="fr-FR"/>
              </w:rPr>
            </w:pPr>
          </w:p>
          <w:p w:rsidR="003E0BB0" w:rsidRPr="00880AA0" w:rsidRDefault="003E0BB0" w:rsidP="00263F34">
            <w:pPr>
              <w:rPr>
                <w:lang w:val="fr-FR"/>
              </w:rPr>
            </w:pPr>
            <w:r w:rsidRPr="00880AA0">
              <w:rPr>
                <w:lang w:val="fr-FR"/>
              </w:rPr>
              <w:t>La session en cours du comité poursuivra l’examen de cette question.</w:t>
            </w:r>
          </w:p>
          <w:p w:rsidR="003E0BB0" w:rsidRPr="00880AA0" w:rsidRDefault="003E0BB0" w:rsidP="00263F34">
            <w:pPr>
              <w:rPr>
                <w:lang w:val="fr-FR"/>
              </w:rPr>
            </w:pPr>
          </w:p>
          <w:p w:rsidR="003E0BB0" w:rsidRPr="00880AA0" w:rsidRDefault="003E0BB0" w:rsidP="00263F34">
            <w:pPr>
              <w:rPr>
                <w:lang w:val="fr-FR"/>
              </w:rPr>
            </w:pPr>
            <w:r w:rsidRPr="00880AA0">
              <w:rPr>
                <w:lang w:val="fr-FR"/>
              </w:rPr>
              <w:t>Pour de plus amples renseignements concernant les activités menées dans le cadre du projet sur la gestion de la propriété intellectuelle et le transfert de technologie : promouvoir l’utilisation efficace de la propriété intellectuelle dans les pays en développement, les pays les moins avancés et les pays en transition, voir l’Annexe I du présent document.</w:t>
            </w:r>
          </w:p>
        </w:tc>
      </w:tr>
      <w:tr w:rsidR="003E0BB0" w:rsidRPr="00880AA0" w:rsidTr="00263F34">
        <w:tc>
          <w:tcPr>
            <w:tcW w:w="2538" w:type="dxa"/>
          </w:tcPr>
          <w:p w:rsidR="003E0BB0" w:rsidRPr="00880AA0" w:rsidRDefault="003E0BB0" w:rsidP="00263F34">
            <w:pPr>
              <w:rPr>
                <w:lang w:val="fr-FR"/>
              </w:rPr>
            </w:pPr>
            <w:r w:rsidRPr="00880AA0">
              <w:rPr>
                <w:lang w:val="fr-FR"/>
              </w:rPr>
              <w:t>Autres rapports/documents connexes</w:t>
            </w:r>
          </w:p>
        </w:tc>
        <w:tc>
          <w:tcPr>
            <w:tcW w:w="6751" w:type="dxa"/>
          </w:tcPr>
          <w:p w:rsidR="003E0BB0" w:rsidRPr="00880AA0" w:rsidRDefault="003E0BB0" w:rsidP="00263F34">
            <w:pPr>
              <w:rPr>
                <w:lang w:val="fr-FR"/>
              </w:rPr>
            </w:pPr>
            <w:r w:rsidRPr="00880AA0">
              <w:rPr>
                <w:lang w:val="fr-FR"/>
              </w:rPr>
              <w:t>Rapports examinés par le CDIP : CDIP/8/2, CDIP/10/2, CDIP/12/2, CDIP/13/4, CDIP/14/2, CDIP/15/5, CDIP/16/2, CDIP/16/3, CDIP/17/4, CDIP/17/9, CDIP/19/5, CDIP/20/7, CDIP/20/10 Rev., CDIP/20/11, CDIP/20/12, CDIP/21/5, CDIP/21/6.</w:t>
            </w:r>
          </w:p>
          <w:p w:rsidR="003E0BB0" w:rsidRPr="00880AA0" w:rsidRDefault="003E0BB0" w:rsidP="00263F34">
            <w:pPr>
              <w:rPr>
                <w:lang w:val="fr-FR"/>
              </w:rPr>
            </w:pPr>
          </w:p>
          <w:p w:rsidR="003E0BB0" w:rsidRPr="00880AA0" w:rsidRDefault="003E0BB0" w:rsidP="00263F34">
            <w:pPr>
              <w:rPr>
                <w:lang w:val="fr-FR"/>
              </w:rPr>
            </w:pPr>
            <w:r w:rsidRPr="00880AA0">
              <w:rPr>
                <w:lang w:val="fr-FR"/>
              </w:rPr>
              <w:t>En dehors des activités qui figurent dans la base IP</w:t>
            </w:r>
            <w:r w:rsidRPr="00880AA0">
              <w:rPr>
                <w:lang w:val="fr-FR"/>
              </w:rPr>
              <w:noBreakHyphen/>
              <w:t>TAD, pour obtenir de plus amples informations sur les réalisations liées à cette recommandation, voir le Rapport sur la performance de l’OMPI 2016</w:t>
            </w:r>
            <w:r w:rsidRPr="00880AA0">
              <w:rPr>
                <w:lang w:val="fr-FR"/>
              </w:rPr>
              <w:noBreakHyphen/>
              <w:t>2017 (document WO/PBC/28/7).</w:t>
            </w:r>
          </w:p>
          <w:p w:rsidR="003E0BB0" w:rsidRPr="00880AA0" w:rsidRDefault="003E0BB0" w:rsidP="00263F34">
            <w:pPr>
              <w:rPr>
                <w:lang w:val="fr-FR"/>
              </w:rPr>
            </w:pPr>
          </w:p>
        </w:tc>
      </w:tr>
    </w:tbl>
    <w:p w:rsidR="003E0BB0" w:rsidRPr="00880AA0" w:rsidRDefault="003E0BB0" w:rsidP="003E0BB0">
      <w:pPr>
        <w:rPr>
          <w:lang w:val="fr-FR"/>
        </w:rPr>
      </w:pPr>
      <w:r w:rsidRPr="00880AA0">
        <w:rPr>
          <w:lang w:val="fr-FR"/>
        </w:rPr>
        <w:br w:type="page"/>
      </w:r>
    </w:p>
    <w:tbl>
      <w:tblPr>
        <w:tblStyle w:val="TableGrid"/>
        <w:tblW w:w="0" w:type="auto"/>
        <w:tblLook w:val="04A0" w:firstRow="1" w:lastRow="0" w:firstColumn="1" w:lastColumn="0" w:noHBand="0" w:noVBand="1"/>
      </w:tblPr>
      <w:tblGrid>
        <w:gridCol w:w="2521"/>
        <w:gridCol w:w="6766"/>
      </w:tblGrid>
      <w:tr w:rsidR="003E0BB0" w:rsidRPr="00880AA0" w:rsidTr="00263F34">
        <w:tc>
          <w:tcPr>
            <w:tcW w:w="2521" w:type="dxa"/>
            <w:shd w:val="clear" w:color="auto" w:fill="BFBFBF" w:themeFill="background1" w:themeFillShade="BF"/>
          </w:tcPr>
          <w:p w:rsidR="003E0BB0" w:rsidRPr="00880AA0" w:rsidRDefault="003E0BB0" w:rsidP="00263F34">
            <w:pPr>
              <w:rPr>
                <w:lang w:val="fr-FR"/>
              </w:rPr>
            </w:pPr>
            <w:r w:rsidRPr="00880AA0">
              <w:rPr>
                <w:lang w:val="fr-FR"/>
              </w:rPr>
              <w:t>Recommandation(s)</w:t>
            </w:r>
          </w:p>
        </w:tc>
        <w:tc>
          <w:tcPr>
            <w:tcW w:w="6768" w:type="dxa"/>
            <w:shd w:val="clear" w:color="auto" w:fill="BFBFBF" w:themeFill="background1" w:themeFillShade="BF"/>
          </w:tcPr>
          <w:p w:rsidR="003E0BB0" w:rsidRPr="00880AA0" w:rsidRDefault="003E0BB0" w:rsidP="00263F34">
            <w:pPr>
              <w:rPr>
                <w:i/>
                <w:lang w:val="fr-FR"/>
              </w:rPr>
            </w:pPr>
            <w:r w:rsidRPr="00880AA0">
              <w:rPr>
                <w:i/>
                <w:lang w:val="fr-FR"/>
              </w:rPr>
              <w:t>Recommandation n° 26</w:t>
            </w:r>
          </w:p>
          <w:p w:rsidR="003E0BB0" w:rsidRPr="00880AA0" w:rsidRDefault="003E0BB0" w:rsidP="00263F34">
            <w:pPr>
              <w:rPr>
                <w:i/>
                <w:lang w:val="fr-FR"/>
              </w:rPr>
            </w:pPr>
          </w:p>
          <w:p w:rsidR="003E0BB0" w:rsidRPr="00880AA0" w:rsidRDefault="003E0BB0" w:rsidP="00263F34">
            <w:pPr>
              <w:rPr>
                <w:lang w:val="fr-FR"/>
              </w:rPr>
            </w:pPr>
            <w:r w:rsidRPr="00880AA0">
              <w:rPr>
                <w:lang w:val="fr-FR"/>
              </w:rPr>
              <w:t>Encourager les États membres, en particulier les pays industrialisés, à inciter leurs institutions travaillant dans la recherche et le domaine scientifique à renforcer leur coopération et leurs échanges avec les institutions de recherche</w:t>
            </w:r>
            <w:r w:rsidRPr="00880AA0">
              <w:rPr>
                <w:lang w:val="fr-FR"/>
              </w:rPr>
              <w:noBreakHyphen/>
              <w:t>développement des pays en développement, en particulier des PMA.</w:t>
            </w:r>
          </w:p>
          <w:p w:rsidR="003E0BB0" w:rsidRPr="00880AA0" w:rsidRDefault="003E0BB0" w:rsidP="00263F34">
            <w:pPr>
              <w:rPr>
                <w:lang w:val="fr-FR"/>
              </w:rPr>
            </w:pPr>
          </w:p>
        </w:tc>
      </w:tr>
      <w:tr w:rsidR="003E0BB0" w:rsidRPr="00880AA0" w:rsidTr="00263F34">
        <w:tc>
          <w:tcPr>
            <w:tcW w:w="2521" w:type="dxa"/>
          </w:tcPr>
          <w:p w:rsidR="003E0BB0" w:rsidRPr="00880AA0" w:rsidRDefault="003E0BB0" w:rsidP="00263F34">
            <w:pPr>
              <w:rPr>
                <w:lang w:val="fr-FR"/>
              </w:rPr>
            </w:pPr>
            <w:r w:rsidRPr="00880AA0">
              <w:rPr>
                <w:lang w:val="fr-FR"/>
              </w:rPr>
              <w:t>Programmes connexes dans le Programme et budget 2018/2019</w:t>
            </w:r>
          </w:p>
          <w:p w:rsidR="003E0BB0" w:rsidRPr="00880AA0" w:rsidRDefault="003E0BB0" w:rsidP="00263F34">
            <w:pPr>
              <w:rPr>
                <w:lang w:val="fr-FR"/>
              </w:rPr>
            </w:pPr>
          </w:p>
        </w:tc>
        <w:tc>
          <w:tcPr>
            <w:tcW w:w="6768" w:type="dxa"/>
          </w:tcPr>
          <w:p w:rsidR="003E0BB0" w:rsidRPr="00880AA0" w:rsidRDefault="003E0BB0" w:rsidP="00263F34">
            <w:pPr>
              <w:rPr>
                <w:lang w:val="fr-FR"/>
              </w:rPr>
            </w:pPr>
            <w:r w:rsidRPr="00880AA0">
              <w:rPr>
                <w:lang w:val="fr-FR"/>
              </w:rPr>
              <w:t>9, 11, 14 et 30</w:t>
            </w:r>
          </w:p>
        </w:tc>
      </w:tr>
      <w:tr w:rsidR="003E0BB0" w:rsidRPr="00880AA0" w:rsidTr="00263F34">
        <w:tc>
          <w:tcPr>
            <w:tcW w:w="2521" w:type="dxa"/>
          </w:tcPr>
          <w:p w:rsidR="003E0BB0" w:rsidRPr="00880AA0" w:rsidRDefault="003E0BB0" w:rsidP="00263F34">
            <w:pPr>
              <w:rPr>
                <w:lang w:val="fr-FR"/>
              </w:rPr>
            </w:pPr>
            <w:r w:rsidRPr="00880AA0">
              <w:rPr>
                <w:lang w:val="fr-FR"/>
              </w:rPr>
              <w:t xml:space="preserve">Mise en œuvre </w:t>
            </w:r>
          </w:p>
        </w:tc>
        <w:tc>
          <w:tcPr>
            <w:tcW w:w="6768" w:type="dxa"/>
          </w:tcPr>
          <w:p w:rsidR="003E0BB0" w:rsidRPr="00880AA0" w:rsidRDefault="003E0BB0" w:rsidP="00263F34">
            <w:pPr>
              <w:rPr>
                <w:lang w:val="fr-FR"/>
              </w:rPr>
            </w:pPr>
            <w:r w:rsidRPr="00880AA0">
              <w:rPr>
                <w:lang w:val="fr-FR"/>
              </w:rPr>
              <w:t>Cette recommandation a été mise en œuvre depuis 2010.  Elle a été examinée et traitée au moyen des activités convenues lors de la cinquième session du CDIP, comme il ressort du document CDIP/6/4.</w:t>
            </w:r>
          </w:p>
          <w:p w:rsidR="003E0BB0" w:rsidRPr="00880AA0" w:rsidRDefault="003E0BB0" w:rsidP="00263F34">
            <w:pPr>
              <w:rPr>
                <w:lang w:val="fr-FR"/>
              </w:rPr>
            </w:pPr>
          </w:p>
        </w:tc>
      </w:tr>
      <w:tr w:rsidR="003E0BB0" w:rsidRPr="00880AA0" w:rsidTr="00263F34">
        <w:tc>
          <w:tcPr>
            <w:tcW w:w="2521" w:type="dxa"/>
          </w:tcPr>
          <w:p w:rsidR="003E0BB0" w:rsidRPr="00880AA0" w:rsidRDefault="003E0BB0" w:rsidP="00263F34">
            <w:pPr>
              <w:rPr>
                <w:lang w:val="fr-FR"/>
              </w:rPr>
            </w:pPr>
            <w:r w:rsidRPr="00880AA0">
              <w:rPr>
                <w:lang w:val="fr-FR"/>
              </w:rPr>
              <w:t>Projets du Plan d’action pour le développement connexes</w:t>
            </w:r>
          </w:p>
        </w:tc>
        <w:tc>
          <w:tcPr>
            <w:tcW w:w="6768" w:type="dxa"/>
          </w:tcPr>
          <w:p w:rsidR="003E0BB0" w:rsidRPr="00880AA0" w:rsidRDefault="003E0BB0" w:rsidP="00263F34">
            <w:pPr>
              <w:rPr>
                <w:lang w:val="fr-FR"/>
              </w:rPr>
            </w:pPr>
            <w:r w:rsidRPr="00880AA0">
              <w:rPr>
                <w:lang w:val="fr-FR"/>
              </w:rPr>
              <w:t xml:space="preserve">Cette recommandation a été principalement traitée par le </w:t>
            </w:r>
            <w:hyperlink r:id="rId83" w:history="1">
              <w:r w:rsidRPr="00880AA0">
                <w:rPr>
                  <w:rStyle w:val="Hyperlink"/>
                  <w:color w:val="auto"/>
                  <w:lang w:val="fr-FR"/>
                </w:rPr>
                <w:t>projet relatif à la propriété intellectuelle et au transfert de technologie : élaborer des solutions face aux défis communs</w:t>
              </w:r>
            </w:hyperlink>
            <w:r w:rsidRPr="00880AA0">
              <w:rPr>
                <w:lang w:val="fr-FR"/>
              </w:rPr>
              <w:t xml:space="preserve"> (CDIP/6/4 Rev.).</w:t>
            </w:r>
          </w:p>
          <w:p w:rsidR="003E0BB0" w:rsidRPr="00880AA0" w:rsidRDefault="003E0BB0" w:rsidP="00263F34">
            <w:pPr>
              <w:rPr>
                <w:b/>
                <w:lang w:val="fr-FR"/>
              </w:rPr>
            </w:pPr>
          </w:p>
        </w:tc>
      </w:tr>
      <w:tr w:rsidR="003E0BB0" w:rsidRPr="00880AA0" w:rsidTr="00263F34">
        <w:tc>
          <w:tcPr>
            <w:tcW w:w="2521" w:type="dxa"/>
          </w:tcPr>
          <w:p w:rsidR="003E0BB0" w:rsidRPr="00880AA0" w:rsidRDefault="003E0BB0" w:rsidP="00263F34">
            <w:pPr>
              <w:rPr>
                <w:lang w:val="fr-FR"/>
              </w:rPr>
            </w:pPr>
            <w:r w:rsidRPr="00880AA0">
              <w:rPr>
                <w:lang w:val="fr-FR"/>
              </w:rPr>
              <w:t xml:space="preserve">Activités/réalisations </w:t>
            </w:r>
          </w:p>
        </w:tc>
        <w:tc>
          <w:tcPr>
            <w:tcW w:w="6768" w:type="dxa"/>
          </w:tcPr>
          <w:p w:rsidR="003E0BB0" w:rsidRPr="00880AA0" w:rsidRDefault="003E0BB0" w:rsidP="00263F34">
            <w:pPr>
              <w:keepNext/>
              <w:keepLines/>
              <w:suppressAutoHyphens/>
              <w:rPr>
                <w:lang w:val="fr-FR"/>
              </w:rPr>
            </w:pPr>
            <w:r w:rsidRPr="00880AA0">
              <w:rPr>
                <w:lang w:val="fr-FR"/>
              </w:rPr>
              <w:t>Création du Modèle de politique de propriété intellectuelle de l’OMPI à l’intention des établissements universitaires et des instituts de recherche et des lignes directrices pour l’adaptation de ce modèle, comprenant i) des éléments relatifs à la commercialisation équitable sur le plan social des résultats des travaux de recherche universitaire, comme l’utilisation à but non lucratif ou le don ou l’accès libre de redevance pour des motifs humanitaires ou autres;  et ii) le partage de bonnes pratiques et d’expériences sur les questions liées au transfert de technologie.</w:t>
            </w:r>
          </w:p>
          <w:p w:rsidR="003E0BB0" w:rsidRPr="00880AA0" w:rsidRDefault="003E0BB0" w:rsidP="00263F34">
            <w:pPr>
              <w:rPr>
                <w:lang w:val="fr-FR"/>
              </w:rPr>
            </w:pPr>
          </w:p>
          <w:p w:rsidR="003E0BB0" w:rsidRPr="00880AA0" w:rsidRDefault="003E0BB0" w:rsidP="00263F34">
            <w:pPr>
              <w:rPr>
                <w:lang w:val="fr-FR"/>
              </w:rPr>
            </w:pPr>
            <w:r w:rsidRPr="00880AA0">
              <w:rPr>
                <w:lang w:val="fr-FR"/>
              </w:rPr>
              <w:t xml:space="preserve">Création d’une </w:t>
            </w:r>
            <w:hyperlink r:id="rId84" w:history="1">
              <w:r w:rsidRPr="001465D9">
                <w:rPr>
                  <w:rStyle w:val="Hyperlink"/>
                  <w:color w:val="0000FF"/>
                  <w:lang w:val="fr-FR"/>
                </w:rPr>
                <w:t>base de données</w:t>
              </w:r>
            </w:hyperlink>
            <w:r w:rsidRPr="00880AA0">
              <w:rPr>
                <w:lang w:val="fr-FR"/>
              </w:rPr>
              <w:t xml:space="preserve"> contenant des liens vers les politiques en matière de propriété intellectuelle d’établissements universitaires et d’instituts de recherche du monde entier, dont certains comprennent des lignes directrices ou des documents de référence sur la coopération Nord</w:t>
            </w:r>
            <w:r w:rsidRPr="00880AA0">
              <w:rPr>
                <w:lang w:val="fr-FR"/>
              </w:rPr>
              <w:noBreakHyphen/>
              <w:t>Sud ou la commercialisation responsable et le transfert de connaissances.</w:t>
            </w:r>
          </w:p>
          <w:p w:rsidR="003E0BB0" w:rsidRPr="00880AA0" w:rsidRDefault="003E0BB0" w:rsidP="00263F34">
            <w:pPr>
              <w:rPr>
                <w:lang w:val="fr-FR"/>
              </w:rPr>
            </w:pPr>
          </w:p>
          <w:p w:rsidR="003E0BB0" w:rsidRPr="00880AA0" w:rsidRDefault="003E0BB0" w:rsidP="00263F34">
            <w:pPr>
              <w:rPr>
                <w:lang w:val="fr-FR"/>
              </w:rPr>
            </w:pPr>
            <w:r w:rsidRPr="00880AA0">
              <w:rPr>
                <w:lang w:val="fr-FR"/>
              </w:rPr>
              <w:t>Recommandations présentées pour examen par des décideurs afin de renforcer la coopération et les échanges avec les institutions de recherche</w:t>
            </w:r>
            <w:r w:rsidRPr="00880AA0">
              <w:rPr>
                <w:lang w:val="fr-FR"/>
              </w:rPr>
              <w:noBreakHyphen/>
              <w:t>développement des pays en développement, notamment au cours d’ateliers et de séminaires de renforcement des capacités.</w:t>
            </w:r>
          </w:p>
          <w:p w:rsidR="003E0BB0" w:rsidRPr="00880AA0" w:rsidRDefault="003E0BB0" w:rsidP="00263F34">
            <w:pPr>
              <w:rPr>
                <w:lang w:val="fr-FR"/>
              </w:rPr>
            </w:pPr>
          </w:p>
          <w:p w:rsidR="003E0BB0" w:rsidRPr="00880AA0" w:rsidRDefault="003E0BB0" w:rsidP="00263F34">
            <w:pPr>
              <w:rPr>
                <w:lang w:val="fr-FR"/>
              </w:rPr>
            </w:pPr>
            <w:r w:rsidRPr="00880AA0">
              <w:rPr>
                <w:lang w:val="fr-FR"/>
              </w:rPr>
              <w:t>Délibérations initiées lors de la réunion d’experts sur les politiques en matière de propriété intellectuelle à l’intention des universités (30 mai 2017, Genève), notamment sur la manière d’optimiser le Modèle de politique de propriété intellectuelle de l’OMPI pour renforcer la coopération et les échanges avec les institutions de recherche</w:t>
            </w:r>
            <w:r w:rsidRPr="00880AA0">
              <w:rPr>
                <w:lang w:val="fr-FR"/>
              </w:rPr>
              <w:noBreakHyphen/>
              <w:t>développement dans les pays en développement.</w:t>
            </w:r>
          </w:p>
          <w:p w:rsidR="003E0BB0" w:rsidRPr="00880AA0" w:rsidRDefault="003E0BB0" w:rsidP="00263F34">
            <w:pPr>
              <w:rPr>
                <w:lang w:val="fr-FR"/>
              </w:rPr>
            </w:pPr>
          </w:p>
          <w:p w:rsidR="003E0BB0" w:rsidRPr="00880AA0" w:rsidRDefault="003E0BB0" w:rsidP="00263F34">
            <w:pPr>
              <w:rPr>
                <w:lang w:val="fr-FR"/>
              </w:rPr>
            </w:pPr>
            <w:r w:rsidRPr="00880AA0">
              <w:rPr>
                <w:lang w:val="fr-FR"/>
              </w:rPr>
              <w:t xml:space="preserve">Publication, sur la page du site Web de l’OMPI consacrée aux politiques en matière de propriété intellectuelle pour les universités, d’une étude de cas sur la </w:t>
            </w:r>
            <w:hyperlink r:id="rId85" w:history="1">
              <w:r w:rsidRPr="001465D9">
                <w:rPr>
                  <w:rStyle w:val="Hyperlink"/>
                  <w:color w:val="0000FF"/>
                  <w:lang w:val="fr-FR"/>
                </w:rPr>
                <w:t>gestion de la propriété intellectuelle et la commercialisation des résultats de travaux de recherche financés par le secteur public en Afrique du Sud</w:t>
              </w:r>
            </w:hyperlink>
            <w:r w:rsidRPr="00880AA0">
              <w:rPr>
                <w:lang w:val="fr-FR"/>
              </w:rPr>
              <w:t>, qui permet de mieux comprendre de quelle manière des cadres politiques peuvent être conçus pour faciliter la commercialisation des travaux de recherche</w:t>
            </w:r>
            <w:r w:rsidRPr="00880AA0">
              <w:rPr>
                <w:lang w:val="fr-FR"/>
              </w:rPr>
              <w:noBreakHyphen/>
              <w:t>développement financés par le secteur public.</w:t>
            </w:r>
          </w:p>
          <w:p w:rsidR="003E0BB0" w:rsidRPr="00880AA0" w:rsidRDefault="003E0BB0" w:rsidP="00263F34">
            <w:pPr>
              <w:rPr>
                <w:lang w:val="fr-FR"/>
              </w:rPr>
            </w:pPr>
          </w:p>
          <w:p w:rsidR="003E0BB0" w:rsidRPr="00880AA0" w:rsidRDefault="003E0BB0" w:rsidP="00263F34">
            <w:pPr>
              <w:autoSpaceDE w:val="0"/>
              <w:autoSpaceDN w:val="0"/>
              <w:adjustRightInd w:val="0"/>
              <w:rPr>
                <w:lang w:val="fr-FR"/>
              </w:rPr>
            </w:pPr>
            <w:r w:rsidRPr="00880AA0">
              <w:rPr>
                <w:lang w:val="fr-FR"/>
              </w:rPr>
              <w:t>L’OMPI a présenté au Groupe de travail du commerce et du transfert de technologie de l’OMC le rôle de la propriété intellectuelle pour mettre la recherche publique au service de l’innovation et de la connaissance, mais aussi du transfert de technologie, en encourageant la collaboration et le transfert de connaissances parmi les instituts de recherche qui sont d’importantes sources de propriété intellectuelle dans les pays en développement.</w:t>
            </w:r>
          </w:p>
          <w:p w:rsidR="003E0BB0" w:rsidRPr="00880AA0" w:rsidRDefault="003E0BB0" w:rsidP="00263F34">
            <w:pPr>
              <w:autoSpaceDE w:val="0"/>
              <w:autoSpaceDN w:val="0"/>
              <w:adjustRightInd w:val="0"/>
              <w:rPr>
                <w:lang w:val="fr-FR"/>
              </w:rPr>
            </w:pPr>
          </w:p>
        </w:tc>
      </w:tr>
      <w:tr w:rsidR="003E0BB0" w:rsidRPr="00880AA0" w:rsidTr="00263F34">
        <w:tc>
          <w:tcPr>
            <w:tcW w:w="2521" w:type="dxa"/>
          </w:tcPr>
          <w:p w:rsidR="003E0BB0" w:rsidRPr="00880AA0" w:rsidRDefault="003E0BB0" w:rsidP="00263F34">
            <w:pPr>
              <w:rPr>
                <w:lang w:val="fr-FR"/>
              </w:rPr>
            </w:pPr>
            <w:r w:rsidRPr="00880AA0">
              <w:rPr>
                <w:lang w:val="fr-FR"/>
              </w:rPr>
              <w:t>Autres rapports/documents connexes</w:t>
            </w:r>
          </w:p>
        </w:tc>
        <w:tc>
          <w:tcPr>
            <w:tcW w:w="6768" w:type="dxa"/>
          </w:tcPr>
          <w:p w:rsidR="003E0BB0" w:rsidRPr="00880AA0" w:rsidRDefault="003E0BB0" w:rsidP="00263F34">
            <w:pPr>
              <w:tabs>
                <w:tab w:val="left" w:pos="3927"/>
              </w:tabs>
              <w:rPr>
                <w:lang w:val="fr-FR"/>
              </w:rPr>
            </w:pPr>
            <w:r w:rsidRPr="00880AA0">
              <w:rPr>
                <w:lang w:val="fr-FR"/>
              </w:rPr>
              <w:t>Rapports examinés par le CDIP : CDIP/8/2, CDIP/10/2, CDIP/12/2, CDIP/14/2, CDIP/16/2, CDIP/16/3.</w:t>
            </w:r>
          </w:p>
          <w:p w:rsidR="003E0BB0" w:rsidRPr="00880AA0" w:rsidRDefault="003E0BB0" w:rsidP="00263F34">
            <w:pPr>
              <w:rPr>
                <w:lang w:val="fr-FR"/>
              </w:rPr>
            </w:pPr>
          </w:p>
          <w:p w:rsidR="003E0BB0" w:rsidRPr="00880AA0" w:rsidRDefault="003E0BB0" w:rsidP="00263F34">
            <w:pPr>
              <w:rPr>
                <w:lang w:val="fr-FR"/>
              </w:rPr>
            </w:pPr>
            <w:r w:rsidRPr="00880AA0">
              <w:rPr>
                <w:lang w:val="fr-FR"/>
              </w:rPr>
              <w:t>En dehors des activités qui figurent dans la base IP</w:t>
            </w:r>
            <w:r w:rsidRPr="00880AA0">
              <w:rPr>
                <w:lang w:val="fr-FR"/>
              </w:rPr>
              <w:noBreakHyphen/>
              <w:t>TAD, pour obtenir de plus amples informations sur les réalisations liées à cette recommandation, voir le Rapport sur la performance de l’OMPI 2016</w:t>
            </w:r>
            <w:r w:rsidRPr="00880AA0">
              <w:rPr>
                <w:lang w:val="fr-FR"/>
              </w:rPr>
              <w:noBreakHyphen/>
              <w:t>2017 (document WO/PBC/28/7).</w:t>
            </w:r>
          </w:p>
          <w:p w:rsidR="003E0BB0" w:rsidRPr="00880AA0" w:rsidRDefault="003E0BB0" w:rsidP="00263F34">
            <w:pPr>
              <w:rPr>
                <w:lang w:val="fr-FR"/>
              </w:rPr>
            </w:pPr>
          </w:p>
        </w:tc>
      </w:tr>
    </w:tbl>
    <w:p w:rsidR="003E0BB0" w:rsidRPr="00880AA0" w:rsidRDefault="003E0BB0" w:rsidP="003E0BB0">
      <w:pPr>
        <w:rPr>
          <w:lang w:val="fr-FR"/>
        </w:rPr>
      </w:pPr>
      <w:r w:rsidRPr="00880AA0">
        <w:rPr>
          <w:lang w:val="fr-FR"/>
        </w:rPr>
        <w:br w:type="page"/>
      </w:r>
    </w:p>
    <w:tbl>
      <w:tblPr>
        <w:tblStyle w:val="TableGrid"/>
        <w:tblW w:w="9289" w:type="dxa"/>
        <w:tblLayout w:type="fixed"/>
        <w:tblLook w:val="04A0" w:firstRow="1" w:lastRow="0" w:firstColumn="1" w:lastColumn="0" w:noHBand="0" w:noVBand="1"/>
      </w:tblPr>
      <w:tblGrid>
        <w:gridCol w:w="2520"/>
        <w:gridCol w:w="6769"/>
      </w:tblGrid>
      <w:tr w:rsidR="003E0BB0" w:rsidRPr="00880AA0" w:rsidTr="001465D9">
        <w:tc>
          <w:tcPr>
            <w:tcW w:w="2518" w:type="dxa"/>
            <w:shd w:val="clear" w:color="auto" w:fill="BFBFBF" w:themeFill="background1" w:themeFillShade="BF"/>
          </w:tcPr>
          <w:p w:rsidR="003E0BB0" w:rsidRPr="00880AA0" w:rsidRDefault="003E0BB0" w:rsidP="00263F34">
            <w:pPr>
              <w:rPr>
                <w:lang w:val="fr-FR"/>
              </w:rPr>
            </w:pPr>
            <w:r w:rsidRPr="00880AA0">
              <w:rPr>
                <w:lang w:val="fr-FR"/>
              </w:rPr>
              <w:t>Recommandation(s)</w:t>
            </w:r>
          </w:p>
        </w:tc>
        <w:tc>
          <w:tcPr>
            <w:tcW w:w="6771" w:type="dxa"/>
            <w:shd w:val="clear" w:color="auto" w:fill="BFBFBF" w:themeFill="background1" w:themeFillShade="BF"/>
          </w:tcPr>
          <w:p w:rsidR="003E0BB0" w:rsidRPr="00880AA0" w:rsidRDefault="003E0BB0" w:rsidP="00263F34">
            <w:pPr>
              <w:rPr>
                <w:i/>
                <w:lang w:val="fr-FR"/>
              </w:rPr>
            </w:pPr>
            <w:r w:rsidRPr="00880AA0">
              <w:rPr>
                <w:i/>
                <w:lang w:val="fr-FR"/>
              </w:rPr>
              <w:t>Recommandation n° 27</w:t>
            </w:r>
          </w:p>
          <w:p w:rsidR="003E0BB0" w:rsidRPr="00880AA0" w:rsidRDefault="003E0BB0" w:rsidP="00263F34">
            <w:pPr>
              <w:rPr>
                <w:lang w:val="fr-FR"/>
              </w:rPr>
            </w:pPr>
          </w:p>
          <w:p w:rsidR="003E0BB0" w:rsidRPr="00880AA0" w:rsidRDefault="003E0BB0" w:rsidP="00263F34">
            <w:pPr>
              <w:rPr>
                <w:lang w:val="fr-FR"/>
              </w:rPr>
            </w:pPr>
            <w:r w:rsidRPr="00880AA0">
              <w:rPr>
                <w:lang w:val="fr-FR"/>
              </w:rPr>
              <w:t>Promouvoir les aspects des TIC liés à la propriété intellectuelle en faveur de la croissance et du développement : permettre, dans le cadre d’un organe compétent de l’OMPI, des discussions axées sur l’importance des aspects des TIC liés à la propriété intellectuelle et de leur rôle dans le développement économique et culturel, une attention particulière devant être accordée à la nécessité d’aider les États membres à déterminer des stratégies de propriété intellectuelle concrètes en ce qui concerne l’utilisation des TIC au service du développement économique, social et culturel.</w:t>
            </w:r>
          </w:p>
          <w:p w:rsidR="003E0BB0" w:rsidRPr="00880AA0" w:rsidRDefault="003E0BB0" w:rsidP="00263F34">
            <w:pPr>
              <w:rPr>
                <w:lang w:val="fr-FR"/>
              </w:rPr>
            </w:pPr>
          </w:p>
        </w:tc>
      </w:tr>
      <w:tr w:rsidR="003E0BB0" w:rsidRPr="00880AA0" w:rsidTr="001465D9">
        <w:tc>
          <w:tcPr>
            <w:tcW w:w="2518" w:type="dxa"/>
          </w:tcPr>
          <w:p w:rsidR="003E0BB0" w:rsidRPr="00880AA0" w:rsidRDefault="003E0BB0" w:rsidP="00263F34">
            <w:pPr>
              <w:rPr>
                <w:lang w:val="fr-FR"/>
              </w:rPr>
            </w:pPr>
            <w:r w:rsidRPr="00880AA0">
              <w:rPr>
                <w:lang w:val="fr-FR"/>
              </w:rPr>
              <w:t>Programmes connexes dans le Programme et budget 2018/2019</w:t>
            </w:r>
          </w:p>
          <w:p w:rsidR="003E0BB0" w:rsidRPr="00880AA0" w:rsidRDefault="003E0BB0" w:rsidP="00263F34">
            <w:pPr>
              <w:rPr>
                <w:lang w:val="fr-FR"/>
              </w:rPr>
            </w:pPr>
          </w:p>
        </w:tc>
        <w:tc>
          <w:tcPr>
            <w:tcW w:w="6771" w:type="dxa"/>
          </w:tcPr>
          <w:p w:rsidR="003E0BB0" w:rsidRPr="00880AA0" w:rsidRDefault="003E0BB0" w:rsidP="00263F34">
            <w:pPr>
              <w:rPr>
                <w:lang w:val="fr-FR"/>
              </w:rPr>
            </w:pPr>
            <w:r w:rsidRPr="00880AA0">
              <w:rPr>
                <w:lang w:val="fr-FR"/>
              </w:rPr>
              <w:t>Sans objet</w:t>
            </w:r>
          </w:p>
        </w:tc>
      </w:tr>
      <w:tr w:rsidR="003E0BB0" w:rsidRPr="00880AA0" w:rsidTr="001465D9">
        <w:tc>
          <w:tcPr>
            <w:tcW w:w="2518" w:type="dxa"/>
          </w:tcPr>
          <w:p w:rsidR="003E0BB0" w:rsidRPr="00880AA0" w:rsidRDefault="003E0BB0" w:rsidP="00263F34">
            <w:pPr>
              <w:rPr>
                <w:lang w:val="fr-FR"/>
              </w:rPr>
            </w:pPr>
            <w:r w:rsidRPr="00880AA0">
              <w:rPr>
                <w:lang w:val="fr-FR"/>
              </w:rPr>
              <w:t xml:space="preserve">Mise en œuvre </w:t>
            </w:r>
          </w:p>
        </w:tc>
        <w:tc>
          <w:tcPr>
            <w:tcW w:w="6771" w:type="dxa"/>
          </w:tcPr>
          <w:p w:rsidR="003E0BB0" w:rsidRPr="00880AA0" w:rsidRDefault="003E0BB0" w:rsidP="00263F34">
            <w:pPr>
              <w:rPr>
                <w:lang w:val="fr-FR"/>
              </w:rPr>
            </w:pPr>
            <w:r w:rsidRPr="00880AA0">
              <w:rPr>
                <w:lang w:val="fr-FR"/>
              </w:rPr>
              <w:t>Cette recommandation a été mise en œuvre depuis janvier 2010.  Les activités convenues pour sa mise en œuvre sont fondées sur le descriptif du projet CDIP/4/5 Rev.  Par ailleurs, à la dix</w:t>
            </w:r>
            <w:r w:rsidRPr="00880AA0">
              <w:rPr>
                <w:lang w:val="fr-FR"/>
              </w:rPr>
              <w:noBreakHyphen/>
              <w:t>neuvième session du CDIP, le comité a approuvé la voie à suivre proposée dans le rapport sur l’état d’avancement des “nouvelles activités menées par l’OMPI dans le domaine de l’utilisation du droit d’auteur pour promouvoir l’accès à l’information et aux contenus créatifs” (document CDIP/19/8).</w:t>
            </w:r>
          </w:p>
          <w:p w:rsidR="003E0BB0" w:rsidRPr="00880AA0" w:rsidRDefault="003E0BB0" w:rsidP="00263F34">
            <w:pPr>
              <w:rPr>
                <w:lang w:val="fr-FR"/>
              </w:rPr>
            </w:pPr>
          </w:p>
        </w:tc>
      </w:tr>
      <w:tr w:rsidR="003E0BB0" w:rsidRPr="00880AA0" w:rsidTr="001465D9">
        <w:tc>
          <w:tcPr>
            <w:tcW w:w="2518" w:type="dxa"/>
          </w:tcPr>
          <w:p w:rsidR="003E0BB0" w:rsidRPr="00880AA0" w:rsidRDefault="003E0BB0" w:rsidP="00263F34">
            <w:pPr>
              <w:rPr>
                <w:lang w:val="fr-FR"/>
              </w:rPr>
            </w:pPr>
            <w:r w:rsidRPr="00880AA0">
              <w:rPr>
                <w:lang w:val="fr-FR"/>
              </w:rPr>
              <w:t>Projets du Plan d’action pour le développement connexes</w:t>
            </w:r>
          </w:p>
        </w:tc>
        <w:tc>
          <w:tcPr>
            <w:tcW w:w="6771" w:type="dxa"/>
          </w:tcPr>
          <w:p w:rsidR="003E0BB0" w:rsidRPr="00880AA0" w:rsidRDefault="003E0BB0" w:rsidP="00263F34">
            <w:pPr>
              <w:rPr>
                <w:b/>
                <w:lang w:val="fr-FR"/>
              </w:rPr>
            </w:pPr>
            <w:r w:rsidRPr="00880AA0">
              <w:rPr>
                <w:lang w:val="fr-FR"/>
              </w:rPr>
              <w:t xml:space="preserve">La recommandation a été principalement traitée par le </w:t>
            </w:r>
            <w:hyperlink r:id="rId86" w:history="1">
              <w:r w:rsidRPr="00880AA0">
                <w:rPr>
                  <w:rStyle w:val="Hyperlink"/>
                  <w:color w:val="auto"/>
                  <w:lang w:val="fr-FR"/>
                </w:rPr>
                <w:t>projet relatif à la propriété intellectuelle, aux techniques de l’information et de la communication (TIC), à la fracture numérique et à l’accès au savoir</w:t>
              </w:r>
            </w:hyperlink>
            <w:r w:rsidRPr="00880AA0">
              <w:rPr>
                <w:lang w:val="fr-FR"/>
              </w:rPr>
              <w:t xml:space="preserve"> (CDIP/5/REF_CDIP/4/5 Rev.).</w:t>
            </w:r>
          </w:p>
          <w:p w:rsidR="003E0BB0" w:rsidRPr="00880AA0" w:rsidRDefault="003E0BB0" w:rsidP="00263F34">
            <w:pPr>
              <w:rPr>
                <w:b/>
                <w:lang w:val="fr-FR"/>
              </w:rPr>
            </w:pPr>
          </w:p>
        </w:tc>
      </w:tr>
      <w:tr w:rsidR="003E0BB0" w:rsidRPr="00880AA0" w:rsidTr="001465D9">
        <w:tc>
          <w:tcPr>
            <w:tcW w:w="2518" w:type="dxa"/>
          </w:tcPr>
          <w:p w:rsidR="003E0BB0" w:rsidRPr="00880AA0" w:rsidRDefault="003E0BB0" w:rsidP="00263F34">
            <w:pPr>
              <w:rPr>
                <w:lang w:val="fr-FR"/>
              </w:rPr>
            </w:pPr>
            <w:r w:rsidRPr="00880AA0">
              <w:rPr>
                <w:lang w:val="fr-FR"/>
              </w:rPr>
              <w:t xml:space="preserve">Activités/réalisations </w:t>
            </w:r>
          </w:p>
        </w:tc>
        <w:tc>
          <w:tcPr>
            <w:tcW w:w="6771" w:type="dxa"/>
          </w:tcPr>
          <w:p w:rsidR="003E0BB0" w:rsidRPr="00880AA0" w:rsidRDefault="003E0BB0" w:rsidP="00263F34">
            <w:pPr>
              <w:rPr>
                <w:szCs w:val="22"/>
                <w:lang w:val="fr-FR"/>
              </w:rPr>
            </w:pPr>
            <w:r w:rsidRPr="00880AA0">
              <w:rPr>
                <w:szCs w:val="22"/>
                <w:lang w:val="fr-FR"/>
              </w:rPr>
              <w:t xml:space="preserve">L’OMPI fournit des systèmes pour l’administration des droits de propriété intellectuelle, la numérisation des données et documents de propriété intellectuelle, la gestion électronique des documents, et l’échange d’informations en matière de propriété intellectuelle aux niveaux régional et international, ainsi que des systèmes opérationnels connexes.  Des informations plus détaillées sur ces services sont disponibles à l’adresse suivante : </w:t>
            </w:r>
            <w:hyperlink r:id="rId87" w:history="1">
              <w:r w:rsidRPr="001465D9">
                <w:rPr>
                  <w:rStyle w:val="Hyperlink"/>
                  <w:color w:val="0000FF"/>
                  <w:spacing w:val="-4"/>
                  <w:szCs w:val="22"/>
                  <w:lang w:val="fr-FR"/>
                </w:rPr>
                <w:t>http://www.wipo.int/global_ip/fr/activities/ip_office_business_solutions/</w:t>
              </w:r>
            </w:hyperlink>
          </w:p>
          <w:p w:rsidR="003E0BB0" w:rsidRPr="00880AA0" w:rsidRDefault="003E0BB0" w:rsidP="00263F34">
            <w:pPr>
              <w:rPr>
                <w:szCs w:val="22"/>
                <w:lang w:val="fr-FR"/>
              </w:rPr>
            </w:pPr>
          </w:p>
          <w:p w:rsidR="003E0BB0" w:rsidRPr="00880AA0" w:rsidRDefault="003E0BB0" w:rsidP="00263F34">
            <w:pPr>
              <w:rPr>
                <w:szCs w:val="22"/>
                <w:lang w:val="fr-FR"/>
              </w:rPr>
            </w:pPr>
            <w:r w:rsidRPr="00880AA0">
              <w:rPr>
                <w:szCs w:val="22"/>
                <w:lang w:val="fr-FR"/>
              </w:rPr>
              <w:t>Plus de 83 offices de propriété intellectuelle de toutes les régions utilisent à l’heure actuelle un ou plusieurs systèmes de l’OMPI destinés aux offices de propriété intellectuelle (IPAS, EDMS, WIPO Publish, module de Madrid, WIPO Scan) et le nombre de demandes d’assistance dans ce domaine continue d’augmenter.</w:t>
            </w:r>
          </w:p>
          <w:p w:rsidR="003E0BB0" w:rsidRPr="00880AA0" w:rsidRDefault="003E0BB0" w:rsidP="00263F34">
            <w:pPr>
              <w:rPr>
                <w:szCs w:val="22"/>
                <w:lang w:val="fr-FR"/>
              </w:rPr>
            </w:pPr>
          </w:p>
          <w:p w:rsidR="003E0BB0" w:rsidRPr="00880AA0" w:rsidRDefault="003E0BB0" w:rsidP="00263F34">
            <w:pPr>
              <w:rPr>
                <w:szCs w:val="22"/>
                <w:lang w:val="fr-FR"/>
              </w:rPr>
            </w:pPr>
            <w:r w:rsidRPr="00880AA0">
              <w:rPr>
                <w:szCs w:val="22"/>
                <w:lang w:val="fr-FR"/>
              </w:rPr>
              <w:t>De juillet 2017 à juin 2018, l’assistance et les déploiements à distance et sur site se sont poursuivis dans le cadre des activités principales de l’OMPI.</w:t>
            </w:r>
          </w:p>
          <w:p w:rsidR="003E0BB0" w:rsidRPr="00880AA0" w:rsidRDefault="003E0BB0" w:rsidP="00263F34">
            <w:pPr>
              <w:rPr>
                <w:szCs w:val="22"/>
                <w:lang w:val="fr-FR"/>
              </w:rPr>
            </w:pPr>
          </w:p>
          <w:p w:rsidR="003E0BB0" w:rsidRPr="00880AA0" w:rsidRDefault="003E0BB0" w:rsidP="00263F34">
            <w:pPr>
              <w:rPr>
                <w:noProof/>
                <w:lang w:val="fr-FR" w:eastAsia="ko-KR"/>
              </w:rPr>
            </w:pPr>
            <w:r w:rsidRPr="00880AA0">
              <w:rPr>
                <w:noProof/>
                <w:lang w:val="fr-FR" w:eastAsia="ko-KR"/>
              </w:rPr>
              <w:t>L’amélioration des capacités des offices utilisant les solutions de l’OMPI à l’intention des offices de propriété intellectuelle a été traitée au moyen de l’organisation de plusieurs ateliers dans les régions, consacrés au renforcement de l’autonomie du personnel des offices de propriété intellectuelle.  Ces ateliers de formation font partie de la stratégie de l’OMPI visant à renforcer les capacités locales et le transfert de connaissances.</w:t>
            </w:r>
          </w:p>
          <w:p w:rsidR="003E0BB0" w:rsidRPr="00880AA0" w:rsidRDefault="003E0BB0" w:rsidP="00263F34">
            <w:pPr>
              <w:rPr>
                <w:noProof/>
                <w:lang w:val="fr-FR" w:eastAsia="ko-KR"/>
              </w:rPr>
            </w:pPr>
          </w:p>
          <w:p w:rsidR="003E0BB0" w:rsidRPr="00880AA0" w:rsidRDefault="003E0BB0" w:rsidP="00263F34">
            <w:pPr>
              <w:pStyle w:val="ListParagraph"/>
              <w:ind w:left="0"/>
              <w:rPr>
                <w:lang w:val="fr-FR"/>
              </w:rPr>
            </w:pPr>
            <w:r w:rsidRPr="00880AA0">
              <w:rPr>
                <w:lang w:val="fr-FR"/>
              </w:rPr>
              <w:t>Des initiatives pratiques sont nécessaires pour réaliser les objectifs définis dans le Traité de Marrakech et le Consortium pour des livres accessibles (ABC) est une initiative mondiale visant à mettre en œuvre le traité au niveau opérationnel.</w:t>
            </w:r>
          </w:p>
          <w:p w:rsidR="003E0BB0" w:rsidRPr="00880AA0" w:rsidRDefault="003E0BB0" w:rsidP="00263F34">
            <w:pPr>
              <w:rPr>
                <w:i/>
                <w:lang w:val="fr-FR"/>
              </w:rPr>
            </w:pPr>
            <w:r w:rsidRPr="00880AA0">
              <w:rPr>
                <w:i/>
                <w:lang w:val="fr-FR"/>
              </w:rPr>
              <w:br w:type="page"/>
            </w:r>
          </w:p>
          <w:p w:rsidR="003E0BB0" w:rsidRPr="00880AA0" w:rsidRDefault="003E0BB0" w:rsidP="00263F34">
            <w:pPr>
              <w:rPr>
                <w:szCs w:val="22"/>
                <w:lang w:val="fr-FR"/>
              </w:rPr>
            </w:pPr>
            <w:r w:rsidRPr="00880AA0">
              <w:rPr>
                <w:szCs w:val="22"/>
                <w:lang w:val="fr-FR"/>
              </w:rPr>
              <w:t>L’ABC est un partenariat public</w:t>
            </w:r>
            <w:r w:rsidRPr="00880AA0">
              <w:rPr>
                <w:szCs w:val="22"/>
                <w:lang w:val="fr-FR"/>
              </w:rPr>
              <w:noBreakHyphen/>
              <w:t>privé lancé le 30 juin 2014 devant les États membres du Comité permanent du droit d’auteur et des droits connexes de l’OMPI.  Dirigé par l’OMPI, ce partenariat regroupe les organisations faîtières suivantes :</w:t>
            </w:r>
          </w:p>
          <w:p w:rsidR="003E0BB0" w:rsidRPr="00880AA0" w:rsidRDefault="003E0BB0" w:rsidP="00263F34">
            <w:pPr>
              <w:rPr>
                <w:lang w:val="fr-FR"/>
              </w:rPr>
            </w:pPr>
          </w:p>
          <w:p w:rsidR="003E0BB0" w:rsidRPr="00880AA0" w:rsidRDefault="003E0BB0" w:rsidP="00263F34">
            <w:pPr>
              <w:pStyle w:val="ListParagraph"/>
              <w:numPr>
                <w:ilvl w:val="0"/>
                <w:numId w:val="31"/>
              </w:numPr>
              <w:rPr>
                <w:lang w:val="fr-FR"/>
              </w:rPr>
            </w:pPr>
            <w:r w:rsidRPr="00880AA0">
              <w:rPr>
                <w:lang w:val="fr-FR"/>
              </w:rPr>
              <w:t>le DAISY Consortium;</w:t>
            </w:r>
          </w:p>
          <w:p w:rsidR="003E0BB0" w:rsidRPr="00880AA0" w:rsidRDefault="003E0BB0" w:rsidP="00263F34">
            <w:pPr>
              <w:pStyle w:val="ListParagraph"/>
              <w:numPr>
                <w:ilvl w:val="0"/>
                <w:numId w:val="31"/>
              </w:numPr>
              <w:rPr>
                <w:lang w:val="fr-FR"/>
              </w:rPr>
            </w:pPr>
            <w:r w:rsidRPr="00880AA0">
              <w:rPr>
                <w:lang w:val="fr-FR"/>
              </w:rPr>
              <w:t>l’International Authors Forum;</w:t>
            </w:r>
          </w:p>
          <w:p w:rsidR="003E0BB0" w:rsidRPr="00880AA0" w:rsidRDefault="003E0BB0" w:rsidP="00263F34">
            <w:pPr>
              <w:pStyle w:val="ListParagraph"/>
              <w:numPr>
                <w:ilvl w:val="0"/>
                <w:numId w:val="31"/>
              </w:numPr>
              <w:rPr>
                <w:lang w:val="fr-FR"/>
              </w:rPr>
            </w:pPr>
            <w:r w:rsidRPr="00880AA0">
              <w:rPr>
                <w:lang w:val="fr-FR"/>
              </w:rPr>
              <w:t>le Conseil international pour l’éducation des handicapés de la vue;</w:t>
            </w:r>
          </w:p>
          <w:p w:rsidR="003E0BB0" w:rsidRPr="00880AA0" w:rsidRDefault="003E0BB0" w:rsidP="00263F34">
            <w:pPr>
              <w:pStyle w:val="ListParagraph"/>
              <w:numPr>
                <w:ilvl w:val="0"/>
                <w:numId w:val="31"/>
              </w:numPr>
              <w:rPr>
                <w:lang w:val="fr-FR"/>
              </w:rPr>
            </w:pPr>
            <w:r w:rsidRPr="00880AA0">
              <w:rPr>
                <w:lang w:val="fr-FR"/>
              </w:rPr>
              <w:t>la Fédération internationale des associations de bibliothécaires et des bibliothèques;</w:t>
            </w:r>
          </w:p>
          <w:p w:rsidR="003E0BB0" w:rsidRPr="00880AA0" w:rsidRDefault="003E0BB0" w:rsidP="00263F34">
            <w:pPr>
              <w:pStyle w:val="ListParagraph"/>
              <w:numPr>
                <w:ilvl w:val="0"/>
                <w:numId w:val="31"/>
              </w:numPr>
              <w:rPr>
                <w:lang w:val="fr-FR"/>
              </w:rPr>
            </w:pPr>
            <w:r w:rsidRPr="00880AA0">
              <w:rPr>
                <w:lang w:val="fr-FR"/>
              </w:rPr>
              <w:t>la Fédération internationale des organismes gérant les droits de reproduction;</w:t>
            </w:r>
          </w:p>
          <w:p w:rsidR="003E0BB0" w:rsidRPr="00880AA0" w:rsidRDefault="003E0BB0" w:rsidP="00263F34">
            <w:pPr>
              <w:pStyle w:val="ListParagraph"/>
              <w:numPr>
                <w:ilvl w:val="0"/>
                <w:numId w:val="31"/>
              </w:numPr>
              <w:rPr>
                <w:lang w:val="fr-FR"/>
              </w:rPr>
            </w:pPr>
            <w:r w:rsidRPr="00880AA0">
              <w:rPr>
                <w:lang w:val="fr-FR"/>
              </w:rPr>
              <w:t>l’Union internationale des éditeurs;</w:t>
            </w:r>
          </w:p>
          <w:p w:rsidR="003E0BB0" w:rsidRPr="00880AA0" w:rsidRDefault="003E0BB0" w:rsidP="00263F34">
            <w:pPr>
              <w:pStyle w:val="ListParagraph"/>
              <w:numPr>
                <w:ilvl w:val="0"/>
                <w:numId w:val="31"/>
              </w:numPr>
              <w:rPr>
                <w:lang w:val="fr-FR"/>
              </w:rPr>
            </w:pPr>
            <w:r w:rsidRPr="00880AA0">
              <w:rPr>
                <w:lang w:val="fr-FR"/>
              </w:rPr>
              <w:t>Sightsavers;  et</w:t>
            </w:r>
          </w:p>
          <w:p w:rsidR="003E0BB0" w:rsidRPr="00880AA0" w:rsidRDefault="003E0BB0" w:rsidP="00263F34">
            <w:pPr>
              <w:pStyle w:val="ListParagraph"/>
              <w:numPr>
                <w:ilvl w:val="0"/>
                <w:numId w:val="31"/>
              </w:numPr>
              <w:rPr>
                <w:lang w:val="fr-FR"/>
              </w:rPr>
            </w:pPr>
            <w:r w:rsidRPr="00880AA0">
              <w:rPr>
                <w:lang w:val="fr-FR"/>
              </w:rPr>
              <w:t>l’Union mondiale des aveugles.</w:t>
            </w:r>
          </w:p>
          <w:p w:rsidR="003E0BB0" w:rsidRPr="00880AA0" w:rsidRDefault="003E0BB0" w:rsidP="00263F34">
            <w:pPr>
              <w:pStyle w:val="ListParagraph"/>
              <w:spacing w:before="240" w:after="240"/>
              <w:ind w:left="0"/>
              <w:contextualSpacing w:val="0"/>
              <w:rPr>
                <w:szCs w:val="22"/>
                <w:lang w:val="fr-FR"/>
              </w:rPr>
            </w:pPr>
            <w:r w:rsidRPr="00880AA0">
              <w:rPr>
                <w:szCs w:val="22"/>
                <w:lang w:val="fr-FR"/>
              </w:rPr>
              <w:t>En 2017/2018, l’ABC s’est associé à des organisations au service des personnes ayant des difficultés de lecture des textes imprimés dans les 12 pays suivants, afin de fournir des formations et une assistance technique sur les dernières techniques de production de livres accessibles : Argentine, Bangladesh, Botswana, Burkina Faso, Inde, Indonésie, Mexique, Mongolie, Népal, Sri Lanka, Uruguay et Viet Nam.  À travers ces projets, l’ABC aura financé la production de quelque 2000 titres accessibles, soit autant de supports pédagogiques dans les langues nationales, de mai 2017 à mai 2018.</w:t>
            </w:r>
          </w:p>
          <w:p w:rsidR="003E0BB0" w:rsidRPr="00880AA0" w:rsidRDefault="003E0BB0" w:rsidP="00263F34">
            <w:pPr>
              <w:pStyle w:val="ListParagraph"/>
              <w:spacing w:before="240" w:after="240"/>
              <w:ind w:left="0"/>
              <w:contextualSpacing w:val="0"/>
              <w:rPr>
                <w:lang w:val="fr-FR"/>
              </w:rPr>
            </w:pPr>
            <w:r w:rsidRPr="00880AA0">
              <w:rPr>
                <w:lang w:val="fr-FR"/>
              </w:rPr>
              <w:t>De plus, la Conférence internationale à l’intention des PMA sur le droit d’auteur et la gestion de l’information émanant du secteur public, destinée à sensibiliser certains PMA et pays en développement à des questions relatives à l’information émanant du secteur public et au droit d’auteur, est actuellement en préparation et se tiendra en 2019.</w:t>
            </w:r>
          </w:p>
        </w:tc>
      </w:tr>
      <w:tr w:rsidR="003E0BB0" w:rsidRPr="00880AA0" w:rsidTr="001465D9">
        <w:tc>
          <w:tcPr>
            <w:tcW w:w="2518" w:type="dxa"/>
          </w:tcPr>
          <w:p w:rsidR="003E0BB0" w:rsidRPr="00880AA0" w:rsidRDefault="003E0BB0" w:rsidP="00263F34">
            <w:pPr>
              <w:rPr>
                <w:lang w:val="fr-FR"/>
              </w:rPr>
            </w:pPr>
            <w:r w:rsidRPr="00880AA0">
              <w:rPr>
                <w:lang w:val="fr-FR"/>
              </w:rPr>
              <w:t>Autres rapports/documents connexes</w:t>
            </w:r>
          </w:p>
        </w:tc>
        <w:tc>
          <w:tcPr>
            <w:tcW w:w="6771" w:type="dxa"/>
          </w:tcPr>
          <w:p w:rsidR="003E0BB0" w:rsidRPr="00880AA0" w:rsidRDefault="003E0BB0" w:rsidP="00263F34">
            <w:pPr>
              <w:rPr>
                <w:lang w:val="fr-FR"/>
              </w:rPr>
            </w:pPr>
            <w:r w:rsidRPr="00880AA0">
              <w:rPr>
                <w:lang w:val="fr-FR"/>
              </w:rPr>
              <w:t>Rapports examinés par le CDIP : CDIP/6/2, CDIP/8/2, CDIP/10/5, CDIP/16/2, CDIP/19/8.</w:t>
            </w:r>
          </w:p>
          <w:p w:rsidR="003E0BB0" w:rsidRPr="00880AA0" w:rsidRDefault="003E0BB0" w:rsidP="00263F34">
            <w:pPr>
              <w:rPr>
                <w:lang w:val="fr-FR"/>
              </w:rPr>
            </w:pPr>
          </w:p>
          <w:p w:rsidR="003E0BB0" w:rsidRDefault="003E0BB0" w:rsidP="00263F34">
            <w:pPr>
              <w:rPr>
                <w:lang w:val="fr-FR"/>
              </w:rPr>
            </w:pPr>
            <w:r w:rsidRPr="00880AA0">
              <w:rPr>
                <w:lang w:val="fr-FR"/>
              </w:rPr>
              <w:t>En dehors des activités qui figurent dans la base IP</w:t>
            </w:r>
            <w:r w:rsidRPr="00880AA0">
              <w:rPr>
                <w:lang w:val="fr-FR"/>
              </w:rPr>
              <w:noBreakHyphen/>
              <w:t>TAD, pour obtenir de plus amples informations sur les réalisations liées à cette recommandation, voir le Rapport sur la performance de l’OMPI 2016</w:t>
            </w:r>
            <w:r w:rsidRPr="00880AA0">
              <w:rPr>
                <w:lang w:val="fr-FR"/>
              </w:rPr>
              <w:noBreakHyphen/>
              <w:t>2017 (document WO/PBC/28/7).</w:t>
            </w:r>
          </w:p>
          <w:p w:rsidR="001465D9" w:rsidRPr="00880AA0" w:rsidRDefault="001465D9" w:rsidP="00263F34">
            <w:pPr>
              <w:rPr>
                <w:lang w:val="fr-FR"/>
              </w:rPr>
            </w:pPr>
          </w:p>
        </w:tc>
      </w:tr>
      <w:tr w:rsidR="003E0BB0" w:rsidRPr="00880AA0" w:rsidTr="001465D9">
        <w:tc>
          <w:tcPr>
            <w:tcW w:w="2521" w:type="dxa"/>
            <w:shd w:val="clear" w:color="auto" w:fill="BFBFBF" w:themeFill="background1" w:themeFillShade="BF"/>
          </w:tcPr>
          <w:p w:rsidR="003E0BB0" w:rsidRPr="00880AA0" w:rsidRDefault="003E0BB0" w:rsidP="00263F34">
            <w:pPr>
              <w:rPr>
                <w:lang w:val="fr-FR"/>
              </w:rPr>
            </w:pPr>
            <w:r w:rsidRPr="00880AA0">
              <w:rPr>
                <w:lang w:val="fr-FR"/>
              </w:rPr>
              <w:t>Recommandation(s)</w:t>
            </w:r>
          </w:p>
        </w:tc>
        <w:tc>
          <w:tcPr>
            <w:tcW w:w="6766" w:type="dxa"/>
            <w:shd w:val="clear" w:color="auto" w:fill="BFBFBF" w:themeFill="background1" w:themeFillShade="BF"/>
          </w:tcPr>
          <w:p w:rsidR="003E0BB0" w:rsidRPr="00880AA0" w:rsidRDefault="003E0BB0" w:rsidP="00263F34">
            <w:pPr>
              <w:tabs>
                <w:tab w:val="center" w:pos="3267"/>
              </w:tabs>
              <w:rPr>
                <w:i/>
                <w:lang w:val="fr-FR"/>
              </w:rPr>
            </w:pPr>
            <w:r w:rsidRPr="00880AA0">
              <w:rPr>
                <w:i/>
                <w:lang w:val="fr-FR"/>
              </w:rPr>
              <w:t>Recommandation n° 28</w:t>
            </w:r>
          </w:p>
          <w:p w:rsidR="003E0BB0" w:rsidRPr="00880AA0" w:rsidRDefault="003E0BB0" w:rsidP="00263F34">
            <w:pPr>
              <w:tabs>
                <w:tab w:val="center" w:pos="3267"/>
              </w:tabs>
              <w:rPr>
                <w:i/>
                <w:lang w:val="fr-FR"/>
              </w:rPr>
            </w:pPr>
          </w:p>
          <w:p w:rsidR="003E0BB0" w:rsidRPr="00880AA0" w:rsidRDefault="003E0BB0" w:rsidP="00263F34">
            <w:pPr>
              <w:tabs>
                <w:tab w:val="center" w:pos="3267"/>
              </w:tabs>
              <w:rPr>
                <w:lang w:val="fr-FR"/>
              </w:rPr>
            </w:pPr>
            <w:r w:rsidRPr="00880AA0">
              <w:rPr>
                <w:lang w:val="fr-FR"/>
              </w:rPr>
              <w:t>Examiner les politiques et mesures relatives à la propriété intellectuelle que les États membres, en particulier les pays industrialisés, pourraient adopter pour promouvoir le transfert et la diffusion de la technologie vers les pays en développement.</w:t>
            </w:r>
          </w:p>
          <w:p w:rsidR="003E0BB0" w:rsidRPr="00880AA0" w:rsidRDefault="003E0BB0" w:rsidP="00263F34">
            <w:pPr>
              <w:tabs>
                <w:tab w:val="center" w:pos="3267"/>
              </w:tabs>
              <w:rPr>
                <w:lang w:val="fr-FR"/>
              </w:rPr>
            </w:pPr>
          </w:p>
        </w:tc>
      </w:tr>
      <w:tr w:rsidR="003E0BB0" w:rsidRPr="00880AA0" w:rsidTr="001465D9">
        <w:tc>
          <w:tcPr>
            <w:tcW w:w="2521" w:type="dxa"/>
          </w:tcPr>
          <w:p w:rsidR="003E0BB0" w:rsidRPr="00880AA0" w:rsidRDefault="003E0BB0" w:rsidP="00263F34">
            <w:pPr>
              <w:rPr>
                <w:lang w:val="fr-FR"/>
              </w:rPr>
            </w:pPr>
            <w:r w:rsidRPr="00880AA0">
              <w:rPr>
                <w:lang w:val="fr-FR"/>
              </w:rPr>
              <w:t>Programmes connexes dans le Programme et budget 2018/2019</w:t>
            </w:r>
          </w:p>
          <w:p w:rsidR="003E0BB0" w:rsidRPr="00880AA0" w:rsidRDefault="003E0BB0" w:rsidP="00263F34">
            <w:pPr>
              <w:rPr>
                <w:lang w:val="fr-FR"/>
              </w:rPr>
            </w:pPr>
          </w:p>
        </w:tc>
        <w:tc>
          <w:tcPr>
            <w:tcW w:w="6766" w:type="dxa"/>
          </w:tcPr>
          <w:p w:rsidR="003E0BB0" w:rsidRPr="00880AA0" w:rsidRDefault="003E0BB0" w:rsidP="00263F34">
            <w:pPr>
              <w:rPr>
                <w:lang w:val="fr-FR"/>
              </w:rPr>
            </w:pPr>
            <w:r w:rsidRPr="00880AA0">
              <w:rPr>
                <w:lang w:val="fr-FR"/>
              </w:rPr>
              <w:t>1, 5, 9, 11, 13, 14, 15 et 30</w:t>
            </w:r>
          </w:p>
          <w:p w:rsidR="003E0BB0" w:rsidRPr="00880AA0" w:rsidRDefault="003E0BB0" w:rsidP="00263F34">
            <w:pPr>
              <w:rPr>
                <w:lang w:val="fr-FR"/>
              </w:rPr>
            </w:pPr>
          </w:p>
        </w:tc>
      </w:tr>
      <w:tr w:rsidR="003E0BB0" w:rsidRPr="00880AA0" w:rsidTr="001465D9">
        <w:tc>
          <w:tcPr>
            <w:tcW w:w="2521" w:type="dxa"/>
          </w:tcPr>
          <w:p w:rsidR="003E0BB0" w:rsidRPr="00880AA0" w:rsidRDefault="003E0BB0" w:rsidP="00263F34">
            <w:pPr>
              <w:rPr>
                <w:lang w:val="fr-FR"/>
              </w:rPr>
            </w:pPr>
            <w:r w:rsidRPr="00880AA0">
              <w:rPr>
                <w:lang w:val="fr-FR"/>
              </w:rPr>
              <w:t xml:space="preserve">Mise en œuvre </w:t>
            </w:r>
          </w:p>
        </w:tc>
        <w:tc>
          <w:tcPr>
            <w:tcW w:w="6766" w:type="dxa"/>
          </w:tcPr>
          <w:p w:rsidR="003E0BB0" w:rsidRPr="00880AA0" w:rsidRDefault="003E0BB0" w:rsidP="00263F34">
            <w:pPr>
              <w:rPr>
                <w:lang w:val="fr-FR"/>
              </w:rPr>
            </w:pPr>
            <w:r w:rsidRPr="00880AA0">
              <w:rPr>
                <w:lang w:val="fr-FR"/>
              </w:rPr>
              <w:t>Cette recommandation est mise en œuvre depuis 2010.  Elle a été examinée et traitée au moyen des activités approuvées à la cinquième session du CDIP, comme il ressort du document CDIP/6/4.</w:t>
            </w:r>
          </w:p>
          <w:p w:rsidR="003E0BB0" w:rsidRPr="00880AA0" w:rsidRDefault="003E0BB0" w:rsidP="00263F34">
            <w:pPr>
              <w:rPr>
                <w:lang w:val="fr-FR"/>
              </w:rPr>
            </w:pPr>
          </w:p>
          <w:p w:rsidR="003E0BB0" w:rsidRPr="00880AA0" w:rsidRDefault="003E0BB0" w:rsidP="00263F34">
            <w:pPr>
              <w:rPr>
                <w:lang w:val="fr-FR"/>
              </w:rPr>
            </w:pPr>
            <w:r w:rsidRPr="00880AA0">
              <w:rPr>
                <w:lang w:val="fr-FR"/>
              </w:rPr>
              <w:t>De nouvelles délibérations ont été menées par le CDIP dans le cadre des documents suivants : CDIP/17/9, CDIP/18/6 Rev, CDIP/20/7, CDIP/20/10, CDIP/20/11 et CDIP/20/12.</w:t>
            </w:r>
          </w:p>
          <w:p w:rsidR="003E0BB0" w:rsidRPr="00880AA0" w:rsidRDefault="003E0BB0" w:rsidP="00263F34">
            <w:pPr>
              <w:rPr>
                <w:lang w:val="fr-FR"/>
              </w:rPr>
            </w:pPr>
          </w:p>
        </w:tc>
      </w:tr>
      <w:tr w:rsidR="003E0BB0" w:rsidRPr="00880AA0" w:rsidTr="001465D9">
        <w:tc>
          <w:tcPr>
            <w:tcW w:w="2521" w:type="dxa"/>
          </w:tcPr>
          <w:p w:rsidR="003E0BB0" w:rsidRPr="00880AA0" w:rsidRDefault="003E0BB0" w:rsidP="00263F34">
            <w:pPr>
              <w:rPr>
                <w:lang w:val="fr-FR"/>
              </w:rPr>
            </w:pPr>
            <w:r w:rsidRPr="00880AA0">
              <w:rPr>
                <w:lang w:val="fr-FR"/>
              </w:rPr>
              <w:t>Projets du Plan d’action pour le développement connexes</w:t>
            </w:r>
          </w:p>
        </w:tc>
        <w:tc>
          <w:tcPr>
            <w:tcW w:w="6766" w:type="dxa"/>
          </w:tcPr>
          <w:p w:rsidR="003E0BB0" w:rsidRPr="00880AA0" w:rsidRDefault="003E0BB0" w:rsidP="00263F34">
            <w:pPr>
              <w:rPr>
                <w:lang w:val="fr-FR"/>
              </w:rPr>
            </w:pPr>
            <w:r w:rsidRPr="00880AA0">
              <w:rPr>
                <w:lang w:val="fr-FR"/>
              </w:rPr>
              <w:t xml:space="preserve">La recommandation a été principalement traitée par le </w:t>
            </w:r>
            <w:hyperlink r:id="rId88" w:history="1">
              <w:r w:rsidRPr="00880AA0">
                <w:rPr>
                  <w:rStyle w:val="Hyperlink"/>
                  <w:color w:val="auto"/>
                  <w:lang w:val="fr-FR"/>
                </w:rPr>
                <w:t>Projet relatif à la propriété intellectuelle et au transfert de technologie : élaborer des solutions face aux défis communs</w:t>
              </w:r>
            </w:hyperlink>
            <w:r w:rsidRPr="00880AA0">
              <w:rPr>
                <w:lang w:val="fr-FR"/>
              </w:rPr>
              <w:t xml:space="preserve"> (CDIP/6/4 Rev.).</w:t>
            </w:r>
          </w:p>
          <w:p w:rsidR="003E0BB0" w:rsidRPr="00880AA0" w:rsidRDefault="003E0BB0" w:rsidP="00263F34">
            <w:pPr>
              <w:rPr>
                <w:lang w:val="fr-FR"/>
              </w:rPr>
            </w:pPr>
          </w:p>
          <w:p w:rsidR="003E0BB0" w:rsidRPr="00880AA0" w:rsidRDefault="003E0BB0" w:rsidP="00263F34">
            <w:pPr>
              <w:rPr>
                <w:lang w:val="fr-FR"/>
              </w:rPr>
            </w:pPr>
            <w:r w:rsidRPr="00880AA0">
              <w:rPr>
                <w:lang w:val="fr-FR"/>
              </w:rPr>
              <w:t>Dans le cadre des délibérations sur le Projet relatif à la propriété intellectuelle et au transfert de technologie : élaborer des solutions face aux défis communs, le comité a examiné, à ses quinzième, seizième et dix</w:t>
            </w:r>
            <w:r w:rsidRPr="00880AA0">
              <w:rPr>
                <w:lang w:val="fr-FR"/>
              </w:rPr>
              <w:noBreakHyphen/>
              <w:t>septième sessions, les documents suivants : i) Rapport sur le Forum d’experts de l’OMPI sur le transfert international de technologie (CDIP/15/5);  (ii) Rapport d’évaluation du projet (CDIP/16/3), et (iii) Cartographie des activités relatives au transfert de technologie (CDIP/17/9).</w:t>
            </w:r>
          </w:p>
          <w:p w:rsidR="003E0BB0" w:rsidRPr="00880AA0" w:rsidRDefault="003E0BB0" w:rsidP="00263F34">
            <w:pPr>
              <w:rPr>
                <w:lang w:val="fr-FR"/>
              </w:rPr>
            </w:pPr>
          </w:p>
          <w:p w:rsidR="003E0BB0" w:rsidRPr="00880AA0" w:rsidRDefault="003E0BB0" w:rsidP="00263F34">
            <w:pPr>
              <w:rPr>
                <w:lang w:val="fr-FR"/>
              </w:rPr>
            </w:pPr>
            <w:r w:rsidRPr="00880AA0">
              <w:rPr>
                <w:lang w:val="fr-FR"/>
              </w:rPr>
              <w:t>Au cours des débats sur le document CDIP/17/9, le comité a décidé que les États membres intéressés devraient transmettre pour examen des propositions séparant les questions de politique générale et les propositions spécifiques concernant d’éventuelles mesures à prendre.  Le document CDIP/18/6 Rev. contient les propositions faites par la délégation de l’Afrique du Sud et la proposition conjointe présentée par les délégations de l’Australie, du Canada et des États</w:t>
            </w:r>
            <w:r w:rsidRPr="00880AA0">
              <w:rPr>
                <w:lang w:val="fr-FR"/>
              </w:rPr>
              <w:noBreakHyphen/>
              <w:t>Unis d’Amérique.</w:t>
            </w:r>
          </w:p>
          <w:p w:rsidR="003E0BB0" w:rsidRPr="00880AA0" w:rsidRDefault="003E0BB0" w:rsidP="00263F34">
            <w:pPr>
              <w:rPr>
                <w:lang w:val="fr-FR"/>
              </w:rPr>
            </w:pPr>
          </w:p>
          <w:p w:rsidR="003E0BB0" w:rsidRPr="00880AA0" w:rsidRDefault="003E0BB0" w:rsidP="00263F34">
            <w:pPr>
              <w:rPr>
                <w:lang w:val="fr-FR"/>
              </w:rPr>
            </w:pPr>
            <w:r w:rsidRPr="00880AA0">
              <w:rPr>
                <w:lang w:val="fr-FR"/>
              </w:rPr>
              <w:t>À la suite de la proposition conjointe, le comité a examiné les documents suivants :</w:t>
            </w:r>
          </w:p>
          <w:p w:rsidR="003E0BB0" w:rsidRPr="00880AA0" w:rsidRDefault="003E0BB0" w:rsidP="00263F34">
            <w:pPr>
              <w:rPr>
                <w:lang w:val="fr-FR"/>
              </w:rPr>
            </w:pPr>
          </w:p>
          <w:p w:rsidR="003E0BB0" w:rsidRPr="00880AA0" w:rsidRDefault="003E0BB0" w:rsidP="00263F34">
            <w:pPr>
              <w:rPr>
                <w:lang w:val="fr-FR"/>
              </w:rPr>
            </w:pPr>
            <w:r w:rsidRPr="00880AA0">
              <w:rPr>
                <w:lang w:val="fr-FR"/>
              </w:rPr>
              <w:t>– Promotion des activités et ressources de l’OMPI relatives au transfert de technologie (CDIP/20/11)</w:t>
            </w:r>
          </w:p>
          <w:p w:rsidR="003E0BB0" w:rsidRPr="00880AA0" w:rsidRDefault="003E0BB0" w:rsidP="00263F34">
            <w:pPr>
              <w:rPr>
                <w:lang w:val="fr-FR"/>
              </w:rPr>
            </w:pPr>
          </w:p>
          <w:p w:rsidR="003E0BB0" w:rsidRPr="00880AA0" w:rsidRDefault="003E0BB0" w:rsidP="00263F34">
            <w:pPr>
              <w:rPr>
                <w:lang w:val="fr-FR"/>
              </w:rPr>
            </w:pPr>
            <w:r w:rsidRPr="00880AA0">
              <w:rPr>
                <w:lang w:val="fr-FR"/>
              </w:rPr>
              <w:t>– Inventaire des instances et conférences internationales prévoyant des initiatives en matière de transfert de technologie (CDIP/20/12).</w:t>
            </w:r>
          </w:p>
          <w:p w:rsidR="003E0BB0" w:rsidRDefault="003E0BB0" w:rsidP="00263F34">
            <w:pPr>
              <w:rPr>
                <w:lang w:val="fr-FR"/>
              </w:rPr>
            </w:pPr>
          </w:p>
          <w:p w:rsidR="001465D9" w:rsidRPr="00880AA0" w:rsidRDefault="001465D9" w:rsidP="00263F34">
            <w:pPr>
              <w:rPr>
                <w:lang w:val="fr-FR"/>
              </w:rPr>
            </w:pPr>
          </w:p>
          <w:p w:rsidR="003E0BB0" w:rsidRPr="00880AA0" w:rsidRDefault="003E0BB0" w:rsidP="00263F34">
            <w:pPr>
              <w:rPr>
                <w:lang w:val="fr-FR"/>
              </w:rPr>
            </w:pPr>
            <w:r w:rsidRPr="00880AA0">
              <w:rPr>
                <w:lang w:val="fr-FR"/>
              </w:rPr>
              <w:t>– Feuille de route pour encourager l’utilisation du forum sur le Web mis en place dans le cadre du Projet relatif à la propriété intellectuelle et au transfert de technologie : élaborer des solutions face aux défis communs (CDIP/20/7);</w:t>
            </w:r>
          </w:p>
          <w:p w:rsidR="003E0BB0" w:rsidRPr="00880AA0" w:rsidRDefault="003E0BB0" w:rsidP="00263F34">
            <w:pPr>
              <w:rPr>
                <w:lang w:val="fr-FR"/>
              </w:rPr>
            </w:pPr>
          </w:p>
          <w:p w:rsidR="003E0BB0" w:rsidRPr="00880AA0" w:rsidRDefault="003E0BB0" w:rsidP="00263F34">
            <w:pPr>
              <w:rPr>
                <w:lang w:val="fr-FR"/>
              </w:rPr>
            </w:pPr>
            <w:r w:rsidRPr="00880AA0">
              <w:rPr>
                <w:lang w:val="fr-FR"/>
              </w:rPr>
              <w:t>– Compilation des plateformes d’échange de technologies et de concession de licences de technologie (CDIP/20/10 Rev.)</w:t>
            </w:r>
          </w:p>
          <w:p w:rsidR="003E0BB0" w:rsidRPr="00880AA0" w:rsidRDefault="003E0BB0" w:rsidP="00263F34">
            <w:pPr>
              <w:rPr>
                <w:lang w:val="fr-FR"/>
              </w:rPr>
            </w:pPr>
          </w:p>
          <w:p w:rsidR="003E0BB0" w:rsidRPr="00880AA0" w:rsidRDefault="003E0BB0" w:rsidP="00263F34">
            <w:pPr>
              <w:rPr>
                <w:lang w:val="fr-FR"/>
              </w:rPr>
            </w:pPr>
            <w:r w:rsidRPr="00880AA0">
              <w:rPr>
                <w:lang w:val="fr-FR"/>
              </w:rPr>
              <w:t>Le Projet proposé par l’Afrique du Sud sur la gestion de la propriété intellectuelle et le transfert de technologie : promouvoir l’utilisation efficace de la propriété intellectuelle dans les pays en développement, les pays les moins avancés et les pays en transition a été approuvé à la vingtième session du CDIP (CDIP/19/11 Rev.).</w:t>
            </w:r>
          </w:p>
          <w:p w:rsidR="003E0BB0" w:rsidRPr="00880AA0" w:rsidRDefault="003E0BB0" w:rsidP="00263F34">
            <w:pPr>
              <w:rPr>
                <w:lang w:val="fr-FR"/>
              </w:rPr>
            </w:pPr>
          </w:p>
          <w:p w:rsidR="003E0BB0" w:rsidRPr="00880AA0" w:rsidRDefault="003E0BB0" w:rsidP="00263F34">
            <w:pPr>
              <w:rPr>
                <w:lang w:val="fr-FR"/>
              </w:rPr>
            </w:pPr>
            <w:r w:rsidRPr="00880AA0">
              <w:rPr>
                <w:lang w:val="fr-FR"/>
              </w:rPr>
              <w:t>À la suite du projet de renforcement de la coopération Sud</w:t>
            </w:r>
            <w:r w:rsidRPr="00880AA0">
              <w:rPr>
                <w:lang w:val="fr-FR"/>
              </w:rPr>
              <w:noBreakHyphen/>
              <w:t>Sud dans le domaine de la propriété intellectuelle au service du développement parmi les pays en développement et les pays les moins avancés, un état des lieux des activités de coopération Sud</w:t>
            </w:r>
            <w:r w:rsidRPr="00880AA0">
              <w:rPr>
                <w:lang w:val="fr-FR"/>
              </w:rPr>
              <w:noBreakHyphen/>
              <w:t>Sud au sein de l’Organisation Mondiale de la Propriété Intellectuelle (document CDIP/17/4) a d’abord été présenté à la dix</w:t>
            </w:r>
            <w:r w:rsidRPr="00880AA0">
              <w:rPr>
                <w:lang w:val="fr-FR"/>
              </w:rPr>
              <w:noBreakHyphen/>
              <w:t>septième session du CDIP.  Un deuxième document de ce type a été présenté au CDIP à sa dix</w:t>
            </w:r>
            <w:r w:rsidRPr="00880AA0">
              <w:rPr>
                <w:lang w:val="fr-FR"/>
              </w:rPr>
              <w:noBreakHyphen/>
              <w:t>neuvième session (document CDIP/19/5), qui tenait compte des observations formulées par les États membres et portait sur les activités de coopération Sud</w:t>
            </w:r>
            <w:r w:rsidRPr="00880AA0">
              <w:rPr>
                <w:lang w:val="fr-FR"/>
              </w:rPr>
              <w:noBreakHyphen/>
              <w:t>Sud menées de 2014 à 2016.</w:t>
            </w:r>
          </w:p>
          <w:p w:rsidR="003E0BB0" w:rsidRPr="00880AA0" w:rsidRDefault="003E0BB0" w:rsidP="00263F34">
            <w:pPr>
              <w:rPr>
                <w:lang w:val="fr-FR"/>
              </w:rPr>
            </w:pPr>
          </w:p>
        </w:tc>
      </w:tr>
      <w:tr w:rsidR="003E0BB0" w:rsidRPr="00880AA0" w:rsidTr="001465D9">
        <w:tc>
          <w:tcPr>
            <w:tcW w:w="2521" w:type="dxa"/>
          </w:tcPr>
          <w:p w:rsidR="003E0BB0" w:rsidRPr="00880AA0" w:rsidRDefault="003E0BB0" w:rsidP="00263F34">
            <w:pPr>
              <w:rPr>
                <w:lang w:val="fr-FR"/>
              </w:rPr>
            </w:pPr>
            <w:r w:rsidRPr="00880AA0">
              <w:rPr>
                <w:lang w:val="fr-FR"/>
              </w:rPr>
              <w:t xml:space="preserve">Activités/réalisations </w:t>
            </w:r>
          </w:p>
        </w:tc>
        <w:tc>
          <w:tcPr>
            <w:tcW w:w="6766" w:type="dxa"/>
          </w:tcPr>
          <w:p w:rsidR="003E0BB0" w:rsidRPr="00880AA0" w:rsidRDefault="003E0BB0" w:rsidP="00263F34">
            <w:pPr>
              <w:rPr>
                <w:lang w:val="fr-FR"/>
              </w:rPr>
            </w:pPr>
            <w:r w:rsidRPr="00880AA0">
              <w:rPr>
                <w:lang w:val="fr-FR"/>
              </w:rPr>
              <w:t xml:space="preserve">Le sujet du transfert de technologie a été examiné par le CDIP depuis sa création.  </w:t>
            </w:r>
            <w:r w:rsidRPr="00880AA0">
              <w:rPr>
                <w:bCs/>
                <w:lang w:val="fr-FR"/>
              </w:rPr>
              <w:t>Au cours de la période couverte par le rapport, des débats sur cette question ont eu lieu sur la base de la proposition conjointe présentée par les délégations de l’Australie, du Canada et des États</w:t>
            </w:r>
            <w:r w:rsidRPr="00880AA0">
              <w:rPr>
                <w:bCs/>
                <w:lang w:val="fr-FR"/>
              </w:rPr>
              <w:noBreakHyphen/>
              <w:t>Unis d’Amérique et le comité a par conséquent examiné les documents suivants :</w:t>
            </w:r>
          </w:p>
          <w:p w:rsidR="003E0BB0" w:rsidRPr="00880AA0" w:rsidRDefault="003E0BB0" w:rsidP="00263F34">
            <w:pPr>
              <w:rPr>
                <w:lang w:val="fr-FR"/>
              </w:rPr>
            </w:pPr>
          </w:p>
          <w:p w:rsidR="003E0BB0" w:rsidRPr="00880AA0" w:rsidRDefault="003E0BB0" w:rsidP="00263F34">
            <w:pPr>
              <w:rPr>
                <w:lang w:val="fr-FR"/>
              </w:rPr>
            </w:pPr>
            <w:r w:rsidRPr="00880AA0">
              <w:rPr>
                <w:lang w:val="fr-FR"/>
              </w:rPr>
              <w:t>– Analyse des lacunes dans les services et activités de l’OMPI en matière de transfert de technologie au regard des recommandations du groupe C du Plan d’action pour le développement (CDIP/21/5);  et</w:t>
            </w:r>
          </w:p>
          <w:p w:rsidR="003E0BB0" w:rsidRPr="00880AA0" w:rsidRDefault="003E0BB0" w:rsidP="00263F34">
            <w:pPr>
              <w:rPr>
                <w:lang w:val="fr-FR"/>
              </w:rPr>
            </w:pPr>
          </w:p>
          <w:p w:rsidR="003E0BB0" w:rsidRPr="00880AA0" w:rsidRDefault="003E0BB0" w:rsidP="00263F34">
            <w:pPr>
              <w:rPr>
                <w:lang w:val="fr-FR"/>
              </w:rPr>
            </w:pPr>
            <w:r w:rsidRPr="00880AA0">
              <w:rPr>
                <w:lang w:val="fr-FR"/>
              </w:rPr>
              <w:t>– Estimation des coûts liés à la mise en œuvre de la feuille de route pour encourager l’utilisation du forum sur le Web mis en place dans le cadre du “Projet relatif à la propriété intellectuelle et au transfert de technologie : élaborer des solutions face aux défis communs” (CDIP/21/6).</w:t>
            </w:r>
          </w:p>
          <w:p w:rsidR="003E0BB0" w:rsidRPr="00880AA0" w:rsidRDefault="003E0BB0" w:rsidP="00263F34">
            <w:pPr>
              <w:rPr>
                <w:lang w:val="fr-FR"/>
              </w:rPr>
            </w:pPr>
          </w:p>
          <w:p w:rsidR="003E0BB0" w:rsidRPr="00880AA0" w:rsidRDefault="003E0BB0" w:rsidP="00263F34">
            <w:pPr>
              <w:rPr>
                <w:lang w:val="fr-FR"/>
              </w:rPr>
            </w:pPr>
            <w:r w:rsidRPr="00880AA0">
              <w:rPr>
                <w:lang w:val="fr-FR"/>
              </w:rPr>
              <w:t>La session en cours du CDIP continuera d’examiner cette question.</w:t>
            </w:r>
          </w:p>
          <w:p w:rsidR="003E0BB0" w:rsidRPr="00880AA0" w:rsidRDefault="003E0BB0" w:rsidP="00263F34">
            <w:pPr>
              <w:rPr>
                <w:lang w:val="fr-FR"/>
              </w:rPr>
            </w:pPr>
          </w:p>
          <w:p w:rsidR="003E0BB0" w:rsidRPr="00880AA0" w:rsidRDefault="003E0BB0" w:rsidP="00263F34">
            <w:pPr>
              <w:rPr>
                <w:lang w:val="fr-FR"/>
              </w:rPr>
            </w:pPr>
            <w:r w:rsidRPr="00880AA0">
              <w:rPr>
                <w:lang w:val="fr-FR"/>
              </w:rPr>
              <w:t>Pour de plus amples renseignements concernant les activités menées dans le cadre du Projet sur la gestion de la propriété intellectuelle et le transfert de technologie : promouvoir l’utilisation efficace de la propriété intellectuelle dans les pays en développement, les pays les moins avancés et les pays en transition, voir l’Annexe I du présent document.</w:t>
            </w:r>
          </w:p>
        </w:tc>
      </w:tr>
      <w:tr w:rsidR="003E0BB0" w:rsidRPr="00880AA0" w:rsidTr="001465D9">
        <w:tc>
          <w:tcPr>
            <w:tcW w:w="2521" w:type="dxa"/>
          </w:tcPr>
          <w:p w:rsidR="003E0BB0" w:rsidRPr="00880AA0" w:rsidRDefault="003E0BB0" w:rsidP="00263F34">
            <w:pPr>
              <w:rPr>
                <w:lang w:val="fr-FR"/>
              </w:rPr>
            </w:pPr>
            <w:r w:rsidRPr="00880AA0">
              <w:rPr>
                <w:lang w:val="fr-FR"/>
              </w:rPr>
              <w:t>Autres rapports/documents connexes</w:t>
            </w:r>
          </w:p>
        </w:tc>
        <w:tc>
          <w:tcPr>
            <w:tcW w:w="6766" w:type="dxa"/>
          </w:tcPr>
          <w:p w:rsidR="003E0BB0" w:rsidRPr="00880AA0" w:rsidRDefault="003E0BB0" w:rsidP="00263F34">
            <w:pPr>
              <w:rPr>
                <w:lang w:val="fr-FR"/>
              </w:rPr>
            </w:pPr>
            <w:r w:rsidRPr="00880AA0">
              <w:rPr>
                <w:lang w:val="fr-FR"/>
              </w:rPr>
              <w:t>Rapports examinés par le CDIP : CDIP/8/2, CDIP/10/2, CDIP/12/2, CDIP/14/2, CDIP/16/3, CDIP/17/9, CDIP/18/6 Rev., CDIP/19/5, CDIP/20/7, CDIP/20/10 Rev., CDIP/20/11, CDIP/20/12, CDIP/21/5, CDIP/21/6.</w:t>
            </w:r>
          </w:p>
          <w:p w:rsidR="003E0BB0" w:rsidRPr="00880AA0" w:rsidRDefault="003E0BB0" w:rsidP="00263F34">
            <w:pPr>
              <w:rPr>
                <w:lang w:val="fr-FR"/>
              </w:rPr>
            </w:pPr>
          </w:p>
          <w:p w:rsidR="003E0BB0" w:rsidRPr="00880AA0" w:rsidRDefault="003E0BB0" w:rsidP="00263F34">
            <w:pPr>
              <w:rPr>
                <w:lang w:val="fr-FR"/>
              </w:rPr>
            </w:pPr>
            <w:r w:rsidRPr="00880AA0">
              <w:rPr>
                <w:lang w:val="fr-FR"/>
              </w:rPr>
              <w:t>En dehors des activités qui figurent dans la base IP</w:t>
            </w:r>
            <w:r w:rsidRPr="00880AA0">
              <w:rPr>
                <w:lang w:val="fr-FR"/>
              </w:rPr>
              <w:noBreakHyphen/>
              <w:t>TAD, pour obtenir de plus amples informations sur les réalisations liées à cette recommandation, voir le Rapport sur la performance de l’OMPI 2016</w:t>
            </w:r>
            <w:r w:rsidRPr="00880AA0">
              <w:rPr>
                <w:lang w:val="fr-FR"/>
              </w:rPr>
              <w:noBreakHyphen/>
              <w:t>2017 (document WO/PBC/28/7).</w:t>
            </w:r>
          </w:p>
          <w:p w:rsidR="003E0BB0" w:rsidRPr="00880AA0" w:rsidRDefault="003E0BB0" w:rsidP="00263F34">
            <w:pPr>
              <w:rPr>
                <w:lang w:val="fr-FR"/>
              </w:rPr>
            </w:pPr>
          </w:p>
        </w:tc>
      </w:tr>
    </w:tbl>
    <w:p w:rsidR="001465D9" w:rsidRDefault="001465D9"/>
    <w:p w:rsidR="001465D9" w:rsidRDefault="001465D9">
      <w:r>
        <w:br w:type="page"/>
      </w:r>
    </w:p>
    <w:p w:rsidR="001465D9" w:rsidRDefault="001465D9"/>
    <w:tbl>
      <w:tblPr>
        <w:tblStyle w:val="TableGrid"/>
        <w:tblW w:w="0" w:type="auto"/>
        <w:tblLook w:val="04A0" w:firstRow="1" w:lastRow="0" w:firstColumn="1" w:lastColumn="0" w:noHBand="0" w:noVBand="1"/>
      </w:tblPr>
      <w:tblGrid>
        <w:gridCol w:w="2538"/>
        <w:gridCol w:w="6749"/>
      </w:tblGrid>
      <w:tr w:rsidR="003E0BB0" w:rsidRPr="00880AA0" w:rsidTr="00263F34">
        <w:tc>
          <w:tcPr>
            <w:tcW w:w="2538" w:type="dxa"/>
            <w:shd w:val="clear" w:color="auto" w:fill="BFBFBF" w:themeFill="background1" w:themeFillShade="BF"/>
          </w:tcPr>
          <w:p w:rsidR="003E0BB0" w:rsidRPr="00880AA0" w:rsidRDefault="003E0BB0" w:rsidP="00263F34">
            <w:pPr>
              <w:rPr>
                <w:lang w:val="fr-FR"/>
              </w:rPr>
            </w:pPr>
            <w:r w:rsidRPr="00880AA0">
              <w:rPr>
                <w:lang w:val="fr-FR"/>
              </w:rPr>
              <w:br w:type="page"/>
              <w:t>Recommandation(s)</w:t>
            </w:r>
          </w:p>
        </w:tc>
        <w:tc>
          <w:tcPr>
            <w:tcW w:w="6749" w:type="dxa"/>
            <w:shd w:val="clear" w:color="auto" w:fill="BFBFBF" w:themeFill="background1" w:themeFillShade="BF"/>
          </w:tcPr>
          <w:p w:rsidR="003E0BB0" w:rsidRPr="00880AA0" w:rsidRDefault="003E0BB0" w:rsidP="00263F34">
            <w:pPr>
              <w:tabs>
                <w:tab w:val="left" w:pos="2495"/>
              </w:tabs>
              <w:rPr>
                <w:i/>
                <w:lang w:val="fr-FR"/>
              </w:rPr>
            </w:pPr>
            <w:r w:rsidRPr="00880AA0">
              <w:rPr>
                <w:i/>
                <w:lang w:val="fr-FR"/>
              </w:rPr>
              <w:t>Recommandation n° 29</w:t>
            </w:r>
          </w:p>
          <w:p w:rsidR="003E0BB0" w:rsidRPr="00880AA0" w:rsidRDefault="003E0BB0" w:rsidP="00263F34">
            <w:pPr>
              <w:tabs>
                <w:tab w:val="left" w:pos="2495"/>
              </w:tabs>
              <w:rPr>
                <w:i/>
                <w:lang w:val="fr-FR"/>
              </w:rPr>
            </w:pPr>
          </w:p>
          <w:p w:rsidR="003E0BB0" w:rsidRPr="00880AA0" w:rsidRDefault="003E0BB0" w:rsidP="00263F34">
            <w:pPr>
              <w:tabs>
                <w:tab w:val="left" w:pos="2495"/>
              </w:tabs>
              <w:rPr>
                <w:lang w:val="fr-FR"/>
              </w:rPr>
            </w:pPr>
            <w:r w:rsidRPr="00880AA0">
              <w:rPr>
                <w:lang w:val="fr-FR"/>
              </w:rPr>
              <w:t>Inscrire les délibérations sur les questions relatives au transfert de technologie en rapport avec la propriété intellectuelle dans le mandat d’un organe approprié de l’OMPI.</w:t>
            </w:r>
          </w:p>
          <w:p w:rsidR="003E0BB0" w:rsidRPr="00880AA0" w:rsidRDefault="003E0BB0" w:rsidP="00263F34">
            <w:pPr>
              <w:tabs>
                <w:tab w:val="left" w:pos="2495"/>
              </w:tabs>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Programmes connexes dans le Programme et budget 2018/2019</w:t>
            </w:r>
          </w:p>
          <w:p w:rsidR="003E0BB0" w:rsidRPr="00880AA0" w:rsidRDefault="003E0BB0" w:rsidP="00263F34">
            <w:pPr>
              <w:rPr>
                <w:lang w:val="fr-FR"/>
              </w:rPr>
            </w:pPr>
          </w:p>
        </w:tc>
        <w:tc>
          <w:tcPr>
            <w:tcW w:w="6749" w:type="dxa"/>
          </w:tcPr>
          <w:p w:rsidR="003E0BB0" w:rsidRPr="00880AA0" w:rsidRDefault="003E0BB0" w:rsidP="00263F34">
            <w:pPr>
              <w:rPr>
                <w:lang w:val="fr-FR"/>
              </w:rPr>
            </w:pPr>
            <w:r w:rsidRPr="00880AA0">
              <w:rPr>
                <w:lang w:val="fr-FR"/>
              </w:rPr>
              <w:t>1 et 8</w:t>
            </w:r>
          </w:p>
        </w:tc>
      </w:tr>
      <w:tr w:rsidR="003E0BB0" w:rsidRPr="00880AA0" w:rsidTr="00263F34">
        <w:tc>
          <w:tcPr>
            <w:tcW w:w="2538" w:type="dxa"/>
          </w:tcPr>
          <w:p w:rsidR="003E0BB0" w:rsidRPr="00880AA0" w:rsidRDefault="003E0BB0" w:rsidP="00263F34">
            <w:pPr>
              <w:rPr>
                <w:lang w:val="fr-FR"/>
              </w:rPr>
            </w:pPr>
            <w:r w:rsidRPr="00880AA0">
              <w:rPr>
                <w:lang w:val="fr-FR"/>
              </w:rPr>
              <w:t xml:space="preserve">Mise en œuvre </w:t>
            </w:r>
          </w:p>
        </w:tc>
        <w:tc>
          <w:tcPr>
            <w:tcW w:w="6749" w:type="dxa"/>
          </w:tcPr>
          <w:p w:rsidR="003E0BB0" w:rsidRPr="00880AA0" w:rsidRDefault="003E0BB0" w:rsidP="00263F34">
            <w:pPr>
              <w:rPr>
                <w:lang w:val="fr-FR"/>
              </w:rPr>
            </w:pPr>
            <w:r w:rsidRPr="00880AA0">
              <w:rPr>
                <w:lang w:val="fr-FR"/>
              </w:rPr>
              <w:t>Cette recommandation a été examinée dans le cadre des documents suivants : CDIP/17/9, CDIP/18/6 Rev, CDIP/20/7, CDIP/20/10, CDIP/20/11 et CDIP/20/12.</w:t>
            </w:r>
          </w:p>
          <w:p w:rsidR="003E0BB0" w:rsidRPr="00880AA0" w:rsidRDefault="003E0BB0" w:rsidP="00263F34">
            <w:pPr>
              <w:rPr>
                <w:lang w:val="fr-FR"/>
              </w:rPr>
            </w:pPr>
          </w:p>
          <w:p w:rsidR="003E0BB0" w:rsidRPr="00880AA0" w:rsidRDefault="003E0BB0" w:rsidP="00263F34">
            <w:pPr>
              <w:rPr>
                <w:lang w:val="fr-FR"/>
              </w:rPr>
            </w:pPr>
            <w:r w:rsidRPr="00880AA0">
              <w:rPr>
                <w:lang w:val="fr-FR"/>
              </w:rPr>
              <w:t>De plus, des débats sur le transfert de technologie ont lieu au sein des organes compétents de l’OMPI.</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Projets du Plan d’action pour le développement connexes</w:t>
            </w:r>
          </w:p>
        </w:tc>
        <w:tc>
          <w:tcPr>
            <w:tcW w:w="6749" w:type="dxa"/>
          </w:tcPr>
          <w:p w:rsidR="003E0BB0" w:rsidRPr="00880AA0" w:rsidRDefault="003E0BB0" w:rsidP="00263F34">
            <w:pPr>
              <w:rPr>
                <w:lang w:val="fr-FR"/>
              </w:rPr>
            </w:pPr>
            <w:r w:rsidRPr="00880AA0">
              <w:rPr>
                <w:lang w:val="fr-FR"/>
              </w:rPr>
              <w:t>Sans objet</w:t>
            </w:r>
          </w:p>
          <w:p w:rsidR="003E0BB0" w:rsidRPr="00880AA0" w:rsidRDefault="003E0BB0" w:rsidP="00263F34">
            <w:pPr>
              <w:rPr>
                <w:szCs w:val="24"/>
                <w:lang w:val="fr-FR"/>
              </w:rPr>
            </w:pPr>
          </w:p>
          <w:p w:rsidR="003E0BB0" w:rsidRPr="00880AA0" w:rsidRDefault="003E0BB0" w:rsidP="00263F34">
            <w:pPr>
              <w:rPr>
                <w:b/>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 xml:space="preserve">Activités/réalisations </w:t>
            </w:r>
          </w:p>
        </w:tc>
        <w:tc>
          <w:tcPr>
            <w:tcW w:w="6749" w:type="dxa"/>
          </w:tcPr>
          <w:p w:rsidR="003E0BB0" w:rsidRPr="00880AA0" w:rsidRDefault="003E0BB0" w:rsidP="00263F34">
            <w:pPr>
              <w:rPr>
                <w:lang w:val="fr-FR"/>
              </w:rPr>
            </w:pPr>
            <w:r w:rsidRPr="00880AA0">
              <w:rPr>
                <w:lang w:val="fr-FR"/>
              </w:rPr>
              <w:t xml:space="preserve">Le sujet du transfert de technologie a été examiné par le CDIP depuis sa création.  </w:t>
            </w:r>
            <w:r w:rsidRPr="00880AA0">
              <w:rPr>
                <w:bCs/>
                <w:lang w:val="fr-FR"/>
              </w:rPr>
              <w:t>Au cours de la période couverte par le rapport, des débats sur cette question ont eu lieu sur la base de la proposition conjointe présentée par les délégations de l’Australie, du Canada et des États</w:t>
            </w:r>
            <w:r w:rsidRPr="00880AA0">
              <w:rPr>
                <w:bCs/>
                <w:lang w:val="fr-FR"/>
              </w:rPr>
              <w:noBreakHyphen/>
              <w:t>Unis d’Amérique.  Pour de plus amples informations sur les documents examinés sur la base de la proposition conjointe, voir les recommandations n</w:t>
            </w:r>
            <w:r w:rsidRPr="00880AA0">
              <w:rPr>
                <w:bCs/>
                <w:vertAlign w:val="superscript"/>
                <w:lang w:val="fr-FR"/>
              </w:rPr>
              <w:t>os</w:t>
            </w:r>
            <w:r w:rsidRPr="00880AA0">
              <w:rPr>
                <w:bCs/>
                <w:lang w:val="fr-FR"/>
              </w:rPr>
              <w:t> 25 et 28.</w:t>
            </w:r>
          </w:p>
          <w:p w:rsidR="003E0BB0" w:rsidRPr="00880AA0" w:rsidRDefault="003E0BB0" w:rsidP="00263F34">
            <w:pPr>
              <w:rPr>
                <w:lang w:val="fr-FR"/>
              </w:rPr>
            </w:pPr>
          </w:p>
          <w:p w:rsidR="003E0BB0" w:rsidRPr="00880AA0" w:rsidRDefault="003E0BB0" w:rsidP="00263F34">
            <w:pPr>
              <w:rPr>
                <w:lang w:val="fr-FR"/>
              </w:rPr>
            </w:pPr>
            <w:r w:rsidRPr="00880AA0">
              <w:rPr>
                <w:lang w:val="fr-FR"/>
              </w:rPr>
              <w:t>Par ailleurs, dans le cadre du SCP, les États membres ont continué de partager des informations sur les dispositions du droit des brevets ayant contribué au transfert efficace de technologie.  À</w:t>
            </w:r>
            <w:r w:rsidR="001465D9">
              <w:rPr>
                <w:lang w:val="fr-FR"/>
              </w:rPr>
              <w:t> </w:t>
            </w:r>
            <w:r w:rsidRPr="00880AA0">
              <w:rPr>
                <w:lang w:val="fr-FR"/>
              </w:rPr>
              <w:t>la vingt</w:t>
            </w:r>
            <w:r w:rsidRPr="00880AA0">
              <w:rPr>
                <w:lang w:val="fr-FR"/>
              </w:rPr>
              <w:noBreakHyphen/>
              <w:t>huitième session du SCP, qui s’est tenue du 9 au 12 juillet 2018, certaines délégations ont proposé que ces activités soient menées par le SCP, tandis que d’autres ont suggéré que les débats sur le sujet aient lieu au CDIP.</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Autres rapports/documents connexes</w:t>
            </w:r>
          </w:p>
        </w:tc>
        <w:tc>
          <w:tcPr>
            <w:tcW w:w="6749" w:type="dxa"/>
          </w:tcPr>
          <w:p w:rsidR="003E0BB0" w:rsidRPr="00880AA0" w:rsidRDefault="003E0BB0" w:rsidP="00263F34">
            <w:pPr>
              <w:rPr>
                <w:lang w:val="fr-FR"/>
              </w:rPr>
            </w:pPr>
            <w:r w:rsidRPr="00880AA0">
              <w:rPr>
                <w:lang w:val="fr-FR"/>
              </w:rPr>
              <w:t>Rapports examinés par le CDIP : CDIP/8/2, CDIP/10/2, CDIP/12/2, CDIP/14/2, CDIP/16/3, CDIP/17/9, CDIP/18/6 Rev., CDIP/19/5, CDIP/20/7, CDIP/20/10 Rev., CDIP/20/11, CDIP/20/12, CDIP/21/5, CDIP/21/6.</w:t>
            </w:r>
          </w:p>
          <w:p w:rsidR="003E0BB0" w:rsidRPr="00880AA0" w:rsidRDefault="003E0BB0" w:rsidP="00263F34">
            <w:pPr>
              <w:rPr>
                <w:lang w:val="fr-FR"/>
              </w:rPr>
            </w:pPr>
          </w:p>
          <w:p w:rsidR="003E0BB0" w:rsidRPr="00880AA0" w:rsidRDefault="003E0BB0" w:rsidP="00263F34">
            <w:pPr>
              <w:rPr>
                <w:lang w:val="fr-FR"/>
              </w:rPr>
            </w:pPr>
            <w:r w:rsidRPr="00880AA0">
              <w:rPr>
                <w:lang w:val="fr-FR"/>
              </w:rPr>
              <w:t>En dehors des activités qui figurent dans la base IP</w:t>
            </w:r>
            <w:r w:rsidRPr="00880AA0">
              <w:rPr>
                <w:lang w:val="fr-FR"/>
              </w:rPr>
              <w:noBreakHyphen/>
              <w:t>TAD, pour obtenir de plus amples informations sur les réalisations liées à cette recommandation, voir le Rapport sur la performance de l’OMPI 2016</w:t>
            </w:r>
            <w:r w:rsidRPr="00880AA0">
              <w:rPr>
                <w:lang w:val="fr-FR"/>
              </w:rPr>
              <w:noBreakHyphen/>
              <w:t>2017 (document WO/PBC/28/7).</w:t>
            </w:r>
          </w:p>
          <w:p w:rsidR="003E0BB0" w:rsidRPr="00880AA0" w:rsidRDefault="003E0BB0" w:rsidP="00263F34">
            <w:pPr>
              <w:rPr>
                <w:lang w:val="fr-FR"/>
              </w:rPr>
            </w:pPr>
          </w:p>
        </w:tc>
      </w:tr>
    </w:tbl>
    <w:p w:rsidR="003E0BB0" w:rsidRPr="00880AA0" w:rsidRDefault="003E0BB0" w:rsidP="003E0BB0">
      <w:pPr>
        <w:rPr>
          <w:lang w:val="fr-FR"/>
        </w:rPr>
      </w:pPr>
      <w:r w:rsidRPr="00880AA0">
        <w:rPr>
          <w:lang w:val="fr-FR"/>
        </w:rPr>
        <w:br w:type="page"/>
      </w:r>
    </w:p>
    <w:tbl>
      <w:tblPr>
        <w:tblStyle w:val="TableGrid"/>
        <w:tblW w:w="0" w:type="auto"/>
        <w:tblLook w:val="04A0" w:firstRow="1" w:lastRow="0" w:firstColumn="1" w:lastColumn="0" w:noHBand="0" w:noVBand="1"/>
      </w:tblPr>
      <w:tblGrid>
        <w:gridCol w:w="2538"/>
        <w:gridCol w:w="6749"/>
      </w:tblGrid>
      <w:tr w:rsidR="003E0BB0" w:rsidRPr="00880AA0" w:rsidTr="00263F34">
        <w:tc>
          <w:tcPr>
            <w:tcW w:w="2538" w:type="dxa"/>
            <w:shd w:val="clear" w:color="auto" w:fill="BFBFBF" w:themeFill="background1" w:themeFillShade="BF"/>
          </w:tcPr>
          <w:p w:rsidR="003E0BB0" w:rsidRPr="00880AA0" w:rsidRDefault="003E0BB0" w:rsidP="00263F34">
            <w:pPr>
              <w:rPr>
                <w:lang w:val="fr-FR"/>
              </w:rPr>
            </w:pPr>
            <w:r w:rsidRPr="00880AA0">
              <w:rPr>
                <w:lang w:val="fr-FR"/>
              </w:rPr>
              <w:t>Recommandation(s)</w:t>
            </w:r>
          </w:p>
        </w:tc>
        <w:tc>
          <w:tcPr>
            <w:tcW w:w="6751" w:type="dxa"/>
            <w:shd w:val="clear" w:color="auto" w:fill="BFBFBF" w:themeFill="background1" w:themeFillShade="BF"/>
          </w:tcPr>
          <w:p w:rsidR="003E0BB0" w:rsidRPr="00880AA0" w:rsidRDefault="003E0BB0" w:rsidP="00263F34">
            <w:pPr>
              <w:rPr>
                <w:i/>
                <w:lang w:val="fr-FR"/>
              </w:rPr>
            </w:pPr>
            <w:r w:rsidRPr="00880AA0">
              <w:rPr>
                <w:i/>
                <w:lang w:val="fr-FR"/>
              </w:rPr>
              <w:t>Recommandation n° 30</w:t>
            </w:r>
          </w:p>
          <w:p w:rsidR="003E0BB0" w:rsidRPr="00880AA0" w:rsidRDefault="003E0BB0" w:rsidP="00263F34">
            <w:pPr>
              <w:rPr>
                <w:rFonts w:eastAsia="SimSun"/>
                <w:bCs/>
                <w:szCs w:val="22"/>
                <w:lang w:val="fr-FR" w:eastAsia="en-CA"/>
              </w:rPr>
            </w:pPr>
          </w:p>
          <w:p w:rsidR="003E0BB0" w:rsidRPr="00880AA0" w:rsidRDefault="003E0BB0" w:rsidP="00263F34">
            <w:pPr>
              <w:rPr>
                <w:lang w:val="fr-FR"/>
              </w:rPr>
            </w:pPr>
            <w:r w:rsidRPr="00880AA0">
              <w:rPr>
                <w:lang w:val="fr-FR"/>
              </w:rPr>
              <w:t>L’OMPI devrait coopérer avec d’autres organisations intergouvernementales pour fournir aux pays en développement, y compris les PMA, sur demande, des conseils sur les moyens d’accéder à l’information technologique en rapport avec la propriété intellectuelle et d’en faire usage, notamment dans les domaines présentant un intérêt particulier pour les demandeurs.</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Programmes connexes dans le Programme et budget 2018/2019</w:t>
            </w:r>
          </w:p>
          <w:p w:rsidR="003E0BB0" w:rsidRPr="00880AA0" w:rsidRDefault="003E0BB0" w:rsidP="00263F34">
            <w:pPr>
              <w:rPr>
                <w:lang w:val="fr-FR"/>
              </w:rPr>
            </w:pPr>
          </w:p>
        </w:tc>
        <w:tc>
          <w:tcPr>
            <w:tcW w:w="6751" w:type="dxa"/>
          </w:tcPr>
          <w:p w:rsidR="003E0BB0" w:rsidRPr="00880AA0" w:rsidRDefault="003E0BB0" w:rsidP="00263F34">
            <w:pPr>
              <w:rPr>
                <w:lang w:val="fr-FR"/>
              </w:rPr>
            </w:pPr>
            <w:r w:rsidRPr="00880AA0">
              <w:rPr>
                <w:lang w:val="fr-FR"/>
              </w:rPr>
              <w:t>5, 9, 12, 13, 14, 15, 18 et 30</w:t>
            </w:r>
          </w:p>
        </w:tc>
      </w:tr>
      <w:tr w:rsidR="003E0BB0" w:rsidRPr="00880AA0" w:rsidTr="00263F34">
        <w:tc>
          <w:tcPr>
            <w:tcW w:w="2538" w:type="dxa"/>
          </w:tcPr>
          <w:p w:rsidR="003E0BB0" w:rsidRPr="00880AA0" w:rsidRDefault="003E0BB0" w:rsidP="00263F34">
            <w:pPr>
              <w:rPr>
                <w:lang w:val="fr-FR"/>
              </w:rPr>
            </w:pPr>
            <w:r w:rsidRPr="00880AA0">
              <w:rPr>
                <w:lang w:val="fr-FR"/>
              </w:rPr>
              <w:t xml:space="preserve">Mise en œuvre </w:t>
            </w:r>
          </w:p>
        </w:tc>
        <w:tc>
          <w:tcPr>
            <w:tcW w:w="6751" w:type="dxa"/>
          </w:tcPr>
          <w:p w:rsidR="003E0BB0" w:rsidRPr="00880AA0" w:rsidRDefault="003E0BB0" w:rsidP="00263F34">
            <w:pPr>
              <w:rPr>
                <w:lang w:val="fr-FR"/>
              </w:rPr>
            </w:pPr>
            <w:r w:rsidRPr="00880AA0">
              <w:rPr>
                <w:lang w:val="fr-FR"/>
              </w:rPr>
              <w:t>Cette recommandation a été mise en œuvre depuis janvier 2010.  Elle a été examinée et traitée au moyen des activités convenues lors de la quatrième session du CDIP, comme il ressort des documents CDIP/4/6 et CDIP/5/6 Rev.</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Projets du Plan d’action pour le développement connexes</w:t>
            </w:r>
          </w:p>
        </w:tc>
        <w:tc>
          <w:tcPr>
            <w:tcW w:w="6751" w:type="dxa"/>
          </w:tcPr>
          <w:p w:rsidR="003E0BB0" w:rsidRPr="00880AA0" w:rsidRDefault="003E0BB0" w:rsidP="00263F34">
            <w:pPr>
              <w:rPr>
                <w:lang w:val="fr-FR"/>
              </w:rPr>
            </w:pPr>
            <w:r w:rsidRPr="00880AA0">
              <w:rPr>
                <w:lang w:val="fr-FR"/>
              </w:rPr>
              <w:t>La recommandation a été principalement traitée par les projets suivants :</w:t>
            </w:r>
          </w:p>
          <w:p w:rsidR="003E0BB0" w:rsidRPr="00880AA0" w:rsidRDefault="003E0BB0" w:rsidP="00263F34">
            <w:pPr>
              <w:rPr>
                <w:szCs w:val="24"/>
                <w:lang w:val="fr-FR"/>
              </w:rPr>
            </w:pPr>
          </w:p>
          <w:p w:rsidR="003E0BB0" w:rsidRPr="00880AA0" w:rsidRDefault="003E0BB0" w:rsidP="00263F34">
            <w:pPr>
              <w:rPr>
                <w:szCs w:val="24"/>
                <w:lang w:val="fr-FR"/>
              </w:rPr>
            </w:pPr>
            <w:r w:rsidRPr="00880AA0">
              <w:rPr>
                <w:szCs w:val="24"/>
                <w:lang w:val="fr-FR"/>
              </w:rPr>
              <w:t xml:space="preserve">– </w:t>
            </w:r>
            <w:hyperlink r:id="rId89" w:history="1">
              <w:r w:rsidRPr="00880AA0">
                <w:rPr>
                  <w:lang w:val="fr-FR"/>
                </w:rPr>
                <w:t>Élaboration d’instruments permettant d’accéder à l’information en matière de brevets – phases I</w:t>
              </w:r>
            </w:hyperlink>
            <w:hyperlink r:id="rId90" w:history="1">
              <w:r w:rsidRPr="00880AA0">
                <w:rPr>
                  <w:lang w:val="fr-FR"/>
                </w:rPr>
                <w:t xml:space="preserve"> </w:t>
              </w:r>
            </w:hyperlink>
            <w:r w:rsidRPr="00880AA0">
              <w:rPr>
                <w:szCs w:val="24"/>
                <w:lang w:val="fr-FR"/>
              </w:rPr>
              <w:t>et II (CDIP/5/REF_CDIP et CDIP/10/13)</w:t>
            </w:r>
          </w:p>
          <w:p w:rsidR="003E0BB0" w:rsidRPr="00880AA0" w:rsidRDefault="003E0BB0" w:rsidP="00263F34">
            <w:pPr>
              <w:rPr>
                <w:szCs w:val="24"/>
                <w:lang w:val="fr-FR"/>
              </w:rPr>
            </w:pPr>
          </w:p>
          <w:p w:rsidR="003E0BB0" w:rsidRPr="00880AA0" w:rsidRDefault="003E0BB0" w:rsidP="00263F34">
            <w:pPr>
              <w:rPr>
                <w:szCs w:val="24"/>
                <w:lang w:val="fr-FR"/>
              </w:rPr>
            </w:pPr>
            <w:r w:rsidRPr="00880AA0">
              <w:rPr>
                <w:szCs w:val="24"/>
                <w:lang w:val="fr-FR"/>
              </w:rPr>
              <w:t xml:space="preserve">– </w:t>
            </w:r>
            <w:hyperlink r:id="rId91" w:tgtFrame="_self" w:history="1">
              <w:r w:rsidRPr="00880AA0">
                <w:rPr>
                  <w:lang w:val="fr-FR"/>
                </w:rPr>
                <w:t>Renforcement des capacités d’utilisation de l’information technique et scientifique axée sur les technologies appropriées pour répondre à certains enjeux de développement</w:t>
              </w:r>
            </w:hyperlink>
            <w:r w:rsidRPr="00880AA0">
              <w:rPr>
                <w:lang w:val="fr-FR"/>
              </w:rPr>
              <w:t xml:space="preserve"> – phases I et II (CDIP/5/6 et CDIP/13/9);</w:t>
            </w:r>
          </w:p>
          <w:p w:rsidR="003E0BB0" w:rsidRPr="00880AA0" w:rsidRDefault="003E0BB0" w:rsidP="00263F34">
            <w:pPr>
              <w:rPr>
                <w:b/>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 xml:space="preserve">Activités/réalisations </w:t>
            </w:r>
          </w:p>
        </w:tc>
        <w:tc>
          <w:tcPr>
            <w:tcW w:w="6751" w:type="dxa"/>
          </w:tcPr>
          <w:p w:rsidR="003E0BB0" w:rsidRPr="00880AA0" w:rsidRDefault="003E0BB0" w:rsidP="00263F34">
            <w:pPr>
              <w:rPr>
                <w:szCs w:val="24"/>
                <w:lang w:val="fr-FR"/>
              </w:rPr>
            </w:pPr>
            <w:r w:rsidRPr="00880AA0">
              <w:rPr>
                <w:szCs w:val="24"/>
                <w:lang w:val="fr-FR"/>
              </w:rPr>
              <w:t>A) Le Projet relatif à l’élaboration d’instruments permettant d’accéder à l’information en matière de brevets, qui traite les recommandations n</w:t>
            </w:r>
            <w:r w:rsidRPr="00880AA0">
              <w:rPr>
                <w:szCs w:val="24"/>
                <w:vertAlign w:val="superscript"/>
                <w:lang w:val="fr-FR"/>
              </w:rPr>
              <w:t>os</w:t>
            </w:r>
            <w:r w:rsidRPr="00880AA0">
              <w:rPr>
                <w:szCs w:val="24"/>
                <w:lang w:val="fr-FR"/>
              </w:rPr>
              <w:t> 19, 30 et 31 et prévoit la préparation de rapports panoramiques sur les brevets et de principes directeurs aux fins de l’élaboration de rapports panoramiques sur les brevets, a été lancé en 2009 et intégré en 2014.</w:t>
            </w:r>
          </w:p>
          <w:p w:rsidR="003E0BB0" w:rsidRPr="00880AA0" w:rsidRDefault="003E0BB0" w:rsidP="00263F34">
            <w:pPr>
              <w:rPr>
                <w:szCs w:val="24"/>
                <w:lang w:val="fr-FR"/>
              </w:rPr>
            </w:pPr>
          </w:p>
          <w:p w:rsidR="003E0BB0" w:rsidRPr="00880AA0" w:rsidRDefault="003E0BB0" w:rsidP="00263F34">
            <w:pPr>
              <w:rPr>
                <w:szCs w:val="24"/>
                <w:lang w:val="fr-FR"/>
              </w:rPr>
            </w:pPr>
            <w:r w:rsidRPr="00880AA0">
              <w:rPr>
                <w:szCs w:val="24"/>
                <w:lang w:val="fr-FR"/>
              </w:rPr>
              <w:t>De juillet 2017 à juin 2018, l’OMPI a continué d’aider les pays en développement à tirer profit des informations en matière de brevets par le biais de l’analyse des brevets et le personnel des CATI à offrir des services d’analyse des brevets.  Les activités de l’OMPI comprenaient :</w:t>
            </w:r>
          </w:p>
          <w:p w:rsidR="003E0BB0" w:rsidRPr="00880AA0" w:rsidRDefault="003E0BB0" w:rsidP="00263F34">
            <w:pPr>
              <w:rPr>
                <w:szCs w:val="24"/>
                <w:lang w:val="fr-FR"/>
              </w:rPr>
            </w:pPr>
          </w:p>
          <w:p w:rsidR="003E0BB0" w:rsidRPr="00880AA0" w:rsidRDefault="003E0BB0" w:rsidP="00263F34">
            <w:pPr>
              <w:rPr>
                <w:szCs w:val="24"/>
                <w:lang w:val="fr-FR"/>
              </w:rPr>
            </w:pPr>
            <w:r w:rsidRPr="00880AA0">
              <w:rPr>
                <w:szCs w:val="24"/>
                <w:lang w:val="fr-FR"/>
              </w:rPr>
              <w:t>– formation sur l’analyse des brevets, conduite dans six pays en développement;</w:t>
            </w:r>
          </w:p>
          <w:p w:rsidR="003E0BB0" w:rsidRPr="00880AA0" w:rsidRDefault="003E0BB0" w:rsidP="00263F34">
            <w:pPr>
              <w:rPr>
                <w:szCs w:val="24"/>
                <w:lang w:val="fr-FR"/>
              </w:rPr>
            </w:pPr>
          </w:p>
          <w:p w:rsidR="003E0BB0" w:rsidRPr="00880AA0" w:rsidRDefault="003E0BB0" w:rsidP="00263F34">
            <w:pPr>
              <w:rPr>
                <w:szCs w:val="24"/>
                <w:lang w:val="fr-FR"/>
              </w:rPr>
            </w:pPr>
            <w:r w:rsidRPr="00880AA0">
              <w:rPr>
                <w:szCs w:val="24"/>
                <w:lang w:val="fr-FR"/>
              </w:rPr>
              <w:t>– préparation d’un rapport panoramique sur les brevets sur les ressources génétiques marines dans la région de l’ASEAN (financé par l’Office des brevets du Japon);</w:t>
            </w:r>
          </w:p>
          <w:p w:rsidR="003E0BB0" w:rsidRPr="00880AA0" w:rsidRDefault="003E0BB0" w:rsidP="00263F34">
            <w:pPr>
              <w:rPr>
                <w:szCs w:val="24"/>
                <w:lang w:val="fr-FR"/>
              </w:rPr>
            </w:pPr>
          </w:p>
          <w:p w:rsidR="003E0BB0" w:rsidRPr="00880AA0" w:rsidRDefault="003E0BB0" w:rsidP="00263F34">
            <w:pPr>
              <w:rPr>
                <w:szCs w:val="24"/>
                <w:lang w:val="fr-FR"/>
              </w:rPr>
            </w:pPr>
            <w:r w:rsidRPr="00880AA0">
              <w:rPr>
                <w:szCs w:val="24"/>
                <w:lang w:val="fr-FR"/>
              </w:rPr>
              <w:t>– préparation d’un manuel sur l’analyse des brevets (financé par l’Office des brevets du Japon);  et</w:t>
            </w:r>
          </w:p>
          <w:p w:rsidR="003E0BB0" w:rsidRPr="00880AA0" w:rsidRDefault="003E0BB0" w:rsidP="00263F34">
            <w:pPr>
              <w:rPr>
                <w:szCs w:val="24"/>
                <w:lang w:val="fr-FR"/>
              </w:rPr>
            </w:pPr>
          </w:p>
          <w:p w:rsidR="003E0BB0" w:rsidRPr="00880AA0" w:rsidRDefault="003E0BB0" w:rsidP="00263F34">
            <w:pPr>
              <w:rPr>
                <w:szCs w:val="24"/>
                <w:lang w:val="fr-FR"/>
              </w:rPr>
            </w:pPr>
            <w:r w:rsidRPr="00880AA0">
              <w:rPr>
                <w:szCs w:val="24"/>
                <w:lang w:val="fr-FR"/>
              </w:rPr>
              <w:t>– lancement d’une base de données consultable sur les rapports panoramiques sur les brevets, comprenant plus de 210 rapports dans différents domaines.</w:t>
            </w:r>
          </w:p>
          <w:p w:rsidR="003E0BB0" w:rsidRPr="00880AA0" w:rsidRDefault="003E0BB0" w:rsidP="00263F34">
            <w:pPr>
              <w:rPr>
                <w:szCs w:val="24"/>
                <w:lang w:val="fr-FR"/>
              </w:rPr>
            </w:pPr>
          </w:p>
          <w:p w:rsidR="003E0BB0" w:rsidRPr="00880AA0" w:rsidRDefault="003E0BB0" w:rsidP="00263F34">
            <w:pPr>
              <w:rPr>
                <w:szCs w:val="24"/>
                <w:lang w:val="fr-FR"/>
              </w:rPr>
            </w:pPr>
            <w:r w:rsidRPr="00880AA0">
              <w:rPr>
                <w:szCs w:val="24"/>
                <w:lang w:val="fr-FR"/>
              </w:rPr>
              <w:t>Au cours de cette même période, l’intérêt pour l’analyse des brevets et les informations fournies par l’OMPI est resté élevé, avec 42 474 téléchargements de rapports panoramiques de l’OMPI au format pdf, 45 460 consultations uniques de la version en ligne du manuel sur les outils libres pour l’analyse des brevets et 15 700 consultations uniques sur les sites Web de l’OMPI consacrés aux rapports panoramiques sur les brevets.</w:t>
            </w:r>
          </w:p>
          <w:p w:rsidR="003E0BB0" w:rsidRPr="00880AA0" w:rsidRDefault="003E0BB0" w:rsidP="00263F34">
            <w:pPr>
              <w:rPr>
                <w:szCs w:val="24"/>
                <w:lang w:val="fr-FR"/>
              </w:rPr>
            </w:pPr>
          </w:p>
          <w:p w:rsidR="003E0BB0" w:rsidRPr="00880AA0" w:rsidRDefault="003E0BB0" w:rsidP="00263F34">
            <w:pPr>
              <w:rPr>
                <w:lang w:val="fr-FR"/>
              </w:rPr>
            </w:pPr>
            <w:r w:rsidRPr="00880AA0">
              <w:rPr>
                <w:lang w:val="fr-FR"/>
              </w:rPr>
              <w:t xml:space="preserve">B) Le projet </w:t>
            </w:r>
            <w:r w:rsidRPr="00880AA0">
              <w:rPr>
                <w:i/>
                <w:lang w:val="fr-FR"/>
              </w:rPr>
              <w:t>Renforcement des capacités d’utilisation de l’information technique et scientifique axée sur les technologies appropriées pour répondre à certains enjeux de développement – phase II</w:t>
            </w:r>
            <w:r w:rsidRPr="00880AA0">
              <w:rPr>
                <w:lang w:val="fr-FR"/>
              </w:rPr>
              <w:t xml:space="preserve"> a été finalisé avec succès dans les trois pays bénéficiaires, à savoir l’Éthiopie, le Rwanda et la République</w:t>
            </w:r>
            <w:r w:rsidRPr="00880AA0">
              <w:rPr>
                <w:lang w:val="fr-FR"/>
              </w:rPr>
              <w:noBreakHyphen/>
              <w:t>Unie de Tanzanie.  Ce projet mettait également en œuvre les recommandations n</w:t>
            </w:r>
            <w:r w:rsidRPr="00880AA0">
              <w:rPr>
                <w:vertAlign w:val="superscript"/>
                <w:lang w:val="fr-FR"/>
              </w:rPr>
              <w:t>os</w:t>
            </w:r>
            <w:r w:rsidRPr="00880AA0">
              <w:rPr>
                <w:lang w:val="fr-FR"/>
              </w:rPr>
              <w:t> 19 et 31 du Plan d’action pour le développement.</w:t>
            </w:r>
          </w:p>
          <w:p w:rsidR="003E0BB0" w:rsidRPr="00880AA0" w:rsidRDefault="003E0BB0" w:rsidP="00263F34">
            <w:pPr>
              <w:rPr>
                <w:lang w:val="fr-FR"/>
              </w:rPr>
            </w:pPr>
          </w:p>
          <w:p w:rsidR="003E0BB0" w:rsidRPr="00880AA0" w:rsidRDefault="003E0BB0" w:rsidP="00263F34">
            <w:pPr>
              <w:rPr>
                <w:lang w:val="fr-FR"/>
              </w:rPr>
            </w:pPr>
            <w:r w:rsidRPr="00880AA0">
              <w:rPr>
                <w:lang w:val="fr-FR"/>
              </w:rPr>
              <w:t>Le principal objectif de ce projet était de faciliter l’utilisation de l’information technique et scientifique appropriée pour répondre aux besoins de développement recensés au niveau national.</w:t>
            </w:r>
          </w:p>
          <w:p w:rsidR="003E0BB0" w:rsidRPr="00880AA0" w:rsidRDefault="003E0BB0" w:rsidP="00263F34">
            <w:pPr>
              <w:rPr>
                <w:lang w:val="fr-FR"/>
              </w:rPr>
            </w:pPr>
          </w:p>
          <w:p w:rsidR="003E0BB0" w:rsidRPr="00880AA0" w:rsidRDefault="003E0BB0" w:rsidP="00263F34">
            <w:pPr>
              <w:rPr>
                <w:lang w:val="fr-FR"/>
              </w:rPr>
            </w:pPr>
            <w:r w:rsidRPr="00880AA0">
              <w:rPr>
                <w:lang w:val="fr-FR"/>
              </w:rPr>
              <w:t>En particulier, au cours de cette période, les résultats suivants ont été obtenus :</w:t>
            </w:r>
          </w:p>
          <w:p w:rsidR="003E0BB0" w:rsidRPr="00880AA0" w:rsidRDefault="003E0BB0" w:rsidP="00263F34">
            <w:pPr>
              <w:rPr>
                <w:lang w:val="fr-FR"/>
              </w:rPr>
            </w:pPr>
          </w:p>
          <w:p w:rsidR="003E0BB0" w:rsidRPr="00880AA0" w:rsidRDefault="003E0BB0" w:rsidP="003E0BB0">
            <w:pPr>
              <w:pStyle w:val="ListParagraph"/>
              <w:numPr>
                <w:ilvl w:val="0"/>
                <w:numId w:val="46"/>
              </w:numPr>
              <w:ind w:left="1148" w:hanging="567"/>
              <w:rPr>
                <w:bCs/>
                <w:lang w:val="fr-FR"/>
              </w:rPr>
            </w:pPr>
            <w:r w:rsidRPr="00880AA0">
              <w:rPr>
                <w:bCs/>
                <w:lang w:val="fr-FR"/>
              </w:rPr>
              <w:t>Six rapports sur le paysage technologique axés sur le recensement des technologies appropriées les plus pertinentes et adaptées pour chacun des six besoins répertoriés ont été préparés (deux pour chaque pays).</w:t>
            </w:r>
          </w:p>
          <w:p w:rsidR="003E0BB0" w:rsidRPr="00880AA0" w:rsidRDefault="003E0BB0" w:rsidP="00263F34">
            <w:pPr>
              <w:ind w:left="1148" w:hanging="567"/>
              <w:rPr>
                <w:bCs/>
                <w:lang w:val="fr-FR"/>
              </w:rPr>
            </w:pPr>
          </w:p>
          <w:p w:rsidR="003E0BB0" w:rsidRPr="00880AA0" w:rsidRDefault="003E0BB0" w:rsidP="003E0BB0">
            <w:pPr>
              <w:pStyle w:val="ListParagraph"/>
              <w:numPr>
                <w:ilvl w:val="0"/>
                <w:numId w:val="46"/>
              </w:numPr>
              <w:ind w:left="1148" w:hanging="567"/>
              <w:rPr>
                <w:bCs/>
                <w:lang w:val="fr-FR"/>
              </w:rPr>
            </w:pPr>
            <w:r w:rsidRPr="00880AA0">
              <w:rPr>
                <w:bCs/>
                <w:lang w:val="fr-FR"/>
              </w:rPr>
              <w:t>Six plans de développement ont été établis, indiquant en détail la mise en œuvre étape par étape des technologies sélectionnées pour la fabrication du café et la récolte des algues, ainsi que dans le domaine de l’aquaculture, pour la sécurité et la diversification alimentaires au plan national.</w:t>
            </w:r>
          </w:p>
          <w:p w:rsidR="003E0BB0" w:rsidRPr="00880AA0" w:rsidRDefault="003E0BB0" w:rsidP="00263F34">
            <w:pPr>
              <w:ind w:left="1148" w:hanging="567"/>
              <w:rPr>
                <w:bCs/>
                <w:lang w:val="fr-FR"/>
              </w:rPr>
            </w:pPr>
          </w:p>
          <w:p w:rsidR="003E0BB0" w:rsidRPr="00880AA0" w:rsidRDefault="003E0BB0" w:rsidP="003E0BB0">
            <w:pPr>
              <w:pStyle w:val="ListParagraph"/>
              <w:numPr>
                <w:ilvl w:val="0"/>
                <w:numId w:val="46"/>
              </w:numPr>
              <w:ind w:left="1148" w:hanging="567"/>
              <w:rPr>
                <w:bCs/>
                <w:lang w:val="fr-FR"/>
              </w:rPr>
            </w:pPr>
            <w:r w:rsidRPr="00880AA0">
              <w:rPr>
                <w:bCs/>
                <w:lang w:val="fr-FR"/>
              </w:rPr>
              <w:t>Six réunions de groupes d’experts nationaux ont eu lieu dans les pays participants.  Ces réunions étaient consacrées à la sélection des technologies les plus appropriées et les mieux adaptées pour être mises en œuvre à l’échelle nationale.  De plus, ces réunions ont été l’occasion d’examiner l’application des technologies au niveau national, ainsi que la manière d’assurer la production d’effets concrets et positifs en termes de développement par l’utilisation des technologies à court, moyen et long terme.</w:t>
            </w:r>
          </w:p>
          <w:p w:rsidR="003E0BB0" w:rsidRPr="00880AA0" w:rsidRDefault="003E0BB0" w:rsidP="00263F34">
            <w:pPr>
              <w:rPr>
                <w:lang w:val="fr-FR"/>
              </w:rPr>
            </w:pPr>
          </w:p>
          <w:p w:rsidR="003E0BB0" w:rsidRPr="00880AA0" w:rsidRDefault="003E0BB0" w:rsidP="00263F34">
            <w:pPr>
              <w:rPr>
                <w:lang w:val="fr-FR"/>
              </w:rPr>
            </w:pPr>
            <w:r w:rsidRPr="00880AA0">
              <w:rPr>
                <w:lang w:val="fr-FR"/>
              </w:rPr>
              <w:t>Le projet a également été évalué et examiné en détail de façon indépendante lors de la vingt et unième session du CDIP.  Le</w:t>
            </w:r>
            <w:r w:rsidR="001465D9">
              <w:rPr>
                <w:lang w:val="fr-FR"/>
              </w:rPr>
              <w:t> </w:t>
            </w:r>
            <w:r w:rsidRPr="00880AA0">
              <w:rPr>
                <w:lang w:val="fr-FR"/>
              </w:rPr>
              <w:t>rapport d’évaluation a permis d’établir que le projet avait été mis en œuvre avec succès dans les trois pays bénéficiaires et que l’ensemble de ses objectifs et résultats avaient été réalisés.</w:t>
            </w:r>
          </w:p>
          <w:p w:rsidR="003E0BB0" w:rsidRPr="00880AA0" w:rsidRDefault="003E0BB0" w:rsidP="00263F34">
            <w:pPr>
              <w:rPr>
                <w:lang w:val="fr-FR"/>
              </w:rPr>
            </w:pPr>
          </w:p>
          <w:p w:rsidR="003E0BB0" w:rsidRPr="00880AA0" w:rsidRDefault="003E0BB0" w:rsidP="00263F34">
            <w:pPr>
              <w:rPr>
                <w:lang w:val="fr-FR"/>
              </w:rPr>
            </w:pPr>
            <w:r w:rsidRPr="00880AA0">
              <w:rPr>
                <w:lang w:val="fr-FR"/>
              </w:rPr>
              <w:t>Afin de mettre en œuvre les recommandations du Rapport d’évaluation, des projets bilatéraux sur le transfert de technologies appropriées au service du développement ont été lancés au Mozambique et en Ouganda, sur la base d’une analyse des besoins.</w:t>
            </w:r>
          </w:p>
          <w:p w:rsidR="003E0BB0" w:rsidRPr="00880AA0" w:rsidRDefault="003E0BB0" w:rsidP="00263F34">
            <w:pPr>
              <w:rPr>
                <w:lang w:val="fr-FR"/>
              </w:rPr>
            </w:pPr>
          </w:p>
          <w:p w:rsidR="003E0BB0" w:rsidRPr="00880AA0" w:rsidRDefault="003E0BB0" w:rsidP="00263F34">
            <w:pPr>
              <w:rPr>
                <w:lang w:val="fr-FR"/>
              </w:rPr>
            </w:pPr>
            <w:r w:rsidRPr="00880AA0">
              <w:rPr>
                <w:lang w:val="fr-FR"/>
              </w:rPr>
              <w:t>De plus, la Division pour les PMA mène actuellement un certain nombre d’activités pour créer un centre d’excellence sur l’utilisation des technologies appropriées, notamment la documentation sur les cas de réussite et la préparation d’un manuel sur l’utilisation des technologies appropriées.</w:t>
            </w:r>
          </w:p>
          <w:p w:rsidR="003E0BB0" w:rsidRPr="00880AA0" w:rsidRDefault="003E0BB0" w:rsidP="00263F34">
            <w:pPr>
              <w:rPr>
                <w:lang w:val="fr-FR"/>
              </w:rPr>
            </w:pPr>
          </w:p>
        </w:tc>
      </w:tr>
      <w:tr w:rsidR="003E0BB0" w:rsidRPr="00880AA0" w:rsidTr="00263F34">
        <w:tc>
          <w:tcPr>
            <w:tcW w:w="2538" w:type="dxa"/>
          </w:tcPr>
          <w:p w:rsidR="003E0BB0" w:rsidRPr="00880AA0" w:rsidRDefault="003E0BB0" w:rsidP="00263F34">
            <w:pPr>
              <w:rPr>
                <w:lang w:val="fr-FR"/>
              </w:rPr>
            </w:pPr>
            <w:r w:rsidRPr="00880AA0">
              <w:rPr>
                <w:lang w:val="fr-FR"/>
              </w:rPr>
              <w:t>Autres rapports/documents connexes</w:t>
            </w:r>
          </w:p>
        </w:tc>
        <w:tc>
          <w:tcPr>
            <w:tcW w:w="6751" w:type="dxa"/>
          </w:tcPr>
          <w:p w:rsidR="003E0BB0" w:rsidRPr="00880AA0" w:rsidRDefault="003E0BB0" w:rsidP="00263F34">
            <w:pPr>
              <w:rPr>
                <w:lang w:val="fr-FR"/>
              </w:rPr>
            </w:pPr>
            <w:r w:rsidRPr="00880AA0">
              <w:rPr>
                <w:lang w:val="fr-FR"/>
              </w:rPr>
              <w:t>Rapports examinés par le CDIP : CDIP/6/2, CDIP/8/2, CDIP/10/2, CDIP/10/6, CDIP/12/2, CDIP/12/3, CDIP/14/2, CDIP/14/6, CDIP/16/2, CDIP/18/2, CDIP/20/2, CDIP/21/13.</w:t>
            </w:r>
          </w:p>
          <w:p w:rsidR="003E0BB0" w:rsidRPr="00880AA0" w:rsidRDefault="003E0BB0" w:rsidP="00263F34">
            <w:pPr>
              <w:rPr>
                <w:lang w:val="fr-FR"/>
              </w:rPr>
            </w:pPr>
          </w:p>
          <w:p w:rsidR="003E0BB0" w:rsidRPr="00880AA0" w:rsidRDefault="003E0BB0" w:rsidP="00263F34">
            <w:pPr>
              <w:rPr>
                <w:lang w:val="fr-FR"/>
              </w:rPr>
            </w:pPr>
            <w:r w:rsidRPr="00880AA0">
              <w:rPr>
                <w:lang w:val="fr-FR"/>
              </w:rPr>
              <w:t>En dehors des activités qui figurent dans la base IP</w:t>
            </w:r>
            <w:r w:rsidRPr="00880AA0">
              <w:rPr>
                <w:lang w:val="fr-FR"/>
              </w:rPr>
              <w:noBreakHyphen/>
              <w:t>TAD, pour obtenir de plus amples informations sur les réalisations liées à cette recommandation, voir le Rapport sur la performance de l’OMPI 2016</w:t>
            </w:r>
            <w:r w:rsidRPr="00880AA0">
              <w:rPr>
                <w:lang w:val="fr-FR"/>
              </w:rPr>
              <w:noBreakHyphen/>
              <w:t>2017 (document WO/PBC/28/7).</w:t>
            </w:r>
          </w:p>
          <w:p w:rsidR="003E0BB0" w:rsidRPr="00880AA0" w:rsidRDefault="003E0BB0" w:rsidP="00263F34">
            <w:pPr>
              <w:rPr>
                <w:lang w:val="fr-FR"/>
              </w:rPr>
            </w:pPr>
          </w:p>
        </w:tc>
      </w:tr>
    </w:tbl>
    <w:p w:rsidR="003E0BB0" w:rsidRPr="00880AA0" w:rsidRDefault="003E0BB0" w:rsidP="003E0BB0">
      <w:pPr>
        <w:rPr>
          <w:lang w:val="fr-FR"/>
        </w:rPr>
      </w:pPr>
    </w:p>
    <w:p w:rsidR="003E0BB0" w:rsidRDefault="003E0BB0" w:rsidP="0029527A">
      <w:pPr>
        <w:rPr>
          <w:color w:val="333333"/>
          <w:lang w:val="fr-FR"/>
        </w:rPr>
        <w:sectPr w:rsidR="003E0BB0" w:rsidSect="0066454B">
          <w:headerReference w:type="even" r:id="rId92"/>
          <w:headerReference w:type="default" r:id="rId93"/>
          <w:footerReference w:type="even" r:id="rId94"/>
          <w:footerReference w:type="default" r:id="rId95"/>
          <w:headerReference w:type="first" r:id="rId96"/>
          <w:footerReference w:type="first" r:id="rId97"/>
          <w:pgSz w:w="11907" w:h="16840" w:code="9"/>
          <w:pgMar w:top="1418" w:right="1418" w:bottom="1418" w:left="1418" w:header="709" w:footer="709" w:gutter="0"/>
          <w:pgNumType w:start="1"/>
          <w:cols w:space="720"/>
          <w:titlePg/>
          <w:docGrid w:linePitch="299"/>
        </w:sectPr>
      </w:pPr>
    </w:p>
    <w:p w:rsidR="003E0BB0" w:rsidRPr="003B181C" w:rsidRDefault="003E0BB0" w:rsidP="003E0BB0"/>
    <w:tbl>
      <w:tblPr>
        <w:tblStyle w:val="TableGrid"/>
        <w:tblW w:w="0" w:type="auto"/>
        <w:tblLook w:val="04A0" w:firstRow="1" w:lastRow="0" w:firstColumn="1" w:lastColumn="0" w:noHBand="0" w:noVBand="1"/>
      </w:tblPr>
      <w:tblGrid>
        <w:gridCol w:w="2538"/>
        <w:gridCol w:w="6749"/>
      </w:tblGrid>
      <w:tr w:rsidR="003E0BB0" w:rsidRPr="003B181C" w:rsidTr="00263F34">
        <w:tc>
          <w:tcPr>
            <w:tcW w:w="2538" w:type="dxa"/>
            <w:shd w:val="clear" w:color="auto" w:fill="BFBFBF" w:themeFill="background1" w:themeFillShade="BF"/>
          </w:tcPr>
          <w:p w:rsidR="003E0BB0" w:rsidRPr="003B181C" w:rsidRDefault="003E0BB0" w:rsidP="00263F34">
            <w:pPr>
              <w:rPr>
                <w:lang w:val="fr-CH"/>
              </w:rPr>
            </w:pPr>
            <w:r w:rsidRPr="003B181C">
              <w:rPr>
                <w:lang w:val="fr-CH"/>
              </w:rPr>
              <w:t>Recommandation(s)</w:t>
            </w:r>
          </w:p>
        </w:tc>
        <w:tc>
          <w:tcPr>
            <w:tcW w:w="6751" w:type="dxa"/>
            <w:shd w:val="clear" w:color="auto" w:fill="BFBFBF" w:themeFill="background1" w:themeFillShade="BF"/>
          </w:tcPr>
          <w:p w:rsidR="003E0BB0" w:rsidRPr="003B181C" w:rsidRDefault="003E0BB0" w:rsidP="00263F34">
            <w:pPr>
              <w:rPr>
                <w:i/>
                <w:lang w:val="fr-FR"/>
              </w:rPr>
            </w:pPr>
            <w:r w:rsidRPr="003B181C">
              <w:rPr>
                <w:i/>
                <w:lang w:val="fr-FR"/>
              </w:rPr>
              <w:t>Recommandation n° 31</w:t>
            </w:r>
          </w:p>
          <w:p w:rsidR="003E0BB0" w:rsidRPr="003B181C" w:rsidRDefault="003E0BB0" w:rsidP="00263F34">
            <w:pPr>
              <w:rPr>
                <w:i/>
                <w:lang w:val="fr-FR"/>
              </w:rPr>
            </w:pPr>
          </w:p>
          <w:p w:rsidR="003E0BB0" w:rsidRPr="003B181C" w:rsidRDefault="003E0BB0" w:rsidP="00263F34">
            <w:pPr>
              <w:rPr>
                <w:lang w:val="fr-FR"/>
              </w:rPr>
            </w:pPr>
            <w:r w:rsidRPr="003B181C">
              <w:rPr>
                <w:lang w:val="fr-FR"/>
              </w:rPr>
              <w:t>Mettre en œuvre des initiatives arrêtées par les États membres qui contribuent au transfert de technologie en faveur des pays en développement, s’agissant par exemple de demander à l’OMPI de faciliter l’accès à l’information en matière de brevets accessible au public.</w:t>
            </w:r>
          </w:p>
          <w:p w:rsidR="003E0BB0" w:rsidRPr="003B181C" w:rsidRDefault="003E0BB0" w:rsidP="00263F34">
            <w:pPr>
              <w:rPr>
                <w:lang w:val="fr-FR"/>
              </w:rPr>
            </w:pPr>
          </w:p>
        </w:tc>
      </w:tr>
      <w:tr w:rsidR="003E0BB0" w:rsidRPr="003B181C" w:rsidTr="00263F34">
        <w:tc>
          <w:tcPr>
            <w:tcW w:w="2538" w:type="dxa"/>
          </w:tcPr>
          <w:p w:rsidR="003E0BB0" w:rsidRPr="003B181C" w:rsidRDefault="003E0BB0" w:rsidP="00263F34">
            <w:pPr>
              <w:rPr>
                <w:lang w:val="fr-CH"/>
              </w:rPr>
            </w:pPr>
            <w:r w:rsidRPr="003B181C">
              <w:rPr>
                <w:lang w:val="fr-CH"/>
              </w:rPr>
              <w:t>Programmes connexes dans le programme et budget pour l’exercice biennal 2018</w:t>
            </w:r>
            <w:r w:rsidRPr="003B181C">
              <w:rPr>
                <w:lang w:val="fr-CH"/>
              </w:rPr>
              <w:noBreakHyphen/>
              <w:t>2019</w:t>
            </w:r>
          </w:p>
        </w:tc>
        <w:tc>
          <w:tcPr>
            <w:tcW w:w="6751" w:type="dxa"/>
          </w:tcPr>
          <w:p w:rsidR="003E0BB0" w:rsidRPr="003B181C" w:rsidRDefault="003E0BB0" w:rsidP="00263F34">
            <w:r w:rsidRPr="003B181C">
              <w:t>5, 9, 12, 13, 14, 15, 20 et 30</w:t>
            </w:r>
          </w:p>
          <w:p w:rsidR="003E0BB0" w:rsidRPr="003B181C" w:rsidRDefault="003E0BB0" w:rsidP="00263F34">
            <w:pPr>
              <w:tabs>
                <w:tab w:val="left" w:pos="2188"/>
              </w:tabs>
            </w:pPr>
          </w:p>
        </w:tc>
      </w:tr>
      <w:tr w:rsidR="003E0BB0" w:rsidRPr="003B181C" w:rsidTr="00263F34">
        <w:tc>
          <w:tcPr>
            <w:tcW w:w="2538" w:type="dxa"/>
          </w:tcPr>
          <w:p w:rsidR="003E0BB0" w:rsidRPr="003B181C" w:rsidRDefault="003E0BB0" w:rsidP="00263F34">
            <w:pPr>
              <w:rPr>
                <w:lang w:val="fr-CH"/>
              </w:rPr>
            </w:pPr>
            <w:r w:rsidRPr="003B181C">
              <w:rPr>
                <w:lang w:val="fr-CH"/>
              </w:rPr>
              <w:t xml:space="preserve">Mise en œuvre </w:t>
            </w:r>
          </w:p>
        </w:tc>
        <w:tc>
          <w:tcPr>
            <w:tcW w:w="6751" w:type="dxa"/>
          </w:tcPr>
          <w:p w:rsidR="003E0BB0" w:rsidRPr="003B181C" w:rsidRDefault="003E0BB0" w:rsidP="00263F34">
            <w:pPr>
              <w:rPr>
                <w:lang w:val="fr-CH"/>
              </w:rPr>
            </w:pPr>
            <w:r w:rsidRPr="003B181C">
              <w:rPr>
                <w:lang w:val="fr-CH"/>
              </w:rPr>
              <w:t>Cette recommandation est en cours de mise en œuvre depuis 2010.  Elle a été examinée et traitée dans le cadre des activités convenues à la quatrième session du CDIP, comme il ressort des documents CDIP/4/6 et CDIP/5/6 Rev.</w:t>
            </w:r>
          </w:p>
          <w:p w:rsidR="003E0BB0" w:rsidRPr="003B181C" w:rsidRDefault="003E0BB0" w:rsidP="00263F34">
            <w:pPr>
              <w:rPr>
                <w:lang w:val="fr-CH"/>
              </w:rPr>
            </w:pPr>
          </w:p>
        </w:tc>
      </w:tr>
      <w:tr w:rsidR="003E0BB0" w:rsidRPr="003B181C" w:rsidTr="00263F34">
        <w:tc>
          <w:tcPr>
            <w:tcW w:w="2538" w:type="dxa"/>
          </w:tcPr>
          <w:p w:rsidR="003E0BB0" w:rsidRPr="003B181C" w:rsidRDefault="003E0BB0" w:rsidP="00263F34">
            <w:pPr>
              <w:rPr>
                <w:lang w:val="fr-CH"/>
              </w:rPr>
            </w:pPr>
            <w:r w:rsidRPr="003B181C">
              <w:rPr>
                <w:lang w:val="fr-CH"/>
              </w:rPr>
              <w:t>Projets connexes relatifs au Plan d’action pour le développement</w:t>
            </w:r>
          </w:p>
        </w:tc>
        <w:tc>
          <w:tcPr>
            <w:tcW w:w="6751" w:type="dxa"/>
          </w:tcPr>
          <w:p w:rsidR="003E0BB0" w:rsidRPr="003B181C" w:rsidRDefault="003E0BB0" w:rsidP="00263F34">
            <w:pPr>
              <w:rPr>
                <w:lang w:val="fr-CH"/>
              </w:rPr>
            </w:pPr>
            <w:r w:rsidRPr="003B181C">
              <w:rPr>
                <w:lang w:val="fr-CH"/>
              </w:rPr>
              <w:t>La recommandation a été principalement traitée dans le cadre des projets ci</w:t>
            </w:r>
            <w:r w:rsidRPr="003B181C">
              <w:rPr>
                <w:lang w:val="fr-CH"/>
              </w:rPr>
              <w:noBreakHyphen/>
              <w:t>après :</w:t>
            </w:r>
          </w:p>
          <w:p w:rsidR="003E0BB0" w:rsidRPr="003B181C" w:rsidRDefault="003E0BB0" w:rsidP="00263F34">
            <w:pPr>
              <w:rPr>
                <w:lang w:val="fr-CH"/>
              </w:rPr>
            </w:pPr>
          </w:p>
          <w:p w:rsidR="003E0BB0" w:rsidRPr="003B181C" w:rsidRDefault="003E0BB0" w:rsidP="00263F34">
            <w:pPr>
              <w:rPr>
                <w:lang w:val="fr-FR"/>
              </w:rPr>
            </w:pPr>
            <w:r w:rsidRPr="003B181C">
              <w:rPr>
                <w:lang w:val="fr-FR"/>
              </w:rPr>
              <w:t xml:space="preserve">– </w:t>
            </w:r>
            <w:hyperlink r:id="rId98" w:history="1">
              <w:r w:rsidRPr="003B181C">
                <w:rPr>
                  <w:lang w:val="fr-FR"/>
                </w:rPr>
                <w:t>Élaboration d’instruments permettant d’accéder à l’information en matière de brevets – phases I</w:t>
              </w:r>
            </w:hyperlink>
            <w:hyperlink r:id="rId99" w:history="1">
              <w:r w:rsidRPr="003B181C">
                <w:rPr>
                  <w:lang w:val="fr-FR"/>
                </w:rPr>
                <w:t xml:space="preserve"> </w:t>
              </w:r>
            </w:hyperlink>
            <w:r w:rsidRPr="003B181C">
              <w:rPr>
                <w:lang w:val="fr-FR"/>
              </w:rPr>
              <w:t>et II (CDIP/5/REF_CDIP et CDIP/10/13)</w:t>
            </w:r>
          </w:p>
          <w:p w:rsidR="003E0BB0" w:rsidRPr="003B181C" w:rsidRDefault="003E0BB0" w:rsidP="00263F34">
            <w:pPr>
              <w:rPr>
                <w:lang w:val="fr-FR"/>
              </w:rPr>
            </w:pPr>
          </w:p>
          <w:p w:rsidR="003E0BB0" w:rsidRPr="003B181C" w:rsidRDefault="003E0BB0" w:rsidP="00263F34">
            <w:pPr>
              <w:rPr>
                <w:lang w:val="fr-FR"/>
              </w:rPr>
            </w:pPr>
            <w:r w:rsidRPr="003B181C">
              <w:rPr>
                <w:lang w:val="fr-FR"/>
              </w:rPr>
              <w:t xml:space="preserve">– </w:t>
            </w:r>
            <w:hyperlink r:id="rId100" w:history="1">
              <w:r w:rsidRPr="003B181C">
                <w:rPr>
                  <w:lang w:val="fr-FR"/>
                </w:rPr>
                <w:t>Renforcement des capacit</w:t>
              </w:r>
              <w:r w:rsidRPr="003B181C">
                <w:rPr>
                  <w:rFonts w:hint="eastAsia"/>
                  <w:lang w:val="fr-FR"/>
                </w:rPr>
                <w:t>é</w:t>
              </w:r>
              <w:r w:rsidRPr="003B181C">
                <w:rPr>
                  <w:lang w:val="fr-FR"/>
                </w:rPr>
                <w:t>s d’utilisation de l’information technique et scientifique ax</w:t>
              </w:r>
              <w:r w:rsidRPr="003B181C">
                <w:rPr>
                  <w:rFonts w:hint="eastAsia"/>
                  <w:lang w:val="fr-FR"/>
                </w:rPr>
                <w:t>é</w:t>
              </w:r>
              <w:r w:rsidRPr="003B181C">
                <w:rPr>
                  <w:lang w:val="fr-FR"/>
                </w:rPr>
                <w:t>e sur les technologies appropri</w:t>
              </w:r>
              <w:r w:rsidRPr="003B181C">
                <w:rPr>
                  <w:rFonts w:hint="eastAsia"/>
                  <w:lang w:val="fr-FR"/>
                </w:rPr>
                <w:t>é</w:t>
              </w:r>
              <w:r w:rsidRPr="003B181C">
                <w:rPr>
                  <w:lang w:val="fr-FR"/>
                </w:rPr>
                <w:t>es pour r</w:t>
              </w:r>
              <w:r w:rsidRPr="003B181C">
                <w:rPr>
                  <w:rFonts w:hint="eastAsia"/>
                  <w:lang w:val="fr-FR"/>
                </w:rPr>
                <w:t>é</w:t>
              </w:r>
              <w:r w:rsidRPr="003B181C">
                <w:rPr>
                  <w:lang w:val="fr-FR"/>
                </w:rPr>
                <w:t xml:space="preserve">pondre </w:t>
              </w:r>
              <w:r w:rsidRPr="003B181C">
                <w:rPr>
                  <w:rFonts w:hint="eastAsia"/>
                  <w:lang w:val="fr-FR"/>
                </w:rPr>
                <w:t>à</w:t>
              </w:r>
              <w:r w:rsidRPr="003B181C">
                <w:rPr>
                  <w:lang w:val="fr-FR"/>
                </w:rPr>
                <w:t xml:space="preserve"> certains enjeux de d</w:t>
              </w:r>
              <w:r w:rsidRPr="003B181C">
                <w:rPr>
                  <w:rFonts w:hint="eastAsia"/>
                  <w:lang w:val="fr-FR"/>
                </w:rPr>
                <w:t>é</w:t>
              </w:r>
              <w:r w:rsidRPr="003B181C">
                <w:rPr>
                  <w:lang w:val="fr-FR"/>
                </w:rPr>
                <w:t>veloppement – phases I</w:t>
              </w:r>
            </w:hyperlink>
            <w:r w:rsidRPr="003B181C">
              <w:rPr>
                <w:lang w:val="fr-FR"/>
              </w:rPr>
              <w:t xml:space="preserve"> et II (CDIP/5/6 et CDIP/13/9)</w:t>
            </w:r>
          </w:p>
          <w:p w:rsidR="003E0BB0" w:rsidRPr="003B181C" w:rsidRDefault="003E0BB0" w:rsidP="00263F34">
            <w:pPr>
              <w:rPr>
                <w:lang w:val="fr-FR"/>
              </w:rPr>
            </w:pPr>
          </w:p>
          <w:p w:rsidR="003E0BB0" w:rsidRPr="003B181C" w:rsidRDefault="003E0BB0" w:rsidP="00263F34">
            <w:pPr>
              <w:rPr>
                <w:lang w:val="fr-CH"/>
              </w:rPr>
            </w:pPr>
            <w:r w:rsidRPr="003B181C">
              <w:rPr>
                <w:lang w:val="fr-CH"/>
              </w:rPr>
              <w:t>Cette recommandation est également traitée dans le cadre des projets en cours du Plan d’action pour le développement ci</w:t>
            </w:r>
            <w:r w:rsidRPr="003B181C">
              <w:rPr>
                <w:lang w:val="fr-CH"/>
              </w:rPr>
              <w:noBreakHyphen/>
              <w:t>après :</w:t>
            </w:r>
          </w:p>
          <w:p w:rsidR="003E0BB0" w:rsidRPr="003B181C" w:rsidRDefault="003E0BB0" w:rsidP="00263F34">
            <w:pPr>
              <w:rPr>
                <w:lang w:val="fr-CH"/>
              </w:rPr>
            </w:pPr>
          </w:p>
          <w:p w:rsidR="003E0BB0" w:rsidRPr="003B181C" w:rsidRDefault="003E0BB0" w:rsidP="00263F34">
            <w:pPr>
              <w:rPr>
                <w:lang w:val="fr-FR"/>
              </w:rPr>
            </w:pPr>
            <w:r w:rsidRPr="003B181C">
              <w:rPr>
                <w:lang w:val="fr-FR"/>
              </w:rPr>
              <w:t xml:space="preserve">– </w:t>
            </w:r>
            <w:hyperlink r:id="rId101" w:history="1">
              <w:r w:rsidRPr="003B181C">
                <w:rPr>
                  <w:lang w:val="fr-FR"/>
                </w:rPr>
                <w:t>Gestion de la propriété intellectuelle et transfert de technologie : promouvoir l’utilisation efficace de la propriété intellectuelle dans les pays en développement, les pays les moins avancés et les pays en transition</w:t>
              </w:r>
            </w:hyperlink>
            <w:hyperlink r:id="rId102" w:history="1">
              <w:r w:rsidRPr="003B181C">
                <w:rPr>
                  <w:lang w:val="fr-FR"/>
                </w:rPr>
                <w:t xml:space="preserve"> </w:t>
              </w:r>
            </w:hyperlink>
            <w:r w:rsidRPr="003B181C">
              <w:rPr>
                <w:lang w:val="fr-FR"/>
              </w:rPr>
              <w:t>(CDIP/19/11 Rev.)</w:t>
            </w:r>
          </w:p>
          <w:p w:rsidR="003E0BB0" w:rsidRPr="003B181C" w:rsidRDefault="003E0BB0" w:rsidP="00263F34">
            <w:pPr>
              <w:rPr>
                <w:lang w:val="fr-FR"/>
              </w:rPr>
            </w:pPr>
          </w:p>
          <w:p w:rsidR="003E0BB0" w:rsidRPr="003B181C" w:rsidRDefault="003E0BB0" w:rsidP="00263F34">
            <w:pPr>
              <w:rPr>
                <w:lang w:val="fr-FR"/>
              </w:rPr>
            </w:pPr>
            <w:r w:rsidRPr="003B181C">
              <w:rPr>
                <w:lang w:val="fr-FR"/>
              </w:rPr>
              <w:t xml:space="preserve">– </w:t>
            </w:r>
            <w:hyperlink r:id="rId103" w:history="1">
              <w:r w:rsidRPr="003B181C">
                <w:rPr>
                  <w:lang w:val="fr-FR"/>
                </w:rPr>
                <w:t>Renforcer le rôle des femmes dans l’innovation et l’entrepreneuriat : encourager les femmes des pays en développement à utiliser le système de la propriété intellectuelle</w:t>
              </w:r>
            </w:hyperlink>
            <w:hyperlink r:id="rId104" w:history="1">
              <w:r w:rsidRPr="003B181C">
                <w:rPr>
                  <w:lang w:val="fr-FR"/>
                </w:rPr>
                <w:t xml:space="preserve"> </w:t>
              </w:r>
            </w:hyperlink>
            <w:r w:rsidRPr="003B181C">
              <w:rPr>
                <w:lang w:val="fr-FR"/>
              </w:rPr>
              <w:t>(CDIP/21/12 Rev.)</w:t>
            </w:r>
          </w:p>
          <w:p w:rsidR="003E0BB0" w:rsidRPr="003B181C" w:rsidRDefault="003E0BB0" w:rsidP="00263F34">
            <w:pPr>
              <w:rPr>
                <w:b/>
                <w:lang w:val="fr-FR"/>
              </w:rPr>
            </w:pPr>
          </w:p>
        </w:tc>
      </w:tr>
      <w:tr w:rsidR="003E0BB0" w:rsidRPr="003B181C" w:rsidTr="00263F34">
        <w:tc>
          <w:tcPr>
            <w:tcW w:w="2538" w:type="dxa"/>
          </w:tcPr>
          <w:p w:rsidR="003E0BB0" w:rsidRPr="003B181C" w:rsidRDefault="003E0BB0" w:rsidP="00263F34">
            <w:pPr>
              <w:rPr>
                <w:lang w:val="fr-CH"/>
              </w:rPr>
            </w:pPr>
            <w:r w:rsidRPr="003B181C">
              <w:rPr>
                <w:lang w:val="fr-CH"/>
              </w:rPr>
              <w:t>Activités/réalisations</w:t>
            </w:r>
          </w:p>
        </w:tc>
        <w:tc>
          <w:tcPr>
            <w:tcW w:w="6751" w:type="dxa"/>
          </w:tcPr>
          <w:p w:rsidR="003E0BB0" w:rsidRPr="003B181C" w:rsidRDefault="003E0BB0" w:rsidP="00263F34">
            <w:pPr>
              <w:rPr>
                <w:lang w:val="fr-CH"/>
              </w:rPr>
            </w:pPr>
            <w:r w:rsidRPr="003B181C">
              <w:rPr>
                <w:lang w:val="fr-CH"/>
              </w:rPr>
              <w:t>Dans le cadre du Projet sur le renforcement des capacités d’utilisation de l’information technique et scientifique axée sur les technologies appropriées pour répondre à certains enjeux de développement – phase II, les rapports sur le paysage technologique ont été finalisés sur la base des rapports sur la recherche en matière de brevets pour chacun des deux domaines recensés où il existe des besoins de développement dans les trois pays participants (Éthiopie, Rwanda et Tanzanie).  Ils étaient axés sur le recensement des technologies appropriées les plus pertinentes et adaptées pour chaque besoin répertorié.  Le projet a été mené à bien et un rapport d’évaluation a été examiné par le comité à sa vingt et unième session (document CDIP/21/13).</w:t>
            </w:r>
          </w:p>
          <w:p w:rsidR="003E0BB0" w:rsidRPr="003B181C" w:rsidRDefault="003E0BB0" w:rsidP="00263F34">
            <w:pPr>
              <w:rPr>
                <w:lang w:val="fr-CH"/>
              </w:rPr>
            </w:pPr>
          </w:p>
          <w:p w:rsidR="003E0BB0" w:rsidRPr="003B181C" w:rsidRDefault="003E0BB0" w:rsidP="00263F34">
            <w:pPr>
              <w:rPr>
                <w:bCs/>
                <w:lang w:val="fr-CH"/>
              </w:rPr>
            </w:pPr>
            <w:r w:rsidRPr="003B181C">
              <w:rPr>
                <w:bCs/>
                <w:lang w:val="fr-CH"/>
              </w:rPr>
              <w:t>Dans le cadre du Projet sur l’utilisation des informations relevant du domaine public aux fins du développement économique (CDIP/16/4 REV.), deux guides pratiques ont été élaborés pour faciliter le recensement et l’utilisation des objets relevant du domaine public.  Pour s’assurer que les guides soient adaptés aux besoins des Centres d’appui à la technologie et à l’innovation (CATI), des innovateurs et des entrepreneurs dans les pays en développement, les pays les moins avancés et les pays en transition, ils ont été testés dans neuf réseaux nationaux de CATI.  Le coup d’envoi du processus a été donné lors d’une réunion d’experts organisée à Genève les 25 et 26 juillet 2017.  Les guides ont été mis au point et sont en voie d’être publiés et traduits dans les six </w:t>
            </w:r>
            <w:r w:rsidRPr="003B181C">
              <w:rPr>
                <w:lang w:val="fr-CH"/>
              </w:rPr>
              <w:t>langues</w:t>
            </w:r>
            <w:r w:rsidRPr="003B181C">
              <w:rPr>
                <w:bCs/>
                <w:lang w:val="fr-CH"/>
              </w:rPr>
              <w:t xml:space="preserve"> officielles.  Des ateliers de formation se mettent en place avec l’appui des experts participant au projet afin de permettre au personnel des CATI de promouvoir l’utilisation des guides dans le cadre de leur offre de services.  Afin de faciliter l’accès aux gazettes et aux registres de brevets ainsi qu’aux informations relatives à la situation juridique disponibles en ligne, qui aident à déterminer si une invention relève du domaine public, le portail d’accès au registre des brevets de l’OMPI a été revu dans le cadre du même projet et doté d’une nouvelle interface utilisateur améliorée et d’un contenu actualisé et étendu à plus de 200 ressorts juridiques et collections d’informations en matière de brevets.  On trouvera de plus amples informations sur les activités menées au titre de ce projet à l’annexe II du présent document.</w:t>
            </w:r>
          </w:p>
          <w:p w:rsidR="003E0BB0" w:rsidRPr="003B181C" w:rsidRDefault="003E0BB0" w:rsidP="00263F34">
            <w:pPr>
              <w:rPr>
                <w:lang w:val="fr-CH"/>
              </w:rPr>
            </w:pPr>
          </w:p>
          <w:p w:rsidR="003E0BB0" w:rsidRPr="003B181C" w:rsidRDefault="003E0BB0" w:rsidP="00263F34">
            <w:pPr>
              <w:rPr>
                <w:lang w:val="fr-CH"/>
              </w:rPr>
            </w:pPr>
            <w:r w:rsidRPr="003B181C">
              <w:rPr>
                <w:lang w:val="fr-CH"/>
              </w:rPr>
              <w:t>Un nouveau projet élaboré au titre de cette recommandation a été approuvé en 2018, visant à renforcer le rôle des femmes dans l’innovation et l’entrepreneuriat, en encourageant les femmes des pays en développement à utiliser le système de la propriété intellectuelle (CDIP/21/12 Rev.).  La mise en œuvre de ce projet commencera en 2019.</w:t>
            </w:r>
          </w:p>
          <w:p w:rsidR="003E0BB0" w:rsidRPr="003B181C" w:rsidRDefault="003E0BB0" w:rsidP="00263F34">
            <w:pPr>
              <w:rPr>
                <w:lang w:val="fr-CH"/>
              </w:rPr>
            </w:pPr>
          </w:p>
        </w:tc>
      </w:tr>
      <w:tr w:rsidR="003E0BB0" w:rsidRPr="003B181C" w:rsidTr="00263F34">
        <w:tc>
          <w:tcPr>
            <w:tcW w:w="2538" w:type="dxa"/>
          </w:tcPr>
          <w:p w:rsidR="003E0BB0" w:rsidRPr="003B181C" w:rsidRDefault="003E0BB0" w:rsidP="00263F34">
            <w:pPr>
              <w:rPr>
                <w:lang w:val="fr-CH"/>
              </w:rPr>
            </w:pPr>
            <w:r w:rsidRPr="003B181C">
              <w:rPr>
                <w:lang w:val="fr-CH"/>
              </w:rPr>
              <w:t>Autres rapports/ documents connexes</w:t>
            </w:r>
          </w:p>
        </w:tc>
        <w:tc>
          <w:tcPr>
            <w:tcW w:w="6751" w:type="dxa"/>
          </w:tcPr>
          <w:p w:rsidR="003E0BB0" w:rsidRPr="003B181C" w:rsidRDefault="003E0BB0" w:rsidP="00263F34">
            <w:pPr>
              <w:tabs>
                <w:tab w:val="left" w:pos="3759"/>
              </w:tabs>
              <w:rPr>
                <w:lang w:val="fr-CH"/>
              </w:rPr>
            </w:pPr>
            <w:r w:rsidRPr="003B181C">
              <w:rPr>
                <w:lang w:val="fr-CH"/>
              </w:rPr>
              <w:t>Rapports examinés par le CDIP : CDIP/6/2;  CDIP/8/2;  CDIP/10/2;  CDIP/10/6;  CDIP/12/2;  CDIP/12/3;  CDIP/14/2;  CDIP/14/6;  CDIP/16/2;  CDIP/18/2;  CDIP/19/11/Rev. ;  CDIP/20/2;  CDIP/21/13.</w:t>
            </w:r>
          </w:p>
          <w:p w:rsidR="003E0BB0" w:rsidRPr="003B181C" w:rsidRDefault="003E0BB0" w:rsidP="00263F34">
            <w:pPr>
              <w:rPr>
                <w:lang w:val="fr-CH"/>
              </w:rPr>
            </w:pPr>
          </w:p>
          <w:p w:rsidR="003E0BB0" w:rsidRPr="003B181C" w:rsidRDefault="003E0BB0" w:rsidP="00263F34">
            <w:pPr>
              <w:rPr>
                <w:lang w:val="fr-CH"/>
              </w:rPr>
            </w:pPr>
            <w:r w:rsidRPr="003B181C">
              <w:rPr>
                <w:lang w:val="fr-CH"/>
              </w:rPr>
              <w:t>En dehors des activités qui figurent dans la base de données de l’assistance technique en matière de propriété intellectuelle (IP</w:t>
            </w:r>
            <w:r w:rsidRPr="003B181C">
              <w:rPr>
                <w:lang w:val="fr-CH"/>
              </w:rPr>
              <w:noBreakHyphen/>
              <w:t>TAD), prière de se référer, pour obtenir de plus amples informations sur les réalisations liées à cette recommandation, au Rapport sur la performance de l’OMPI en 2016</w:t>
            </w:r>
            <w:r w:rsidRPr="003B181C">
              <w:rPr>
                <w:lang w:val="fr-CH"/>
              </w:rPr>
              <w:noBreakHyphen/>
              <w:t>2017 (document WO/PBC/28/7).</w:t>
            </w:r>
          </w:p>
          <w:p w:rsidR="003E0BB0" w:rsidRPr="003B181C" w:rsidRDefault="003E0BB0" w:rsidP="00263F34">
            <w:pPr>
              <w:rPr>
                <w:lang w:val="fr-CH"/>
              </w:rPr>
            </w:pPr>
          </w:p>
        </w:tc>
      </w:tr>
    </w:tbl>
    <w:p w:rsidR="003E0BB0" w:rsidRPr="003B181C" w:rsidRDefault="003E0BB0" w:rsidP="003E0BB0">
      <w:pPr>
        <w:rPr>
          <w:lang w:val="fr-CH"/>
        </w:rPr>
      </w:pPr>
      <w:r w:rsidRPr="003B181C">
        <w:rPr>
          <w:lang w:val="fr-CH"/>
        </w:rPr>
        <w:br w:type="page"/>
      </w:r>
    </w:p>
    <w:tbl>
      <w:tblPr>
        <w:tblStyle w:val="TableGrid"/>
        <w:tblW w:w="0" w:type="auto"/>
        <w:tblLook w:val="04A0" w:firstRow="1" w:lastRow="0" w:firstColumn="1" w:lastColumn="0" w:noHBand="0" w:noVBand="1"/>
      </w:tblPr>
      <w:tblGrid>
        <w:gridCol w:w="2538"/>
        <w:gridCol w:w="6749"/>
      </w:tblGrid>
      <w:tr w:rsidR="003E0BB0" w:rsidRPr="003B181C" w:rsidTr="00263F34">
        <w:tc>
          <w:tcPr>
            <w:tcW w:w="2538" w:type="dxa"/>
            <w:shd w:val="clear" w:color="auto" w:fill="BFBFBF" w:themeFill="background1" w:themeFillShade="BF"/>
          </w:tcPr>
          <w:p w:rsidR="003E0BB0" w:rsidRPr="003B181C" w:rsidRDefault="003E0BB0" w:rsidP="00263F34">
            <w:pPr>
              <w:rPr>
                <w:lang w:val="fr-CH"/>
              </w:rPr>
            </w:pPr>
            <w:r w:rsidRPr="003B181C">
              <w:rPr>
                <w:lang w:val="fr-CH"/>
              </w:rPr>
              <w:t>Recommandation(s)</w:t>
            </w:r>
          </w:p>
        </w:tc>
        <w:tc>
          <w:tcPr>
            <w:tcW w:w="6751" w:type="dxa"/>
            <w:shd w:val="clear" w:color="auto" w:fill="BFBFBF" w:themeFill="background1" w:themeFillShade="BF"/>
          </w:tcPr>
          <w:p w:rsidR="003E0BB0" w:rsidRPr="003B181C" w:rsidRDefault="003E0BB0" w:rsidP="00263F34">
            <w:pPr>
              <w:rPr>
                <w:i/>
                <w:lang w:val="fr-CH"/>
              </w:rPr>
            </w:pPr>
            <w:r w:rsidRPr="003B181C">
              <w:rPr>
                <w:i/>
                <w:lang w:val="fr-CH"/>
              </w:rPr>
              <w:t>Recommandation n° 32</w:t>
            </w:r>
          </w:p>
          <w:p w:rsidR="003E0BB0" w:rsidRPr="003B181C" w:rsidRDefault="003E0BB0" w:rsidP="00263F34">
            <w:pPr>
              <w:rPr>
                <w:i/>
                <w:lang w:val="fr-CH"/>
              </w:rPr>
            </w:pPr>
          </w:p>
          <w:p w:rsidR="003E0BB0" w:rsidRPr="003B181C" w:rsidRDefault="003E0BB0" w:rsidP="00263F34">
            <w:pPr>
              <w:rPr>
                <w:lang w:val="fr-FR"/>
              </w:rPr>
            </w:pPr>
            <w:r w:rsidRPr="003B181C">
              <w:rPr>
                <w:lang w:val="fr-CH"/>
              </w:rPr>
              <w:t>Ména</w:t>
            </w:r>
            <w:r w:rsidRPr="003B181C">
              <w:rPr>
                <w:lang w:val="fr-FR"/>
              </w:rPr>
              <w:t>ger au sein de l’OMPI la possibilité d’échanger des informations et des données d’expérience nationales et régionales sur les liens entre les droits de propriété intellectuelle et les politiques en matière de concurrence.</w:t>
            </w:r>
          </w:p>
          <w:p w:rsidR="003E0BB0" w:rsidRPr="003B181C" w:rsidRDefault="003E0BB0" w:rsidP="00263F34">
            <w:pPr>
              <w:rPr>
                <w:lang w:val="fr-FR"/>
              </w:rPr>
            </w:pPr>
          </w:p>
        </w:tc>
      </w:tr>
      <w:tr w:rsidR="003E0BB0" w:rsidRPr="003B181C" w:rsidTr="00263F34">
        <w:tc>
          <w:tcPr>
            <w:tcW w:w="2538" w:type="dxa"/>
          </w:tcPr>
          <w:p w:rsidR="003E0BB0" w:rsidRPr="003B181C" w:rsidRDefault="003E0BB0" w:rsidP="00263F34">
            <w:pPr>
              <w:rPr>
                <w:lang w:val="fr-CH"/>
              </w:rPr>
            </w:pPr>
            <w:r w:rsidRPr="003B181C">
              <w:rPr>
                <w:lang w:val="fr-CH"/>
              </w:rPr>
              <w:t>Programmes connexes dans le programme et budget pour l’exercice biennal 2018</w:t>
            </w:r>
            <w:r w:rsidRPr="003B181C">
              <w:rPr>
                <w:lang w:val="fr-CH"/>
              </w:rPr>
              <w:noBreakHyphen/>
              <w:t>2019</w:t>
            </w:r>
          </w:p>
          <w:p w:rsidR="003E0BB0" w:rsidRPr="003B181C" w:rsidRDefault="003E0BB0" w:rsidP="00263F34">
            <w:pPr>
              <w:rPr>
                <w:lang w:val="fr-CH"/>
              </w:rPr>
            </w:pPr>
          </w:p>
        </w:tc>
        <w:tc>
          <w:tcPr>
            <w:tcW w:w="6751" w:type="dxa"/>
          </w:tcPr>
          <w:p w:rsidR="003E0BB0" w:rsidRPr="003B181C" w:rsidRDefault="003E0BB0" w:rsidP="00263F34">
            <w:r w:rsidRPr="003B181C">
              <w:t>4, 9, 11 et 30</w:t>
            </w:r>
          </w:p>
        </w:tc>
      </w:tr>
      <w:tr w:rsidR="003E0BB0" w:rsidRPr="003B181C" w:rsidTr="00263F34">
        <w:tc>
          <w:tcPr>
            <w:tcW w:w="2538" w:type="dxa"/>
          </w:tcPr>
          <w:p w:rsidR="003E0BB0" w:rsidRPr="003B181C" w:rsidRDefault="003E0BB0" w:rsidP="00263F34">
            <w:pPr>
              <w:rPr>
                <w:lang w:val="fr-CH"/>
              </w:rPr>
            </w:pPr>
            <w:r w:rsidRPr="003B181C">
              <w:rPr>
                <w:lang w:val="fr-CH"/>
              </w:rPr>
              <w:t>Mise en œuvre</w:t>
            </w:r>
          </w:p>
        </w:tc>
        <w:tc>
          <w:tcPr>
            <w:tcW w:w="6751" w:type="dxa"/>
          </w:tcPr>
          <w:p w:rsidR="003E0BB0" w:rsidRPr="003B181C" w:rsidRDefault="003E0BB0" w:rsidP="00263F34">
            <w:pPr>
              <w:rPr>
                <w:lang w:val="fr-CH"/>
              </w:rPr>
            </w:pPr>
            <w:r w:rsidRPr="003B181C">
              <w:rPr>
                <w:lang w:val="fr-CH"/>
              </w:rPr>
              <w:t>Cette recommandation est en cours de mise en œuvre depuis janvier 2010.  Elle a été examinée et traitée dans le cadre des activités convenues à la troisième session du CDIP, comme il ressort du document CDIP/4/4 Rev.</w:t>
            </w:r>
          </w:p>
          <w:p w:rsidR="003E0BB0" w:rsidRPr="003B181C" w:rsidRDefault="003E0BB0" w:rsidP="00263F34">
            <w:pPr>
              <w:rPr>
                <w:lang w:val="fr-CH"/>
              </w:rPr>
            </w:pPr>
          </w:p>
        </w:tc>
      </w:tr>
      <w:tr w:rsidR="003E0BB0" w:rsidRPr="003B181C" w:rsidTr="00263F34">
        <w:tc>
          <w:tcPr>
            <w:tcW w:w="2538" w:type="dxa"/>
          </w:tcPr>
          <w:p w:rsidR="003E0BB0" w:rsidRPr="003B181C" w:rsidRDefault="003E0BB0" w:rsidP="00263F34">
            <w:pPr>
              <w:rPr>
                <w:lang w:val="fr-CH"/>
              </w:rPr>
            </w:pPr>
            <w:r w:rsidRPr="003B181C">
              <w:rPr>
                <w:lang w:val="fr-CH"/>
              </w:rPr>
              <w:t>Projets connexes relatifs au Plan d’action pour le développement</w:t>
            </w:r>
          </w:p>
        </w:tc>
        <w:tc>
          <w:tcPr>
            <w:tcW w:w="6751" w:type="dxa"/>
          </w:tcPr>
          <w:p w:rsidR="003E0BB0" w:rsidRPr="003B181C" w:rsidRDefault="003E0BB0" w:rsidP="00263F34">
            <w:pPr>
              <w:rPr>
                <w:lang w:val="fr-CH"/>
              </w:rPr>
            </w:pPr>
            <w:r w:rsidRPr="003B181C">
              <w:rPr>
                <w:lang w:val="fr-CH"/>
              </w:rPr>
              <w:t>La recommandation a été principalement traitée dans le cadre des projets ci</w:t>
            </w:r>
            <w:r w:rsidRPr="003B181C">
              <w:rPr>
                <w:lang w:val="fr-CH"/>
              </w:rPr>
              <w:noBreakHyphen/>
              <w:t>après :</w:t>
            </w:r>
          </w:p>
          <w:p w:rsidR="003E0BB0" w:rsidRPr="003B181C" w:rsidRDefault="003E0BB0" w:rsidP="00263F34">
            <w:pPr>
              <w:rPr>
                <w:lang w:val="fr-CH"/>
              </w:rPr>
            </w:pPr>
          </w:p>
          <w:p w:rsidR="003E0BB0" w:rsidRPr="003B181C" w:rsidRDefault="003E0BB0" w:rsidP="00263F34">
            <w:pPr>
              <w:rPr>
                <w:lang w:val="fr-FR"/>
              </w:rPr>
            </w:pPr>
            <w:r w:rsidRPr="003B181C">
              <w:rPr>
                <w:lang w:val="fr-FR"/>
              </w:rPr>
              <w:t xml:space="preserve">– </w:t>
            </w:r>
            <w:hyperlink r:id="rId105" w:history="1">
              <w:r w:rsidRPr="003B181C">
                <w:rPr>
                  <w:lang w:val="fr-FR"/>
                </w:rPr>
                <w:t>Propriété intellectuelle et politique en matière de concurrence</w:t>
              </w:r>
            </w:hyperlink>
            <w:r w:rsidRPr="003B181C">
              <w:rPr>
                <w:lang w:val="fr-FR"/>
              </w:rPr>
              <w:t xml:space="preserve"> (CDIP/4/4 Rev.).</w:t>
            </w:r>
          </w:p>
          <w:p w:rsidR="003E0BB0" w:rsidRPr="003B181C" w:rsidRDefault="003E0BB0" w:rsidP="00263F34">
            <w:pPr>
              <w:rPr>
                <w:lang w:val="fr-FR"/>
              </w:rPr>
            </w:pPr>
          </w:p>
          <w:p w:rsidR="003E0BB0" w:rsidRPr="003B181C" w:rsidRDefault="003E0BB0" w:rsidP="00263F34">
            <w:pPr>
              <w:rPr>
                <w:lang w:val="fr-FR"/>
              </w:rPr>
            </w:pPr>
            <w:r w:rsidRPr="003B181C">
              <w:rPr>
                <w:lang w:val="fr-FR"/>
              </w:rPr>
              <w:t xml:space="preserve">– </w:t>
            </w:r>
            <w:hyperlink r:id="rId106" w:tgtFrame="_self" w:history="1">
              <w:r w:rsidRPr="003B181C">
                <w:rPr>
                  <w:lang w:val="fr-FR"/>
                </w:rPr>
                <w:t>Projet de renforcement de la coopération Sud</w:t>
              </w:r>
              <w:r w:rsidRPr="003B181C">
                <w:rPr>
                  <w:lang w:val="fr-FR"/>
                </w:rPr>
                <w:noBreakHyphen/>
                <w:t>Sud dans le domaine de la propriété intellectuelle au service du développement parmi les pays en développement et les pays les moins avancés</w:t>
              </w:r>
            </w:hyperlink>
            <w:r w:rsidRPr="003B181C">
              <w:rPr>
                <w:lang w:val="fr-FR"/>
              </w:rPr>
              <w:t xml:space="preserve"> (CDIP/7/6).</w:t>
            </w:r>
          </w:p>
          <w:p w:rsidR="003E0BB0" w:rsidRPr="003B181C" w:rsidRDefault="003E0BB0" w:rsidP="00263F34">
            <w:pPr>
              <w:rPr>
                <w:b/>
                <w:lang w:val="fr-FR"/>
              </w:rPr>
            </w:pPr>
          </w:p>
        </w:tc>
      </w:tr>
      <w:tr w:rsidR="003E0BB0" w:rsidRPr="003B181C" w:rsidTr="00263F34">
        <w:tc>
          <w:tcPr>
            <w:tcW w:w="2538" w:type="dxa"/>
          </w:tcPr>
          <w:p w:rsidR="003E0BB0" w:rsidRPr="003B181C" w:rsidRDefault="003E0BB0" w:rsidP="00263F34">
            <w:pPr>
              <w:rPr>
                <w:lang w:val="fr-CH"/>
              </w:rPr>
            </w:pPr>
            <w:r w:rsidRPr="003B181C">
              <w:rPr>
                <w:lang w:val="fr-CH"/>
              </w:rPr>
              <w:t>Activités/réalisations</w:t>
            </w:r>
          </w:p>
        </w:tc>
        <w:tc>
          <w:tcPr>
            <w:tcW w:w="6751" w:type="dxa"/>
          </w:tcPr>
          <w:p w:rsidR="003E0BB0" w:rsidRPr="003B181C" w:rsidRDefault="003E0BB0" w:rsidP="00263F34">
            <w:pPr>
              <w:rPr>
                <w:lang w:val="fr-FR"/>
              </w:rPr>
            </w:pPr>
            <w:r w:rsidRPr="003B181C">
              <w:rPr>
                <w:lang w:val="fr-FR"/>
              </w:rPr>
              <w:t>L’OMPI a poursuivi ses travaux sur la propriété intellectuelle et la politique en matière de concurrence et a renforcé sa position d’instance multilatérale dans ce domaine.</w:t>
            </w:r>
          </w:p>
          <w:p w:rsidR="003E0BB0" w:rsidRPr="003B181C" w:rsidRDefault="003E0BB0" w:rsidP="00263F34">
            <w:pPr>
              <w:rPr>
                <w:lang w:val="fr-CH"/>
              </w:rPr>
            </w:pPr>
            <w:r w:rsidRPr="003B181C">
              <w:rPr>
                <w:lang w:val="fr-CH"/>
              </w:rPr>
              <w:t>Le Secrétariat a poursuivi sa participation active à un groupe informel sur la propriété intellectuelle et la concurrence, au sein duquel il examine des possibilités de collaboration et procède à des échanges de vues et de données d’expérience avec la CNUCED, l’OMC et l’OCDE.  Comme indiqué ci</w:t>
            </w:r>
            <w:r w:rsidRPr="003B181C">
              <w:rPr>
                <w:lang w:val="fr-CH"/>
              </w:rPr>
              <w:noBreakHyphen/>
              <w:t>dessus à propos de la recommandation n° 7, une nouvelle publication conjointe OMPI/OMC (“Propriété intellectuelle et politique en matière de concurrence dans l’économie mondiale d’aujourd’hui”) sera publiée d’ici la fin de 2018 dans le cadre de cette collaboration.</w:t>
            </w:r>
          </w:p>
          <w:p w:rsidR="003E0BB0" w:rsidRPr="003B181C" w:rsidRDefault="003E0BB0" w:rsidP="00263F34">
            <w:pPr>
              <w:rPr>
                <w:lang w:val="fr-CH"/>
              </w:rPr>
            </w:pPr>
          </w:p>
          <w:p w:rsidR="003E0BB0" w:rsidRPr="003B181C" w:rsidRDefault="003E0BB0" w:rsidP="00263F34">
            <w:pPr>
              <w:rPr>
                <w:lang w:val="fr-FR"/>
              </w:rPr>
            </w:pPr>
            <w:r w:rsidRPr="003B181C">
              <w:rPr>
                <w:lang w:val="fr-FR"/>
              </w:rPr>
              <w:t>Par ailleurs, l’OMPI a renforcé sa participation au Réseau international de la concurrence, notamment au groupe de travail sur les comportements unilatéraux, contribuant aux discussions sur les questions de concurrence en rapport avec la propriété intellectuelle et apportant le point de vue favorable à la concurrence dans ce domaine à la communauté des organismes chargés de la concurrence.</w:t>
            </w:r>
          </w:p>
          <w:p w:rsidR="003E0BB0" w:rsidRPr="003B181C" w:rsidRDefault="003E0BB0" w:rsidP="00263F34">
            <w:pPr>
              <w:rPr>
                <w:lang w:val="fr-FR"/>
              </w:rPr>
            </w:pPr>
          </w:p>
        </w:tc>
      </w:tr>
      <w:tr w:rsidR="003E0BB0" w:rsidRPr="003B181C" w:rsidTr="00263F34">
        <w:tc>
          <w:tcPr>
            <w:tcW w:w="2538" w:type="dxa"/>
          </w:tcPr>
          <w:p w:rsidR="003E0BB0" w:rsidRPr="003B181C" w:rsidRDefault="003E0BB0" w:rsidP="00263F34">
            <w:r w:rsidRPr="003B181C">
              <w:rPr>
                <w:lang w:val="fr-CH"/>
              </w:rPr>
              <w:t>Autres rapports/ documents connexes</w:t>
            </w:r>
          </w:p>
        </w:tc>
        <w:tc>
          <w:tcPr>
            <w:tcW w:w="6751" w:type="dxa"/>
          </w:tcPr>
          <w:p w:rsidR="003E0BB0" w:rsidRPr="003B181C" w:rsidRDefault="003E0BB0" w:rsidP="00263F34">
            <w:pPr>
              <w:tabs>
                <w:tab w:val="left" w:pos="4283"/>
              </w:tabs>
              <w:rPr>
                <w:lang w:val="fr-CH"/>
              </w:rPr>
            </w:pPr>
            <w:r w:rsidRPr="003B181C">
              <w:rPr>
                <w:lang w:val="fr-CH"/>
              </w:rPr>
              <w:t>Rapports examinés par le CDIP : CDIP/6/2;  CDIP/8/2;  CDIP/9/8;  CDIP/10/2;  CDIP/12/2;  CDIP/13/4;  CDIP/14/2;  CDIP/16/2;  CDIP/17/4;  CDIP/19/5.</w:t>
            </w:r>
          </w:p>
          <w:p w:rsidR="003E0BB0" w:rsidRPr="003B181C" w:rsidRDefault="003E0BB0" w:rsidP="00263F34">
            <w:pPr>
              <w:rPr>
                <w:lang w:val="fr-CH"/>
              </w:rPr>
            </w:pPr>
          </w:p>
          <w:p w:rsidR="003E0BB0" w:rsidRPr="003B181C" w:rsidRDefault="003E0BB0" w:rsidP="00263F34">
            <w:pPr>
              <w:rPr>
                <w:lang w:val="fr-CH"/>
              </w:rPr>
            </w:pPr>
            <w:r w:rsidRPr="003B181C">
              <w:rPr>
                <w:lang w:val="fr-CH"/>
              </w:rPr>
              <w:t>En dehors des activités qui figurent dans la base de données de l’assistance technique en matière de propriété intellectuelle (IP</w:t>
            </w:r>
            <w:r w:rsidRPr="003B181C">
              <w:rPr>
                <w:lang w:val="fr-CH"/>
              </w:rPr>
              <w:noBreakHyphen/>
              <w:t>TAD), prière de se référer, pour obtenir de plus amples informations sur les réalisations liées à cette recommandation, au Rapport sur la performance de l’OMPI en 2016</w:t>
            </w:r>
            <w:r w:rsidRPr="003B181C">
              <w:rPr>
                <w:lang w:val="fr-CH"/>
              </w:rPr>
              <w:noBreakHyphen/>
              <w:t>2017 (document WO/PBC/28/7).</w:t>
            </w:r>
          </w:p>
          <w:p w:rsidR="003E0BB0" w:rsidRPr="003B181C" w:rsidRDefault="003E0BB0" w:rsidP="00263F34">
            <w:pPr>
              <w:rPr>
                <w:lang w:val="fr-CH"/>
              </w:rPr>
            </w:pPr>
          </w:p>
        </w:tc>
      </w:tr>
    </w:tbl>
    <w:p w:rsidR="003E0BB0" w:rsidRPr="003B181C" w:rsidRDefault="003E0BB0" w:rsidP="003E0BB0">
      <w:pPr>
        <w:rPr>
          <w:lang w:val="fr-CH"/>
        </w:rPr>
      </w:pPr>
      <w:r w:rsidRPr="003B181C">
        <w:rPr>
          <w:lang w:val="fr-CH"/>
        </w:rPr>
        <w:br w:type="page"/>
      </w:r>
    </w:p>
    <w:tbl>
      <w:tblPr>
        <w:tblStyle w:val="TableGrid"/>
        <w:tblW w:w="0" w:type="auto"/>
        <w:tblLook w:val="04A0" w:firstRow="1" w:lastRow="0" w:firstColumn="1" w:lastColumn="0" w:noHBand="0" w:noVBand="1"/>
      </w:tblPr>
      <w:tblGrid>
        <w:gridCol w:w="2538"/>
        <w:gridCol w:w="6749"/>
      </w:tblGrid>
      <w:tr w:rsidR="003E0BB0" w:rsidRPr="003B181C" w:rsidTr="00263F34">
        <w:tc>
          <w:tcPr>
            <w:tcW w:w="2538" w:type="dxa"/>
            <w:shd w:val="clear" w:color="auto" w:fill="BFBFBF" w:themeFill="background1" w:themeFillShade="BF"/>
          </w:tcPr>
          <w:p w:rsidR="003E0BB0" w:rsidRPr="003B181C" w:rsidRDefault="003E0BB0" w:rsidP="00263F34">
            <w:pPr>
              <w:rPr>
                <w:lang w:val="fr-CH"/>
              </w:rPr>
            </w:pPr>
            <w:r w:rsidRPr="003B181C">
              <w:rPr>
                <w:lang w:val="fr-CH"/>
              </w:rPr>
              <w:t>Recommandation(s)</w:t>
            </w:r>
          </w:p>
        </w:tc>
        <w:tc>
          <w:tcPr>
            <w:tcW w:w="6749" w:type="dxa"/>
            <w:shd w:val="clear" w:color="auto" w:fill="BFBFBF" w:themeFill="background1" w:themeFillShade="BF"/>
          </w:tcPr>
          <w:p w:rsidR="003E0BB0" w:rsidRPr="003B181C" w:rsidRDefault="003E0BB0" w:rsidP="00263F34">
            <w:pPr>
              <w:rPr>
                <w:i/>
                <w:lang w:val="fr-FR"/>
              </w:rPr>
            </w:pPr>
            <w:r w:rsidRPr="003B181C">
              <w:rPr>
                <w:i/>
                <w:lang w:val="fr-FR"/>
              </w:rPr>
              <w:t>Recommandation n° 33</w:t>
            </w:r>
          </w:p>
          <w:p w:rsidR="003E0BB0" w:rsidRPr="003B181C" w:rsidRDefault="003E0BB0" w:rsidP="00263F34">
            <w:pPr>
              <w:rPr>
                <w:i/>
                <w:lang w:val="fr-FR"/>
              </w:rPr>
            </w:pPr>
          </w:p>
          <w:p w:rsidR="003E0BB0" w:rsidRPr="003B181C" w:rsidRDefault="003E0BB0" w:rsidP="00263F34">
            <w:pPr>
              <w:rPr>
                <w:lang w:val="fr-FR"/>
              </w:rPr>
            </w:pPr>
            <w:r w:rsidRPr="003B181C">
              <w:rPr>
                <w:lang w:val="fr-FR"/>
              </w:rPr>
              <w:t>Demander à l’OMPI d’élaborer un mécanisme efficace d’examen et d’évaluation annuel, en vue d’analyser l’ensemble de ses activités axées sur le développement, notamment celles qui ont trait à l’assistance technique, en établissant à cette fin des indicateurs et des critères spécifiques, le cas échéant.</w:t>
            </w:r>
          </w:p>
          <w:p w:rsidR="003E0BB0" w:rsidRPr="003B181C" w:rsidRDefault="003E0BB0" w:rsidP="00263F34">
            <w:pPr>
              <w:rPr>
                <w:lang w:val="fr-FR"/>
              </w:rPr>
            </w:pPr>
          </w:p>
        </w:tc>
      </w:tr>
      <w:tr w:rsidR="003E0BB0" w:rsidRPr="003B181C" w:rsidTr="00263F34">
        <w:tc>
          <w:tcPr>
            <w:tcW w:w="2538" w:type="dxa"/>
          </w:tcPr>
          <w:p w:rsidR="003E0BB0" w:rsidRPr="003B181C" w:rsidRDefault="003E0BB0" w:rsidP="00263F34">
            <w:pPr>
              <w:rPr>
                <w:lang w:val="fr-CH"/>
              </w:rPr>
            </w:pPr>
            <w:r w:rsidRPr="003B181C">
              <w:rPr>
                <w:lang w:val="fr-CH"/>
              </w:rPr>
              <w:t>Programmes connexes dans le programme et budget pour l’exercice biennal 2018</w:t>
            </w:r>
            <w:r w:rsidRPr="003B181C">
              <w:rPr>
                <w:lang w:val="fr-CH"/>
              </w:rPr>
              <w:noBreakHyphen/>
              <w:t>2019</w:t>
            </w:r>
          </w:p>
          <w:p w:rsidR="003E0BB0" w:rsidRPr="003B181C" w:rsidRDefault="003E0BB0" w:rsidP="00263F34">
            <w:pPr>
              <w:rPr>
                <w:lang w:val="fr-CH"/>
              </w:rPr>
            </w:pPr>
          </w:p>
        </w:tc>
        <w:tc>
          <w:tcPr>
            <w:tcW w:w="6749" w:type="dxa"/>
          </w:tcPr>
          <w:p w:rsidR="003E0BB0" w:rsidRPr="003B181C" w:rsidRDefault="003E0BB0" w:rsidP="00263F34">
            <w:r w:rsidRPr="003B181C">
              <w:t>8, 9 et 22</w:t>
            </w:r>
          </w:p>
        </w:tc>
      </w:tr>
      <w:tr w:rsidR="003E0BB0" w:rsidRPr="003B181C" w:rsidTr="00263F34">
        <w:tc>
          <w:tcPr>
            <w:tcW w:w="2538" w:type="dxa"/>
          </w:tcPr>
          <w:p w:rsidR="003E0BB0" w:rsidRPr="003B181C" w:rsidRDefault="003E0BB0" w:rsidP="00263F34">
            <w:pPr>
              <w:rPr>
                <w:lang w:val="fr-CH"/>
              </w:rPr>
            </w:pPr>
            <w:r w:rsidRPr="003B181C">
              <w:rPr>
                <w:lang w:val="fr-CH"/>
              </w:rPr>
              <w:t>Mise en œuvre</w:t>
            </w:r>
          </w:p>
        </w:tc>
        <w:tc>
          <w:tcPr>
            <w:tcW w:w="6749" w:type="dxa"/>
          </w:tcPr>
          <w:p w:rsidR="003E0BB0" w:rsidRPr="003B181C" w:rsidRDefault="003E0BB0" w:rsidP="00263F34">
            <w:pPr>
              <w:rPr>
                <w:lang w:val="fr-CH"/>
              </w:rPr>
            </w:pPr>
            <w:r w:rsidRPr="003B181C">
              <w:rPr>
                <w:lang w:val="fr-CH"/>
              </w:rPr>
              <w:t>Cette recommandation est en cours de mise en œuvre depuis janvier 2010.  Elle a été examinée et traitée dans le cadre des activités convenues à la quatrième session du CDIP, comme il ressort du document CDIP/4/8 Rev.</w:t>
            </w:r>
          </w:p>
          <w:p w:rsidR="003E0BB0" w:rsidRPr="001465D9" w:rsidRDefault="003E0BB0" w:rsidP="00263F34">
            <w:pPr>
              <w:rPr>
                <w:sz w:val="14"/>
                <w:lang w:val="fr-CH"/>
              </w:rPr>
            </w:pPr>
          </w:p>
          <w:p w:rsidR="003E0BB0" w:rsidRPr="003B181C" w:rsidRDefault="003E0BB0" w:rsidP="00263F34">
            <w:pPr>
              <w:rPr>
                <w:lang w:val="fr-FR"/>
              </w:rPr>
            </w:pPr>
            <w:r w:rsidRPr="003B181C">
              <w:rPr>
                <w:lang w:val="fr-CH"/>
              </w:rPr>
              <w:t>Dans le cadre des discussions de suivi du “Projet relatif à l’amélioration du cadre de gestion axée sur les résultats mis en œuvre par l’OMPI aux fins du suivi et de l’évaluation des activités de développement”, une proposition en six points figurant à l’appendice I du résumé présenté par le président de la dix</w:t>
            </w:r>
            <w:r w:rsidRPr="003B181C">
              <w:rPr>
                <w:lang w:val="fr-CH"/>
              </w:rPr>
              <w:noBreakHyphen/>
              <w:t>septième session a été adoptée par le comité à sa dix</w:t>
            </w:r>
            <w:r w:rsidRPr="003B181C">
              <w:rPr>
                <w:lang w:val="fr-CH"/>
              </w:rPr>
              <w:noBreakHyphen/>
              <w:t xml:space="preserve">huitième session.  </w:t>
            </w:r>
            <w:r w:rsidRPr="003B181C">
              <w:rPr>
                <w:lang w:val="fr-FR"/>
              </w:rPr>
              <w:t>À cet égard, un nouveau sous</w:t>
            </w:r>
            <w:r w:rsidRPr="003B181C">
              <w:rPr>
                <w:lang w:val="fr-FR"/>
              </w:rPr>
              <w:noBreakHyphen/>
              <w:t>élément intitulé “Assistance technique de l’OMPI dans le domaine de la coopération pour le développement” a été ajouté à l’ordre du jour du CDIP.</w:t>
            </w:r>
          </w:p>
          <w:p w:rsidR="003E0BB0" w:rsidRPr="001465D9" w:rsidRDefault="003E0BB0" w:rsidP="00263F34">
            <w:pPr>
              <w:rPr>
                <w:sz w:val="14"/>
                <w:lang w:val="fr-FR"/>
              </w:rPr>
            </w:pPr>
          </w:p>
          <w:p w:rsidR="003E0BB0" w:rsidRPr="003B181C" w:rsidRDefault="003E0BB0" w:rsidP="00263F34">
            <w:pPr>
              <w:rPr>
                <w:lang w:val="fr-FR"/>
              </w:rPr>
            </w:pPr>
            <w:r w:rsidRPr="003B181C">
              <w:rPr>
                <w:lang w:val="fr-FR"/>
              </w:rPr>
              <w:t>Les documents ci</w:t>
            </w:r>
            <w:r w:rsidRPr="003B181C">
              <w:rPr>
                <w:lang w:val="fr-FR"/>
              </w:rPr>
              <w:noBreakHyphen/>
              <w:t>après ont été examinés au titre de ce sous</w:t>
            </w:r>
            <w:r w:rsidRPr="003B181C">
              <w:rPr>
                <w:lang w:val="fr-FR"/>
              </w:rPr>
              <w:noBreakHyphen/>
              <w:t>élément de l’ordre du jour :</w:t>
            </w:r>
          </w:p>
          <w:p w:rsidR="003E0BB0" w:rsidRPr="001465D9" w:rsidRDefault="003E0BB0" w:rsidP="00263F34">
            <w:pPr>
              <w:rPr>
                <w:sz w:val="14"/>
                <w:lang w:val="fr-FR"/>
              </w:rPr>
            </w:pPr>
          </w:p>
          <w:p w:rsidR="003E0BB0" w:rsidRPr="003B181C" w:rsidRDefault="003E0BB0" w:rsidP="00263F34">
            <w:pPr>
              <w:rPr>
                <w:lang w:val="fr-FR"/>
              </w:rPr>
            </w:pPr>
            <w:r w:rsidRPr="003B181C">
              <w:rPr>
                <w:lang w:val="fr-FR"/>
              </w:rPr>
              <w:t>1.</w:t>
            </w:r>
            <w:r w:rsidRPr="003B181C">
              <w:rPr>
                <w:lang w:val="fr-FR"/>
              </w:rPr>
              <w:tab/>
              <w:t>Améliorations possibles de la page Web de l’OMPI relative à l’assistance technique (document CDIP/19/10);</w:t>
            </w:r>
          </w:p>
          <w:p w:rsidR="003E0BB0" w:rsidRPr="001465D9" w:rsidRDefault="003E0BB0" w:rsidP="00263F34">
            <w:pPr>
              <w:rPr>
                <w:sz w:val="14"/>
                <w:lang w:val="fr-FR"/>
              </w:rPr>
            </w:pPr>
          </w:p>
          <w:p w:rsidR="003E0BB0" w:rsidRPr="003B181C" w:rsidRDefault="003E0BB0" w:rsidP="00263F34">
            <w:pPr>
              <w:rPr>
                <w:lang w:val="fr-FR"/>
              </w:rPr>
            </w:pPr>
            <w:r w:rsidRPr="003B181C">
              <w:rPr>
                <w:lang w:val="fr-FR"/>
              </w:rPr>
              <w:t>2.  Rapport de la table ronde sur l’assistance technique et le renforcement des capacités : partage de données d’expérience, outils et méthodes (CDIP/20/3);</w:t>
            </w:r>
          </w:p>
          <w:p w:rsidR="003E0BB0" w:rsidRPr="001465D9" w:rsidRDefault="003E0BB0" w:rsidP="00263F34">
            <w:pPr>
              <w:rPr>
                <w:sz w:val="14"/>
                <w:lang w:val="fr-FR"/>
              </w:rPr>
            </w:pPr>
          </w:p>
          <w:p w:rsidR="003E0BB0" w:rsidRPr="003B181C" w:rsidRDefault="003E0BB0" w:rsidP="00263F34">
            <w:pPr>
              <w:rPr>
                <w:lang w:val="fr-FR"/>
              </w:rPr>
            </w:pPr>
            <w:r w:rsidRPr="003B181C">
              <w:rPr>
                <w:lang w:val="fr-FR"/>
              </w:rPr>
              <w:t>3.</w:t>
            </w:r>
            <w:r w:rsidRPr="003B181C">
              <w:rPr>
                <w:lang w:val="fr-FR"/>
              </w:rPr>
              <w:tab/>
              <w:t>Rapport sur la base de données relative à la liste des consultants de l’OMPI (CDIP/20/6).</w:t>
            </w:r>
          </w:p>
          <w:p w:rsidR="003E0BB0" w:rsidRPr="001465D9" w:rsidRDefault="003E0BB0" w:rsidP="00263F34">
            <w:pPr>
              <w:rPr>
                <w:sz w:val="20"/>
                <w:lang w:val="fr-FR"/>
              </w:rPr>
            </w:pPr>
          </w:p>
          <w:p w:rsidR="003E0BB0" w:rsidRPr="003B181C" w:rsidRDefault="003E0BB0" w:rsidP="00263F34">
            <w:pPr>
              <w:rPr>
                <w:lang w:val="fr-FR"/>
              </w:rPr>
            </w:pPr>
            <w:r w:rsidRPr="003B181C">
              <w:rPr>
                <w:lang w:val="fr-FR"/>
              </w:rPr>
              <w:t>Une politique de l’OMPI relative aux examens externes par des pairs a également été présentée par l’économiste en chef à la dix</w:t>
            </w:r>
            <w:r w:rsidRPr="003B181C">
              <w:rPr>
                <w:lang w:val="fr-FR"/>
              </w:rPr>
              <w:noBreakHyphen/>
              <w:t>neuvième session du CDIP.  Les débats concernant ce sous</w:t>
            </w:r>
            <w:r w:rsidRPr="003B181C">
              <w:rPr>
                <w:lang w:val="fr-FR"/>
              </w:rPr>
              <w:noBreakHyphen/>
              <w:t>élément de l’ordre du jour se poursuivront encore sur trois sessions consécutives du CDIP.</w:t>
            </w:r>
          </w:p>
          <w:p w:rsidR="003E0BB0" w:rsidRPr="003B181C" w:rsidRDefault="003E0BB0" w:rsidP="00263F34">
            <w:pPr>
              <w:rPr>
                <w:lang w:val="fr-FR"/>
              </w:rPr>
            </w:pPr>
          </w:p>
        </w:tc>
      </w:tr>
      <w:tr w:rsidR="003E0BB0" w:rsidRPr="003B181C" w:rsidTr="00263F34">
        <w:tc>
          <w:tcPr>
            <w:tcW w:w="2538" w:type="dxa"/>
          </w:tcPr>
          <w:p w:rsidR="003E0BB0" w:rsidRPr="003B181C" w:rsidRDefault="003E0BB0" w:rsidP="00263F34">
            <w:pPr>
              <w:rPr>
                <w:lang w:val="fr-CH"/>
              </w:rPr>
            </w:pPr>
            <w:r w:rsidRPr="003B181C">
              <w:rPr>
                <w:lang w:val="fr-CH"/>
              </w:rPr>
              <w:t>Projets connexes relatifs au Plan d’action pour le développement</w:t>
            </w:r>
          </w:p>
        </w:tc>
        <w:tc>
          <w:tcPr>
            <w:tcW w:w="6749" w:type="dxa"/>
          </w:tcPr>
          <w:p w:rsidR="003E0BB0" w:rsidRPr="003B181C" w:rsidRDefault="003E0BB0" w:rsidP="00263F34">
            <w:pPr>
              <w:rPr>
                <w:lang w:val="fr-CH"/>
              </w:rPr>
            </w:pPr>
            <w:r w:rsidRPr="003B181C">
              <w:rPr>
                <w:lang w:val="fr-CH"/>
              </w:rPr>
              <w:t>La recommandation a été principalement traitée dans le cadre du projet ci</w:t>
            </w:r>
            <w:r w:rsidRPr="003B181C">
              <w:rPr>
                <w:lang w:val="fr-CH"/>
              </w:rPr>
              <w:noBreakHyphen/>
              <w:t>après :</w:t>
            </w:r>
          </w:p>
          <w:p w:rsidR="003E0BB0" w:rsidRPr="003B181C" w:rsidRDefault="003E0BB0" w:rsidP="00263F34">
            <w:pPr>
              <w:rPr>
                <w:lang w:val="fr-CH"/>
              </w:rPr>
            </w:pPr>
          </w:p>
          <w:p w:rsidR="003E0BB0" w:rsidRPr="003B181C" w:rsidRDefault="003E0BB0" w:rsidP="00263F34">
            <w:pPr>
              <w:rPr>
                <w:sz w:val="21"/>
                <w:szCs w:val="21"/>
                <w:lang w:val="fr-CH"/>
              </w:rPr>
            </w:pPr>
            <w:r w:rsidRPr="003B181C">
              <w:rPr>
                <w:lang w:val="fr-CH"/>
              </w:rPr>
              <w:t>– Amélioration du cadre de gestion axée sur les résultats mis en œuvre par l’OMPI aux fins du suivi et de l’évaluation des activités de développement (CDIP/5/REF_CDIP/4/8 Rev.)</w:t>
            </w:r>
          </w:p>
          <w:p w:rsidR="003E0BB0" w:rsidRPr="003B181C" w:rsidRDefault="003E0BB0" w:rsidP="00263F34">
            <w:pPr>
              <w:rPr>
                <w:b/>
                <w:lang w:val="fr-CH"/>
              </w:rPr>
            </w:pPr>
          </w:p>
        </w:tc>
      </w:tr>
      <w:tr w:rsidR="003E0BB0" w:rsidRPr="003B181C" w:rsidTr="00263F34">
        <w:tc>
          <w:tcPr>
            <w:tcW w:w="2538" w:type="dxa"/>
          </w:tcPr>
          <w:p w:rsidR="003E0BB0" w:rsidRPr="003B181C" w:rsidRDefault="003E0BB0" w:rsidP="00263F34">
            <w:r w:rsidRPr="003B181C">
              <w:rPr>
                <w:lang w:val="fr-CH"/>
              </w:rPr>
              <w:t>Activités/réalisations</w:t>
            </w:r>
          </w:p>
        </w:tc>
        <w:tc>
          <w:tcPr>
            <w:tcW w:w="6749" w:type="dxa"/>
          </w:tcPr>
          <w:p w:rsidR="003E0BB0" w:rsidRPr="003B181C" w:rsidRDefault="003E0BB0" w:rsidP="00263F34">
            <w:pPr>
              <w:rPr>
                <w:lang w:val="fr-CH"/>
              </w:rPr>
            </w:pPr>
            <w:r w:rsidRPr="003B181C">
              <w:rPr>
                <w:lang w:val="fr-CH"/>
              </w:rPr>
              <w:t>Le cadre de gestion axée sur les résultats mis en œuvre par l’OMPI est défini et approuvé par les États membres dans le programme et budget et énonce les critères, à savoir les indicateurs d’exécution, les niveaux de référence et les objectifs visés, sur la base desquels les résultats obtenus durant l’exercice biennal seront évalués, y compris au titre des activités de l’OMPI axées sur le développement.  La présentation de rapports aux États membres s’effectue sur une base annuelle dans le cadre des rapports sur la performance de l’OMPI.  Il convient de noter que le cadre de l’OMPI n’a cessé d’être amélioré depuis l’exercice biennal 2012</w:t>
            </w:r>
            <w:r w:rsidRPr="003B181C">
              <w:rPr>
                <w:lang w:val="fr-CH"/>
              </w:rPr>
              <w:noBreakHyphen/>
              <w:t xml:space="preserve">2013, comme il ressort du </w:t>
            </w:r>
            <w:hyperlink r:id="rId107" w:history="1">
              <w:r w:rsidRPr="0020073A">
                <w:rPr>
                  <w:rStyle w:val="Hyperlink"/>
                  <w:color w:val="0000FF"/>
                  <w:lang w:val="fr-CH"/>
                </w:rPr>
                <w:t>Rapport de validation du rapport sur la performance de l’OMPI en 2016</w:t>
              </w:r>
              <w:r w:rsidRPr="0020073A">
                <w:rPr>
                  <w:rStyle w:val="Hyperlink"/>
                  <w:color w:val="0000FF"/>
                  <w:lang w:val="fr-CH"/>
                </w:rPr>
                <w:noBreakHyphen/>
                <w:t>2017 par la Division de la supervision interne (DSI)</w:t>
              </w:r>
            </w:hyperlink>
            <w:r w:rsidRPr="003B181C">
              <w:rPr>
                <w:lang w:val="fr-CH"/>
              </w:rPr>
              <w:t xml:space="preserve"> (document </w:t>
            </w:r>
            <w:r w:rsidRPr="003B181C">
              <w:rPr>
                <w:sz w:val="21"/>
                <w:szCs w:val="21"/>
                <w:bdr w:val="none" w:sz="0" w:space="0" w:color="auto" w:frame="1"/>
                <w:shd w:val="clear" w:color="auto" w:fill="FFFFFF"/>
                <w:lang w:val="fr-CH"/>
              </w:rPr>
              <w:t>WO/PBC/28/8</w:t>
            </w:r>
            <w:r w:rsidRPr="003B181C">
              <w:rPr>
                <w:lang w:val="fr-CH"/>
              </w:rPr>
              <w:t>).</w:t>
            </w:r>
          </w:p>
          <w:p w:rsidR="003E0BB0" w:rsidRPr="003B181C" w:rsidRDefault="003E0BB0" w:rsidP="00263F34">
            <w:pPr>
              <w:rPr>
                <w:lang w:val="fr-CH"/>
              </w:rPr>
            </w:pPr>
          </w:p>
          <w:p w:rsidR="003E0BB0" w:rsidRPr="003B181C" w:rsidRDefault="003E0BB0" w:rsidP="00263F34">
            <w:pPr>
              <w:rPr>
                <w:rFonts w:eastAsia="SimSun"/>
                <w:lang w:val="fr-CH" w:eastAsia="zh-CN"/>
              </w:rPr>
            </w:pPr>
            <w:r w:rsidRPr="003B181C">
              <w:rPr>
                <w:lang w:val="fr-CH"/>
              </w:rPr>
              <w:t>Le cadre des résultats pour l’exercice biennal 2016</w:t>
            </w:r>
            <w:r w:rsidRPr="003B181C">
              <w:rPr>
                <w:lang w:val="fr-CH"/>
              </w:rPr>
              <w:noBreakHyphen/>
              <w:t>2017 a défini</w:t>
            </w:r>
            <w:r w:rsidRPr="003B181C">
              <w:rPr>
                <w:rFonts w:eastAsia="SimSun"/>
                <w:lang w:val="fr-CH" w:eastAsia="zh-CN"/>
              </w:rPr>
              <w:t xml:space="preserve"> 287 indicateurs d’exécution correspondant à 39 résultats escomptés.  Le </w:t>
            </w:r>
            <w:hyperlink r:id="rId108" w:history="1">
              <w:r w:rsidRPr="0020073A">
                <w:rPr>
                  <w:rStyle w:val="Hyperlink"/>
                  <w:rFonts w:eastAsia="SimSun"/>
                  <w:color w:val="0000FF"/>
                  <w:lang w:val="fr-CH" w:eastAsia="zh-CN"/>
                </w:rPr>
                <w:t>Rapport sur la performance en 2016</w:t>
              </w:r>
              <w:r w:rsidRPr="0020073A">
                <w:rPr>
                  <w:rStyle w:val="Hyperlink"/>
                  <w:rFonts w:eastAsia="SimSun"/>
                  <w:color w:val="0000FF"/>
                  <w:lang w:val="fr-CH" w:eastAsia="zh-CN"/>
                </w:rPr>
                <w:noBreakHyphen/>
                <w:t>2017</w:t>
              </w:r>
            </w:hyperlink>
            <w:r w:rsidRPr="003B181C">
              <w:rPr>
                <w:rFonts w:eastAsia="SimSun"/>
                <w:lang w:val="fr-CH" w:eastAsia="zh-CN"/>
              </w:rPr>
              <w:t xml:space="preserve"> (document </w:t>
            </w:r>
            <w:r w:rsidRPr="003B181C">
              <w:rPr>
                <w:sz w:val="21"/>
                <w:szCs w:val="21"/>
                <w:bdr w:val="none" w:sz="0" w:space="0" w:color="auto" w:frame="1"/>
                <w:lang w:val="fr-CH"/>
              </w:rPr>
              <w:t>WO/PBC/28/7</w:t>
            </w:r>
            <w:r w:rsidRPr="003B181C">
              <w:rPr>
                <w:lang w:val="fr-CH"/>
              </w:rPr>
              <w:t xml:space="preserve">) a procédé à </w:t>
            </w:r>
            <w:r w:rsidRPr="003B181C">
              <w:rPr>
                <w:szCs w:val="22"/>
                <w:lang w:val="fr-CH"/>
              </w:rPr>
              <w:t>506 évaluations des indicateurs d’exécution au titre des indicateurs d’exécution</w:t>
            </w:r>
            <w:r w:rsidRPr="003B181C">
              <w:rPr>
                <w:rFonts w:eastAsia="SimSun"/>
                <w:lang w:val="fr-CH" w:eastAsia="zh-CN"/>
              </w:rPr>
              <w:t>.</w:t>
            </w:r>
          </w:p>
          <w:p w:rsidR="003E0BB0" w:rsidRPr="003B181C" w:rsidRDefault="003E0BB0" w:rsidP="00263F34">
            <w:pPr>
              <w:rPr>
                <w:rFonts w:eastAsia="SimSun"/>
                <w:lang w:val="fr-CH" w:eastAsia="zh-CN"/>
              </w:rPr>
            </w:pPr>
            <w:r w:rsidRPr="003B181C">
              <w:rPr>
                <w:rFonts w:eastAsia="SimSun"/>
                <w:lang w:val="fr-CH" w:eastAsia="zh-CN"/>
              </w:rPr>
              <w:t>Le cadre pour l’exercice biennal 2018</w:t>
            </w:r>
            <w:r w:rsidRPr="003B181C">
              <w:rPr>
                <w:rFonts w:eastAsia="SimSun"/>
                <w:lang w:val="fr-CH" w:eastAsia="zh-CN"/>
              </w:rPr>
              <w:noBreakHyphen/>
              <w:t>2019 a défini 272 indicateurs d’exécution correspondant à 39 résultats escomptés.  Le rapport sur la performance de l’OMPI à mi</w:t>
            </w:r>
            <w:r w:rsidRPr="003B181C">
              <w:rPr>
                <w:rFonts w:eastAsia="SimSun"/>
                <w:lang w:val="fr-CH" w:eastAsia="zh-CN"/>
              </w:rPr>
              <w:noBreakHyphen/>
              <w:t xml:space="preserve">parcours, qui évalue les </w:t>
            </w:r>
            <w:r w:rsidRPr="003B181C">
              <w:rPr>
                <w:lang w:val="fr-CH"/>
              </w:rPr>
              <w:t xml:space="preserve">progrès accomplis vers la réalisation des objectifs établis pour l’exercice biennal, </w:t>
            </w:r>
            <w:r w:rsidRPr="003B181C">
              <w:rPr>
                <w:rFonts w:eastAsia="SimSun"/>
                <w:lang w:val="fr-CH" w:eastAsia="zh-CN"/>
              </w:rPr>
              <w:t>sera présenté à la vingt</w:t>
            </w:r>
            <w:r w:rsidRPr="003B181C">
              <w:rPr>
                <w:rFonts w:eastAsia="SimSun"/>
                <w:lang w:val="fr-CH" w:eastAsia="zh-CN"/>
              </w:rPr>
              <w:noBreakHyphen/>
              <w:t>neuvième session du PBC en juillet 2019.</w:t>
            </w:r>
          </w:p>
          <w:p w:rsidR="003E0BB0" w:rsidRPr="003B181C" w:rsidRDefault="003E0BB0" w:rsidP="00263F34">
            <w:pPr>
              <w:rPr>
                <w:rFonts w:eastAsia="SimSun"/>
                <w:lang w:val="fr-CH" w:eastAsia="zh-CN"/>
              </w:rPr>
            </w:pPr>
          </w:p>
          <w:p w:rsidR="003E0BB0" w:rsidRPr="003B181C" w:rsidRDefault="003E0BB0" w:rsidP="00263F34">
            <w:pPr>
              <w:rPr>
                <w:rFonts w:eastAsia="SimSun"/>
                <w:lang w:val="fr-CH" w:eastAsia="zh-CN"/>
              </w:rPr>
            </w:pPr>
            <w:r w:rsidRPr="003B181C">
              <w:rPr>
                <w:rFonts w:eastAsia="SimSun"/>
                <w:lang w:val="fr-CH" w:eastAsia="zh-CN"/>
              </w:rPr>
              <w:t>On pourra en outre, pour obtenir de plus amples informations sur les activités menées au titre de la proposition en six points sur l’assistance technique, se référer à la recommandation n° 41.</w:t>
            </w:r>
          </w:p>
          <w:p w:rsidR="003E0BB0" w:rsidRPr="003B181C" w:rsidRDefault="003E0BB0" w:rsidP="00263F34">
            <w:pPr>
              <w:rPr>
                <w:lang w:val="fr-CH"/>
              </w:rPr>
            </w:pPr>
          </w:p>
        </w:tc>
      </w:tr>
      <w:tr w:rsidR="003E0BB0" w:rsidRPr="003B181C" w:rsidTr="00263F34">
        <w:tc>
          <w:tcPr>
            <w:tcW w:w="2538" w:type="dxa"/>
          </w:tcPr>
          <w:p w:rsidR="003E0BB0" w:rsidRPr="003B181C" w:rsidRDefault="003E0BB0" w:rsidP="00263F34">
            <w:r w:rsidRPr="003B181C">
              <w:rPr>
                <w:lang w:val="fr-CH"/>
              </w:rPr>
              <w:t>Autres rapports/ documents connexes</w:t>
            </w:r>
          </w:p>
        </w:tc>
        <w:tc>
          <w:tcPr>
            <w:tcW w:w="6749" w:type="dxa"/>
          </w:tcPr>
          <w:p w:rsidR="003E0BB0" w:rsidRPr="003B181C" w:rsidRDefault="003E0BB0" w:rsidP="00263F34">
            <w:pPr>
              <w:tabs>
                <w:tab w:val="left" w:pos="4096"/>
              </w:tabs>
              <w:rPr>
                <w:lang w:val="fr-CH"/>
              </w:rPr>
            </w:pPr>
            <w:r w:rsidRPr="003B181C">
              <w:rPr>
                <w:lang w:val="fr-CH"/>
              </w:rPr>
              <w:t>Rapports examinés par le CDIP : CDIP/6/2;  CDIP/8/2;  CDIP/10/2;  CDIP/12/4;  CDIP/20/3;  CDIP/20/6;  CDIP/21/4;  CDIP/21/9.</w:t>
            </w:r>
          </w:p>
          <w:p w:rsidR="003E0BB0" w:rsidRPr="003B181C" w:rsidRDefault="003E0BB0" w:rsidP="00263F34">
            <w:pPr>
              <w:rPr>
                <w:lang w:val="fr-CH"/>
              </w:rPr>
            </w:pPr>
          </w:p>
          <w:p w:rsidR="003E0BB0" w:rsidRPr="003B181C" w:rsidRDefault="003E0BB0" w:rsidP="00263F34">
            <w:pPr>
              <w:rPr>
                <w:lang w:val="fr-CH"/>
              </w:rPr>
            </w:pPr>
            <w:r w:rsidRPr="003B181C">
              <w:rPr>
                <w:lang w:val="fr-CH"/>
              </w:rPr>
              <w:t>En dehors des activités qui figurent dans la base de données de l’assistance technique en matière de propriété intellectuelle (IP</w:t>
            </w:r>
            <w:r w:rsidRPr="003B181C">
              <w:rPr>
                <w:lang w:val="fr-CH"/>
              </w:rPr>
              <w:noBreakHyphen/>
              <w:t>TAD), prière de se référer, pour obtenir de plus amples informations sur les réalisations liées à cette recommandation, au Rapport sur la performance de l’OMPI en 2016</w:t>
            </w:r>
            <w:r w:rsidRPr="003B181C">
              <w:rPr>
                <w:lang w:val="fr-CH"/>
              </w:rPr>
              <w:noBreakHyphen/>
              <w:t>2017 (document WO/PBC/28/7).</w:t>
            </w:r>
          </w:p>
          <w:p w:rsidR="003E0BB0" w:rsidRPr="003B181C" w:rsidRDefault="003E0BB0" w:rsidP="00263F34">
            <w:pPr>
              <w:rPr>
                <w:lang w:val="fr-CH"/>
              </w:rPr>
            </w:pPr>
          </w:p>
        </w:tc>
      </w:tr>
    </w:tbl>
    <w:p w:rsidR="003E0BB0" w:rsidRPr="003B181C" w:rsidRDefault="003E0BB0" w:rsidP="003E0BB0">
      <w:pPr>
        <w:rPr>
          <w:lang w:val="fr-CH"/>
        </w:rPr>
      </w:pPr>
      <w:r w:rsidRPr="003B181C">
        <w:rPr>
          <w:lang w:val="fr-CH"/>
        </w:rPr>
        <w:br w:type="page"/>
      </w:r>
    </w:p>
    <w:tbl>
      <w:tblPr>
        <w:tblStyle w:val="TableGrid"/>
        <w:tblW w:w="0" w:type="auto"/>
        <w:tblLook w:val="04A0" w:firstRow="1" w:lastRow="0" w:firstColumn="1" w:lastColumn="0" w:noHBand="0" w:noVBand="1"/>
      </w:tblPr>
      <w:tblGrid>
        <w:gridCol w:w="2538"/>
        <w:gridCol w:w="6749"/>
      </w:tblGrid>
      <w:tr w:rsidR="003E0BB0" w:rsidRPr="003B181C" w:rsidTr="0020073A">
        <w:tc>
          <w:tcPr>
            <w:tcW w:w="2538" w:type="dxa"/>
            <w:shd w:val="clear" w:color="auto" w:fill="BFBFBF" w:themeFill="background1" w:themeFillShade="BF"/>
          </w:tcPr>
          <w:p w:rsidR="003E0BB0" w:rsidRPr="003B181C" w:rsidRDefault="003E0BB0" w:rsidP="00263F34">
            <w:pPr>
              <w:rPr>
                <w:lang w:val="fr-CH"/>
              </w:rPr>
            </w:pPr>
            <w:r w:rsidRPr="003B181C">
              <w:rPr>
                <w:lang w:val="fr-CH"/>
              </w:rPr>
              <w:t>Recommandation(s)</w:t>
            </w:r>
          </w:p>
        </w:tc>
        <w:tc>
          <w:tcPr>
            <w:tcW w:w="6749" w:type="dxa"/>
            <w:shd w:val="clear" w:color="auto" w:fill="BFBFBF" w:themeFill="background1" w:themeFillShade="BF"/>
          </w:tcPr>
          <w:p w:rsidR="003E0BB0" w:rsidRPr="003B181C" w:rsidRDefault="003E0BB0" w:rsidP="00263F34">
            <w:pPr>
              <w:rPr>
                <w:i/>
                <w:lang w:val="fr-FR"/>
              </w:rPr>
            </w:pPr>
            <w:r w:rsidRPr="003B181C">
              <w:rPr>
                <w:i/>
                <w:lang w:val="fr-FR"/>
              </w:rPr>
              <w:t>Recommandation n° 34</w:t>
            </w:r>
          </w:p>
          <w:p w:rsidR="003E0BB0" w:rsidRPr="003B181C" w:rsidRDefault="003E0BB0" w:rsidP="00263F34">
            <w:pPr>
              <w:rPr>
                <w:i/>
                <w:lang w:val="fr-FR"/>
              </w:rPr>
            </w:pPr>
          </w:p>
          <w:p w:rsidR="003E0BB0" w:rsidRPr="003B181C" w:rsidRDefault="003E0BB0" w:rsidP="00263F34">
            <w:pPr>
              <w:rPr>
                <w:lang w:val="fr-FR"/>
              </w:rPr>
            </w:pPr>
            <w:r w:rsidRPr="003B181C">
              <w:rPr>
                <w:lang w:val="fr-FR"/>
              </w:rPr>
              <w:t>Afin d’aider les États membres à élaborer des programmes nationaux de vaste portée, demander à l’OMPI de mener une étude sur les obstacles à la protection de la propriété intellectuelle dans l’économie informelle, notamment sur les coûts et les avantages concrets de la protection de la propriété intellectuelle, en particulier en ce qui concerne la création d’emplois.</w:t>
            </w:r>
          </w:p>
          <w:p w:rsidR="003E0BB0" w:rsidRPr="003B181C" w:rsidRDefault="003E0BB0" w:rsidP="00263F34">
            <w:pPr>
              <w:rPr>
                <w:lang w:val="fr-FR"/>
              </w:rPr>
            </w:pPr>
          </w:p>
        </w:tc>
      </w:tr>
      <w:tr w:rsidR="003E0BB0" w:rsidRPr="003B181C" w:rsidTr="0020073A">
        <w:tc>
          <w:tcPr>
            <w:tcW w:w="2538" w:type="dxa"/>
          </w:tcPr>
          <w:p w:rsidR="003E0BB0" w:rsidRPr="003B181C" w:rsidRDefault="003E0BB0" w:rsidP="00263F34">
            <w:pPr>
              <w:rPr>
                <w:lang w:val="fr-CH"/>
              </w:rPr>
            </w:pPr>
            <w:r w:rsidRPr="003B181C">
              <w:rPr>
                <w:lang w:val="fr-CH"/>
              </w:rPr>
              <w:t>Programmes connexes dans le programme et budget pour l’exercice biennal 2018</w:t>
            </w:r>
            <w:r w:rsidRPr="003B181C">
              <w:rPr>
                <w:lang w:val="fr-CH"/>
              </w:rPr>
              <w:noBreakHyphen/>
              <w:t>2019</w:t>
            </w:r>
          </w:p>
          <w:p w:rsidR="003E0BB0" w:rsidRPr="003B181C" w:rsidRDefault="003E0BB0" w:rsidP="00263F34"/>
        </w:tc>
        <w:tc>
          <w:tcPr>
            <w:tcW w:w="6749" w:type="dxa"/>
          </w:tcPr>
          <w:p w:rsidR="003E0BB0" w:rsidRPr="003B181C" w:rsidRDefault="003E0BB0" w:rsidP="00263F34">
            <w:r w:rsidRPr="003B181C">
              <w:t>8, 9 et 16</w:t>
            </w:r>
          </w:p>
          <w:p w:rsidR="003E0BB0" w:rsidRPr="003B181C" w:rsidRDefault="003E0BB0" w:rsidP="00263F34"/>
        </w:tc>
      </w:tr>
      <w:tr w:rsidR="003E0BB0" w:rsidRPr="003B181C" w:rsidTr="0020073A">
        <w:tc>
          <w:tcPr>
            <w:tcW w:w="2538" w:type="dxa"/>
          </w:tcPr>
          <w:p w:rsidR="003E0BB0" w:rsidRPr="003B181C" w:rsidRDefault="003E0BB0" w:rsidP="00263F34">
            <w:pPr>
              <w:rPr>
                <w:lang w:val="fr-CH"/>
              </w:rPr>
            </w:pPr>
            <w:r w:rsidRPr="003B181C">
              <w:rPr>
                <w:lang w:val="fr-CH"/>
              </w:rPr>
              <w:t>Mise en œuvre</w:t>
            </w:r>
          </w:p>
        </w:tc>
        <w:tc>
          <w:tcPr>
            <w:tcW w:w="6749" w:type="dxa"/>
          </w:tcPr>
          <w:p w:rsidR="003E0BB0" w:rsidRPr="003B181C" w:rsidRDefault="003E0BB0" w:rsidP="00263F34">
            <w:pPr>
              <w:rPr>
                <w:lang w:val="fr-CH"/>
              </w:rPr>
            </w:pPr>
            <w:r w:rsidRPr="003B181C">
              <w:rPr>
                <w:lang w:val="fr-CH"/>
              </w:rPr>
              <w:t>Cette recommandation est en cours de mise en œuvre depuis 2011.  Elle a été examinée dans le cadre des documents suivants : CDIP/6/9 et CDIP/8/3.</w:t>
            </w:r>
          </w:p>
          <w:p w:rsidR="003E0BB0" w:rsidRPr="003B181C" w:rsidRDefault="003E0BB0" w:rsidP="00263F34">
            <w:pPr>
              <w:rPr>
                <w:lang w:val="fr-CH"/>
              </w:rPr>
            </w:pPr>
          </w:p>
        </w:tc>
      </w:tr>
      <w:tr w:rsidR="003E0BB0" w:rsidRPr="003B181C" w:rsidTr="0020073A">
        <w:tc>
          <w:tcPr>
            <w:tcW w:w="2538" w:type="dxa"/>
          </w:tcPr>
          <w:p w:rsidR="003E0BB0" w:rsidRPr="003B181C" w:rsidRDefault="003E0BB0" w:rsidP="00263F34">
            <w:pPr>
              <w:rPr>
                <w:lang w:val="fr-CH"/>
              </w:rPr>
            </w:pPr>
            <w:r w:rsidRPr="003B181C">
              <w:rPr>
                <w:lang w:val="fr-CH"/>
              </w:rPr>
              <w:t>Projets connexes relatifs au Plan d’action pour le développement</w:t>
            </w:r>
          </w:p>
        </w:tc>
        <w:tc>
          <w:tcPr>
            <w:tcW w:w="6749" w:type="dxa"/>
          </w:tcPr>
          <w:p w:rsidR="003E0BB0" w:rsidRPr="003B181C" w:rsidRDefault="003E0BB0" w:rsidP="00263F34">
            <w:pPr>
              <w:rPr>
                <w:sz w:val="21"/>
                <w:szCs w:val="21"/>
                <w:lang w:val="fr-CH"/>
              </w:rPr>
            </w:pPr>
            <w:r w:rsidRPr="003B181C">
              <w:rPr>
                <w:lang w:val="fr-CH"/>
              </w:rPr>
              <w:t>La recommandation a été principalement traitée dans le cadre des projets sur la propriété intellectuelle et l’économie informelle (CDIP/8/3 Rev.).</w:t>
            </w:r>
          </w:p>
          <w:p w:rsidR="003E0BB0" w:rsidRPr="003B181C" w:rsidRDefault="003E0BB0" w:rsidP="00263F34">
            <w:pPr>
              <w:rPr>
                <w:b/>
                <w:lang w:val="fr-CH"/>
              </w:rPr>
            </w:pPr>
          </w:p>
        </w:tc>
      </w:tr>
      <w:tr w:rsidR="003E0BB0" w:rsidRPr="003B181C" w:rsidTr="0020073A">
        <w:tc>
          <w:tcPr>
            <w:tcW w:w="2538" w:type="dxa"/>
          </w:tcPr>
          <w:p w:rsidR="003E0BB0" w:rsidRPr="003B181C" w:rsidRDefault="003E0BB0" w:rsidP="00263F34">
            <w:r w:rsidRPr="003B181C">
              <w:rPr>
                <w:lang w:val="fr-CH"/>
              </w:rPr>
              <w:t>Activités/réalisations</w:t>
            </w:r>
          </w:p>
        </w:tc>
        <w:tc>
          <w:tcPr>
            <w:tcW w:w="6749" w:type="dxa"/>
          </w:tcPr>
          <w:p w:rsidR="003E0BB0" w:rsidRPr="003B181C" w:rsidRDefault="003E0BB0" w:rsidP="00263F34">
            <w:pPr>
              <w:rPr>
                <w:szCs w:val="22"/>
                <w:lang w:val="fr-CH"/>
              </w:rPr>
            </w:pPr>
            <w:r w:rsidRPr="003B181C">
              <w:rPr>
                <w:szCs w:val="22"/>
                <w:lang w:val="fr-CH"/>
              </w:rPr>
              <w:t>Les résultats de l’étude menée dans le cadre du projet du CDIP sur la propriété intellectuelle et l’économie informelle (CDIP/8/3 Rev.) et l’ouvrage édité dans la foulée intitulé “The Informal Economy in Developing Nations—Hidden Engine of Innovation?”, publié conjointement par l’OMPI et Cambridge University Press, continuent d’être cités dans les revues spécialisées et les études politiques.</w:t>
            </w:r>
          </w:p>
          <w:p w:rsidR="003E0BB0" w:rsidRPr="001465D9" w:rsidRDefault="003E0BB0" w:rsidP="00263F34">
            <w:pPr>
              <w:rPr>
                <w:sz w:val="14"/>
                <w:szCs w:val="22"/>
                <w:lang w:val="fr-CH"/>
              </w:rPr>
            </w:pPr>
          </w:p>
          <w:p w:rsidR="003E0BB0" w:rsidRPr="003B181C" w:rsidRDefault="003E0BB0" w:rsidP="00263F34">
            <w:pPr>
              <w:rPr>
                <w:szCs w:val="22"/>
                <w:lang w:val="fr-CH"/>
              </w:rPr>
            </w:pPr>
            <w:r w:rsidRPr="003B181C">
              <w:rPr>
                <w:szCs w:val="22"/>
                <w:lang w:val="fr-CH"/>
              </w:rPr>
              <w:t>Le résultat de l’étude du CDIP a également été au centre d’un événement officiel, qui s’est tenu en octobre 2017 au siège des Nations Unies à l’occasion de la Semaine de l’Afrique, avec la participation du Nouveau Partenariat pour le développement de l’Afrique (NEPAD).  En collaboration avec l’Observatoire africain pour les indicateurs de la science, de la technologie et de l’innovation au sein de l’Union africaine et de l’UNU</w:t>
            </w:r>
            <w:r w:rsidRPr="003B181C">
              <w:rPr>
                <w:szCs w:val="22"/>
                <w:lang w:val="fr-CH"/>
              </w:rPr>
              <w:noBreakHyphen/>
              <w:t>MERIT, les activités ont consisté en ateliers sur l’évaluation de l’innovation et en événements axés sur le renforcement des capacités.  Enfin, les travaux ont inspiré l’étude sur “La promotion de l’innovation dans le secteur agroalimentaire ougandais” (CDIP/21/INF/3), mise en œuvre dans le cadre de la phase II du projet du CDIP sur la propriété intellectuelle et le développement socioéconomique (CDIP/14/7).</w:t>
            </w:r>
          </w:p>
          <w:p w:rsidR="003E0BB0" w:rsidRPr="001465D9" w:rsidRDefault="003E0BB0" w:rsidP="00263F34">
            <w:pPr>
              <w:rPr>
                <w:sz w:val="14"/>
                <w:lang w:val="fr-CH"/>
              </w:rPr>
            </w:pPr>
          </w:p>
        </w:tc>
      </w:tr>
      <w:tr w:rsidR="003E0BB0" w:rsidRPr="003B181C" w:rsidTr="0020073A">
        <w:tc>
          <w:tcPr>
            <w:tcW w:w="2538" w:type="dxa"/>
          </w:tcPr>
          <w:p w:rsidR="003E0BB0" w:rsidRPr="003B181C" w:rsidRDefault="003E0BB0" w:rsidP="00263F34">
            <w:r w:rsidRPr="003B181C">
              <w:rPr>
                <w:lang w:val="fr-CH"/>
              </w:rPr>
              <w:t>Autres rapports/ documents connexes</w:t>
            </w:r>
          </w:p>
        </w:tc>
        <w:tc>
          <w:tcPr>
            <w:tcW w:w="6749" w:type="dxa"/>
          </w:tcPr>
          <w:p w:rsidR="003E0BB0" w:rsidRPr="003B181C" w:rsidRDefault="003E0BB0" w:rsidP="00263F34">
            <w:pPr>
              <w:rPr>
                <w:lang w:val="fr-CH"/>
              </w:rPr>
            </w:pPr>
            <w:r w:rsidRPr="003B181C">
              <w:rPr>
                <w:lang w:val="fr-CH"/>
              </w:rPr>
              <w:t>Rapports examinés par le CDIP : CDIP/10/2;  CDIP/12/2;  CDIP/13/5.</w:t>
            </w:r>
          </w:p>
          <w:p w:rsidR="003E0BB0" w:rsidRPr="001465D9" w:rsidRDefault="003E0BB0" w:rsidP="00263F34">
            <w:pPr>
              <w:rPr>
                <w:sz w:val="12"/>
                <w:lang w:val="fr-CH"/>
              </w:rPr>
            </w:pPr>
          </w:p>
          <w:p w:rsidR="003E0BB0" w:rsidRPr="003B181C" w:rsidRDefault="003E0BB0" w:rsidP="00263F34">
            <w:pPr>
              <w:rPr>
                <w:lang w:val="fr-CH"/>
              </w:rPr>
            </w:pPr>
            <w:r w:rsidRPr="003B181C">
              <w:rPr>
                <w:lang w:val="fr-CH"/>
              </w:rPr>
              <w:t>En dehors des activités qui figurent dans la base de données de l’assistance technique en matière de propriété intellectuelle (IP</w:t>
            </w:r>
            <w:r w:rsidRPr="003B181C">
              <w:rPr>
                <w:lang w:val="fr-CH"/>
              </w:rPr>
              <w:noBreakHyphen/>
              <w:t>TAD), prière de se référer, pour obtenir de plus amples informations sur les réalisations liées à cette recommandation, au Rapport sur la performance de l’OMPI en 2016</w:t>
            </w:r>
            <w:r w:rsidRPr="003B181C">
              <w:rPr>
                <w:lang w:val="fr-CH"/>
              </w:rPr>
              <w:noBreakHyphen/>
              <w:t>2017 (document WO/PBC/28/7).</w:t>
            </w:r>
          </w:p>
          <w:p w:rsidR="003E0BB0" w:rsidRPr="003B181C" w:rsidRDefault="003E0BB0" w:rsidP="00263F34"/>
        </w:tc>
      </w:tr>
      <w:tr w:rsidR="003E0BB0" w:rsidRPr="003B181C" w:rsidTr="00263F34">
        <w:tc>
          <w:tcPr>
            <w:tcW w:w="2538" w:type="dxa"/>
            <w:shd w:val="clear" w:color="auto" w:fill="BFBFBF" w:themeFill="background1" w:themeFillShade="BF"/>
          </w:tcPr>
          <w:p w:rsidR="003E0BB0" w:rsidRPr="003B181C" w:rsidRDefault="003E0BB0" w:rsidP="00263F34">
            <w:r w:rsidRPr="00096771">
              <w:rPr>
                <w:lang w:val="fr-FR"/>
              </w:rPr>
              <w:t>Recommandation</w:t>
            </w:r>
            <w:r w:rsidRPr="003B181C">
              <w:t xml:space="preserve">(s) </w:t>
            </w:r>
          </w:p>
        </w:tc>
        <w:tc>
          <w:tcPr>
            <w:tcW w:w="6749" w:type="dxa"/>
            <w:shd w:val="clear" w:color="auto" w:fill="BFBFBF" w:themeFill="background1" w:themeFillShade="BF"/>
          </w:tcPr>
          <w:p w:rsidR="003E0BB0" w:rsidRPr="003B181C" w:rsidRDefault="003E0BB0" w:rsidP="00263F34">
            <w:pPr>
              <w:rPr>
                <w:bCs/>
                <w:i/>
                <w:lang w:val="fr-FR"/>
              </w:rPr>
            </w:pPr>
            <w:r w:rsidRPr="003B181C">
              <w:rPr>
                <w:bCs/>
                <w:i/>
                <w:lang w:val="fr-FR"/>
              </w:rPr>
              <w:t>Recommandation n° 35</w:t>
            </w:r>
          </w:p>
          <w:p w:rsidR="003E0BB0" w:rsidRPr="003B181C" w:rsidRDefault="003E0BB0" w:rsidP="00263F34">
            <w:pPr>
              <w:rPr>
                <w:bCs/>
                <w:i/>
                <w:lang w:val="fr-FR"/>
              </w:rPr>
            </w:pPr>
          </w:p>
          <w:p w:rsidR="003E0BB0" w:rsidRPr="003B181C" w:rsidRDefault="003E0BB0" w:rsidP="00263F34">
            <w:pPr>
              <w:rPr>
                <w:bCs/>
                <w:lang w:val="fr-FR"/>
              </w:rPr>
            </w:pPr>
            <w:r w:rsidRPr="003B181C">
              <w:rPr>
                <w:bCs/>
                <w:lang w:val="fr-FR"/>
              </w:rPr>
              <w:t>Demander à l’OMPI de réaliser, à la demande des États membres, de nouvelles études pour évaluer l’incidence économique, sociale et culturelle de l’utilisation des systèmes de propriété intellectuelle dans ces États.</w:t>
            </w:r>
          </w:p>
          <w:p w:rsidR="003E0BB0" w:rsidRPr="003B181C" w:rsidRDefault="003E0BB0" w:rsidP="00263F34">
            <w:pPr>
              <w:rPr>
                <w:bCs/>
                <w:lang w:val="fr-FR"/>
              </w:rPr>
            </w:pPr>
          </w:p>
          <w:p w:rsidR="003E0BB0" w:rsidRPr="003B181C" w:rsidRDefault="003E0BB0" w:rsidP="00263F34">
            <w:pPr>
              <w:rPr>
                <w:bCs/>
                <w:i/>
                <w:lang w:val="fr-FR"/>
              </w:rPr>
            </w:pPr>
            <w:r w:rsidRPr="003B181C">
              <w:rPr>
                <w:bCs/>
                <w:i/>
                <w:lang w:val="fr-FR"/>
              </w:rPr>
              <w:t>Recommandation n° 37</w:t>
            </w:r>
          </w:p>
          <w:p w:rsidR="003E0BB0" w:rsidRPr="003B181C" w:rsidRDefault="003E0BB0" w:rsidP="00263F34">
            <w:pPr>
              <w:rPr>
                <w:bCs/>
                <w:i/>
                <w:lang w:val="fr-FR"/>
              </w:rPr>
            </w:pPr>
          </w:p>
          <w:p w:rsidR="003E0BB0" w:rsidRPr="003B181C" w:rsidRDefault="003E0BB0" w:rsidP="00263F34">
            <w:pPr>
              <w:rPr>
                <w:bCs/>
                <w:lang w:val="fr-FR"/>
              </w:rPr>
            </w:pPr>
            <w:r w:rsidRPr="003B181C">
              <w:rPr>
                <w:bCs/>
                <w:lang w:val="fr-FR"/>
              </w:rPr>
              <w:t>À la demande des États membres et selon leurs instructions, l’OMPI peut réaliser des études sur la protection de la propriété intellectuelle afin de déterminer les liens et les incidences possibles entre propriété intellectuelle et développement.</w:t>
            </w:r>
          </w:p>
          <w:p w:rsidR="003E0BB0" w:rsidRPr="003B181C" w:rsidRDefault="003E0BB0" w:rsidP="00263F34">
            <w:pPr>
              <w:rPr>
                <w:lang w:val="fr-FR"/>
              </w:rPr>
            </w:pPr>
          </w:p>
        </w:tc>
      </w:tr>
      <w:tr w:rsidR="003E0BB0" w:rsidRPr="00257A2C" w:rsidTr="0020073A">
        <w:tc>
          <w:tcPr>
            <w:tcW w:w="2538" w:type="dxa"/>
          </w:tcPr>
          <w:p w:rsidR="003E0BB0" w:rsidRPr="00257A2C" w:rsidRDefault="003E0BB0" w:rsidP="00263F34">
            <w:r w:rsidRPr="00257A2C">
              <w:rPr>
                <w:bCs/>
              </w:rPr>
              <w:t>Liens avec l</w:t>
            </w:r>
            <w:r w:rsidRPr="00257A2C">
              <w:t>es programmes inscrits au programme et budget 2018</w:t>
            </w:r>
            <w:r w:rsidRPr="00257A2C">
              <w:noBreakHyphen/>
              <w:t>2019</w:t>
            </w:r>
          </w:p>
          <w:p w:rsidR="003E0BB0" w:rsidRPr="00257A2C" w:rsidRDefault="003E0BB0" w:rsidP="00263F34"/>
        </w:tc>
        <w:tc>
          <w:tcPr>
            <w:tcW w:w="6749" w:type="dxa"/>
          </w:tcPr>
          <w:p w:rsidR="003E0BB0" w:rsidRPr="00257A2C" w:rsidRDefault="003E0BB0" w:rsidP="00263F34">
            <w:r w:rsidRPr="00257A2C">
              <w:t>8 et 16</w:t>
            </w:r>
          </w:p>
        </w:tc>
      </w:tr>
      <w:tr w:rsidR="003E0BB0" w:rsidRPr="00257A2C" w:rsidTr="0020073A">
        <w:tc>
          <w:tcPr>
            <w:tcW w:w="2538" w:type="dxa"/>
          </w:tcPr>
          <w:p w:rsidR="003E0BB0" w:rsidRPr="00257A2C" w:rsidRDefault="003E0BB0" w:rsidP="00263F34">
            <w:r w:rsidRPr="00257A2C">
              <w:t xml:space="preserve">Mise en œuvre </w:t>
            </w:r>
          </w:p>
        </w:tc>
        <w:tc>
          <w:tcPr>
            <w:tcW w:w="6749" w:type="dxa"/>
          </w:tcPr>
          <w:p w:rsidR="003E0BB0" w:rsidRPr="00257A2C" w:rsidRDefault="003E0BB0" w:rsidP="00263F34">
            <w:r w:rsidRPr="00257A2C">
              <w:t xml:space="preserve">Ces recommandations sont traitées conformément à une stratégie de mise en œuvre </w:t>
            </w:r>
            <w:r w:rsidRPr="00257A2C">
              <w:rPr>
                <w:bCs/>
              </w:rPr>
              <w:t xml:space="preserve">qui a été </w:t>
            </w:r>
            <w:r w:rsidRPr="00257A2C">
              <w:t xml:space="preserve">convenue sur la base des discussions </w:t>
            </w:r>
            <w:r w:rsidRPr="00257A2C">
              <w:rPr>
                <w:bCs/>
              </w:rPr>
              <w:t>menées</w:t>
            </w:r>
            <w:r w:rsidRPr="00257A2C">
              <w:t xml:space="preserve"> au </w:t>
            </w:r>
            <w:r w:rsidRPr="00257A2C">
              <w:rPr>
                <w:bCs/>
              </w:rPr>
              <w:t>sujet</w:t>
            </w:r>
            <w:r w:rsidRPr="00257A2C">
              <w:t xml:space="preserve"> de différents rapports relatifs à l’état d’avancement </w:t>
            </w:r>
            <w:r w:rsidRPr="00257A2C">
              <w:rPr>
                <w:bCs/>
              </w:rPr>
              <w:t xml:space="preserve">des projets </w:t>
            </w:r>
            <w:r w:rsidRPr="00257A2C">
              <w:t xml:space="preserve">(documents CDIP/3/5, CDIP/6/3, CDIP/8/2 et CDIP/5/7 Rev).  Elles sont en cours de mise en œuvre depuis l’adoption </w:t>
            </w:r>
            <w:r w:rsidRPr="00257A2C">
              <w:rPr>
                <w:bCs/>
              </w:rPr>
              <w:t xml:space="preserve">par </w:t>
            </w:r>
            <w:r w:rsidRPr="00257A2C">
              <w:t>l’OMPI du Plan d’action pour le développement, en 2007.  La stratégie de mise en œuvre a été axée sur le renforcement des capacités des économistes, en particulier dans les pays en développement et les pays en transition, en matière de recherche économique empirique sur la propriété intellectuelle,</w:t>
            </w:r>
            <w:r w:rsidRPr="00257A2C">
              <w:rPr>
                <w:bCs/>
              </w:rPr>
              <w:t xml:space="preserve"> et sur l’</w:t>
            </w:r>
            <w:r w:rsidRPr="00257A2C">
              <w:t>élaboration de documents de référence offrant une synthèse de la recherche économique empirique sur les droits de propriété intellectuelle, tout en recensant les lacunes en matière de recherche et en définissant de nouveaux domaines de recherche possibles dans l’avenir.</w:t>
            </w:r>
          </w:p>
          <w:p w:rsidR="003E0BB0" w:rsidRPr="00257A2C" w:rsidRDefault="003E0BB0" w:rsidP="00263F34"/>
          <w:p w:rsidR="003E0BB0" w:rsidRPr="00257A2C" w:rsidRDefault="003E0BB0" w:rsidP="00263F34">
            <w:pPr>
              <w:rPr>
                <w:bCs/>
              </w:rPr>
            </w:pPr>
            <w:r w:rsidRPr="00257A2C">
              <w:rPr>
                <w:bCs/>
              </w:rPr>
              <w:t>En outre</w:t>
            </w:r>
            <w:r w:rsidRPr="00257A2C">
              <w:t>, ces recommandations ont été directement couvertes par le projet relatif à la propriété intellectuelle et au développement socioéconomique (projet DA_35_37_01 figurant dans le document CDIP/5/7 Rev.) et le projet sur la propriété intellectuelle et le développement socioéconomique – phase II (projet DA_35_37_02).</w:t>
            </w:r>
          </w:p>
          <w:p w:rsidR="003E0BB0" w:rsidRPr="00257A2C" w:rsidRDefault="003E0BB0" w:rsidP="00263F34"/>
        </w:tc>
      </w:tr>
      <w:tr w:rsidR="003E0BB0" w:rsidRPr="00257A2C" w:rsidTr="0020073A">
        <w:tc>
          <w:tcPr>
            <w:tcW w:w="2538" w:type="dxa"/>
          </w:tcPr>
          <w:p w:rsidR="003E0BB0" w:rsidRPr="00257A2C" w:rsidRDefault="003E0BB0" w:rsidP="00263F34">
            <w:r w:rsidRPr="00257A2C">
              <w:rPr>
                <w:bCs/>
              </w:rPr>
              <w:t xml:space="preserve">Liens avec </w:t>
            </w:r>
            <w:r w:rsidRPr="00257A2C">
              <w:t>les projets du Plan d’action pour le développement</w:t>
            </w:r>
          </w:p>
        </w:tc>
        <w:tc>
          <w:tcPr>
            <w:tcW w:w="6749" w:type="dxa"/>
          </w:tcPr>
          <w:p w:rsidR="003E0BB0" w:rsidRPr="00257A2C" w:rsidRDefault="003E0BB0" w:rsidP="00263F34">
            <w:r w:rsidRPr="00257A2C">
              <w:t>Ces recommandations ont été mises en œuvre dans le cadre du projet suivant, qui</w:t>
            </w:r>
            <w:r w:rsidRPr="00257A2C">
              <w:rPr>
                <w:bCs/>
              </w:rPr>
              <w:t xml:space="preserve"> a été mené à bien</w:t>
            </w:r>
            <w:r w:rsidRPr="00257A2C">
              <w:t xml:space="preserve"> au titre du Plan d’action pour le développement</w:t>
            </w:r>
            <w:r w:rsidRPr="00257A2C">
              <w:rPr>
                <w:bCs/>
              </w:rPr>
              <w:t> :</w:t>
            </w:r>
          </w:p>
          <w:p w:rsidR="003E0BB0" w:rsidRPr="00257A2C" w:rsidRDefault="003E0BB0" w:rsidP="00263F34"/>
          <w:p w:rsidR="003E0BB0" w:rsidRPr="00257A2C" w:rsidRDefault="003E0BB0" w:rsidP="00263F34">
            <w:r w:rsidRPr="00257A2C">
              <w:t xml:space="preserve">– </w:t>
            </w:r>
            <w:hyperlink r:id="rId109" w:tgtFrame="_self" w:history="1">
              <w:r w:rsidRPr="00257A2C">
                <w:t>Propriété intellectuelle et développement socioéconomique</w:t>
              </w:r>
            </w:hyperlink>
            <w:r w:rsidRPr="00257A2C">
              <w:t xml:space="preserve"> (CDIP/5/7 Rev.)</w:t>
            </w:r>
          </w:p>
          <w:p w:rsidR="003E0BB0" w:rsidRPr="00257A2C" w:rsidRDefault="003E0BB0" w:rsidP="00263F34"/>
          <w:p w:rsidR="003E0BB0" w:rsidRPr="00257A2C" w:rsidRDefault="003E0BB0" w:rsidP="00263F34">
            <w:r w:rsidRPr="00257A2C">
              <w:rPr>
                <w:bCs/>
              </w:rPr>
              <w:t xml:space="preserve">Ces </w:t>
            </w:r>
            <w:r w:rsidRPr="00257A2C">
              <w:t xml:space="preserve">recommandations sont </w:t>
            </w:r>
            <w:r w:rsidRPr="00257A2C">
              <w:rPr>
                <w:bCs/>
              </w:rPr>
              <w:t>également</w:t>
            </w:r>
            <w:r w:rsidRPr="00257A2C">
              <w:t xml:space="preserve"> couvertes par le projet suivant, qui </w:t>
            </w:r>
            <w:r w:rsidRPr="00257A2C">
              <w:rPr>
                <w:bCs/>
              </w:rPr>
              <w:t>est en cours d’exécution</w:t>
            </w:r>
            <w:r w:rsidRPr="00257A2C">
              <w:t xml:space="preserve"> au titre du Plan d’action pour le développement :</w:t>
            </w:r>
          </w:p>
          <w:p w:rsidR="003E0BB0" w:rsidRPr="00257A2C" w:rsidRDefault="003E0BB0" w:rsidP="00263F34"/>
          <w:p w:rsidR="003E0BB0" w:rsidRPr="00257A2C" w:rsidRDefault="003E0BB0" w:rsidP="00263F34">
            <w:r w:rsidRPr="00257A2C">
              <w:rPr>
                <w:bCs/>
              </w:rPr>
              <w:t xml:space="preserve">– </w:t>
            </w:r>
            <w:hyperlink r:id="rId110" w:tgtFrame="_self" w:history="1">
              <w:r w:rsidRPr="00257A2C">
                <w:rPr>
                  <w:bCs/>
                </w:rPr>
                <w:t>Propriété intellectuelle et développement socioéconomique – phase II</w:t>
              </w:r>
            </w:hyperlink>
            <w:r w:rsidRPr="00257A2C">
              <w:t xml:space="preserve"> (CDIP/14/7)</w:t>
            </w:r>
          </w:p>
          <w:p w:rsidR="003E0BB0" w:rsidRPr="00257A2C" w:rsidRDefault="003E0BB0" w:rsidP="00263F34"/>
        </w:tc>
      </w:tr>
      <w:tr w:rsidR="003E0BB0" w:rsidRPr="00257A2C" w:rsidTr="0020073A">
        <w:tc>
          <w:tcPr>
            <w:tcW w:w="2538" w:type="dxa"/>
          </w:tcPr>
          <w:p w:rsidR="003E0BB0" w:rsidRPr="00257A2C" w:rsidRDefault="003E0BB0" w:rsidP="00263F34">
            <w:r w:rsidRPr="00257A2C">
              <w:t xml:space="preserve">Activités </w:t>
            </w:r>
            <w:r w:rsidRPr="00257A2C">
              <w:rPr>
                <w:bCs/>
              </w:rPr>
              <w:t>et</w:t>
            </w:r>
            <w:r w:rsidRPr="00257A2C">
              <w:t xml:space="preserve"> réalisations </w:t>
            </w:r>
          </w:p>
        </w:tc>
        <w:tc>
          <w:tcPr>
            <w:tcW w:w="6749" w:type="dxa"/>
          </w:tcPr>
          <w:p w:rsidR="003E0BB0" w:rsidRPr="00257A2C" w:rsidRDefault="003E0BB0" w:rsidP="00263F34">
            <w:r w:rsidRPr="00257A2C">
              <w:t xml:space="preserve">La réalisation du projet sur la propriété intellectuelle et le développement socioéconomique – phase II (CDIP/18/2) a été un succès, comme cela est exposé plus en détail dans l’annexe VI du présent document.  La plupart des études </w:t>
            </w:r>
            <w:r w:rsidRPr="00257A2C">
              <w:rPr>
                <w:bCs/>
              </w:rPr>
              <w:t xml:space="preserve">effectuées </w:t>
            </w:r>
            <w:r w:rsidRPr="00257A2C">
              <w:t xml:space="preserve">dans le cadre de ce projet ont été mises en œuvre en collaboration avec des économistes originaires de pays en développement et de pays en transition, et </w:t>
            </w:r>
            <w:r w:rsidRPr="00257A2C">
              <w:rPr>
                <w:bCs/>
              </w:rPr>
              <w:t>ont donné lieu à</w:t>
            </w:r>
            <w:r w:rsidRPr="00257A2C">
              <w:t xml:space="preserve"> la création de bases de données empiriques renforçant durablement les capacités de recherche.</w:t>
            </w:r>
          </w:p>
          <w:p w:rsidR="003E0BB0" w:rsidRPr="00257A2C" w:rsidRDefault="003E0BB0" w:rsidP="00263F34"/>
          <w:p w:rsidR="003E0BB0" w:rsidRPr="00257A2C" w:rsidRDefault="003E0BB0" w:rsidP="00263F34">
            <w:r w:rsidRPr="00257A2C">
              <w:rPr>
                <w:bCs/>
              </w:rPr>
              <w:t>En novembre 2017</w:t>
            </w:r>
            <w:r w:rsidRPr="00257A2C">
              <w:t xml:space="preserve">, l’OMPI a publié un nouveau Rapport sur la propriété intellectuelle dans le monde, </w:t>
            </w:r>
            <w:r w:rsidRPr="00257A2C">
              <w:rPr>
                <w:bCs/>
              </w:rPr>
              <w:t>qui porte</w:t>
            </w:r>
            <w:r w:rsidRPr="00257A2C">
              <w:t xml:space="preserve"> sur le capital immatériel dans les chaînes de valeur mondiales.  En plus de fournir de premières estimations sur la place qu’occupe, au plan macroéconomique, le capital immatériel dans la production mondiale, </w:t>
            </w:r>
            <w:r w:rsidRPr="00257A2C">
              <w:rPr>
                <w:bCs/>
              </w:rPr>
              <w:t>ce</w:t>
            </w:r>
            <w:r w:rsidRPr="00257A2C">
              <w:t xml:space="preserve"> rapport présente une vue d’ensemble des publications économiques consacrées à ce sujet, et comporte des études de cas dans lesquelles les aspects liés au développement tiennent une place importante.</w:t>
            </w:r>
          </w:p>
          <w:p w:rsidR="003E0BB0" w:rsidRPr="00257A2C" w:rsidRDefault="003E0BB0" w:rsidP="00263F34"/>
        </w:tc>
      </w:tr>
      <w:tr w:rsidR="003E0BB0" w:rsidRPr="00257A2C" w:rsidTr="0020073A">
        <w:tc>
          <w:tcPr>
            <w:tcW w:w="2538" w:type="dxa"/>
          </w:tcPr>
          <w:p w:rsidR="003E0BB0" w:rsidRPr="00257A2C" w:rsidRDefault="003E0BB0" w:rsidP="00263F34">
            <w:r w:rsidRPr="00257A2C">
              <w:t>Autres rapports ou documents connexes</w:t>
            </w:r>
          </w:p>
        </w:tc>
        <w:tc>
          <w:tcPr>
            <w:tcW w:w="6749" w:type="dxa"/>
          </w:tcPr>
          <w:p w:rsidR="003E0BB0" w:rsidRPr="00257A2C" w:rsidRDefault="003E0BB0" w:rsidP="00263F34">
            <w:r w:rsidRPr="00257A2C">
              <w:t xml:space="preserve">Rapports examinés par le CDIP : CDIP/3/5, CDIP/6/3, CDIP/8/2, CDIP/10/2, CDIP/12/2, CDIP/14/2, CDIP/14/3, CDIP/16/2, CDIP/18/2 </w:t>
            </w:r>
            <w:r w:rsidRPr="00257A2C">
              <w:rPr>
                <w:bCs/>
              </w:rPr>
              <w:t>et</w:t>
            </w:r>
            <w:r w:rsidRPr="00257A2C">
              <w:t xml:space="preserve"> CDIP/20/2.</w:t>
            </w:r>
          </w:p>
          <w:p w:rsidR="003E0BB0" w:rsidRPr="00257A2C" w:rsidRDefault="003E0BB0" w:rsidP="00263F34"/>
          <w:p w:rsidR="003E0BB0" w:rsidRPr="00257A2C" w:rsidRDefault="003E0BB0" w:rsidP="00263F34">
            <w:r w:rsidRPr="00257A2C">
              <w:t>En dehors des activités qui figurent dans l’IP</w:t>
            </w:r>
            <w:r w:rsidRPr="00257A2C">
              <w:noBreakHyphen/>
              <w:t>TAD, pour obtenir de plus amples informations sur les réalisations liées à ces recommandations, il convient de se référer au Rapport sur la performance de l’OMPI en 2016</w:t>
            </w:r>
            <w:r w:rsidRPr="00257A2C">
              <w:noBreakHyphen/>
              <w:t>2017 (document WO/PBC/28/7).</w:t>
            </w:r>
          </w:p>
          <w:p w:rsidR="003E0BB0" w:rsidRPr="00257A2C" w:rsidRDefault="003E0BB0" w:rsidP="00263F34">
            <w:pPr>
              <w:rPr>
                <w:sz w:val="21"/>
                <w:szCs w:val="21"/>
                <w:highlight w:val="yellow"/>
                <w:bdr w:val="none" w:sz="0" w:space="0" w:color="auto" w:frame="1"/>
              </w:rPr>
            </w:pPr>
          </w:p>
        </w:tc>
      </w:tr>
    </w:tbl>
    <w:p w:rsidR="003E0BB0" w:rsidRPr="00257A2C" w:rsidRDefault="003E0BB0" w:rsidP="003E0BB0">
      <w:r w:rsidRPr="00257A2C">
        <w:br w:type="page"/>
      </w:r>
    </w:p>
    <w:tbl>
      <w:tblPr>
        <w:tblStyle w:val="TableGrid"/>
        <w:tblW w:w="0" w:type="auto"/>
        <w:tblLook w:val="04A0" w:firstRow="1" w:lastRow="0" w:firstColumn="1" w:lastColumn="0" w:noHBand="0" w:noVBand="1"/>
      </w:tblPr>
      <w:tblGrid>
        <w:gridCol w:w="2538"/>
        <w:gridCol w:w="6749"/>
      </w:tblGrid>
      <w:tr w:rsidR="003E0BB0" w:rsidRPr="00257A2C" w:rsidTr="00263F34">
        <w:tc>
          <w:tcPr>
            <w:tcW w:w="2538" w:type="dxa"/>
            <w:shd w:val="clear" w:color="auto" w:fill="BFBFBF" w:themeFill="background1" w:themeFillShade="BF"/>
          </w:tcPr>
          <w:p w:rsidR="003E0BB0" w:rsidRPr="00257A2C" w:rsidRDefault="003E0BB0" w:rsidP="00263F34">
            <w:r w:rsidRPr="00257A2C">
              <w:t>Recommandation(s)</w:t>
            </w:r>
          </w:p>
        </w:tc>
        <w:tc>
          <w:tcPr>
            <w:tcW w:w="6751" w:type="dxa"/>
            <w:shd w:val="clear" w:color="auto" w:fill="BFBFBF" w:themeFill="background1" w:themeFillShade="BF"/>
          </w:tcPr>
          <w:p w:rsidR="003E0BB0" w:rsidRPr="00257A2C" w:rsidRDefault="003E0BB0" w:rsidP="00263F34">
            <w:pPr>
              <w:rPr>
                <w:i/>
              </w:rPr>
            </w:pPr>
            <w:r w:rsidRPr="00257A2C">
              <w:rPr>
                <w:i/>
              </w:rPr>
              <w:t>Recommandation n° 36</w:t>
            </w:r>
          </w:p>
          <w:p w:rsidR="003E0BB0" w:rsidRPr="00257A2C" w:rsidRDefault="003E0BB0" w:rsidP="00263F34">
            <w:pPr>
              <w:rPr>
                <w:i/>
              </w:rPr>
            </w:pPr>
          </w:p>
          <w:p w:rsidR="003E0BB0" w:rsidRPr="00257A2C" w:rsidRDefault="003E0BB0" w:rsidP="00263F34">
            <w:r w:rsidRPr="00257A2C">
              <w:t>Échanger des données d’expérience sur des projets de partenariat ouverts tels que le projet sur le génome humain et sur des modèles de propriété intellectuelle.</w:t>
            </w:r>
          </w:p>
          <w:p w:rsidR="003E0BB0" w:rsidRPr="00257A2C" w:rsidRDefault="003E0BB0" w:rsidP="00263F34"/>
        </w:tc>
      </w:tr>
      <w:tr w:rsidR="003E0BB0" w:rsidRPr="00257A2C" w:rsidTr="00263F34">
        <w:tc>
          <w:tcPr>
            <w:tcW w:w="2538" w:type="dxa"/>
          </w:tcPr>
          <w:p w:rsidR="003E0BB0" w:rsidRPr="00257A2C" w:rsidRDefault="003E0BB0" w:rsidP="00263F34">
            <w:r w:rsidRPr="00257A2C">
              <w:rPr>
                <w:bCs/>
              </w:rPr>
              <w:t>Liens avec l</w:t>
            </w:r>
            <w:r w:rsidRPr="00257A2C">
              <w:t>es programmes inscrits au programme et budget 2018</w:t>
            </w:r>
            <w:r w:rsidRPr="00257A2C">
              <w:noBreakHyphen/>
              <w:t>2019</w:t>
            </w:r>
          </w:p>
          <w:p w:rsidR="003E0BB0" w:rsidRPr="00257A2C" w:rsidRDefault="003E0BB0" w:rsidP="00263F34"/>
        </w:tc>
        <w:tc>
          <w:tcPr>
            <w:tcW w:w="6751" w:type="dxa"/>
          </w:tcPr>
          <w:p w:rsidR="003E0BB0" w:rsidRPr="00257A2C" w:rsidRDefault="003E0BB0" w:rsidP="00263F34">
            <w:r w:rsidRPr="00257A2C">
              <w:t>8, 9 et 30</w:t>
            </w:r>
          </w:p>
        </w:tc>
      </w:tr>
      <w:tr w:rsidR="003E0BB0" w:rsidRPr="00257A2C" w:rsidTr="00263F34">
        <w:tc>
          <w:tcPr>
            <w:tcW w:w="2538" w:type="dxa"/>
          </w:tcPr>
          <w:p w:rsidR="003E0BB0" w:rsidRPr="00257A2C" w:rsidRDefault="003E0BB0" w:rsidP="00263F34">
            <w:r w:rsidRPr="00257A2C">
              <w:t xml:space="preserve">Mise en œuvre </w:t>
            </w:r>
          </w:p>
        </w:tc>
        <w:tc>
          <w:tcPr>
            <w:tcW w:w="6751" w:type="dxa"/>
          </w:tcPr>
          <w:p w:rsidR="003E0BB0" w:rsidRPr="00257A2C" w:rsidRDefault="003E0BB0" w:rsidP="00263F34">
            <w:r w:rsidRPr="00257A2C">
              <w:t xml:space="preserve">Cette recommandation est en cours de mise en œuvre depuis 2010.  Elle a fait l’objet de discussions </w:t>
            </w:r>
            <w:r w:rsidRPr="00257A2C">
              <w:rPr>
                <w:bCs/>
              </w:rPr>
              <w:t>menées</w:t>
            </w:r>
            <w:r w:rsidRPr="00257A2C">
              <w:t xml:space="preserve"> et d’activités approuvées à la sixième session du CDIP, comme indiqué dans le document CDIP/6/6.</w:t>
            </w:r>
          </w:p>
          <w:p w:rsidR="003E0BB0" w:rsidRPr="00257A2C" w:rsidRDefault="003E0BB0" w:rsidP="00263F34"/>
        </w:tc>
      </w:tr>
      <w:tr w:rsidR="003E0BB0" w:rsidRPr="00257A2C" w:rsidTr="00263F34">
        <w:tc>
          <w:tcPr>
            <w:tcW w:w="2538" w:type="dxa"/>
          </w:tcPr>
          <w:p w:rsidR="003E0BB0" w:rsidRPr="00257A2C" w:rsidRDefault="003E0BB0" w:rsidP="00263F34">
            <w:r w:rsidRPr="00257A2C">
              <w:rPr>
                <w:bCs/>
              </w:rPr>
              <w:t xml:space="preserve">Liens avec </w:t>
            </w:r>
            <w:r w:rsidRPr="00257A2C">
              <w:t>les projets du Plan d’action pour le développement</w:t>
            </w:r>
          </w:p>
        </w:tc>
        <w:tc>
          <w:tcPr>
            <w:tcW w:w="6751" w:type="dxa"/>
          </w:tcPr>
          <w:p w:rsidR="003E0BB0" w:rsidRPr="00257A2C" w:rsidRDefault="003E0BB0" w:rsidP="00263F34">
            <w:r w:rsidRPr="00257A2C">
              <w:t xml:space="preserve">Cette recommandation a principalement été traitée dans le cadre du projet relatif aux </w:t>
            </w:r>
            <w:hyperlink r:id="rId111" w:tgtFrame="_self" w:history="1">
              <w:r w:rsidRPr="00257A2C">
                <w:t>projets de partenariat ouvert et aux modèles fondés sur la propriété intellectuelle</w:t>
              </w:r>
            </w:hyperlink>
            <w:r w:rsidRPr="00257A2C">
              <w:t xml:space="preserve"> (CDIP/6/6 Rev.).</w:t>
            </w:r>
          </w:p>
          <w:p w:rsidR="003E0BB0" w:rsidRPr="00257A2C" w:rsidRDefault="003E0BB0" w:rsidP="00263F34"/>
        </w:tc>
      </w:tr>
      <w:tr w:rsidR="003E0BB0" w:rsidRPr="00257A2C" w:rsidTr="00263F34">
        <w:tc>
          <w:tcPr>
            <w:tcW w:w="2538" w:type="dxa"/>
          </w:tcPr>
          <w:p w:rsidR="003E0BB0" w:rsidRPr="00257A2C" w:rsidRDefault="003E0BB0" w:rsidP="00263F34">
            <w:r w:rsidRPr="00257A2C">
              <w:t xml:space="preserve">Activités </w:t>
            </w:r>
            <w:r w:rsidRPr="00257A2C">
              <w:rPr>
                <w:bCs/>
              </w:rPr>
              <w:t>et</w:t>
            </w:r>
            <w:r w:rsidRPr="00257A2C">
              <w:t xml:space="preserve"> réalisations </w:t>
            </w:r>
          </w:p>
        </w:tc>
        <w:tc>
          <w:tcPr>
            <w:tcW w:w="6751" w:type="dxa"/>
          </w:tcPr>
          <w:p w:rsidR="003E0BB0" w:rsidRPr="00257A2C" w:rsidRDefault="003E0BB0" w:rsidP="00263F34">
            <w:r w:rsidRPr="00257A2C">
              <w:t>Des informations sur les réunions tenues dans le cadre des projets du Plan d’action pour le développement relatifs au transfert de technologie et aux partenariats ouverts, tels que le projet intitulé “</w:t>
            </w:r>
            <w:hyperlink r:id="rId112" w:tgtFrame="_self" w:history="1">
              <w:r w:rsidRPr="00257A2C">
                <w:t>Projets de partenariat ouvert et modèles fondés sur la propriété intellectuelle</w:t>
              </w:r>
            </w:hyperlink>
            <w:r w:rsidRPr="00257A2C">
              <w:t xml:space="preserve">”, ainsi que des études et d’autres </w:t>
            </w:r>
            <w:r w:rsidRPr="00257A2C">
              <w:rPr>
                <w:bCs/>
              </w:rPr>
              <w:t>documents</w:t>
            </w:r>
            <w:r w:rsidRPr="00257A2C">
              <w:t xml:space="preserve"> </w:t>
            </w:r>
            <w:r w:rsidRPr="00257A2C">
              <w:rPr>
                <w:bCs/>
              </w:rPr>
              <w:t>établis aux fins de ces projets sont mis à disposition sur</w:t>
            </w:r>
            <w:r w:rsidRPr="00257A2C">
              <w:t xml:space="preserve"> la page du portail du Plan d’action pour le développement consacrée au transfert de technologie et aux partenariats ouverts.  Un forum a été créé </w:t>
            </w:r>
            <w:r w:rsidRPr="00257A2C">
              <w:rPr>
                <w:bCs/>
              </w:rPr>
              <w:t>pour permettre</w:t>
            </w:r>
            <w:r w:rsidRPr="00257A2C">
              <w:t xml:space="preserve"> aux États membres, aux observateurs et à toutes les parties prenantes concernées de partager les retours d’information, observations et propositions émanant des utilisateurs directs en ce qui concerne les études publiées, les instruments de propriété intellectuelle, les guides et le matériel de formation, les documents </w:t>
            </w:r>
            <w:r w:rsidRPr="00257A2C">
              <w:rPr>
                <w:bCs/>
              </w:rPr>
              <w:t>afférents</w:t>
            </w:r>
            <w:r w:rsidRPr="00257A2C">
              <w:t xml:space="preserve"> aux manifestations, et la conception ou le contenu du portail.  Les États membres continuent d’utiliser le portail et de tirer parti du forum.</w:t>
            </w:r>
          </w:p>
          <w:p w:rsidR="003E0BB0" w:rsidRPr="00257A2C" w:rsidRDefault="003E0BB0" w:rsidP="00263F34"/>
        </w:tc>
      </w:tr>
      <w:tr w:rsidR="003E0BB0" w:rsidRPr="00257A2C" w:rsidTr="00263F34">
        <w:tc>
          <w:tcPr>
            <w:tcW w:w="2538" w:type="dxa"/>
          </w:tcPr>
          <w:p w:rsidR="003E0BB0" w:rsidRPr="00257A2C" w:rsidRDefault="003E0BB0" w:rsidP="00263F34">
            <w:r w:rsidRPr="00257A2C">
              <w:t>Autres rapports ou documents connexes</w:t>
            </w:r>
          </w:p>
        </w:tc>
        <w:tc>
          <w:tcPr>
            <w:tcW w:w="6751" w:type="dxa"/>
          </w:tcPr>
          <w:p w:rsidR="003E0BB0" w:rsidRPr="00257A2C" w:rsidRDefault="003E0BB0" w:rsidP="00263F34">
            <w:r w:rsidRPr="00257A2C">
              <w:t>Rapports examinés par le CDIP : CDIP/8/2, CDIP/10/2, CDIP/12/2, CDIP/14/2, CDIP/15/3 et CDIP/16/2.</w:t>
            </w:r>
          </w:p>
          <w:p w:rsidR="003E0BB0" w:rsidRPr="00257A2C" w:rsidRDefault="003E0BB0" w:rsidP="00263F34"/>
          <w:p w:rsidR="003E0BB0" w:rsidRPr="00257A2C" w:rsidRDefault="003E0BB0" w:rsidP="00263F34">
            <w:r w:rsidRPr="00257A2C">
              <w:t>En dehors des activités qui figurent dans l’IP</w:t>
            </w:r>
            <w:r w:rsidRPr="00257A2C">
              <w:noBreakHyphen/>
              <w:t>TAD, pour obtenir de plus amples informations sur les réalisations liées à cette recommandation, il convient de se référer au Rapport sur la performance de l’OMPI en 2016</w:t>
            </w:r>
            <w:r w:rsidRPr="00257A2C">
              <w:noBreakHyphen/>
              <w:t>2017 (document WO/PBC/28/7).</w:t>
            </w:r>
          </w:p>
          <w:p w:rsidR="003E0BB0" w:rsidRPr="00257A2C" w:rsidRDefault="003E0BB0" w:rsidP="00263F34"/>
        </w:tc>
      </w:tr>
    </w:tbl>
    <w:p w:rsidR="003E0BB0" w:rsidRPr="00257A2C" w:rsidRDefault="003E0BB0" w:rsidP="003E0BB0">
      <w:r w:rsidRPr="00257A2C">
        <w:br w:type="page"/>
      </w:r>
    </w:p>
    <w:tbl>
      <w:tblPr>
        <w:tblStyle w:val="TableGrid"/>
        <w:tblW w:w="0" w:type="auto"/>
        <w:tblLook w:val="04A0" w:firstRow="1" w:lastRow="0" w:firstColumn="1" w:lastColumn="0" w:noHBand="0" w:noVBand="1"/>
      </w:tblPr>
      <w:tblGrid>
        <w:gridCol w:w="2538"/>
        <w:gridCol w:w="6749"/>
      </w:tblGrid>
      <w:tr w:rsidR="003E0BB0" w:rsidRPr="00257A2C" w:rsidTr="00263F34">
        <w:tc>
          <w:tcPr>
            <w:tcW w:w="2538" w:type="dxa"/>
            <w:shd w:val="clear" w:color="auto" w:fill="BFBFBF" w:themeFill="background1" w:themeFillShade="BF"/>
          </w:tcPr>
          <w:p w:rsidR="003E0BB0" w:rsidRPr="00257A2C" w:rsidRDefault="003E0BB0" w:rsidP="00263F34">
            <w:r w:rsidRPr="00257A2C">
              <w:t>Recommandation(s)</w:t>
            </w:r>
          </w:p>
        </w:tc>
        <w:tc>
          <w:tcPr>
            <w:tcW w:w="6751" w:type="dxa"/>
            <w:shd w:val="clear" w:color="auto" w:fill="BFBFBF" w:themeFill="background1" w:themeFillShade="BF"/>
          </w:tcPr>
          <w:p w:rsidR="003E0BB0" w:rsidRPr="00257A2C" w:rsidRDefault="003E0BB0" w:rsidP="00263F34">
            <w:pPr>
              <w:rPr>
                <w:i/>
              </w:rPr>
            </w:pPr>
            <w:r w:rsidRPr="00257A2C">
              <w:rPr>
                <w:i/>
              </w:rPr>
              <w:t>Recommandation n° 38</w:t>
            </w:r>
          </w:p>
          <w:p w:rsidR="003E0BB0" w:rsidRPr="00257A2C" w:rsidRDefault="003E0BB0" w:rsidP="00263F34">
            <w:pPr>
              <w:rPr>
                <w:i/>
              </w:rPr>
            </w:pPr>
          </w:p>
          <w:p w:rsidR="003E0BB0" w:rsidRPr="00257A2C" w:rsidRDefault="003E0BB0" w:rsidP="00263F34">
            <w:r w:rsidRPr="00257A2C">
              <w:t>Renforcer la capacité de l’OMPI d’évaluer objectivement les incidences des activités de l’Organisation sur le développement.</w:t>
            </w:r>
          </w:p>
          <w:p w:rsidR="003E0BB0" w:rsidRPr="00257A2C" w:rsidRDefault="003E0BB0" w:rsidP="00263F34"/>
        </w:tc>
      </w:tr>
      <w:tr w:rsidR="003E0BB0" w:rsidRPr="00257A2C" w:rsidTr="00263F34">
        <w:tc>
          <w:tcPr>
            <w:tcW w:w="2538" w:type="dxa"/>
          </w:tcPr>
          <w:p w:rsidR="003E0BB0" w:rsidRPr="00257A2C" w:rsidRDefault="003E0BB0" w:rsidP="00263F34">
            <w:r w:rsidRPr="00257A2C">
              <w:rPr>
                <w:bCs/>
              </w:rPr>
              <w:t>Liens avec l</w:t>
            </w:r>
            <w:r w:rsidRPr="00257A2C">
              <w:t>es programmes inscrits au programme et budget 2018</w:t>
            </w:r>
            <w:r w:rsidRPr="00257A2C">
              <w:noBreakHyphen/>
              <w:t>2019</w:t>
            </w:r>
          </w:p>
          <w:p w:rsidR="003E0BB0" w:rsidRPr="00257A2C" w:rsidRDefault="003E0BB0" w:rsidP="00263F34"/>
        </w:tc>
        <w:tc>
          <w:tcPr>
            <w:tcW w:w="6751" w:type="dxa"/>
          </w:tcPr>
          <w:p w:rsidR="003E0BB0" w:rsidRPr="00257A2C" w:rsidRDefault="003E0BB0" w:rsidP="00263F34">
            <w:r w:rsidRPr="00257A2C">
              <w:t>8, 9 et 22</w:t>
            </w:r>
          </w:p>
        </w:tc>
      </w:tr>
      <w:tr w:rsidR="003E0BB0" w:rsidRPr="00257A2C" w:rsidTr="00263F34">
        <w:tc>
          <w:tcPr>
            <w:tcW w:w="2538" w:type="dxa"/>
          </w:tcPr>
          <w:p w:rsidR="003E0BB0" w:rsidRPr="00257A2C" w:rsidRDefault="003E0BB0" w:rsidP="00263F34">
            <w:r w:rsidRPr="00257A2C">
              <w:t xml:space="preserve">Mise en œuvre </w:t>
            </w:r>
          </w:p>
        </w:tc>
        <w:tc>
          <w:tcPr>
            <w:tcW w:w="6751" w:type="dxa"/>
          </w:tcPr>
          <w:p w:rsidR="003E0BB0" w:rsidRPr="00257A2C" w:rsidRDefault="003E0BB0" w:rsidP="00263F34">
            <w:r w:rsidRPr="00257A2C">
              <w:t xml:space="preserve">Cette recommandation est en cours de mise en œuvre depuis 2010.  Elle a fait l’objet de discussions </w:t>
            </w:r>
            <w:r w:rsidRPr="00257A2C">
              <w:rPr>
                <w:bCs/>
              </w:rPr>
              <w:t>menées</w:t>
            </w:r>
            <w:r w:rsidRPr="00257A2C">
              <w:t xml:space="preserve"> et d’activités approuvées à la quatrième session du CDIP, comme indiqué dans le document CDIP/4/8 Rev.</w:t>
            </w:r>
          </w:p>
          <w:p w:rsidR="003E0BB0" w:rsidRPr="00257A2C" w:rsidRDefault="003E0BB0" w:rsidP="00263F34"/>
        </w:tc>
      </w:tr>
      <w:tr w:rsidR="003E0BB0" w:rsidRPr="00257A2C" w:rsidTr="00263F34">
        <w:tc>
          <w:tcPr>
            <w:tcW w:w="2538" w:type="dxa"/>
          </w:tcPr>
          <w:p w:rsidR="003E0BB0" w:rsidRPr="00257A2C" w:rsidRDefault="003E0BB0" w:rsidP="00263F34">
            <w:r w:rsidRPr="00257A2C">
              <w:rPr>
                <w:bCs/>
              </w:rPr>
              <w:t xml:space="preserve">Liens avec les </w:t>
            </w:r>
            <w:r w:rsidRPr="00257A2C">
              <w:t>projets du Plan d’action pour le développement</w:t>
            </w:r>
          </w:p>
        </w:tc>
        <w:tc>
          <w:tcPr>
            <w:tcW w:w="6751" w:type="dxa"/>
          </w:tcPr>
          <w:p w:rsidR="003E0BB0" w:rsidRPr="00257A2C" w:rsidRDefault="003E0BB0" w:rsidP="00263F34">
            <w:r w:rsidRPr="00257A2C">
              <w:t xml:space="preserve">Cette recommandation a principalement été traitée dans le cadre du </w:t>
            </w:r>
            <w:hyperlink r:id="rId113" w:tgtFrame="_self" w:history="1">
              <w:r w:rsidRPr="00257A2C">
                <w:t>Projet relatif à l’amélioration du cadre de gestion axée sur les résultats mis en œuvre par l’OMPI aux fins du suivi et de l’évaluation des activités de développement</w:t>
              </w:r>
            </w:hyperlink>
            <w:r w:rsidRPr="00257A2C">
              <w:t xml:space="preserve"> (CDIP/5/REF_CDIP/4/8 Rev.).</w:t>
            </w:r>
          </w:p>
          <w:p w:rsidR="003E0BB0" w:rsidRPr="00257A2C" w:rsidRDefault="003E0BB0" w:rsidP="00263F34"/>
        </w:tc>
      </w:tr>
      <w:tr w:rsidR="003E0BB0" w:rsidRPr="00257A2C" w:rsidTr="00263F34">
        <w:tc>
          <w:tcPr>
            <w:tcW w:w="2538" w:type="dxa"/>
          </w:tcPr>
          <w:p w:rsidR="003E0BB0" w:rsidRPr="00257A2C" w:rsidRDefault="003E0BB0" w:rsidP="00263F34">
            <w:r w:rsidRPr="00257A2C">
              <w:t xml:space="preserve">Activités </w:t>
            </w:r>
            <w:r w:rsidRPr="00257A2C">
              <w:rPr>
                <w:bCs/>
              </w:rPr>
              <w:t>et</w:t>
            </w:r>
            <w:r w:rsidRPr="00257A2C">
              <w:t xml:space="preserve"> réalisations </w:t>
            </w:r>
          </w:p>
        </w:tc>
        <w:tc>
          <w:tcPr>
            <w:tcW w:w="6751" w:type="dxa"/>
          </w:tcPr>
          <w:p w:rsidR="003E0BB0" w:rsidRPr="00257A2C" w:rsidRDefault="003E0BB0" w:rsidP="00263F34">
            <w:r w:rsidRPr="00257A2C">
              <w:rPr>
                <w:bCs/>
              </w:rPr>
              <w:t>En ce qui concerne</w:t>
            </w:r>
            <w:r w:rsidRPr="00257A2C">
              <w:t xml:space="preserve"> les réalisations </w:t>
            </w:r>
            <w:r w:rsidRPr="00257A2C">
              <w:rPr>
                <w:bCs/>
              </w:rPr>
              <w:t>liées à</w:t>
            </w:r>
            <w:r w:rsidRPr="00257A2C">
              <w:t xml:space="preserve"> cette recommandation, il convient de se référer au document relatif à l’évaluation des outils et méthodes en vigueur de l’OMPI pour mesurer l’incidence, l’efficacité et le bon fonctionnement de ses activités d’assistance technique à différents niveaux et définir des domaines d’amélioration possible, </w:t>
            </w:r>
            <w:r w:rsidRPr="00257A2C">
              <w:rPr>
                <w:bCs/>
              </w:rPr>
              <w:t>qui a été</w:t>
            </w:r>
            <w:r w:rsidRPr="00257A2C">
              <w:t xml:space="preserve"> présenté à la session </w:t>
            </w:r>
            <w:r w:rsidRPr="00257A2C">
              <w:rPr>
                <w:bCs/>
              </w:rPr>
              <w:t>en cours</w:t>
            </w:r>
            <w:r w:rsidRPr="00257A2C">
              <w:t xml:space="preserve"> du CDIP.</w:t>
            </w:r>
          </w:p>
          <w:p w:rsidR="003E0BB0" w:rsidRPr="00257A2C" w:rsidRDefault="003E0BB0" w:rsidP="00263F34">
            <w:pPr>
              <w:rPr>
                <w:highlight w:val="yellow"/>
              </w:rPr>
            </w:pPr>
          </w:p>
        </w:tc>
      </w:tr>
      <w:tr w:rsidR="003E0BB0" w:rsidRPr="00257A2C" w:rsidTr="00263F34">
        <w:tc>
          <w:tcPr>
            <w:tcW w:w="2538" w:type="dxa"/>
          </w:tcPr>
          <w:p w:rsidR="003E0BB0" w:rsidRPr="00257A2C" w:rsidRDefault="003E0BB0" w:rsidP="00263F34">
            <w:r w:rsidRPr="00257A2C">
              <w:t>Autres rapports ou documents connexes</w:t>
            </w:r>
          </w:p>
        </w:tc>
        <w:tc>
          <w:tcPr>
            <w:tcW w:w="6751" w:type="dxa"/>
          </w:tcPr>
          <w:p w:rsidR="003E0BB0" w:rsidRPr="00257A2C" w:rsidRDefault="003E0BB0" w:rsidP="00263F34">
            <w:pPr>
              <w:tabs>
                <w:tab w:val="left" w:pos="3965"/>
              </w:tabs>
            </w:pPr>
            <w:r w:rsidRPr="00257A2C">
              <w:t>Rapports examinés par le CDIP : CDIP/6/2, CDIP/8/2, CDIP/10/2 et CDIP/12/14.</w:t>
            </w:r>
          </w:p>
          <w:p w:rsidR="003E0BB0" w:rsidRPr="00257A2C" w:rsidRDefault="003E0BB0" w:rsidP="00263F34"/>
          <w:p w:rsidR="003E0BB0" w:rsidRPr="00257A2C" w:rsidRDefault="003E0BB0" w:rsidP="00263F34">
            <w:r w:rsidRPr="00257A2C">
              <w:t>En dehors des activités qui figurent dans l’IP</w:t>
            </w:r>
            <w:r w:rsidRPr="00257A2C">
              <w:noBreakHyphen/>
              <w:t>TAD, pour obtenir de plus amples informations sur les réalisations liées à cette recommandation, il convient de se référer au Rapport sur la performance de l’OMPI en 2016</w:t>
            </w:r>
            <w:r w:rsidRPr="00257A2C">
              <w:noBreakHyphen/>
              <w:t>2017 (document WO/PBC/28/7).</w:t>
            </w:r>
          </w:p>
          <w:p w:rsidR="003E0BB0" w:rsidRPr="00257A2C" w:rsidRDefault="003E0BB0" w:rsidP="00263F34"/>
        </w:tc>
      </w:tr>
    </w:tbl>
    <w:p w:rsidR="003E0BB0" w:rsidRPr="00257A2C" w:rsidRDefault="003E0BB0" w:rsidP="003E0BB0">
      <w:r w:rsidRPr="00257A2C">
        <w:br w:type="page"/>
      </w:r>
    </w:p>
    <w:tbl>
      <w:tblPr>
        <w:tblStyle w:val="TableGrid"/>
        <w:tblW w:w="0" w:type="auto"/>
        <w:tblLook w:val="04A0" w:firstRow="1" w:lastRow="0" w:firstColumn="1" w:lastColumn="0" w:noHBand="0" w:noVBand="1"/>
      </w:tblPr>
      <w:tblGrid>
        <w:gridCol w:w="2538"/>
        <w:gridCol w:w="6749"/>
      </w:tblGrid>
      <w:tr w:rsidR="003E0BB0" w:rsidRPr="00257A2C" w:rsidTr="00263F34">
        <w:tc>
          <w:tcPr>
            <w:tcW w:w="2538" w:type="dxa"/>
            <w:shd w:val="clear" w:color="auto" w:fill="BFBFBF" w:themeFill="background1" w:themeFillShade="BF"/>
          </w:tcPr>
          <w:p w:rsidR="003E0BB0" w:rsidRPr="00257A2C" w:rsidRDefault="003E0BB0" w:rsidP="00263F34">
            <w:r w:rsidRPr="00257A2C">
              <w:t>Recommandation(s)</w:t>
            </w:r>
          </w:p>
        </w:tc>
        <w:tc>
          <w:tcPr>
            <w:tcW w:w="6751" w:type="dxa"/>
            <w:shd w:val="clear" w:color="auto" w:fill="BFBFBF" w:themeFill="background1" w:themeFillShade="BF"/>
          </w:tcPr>
          <w:p w:rsidR="003E0BB0" w:rsidRPr="00257A2C" w:rsidRDefault="003E0BB0" w:rsidP="00263F34">
            <w:pPr>
              <w:rPr>
                <w:i/>
              </w:rPr>
            </w:pPr>
            <w:r w:rsidRPr="00257A2C">
              <w:rPr>
                <w:i/>
              </w:rPr>
              <w:t>Recommandation n° 39</w:t>
            </w:r>
          </w:p>
          <w:p w:rsidR="003E0BB0" w:rsidRPr="00257A2C" w:rsidRDefault="003E0BB0" w:rsidP="00263F34">
            <w:pPr>
              <w:rPr>
                <w:i/>
              </w:rPr>
            </w:pPr>
          </w:p>
          <w:p w:rsidR="003E0BB0" w:rsidRPr="00257A2C" w:rsidRDefault="003E0BB0" w:rsidP="00263F34">
            <w:r w:rsidRPr="00257A2C">
              <w:t>Demander à l’OMPI d’aider, dans le cadre de ses compétences et de sa mission fondamentales et en coopération avec les organisations internationales compétentes, les pays en développement, en particulier les pays africains, en menant des études sur la fuite des cerveaux et en formulant des recommandations en conséquence.</w:t>
            </w:r>
          </w:p>
          <w:p w:rsidR="003E0BB0" w:rsidRPr="00257A2C" w:rsidRDefault="003E0BB0" w:rsidP="00263F34"/>
        </w:tc>
      </w:tr>
      <w:tr w:rsidR="003E0BB0" w:rsidRPr="00257A2C" w:rsidTr="00263F34">
        <w:tc>
          <w:tcPr>
            <w:tcW w:w="2538" w:type="dxa"/>
          </w:tcPr>
          <w:p w:rsidR="003E0BB0" w:rsidRPr="00257A2C" w:rsidRDefault="003E0BB0" w:rsidP="00263F34">
            <w:r w:rsidRPr="00257A2C">
              <w:rPr>
                <w:bCs/>
              </w:rPr>
              <w:t>Liens avec l</w:t>
            </w:r>
            <w:r w:rsidRPr="00257A2C">
              <w:t>es programmes inscrits au programme et budget 2018</w:t>
            </w:r>
            <w:r w:rsidRPr="00257A2C">
              <w:noBreakHyphen/>
              <w:t>2019</w:t>
            </w:r>
          </w:p>
          <w:p w:rsidR="003E0BB0" w:rsidRPr="00257A2C" w:rsidRDefault="003E0BB0" w:rsidP="00263F34"/>
        </w:tc>
        <w:tc>
          <w:tcPr>
            <w:tcW w:w="6751" w:type="dxa"/>
          </w:tcPr>
          <w:p w:rsidR="003E0BB0" w:rsidRPr="00257A2C" w:rsidRDefault="003E0BB0" w:rsidP="00263F34">
            <w:r w:rsidRPr="00257A2C">
              <w:t>8, 9 et 16</w:t>
            </w:r>
          </w:p>
        </w:tc>
      </w:tr>
      <w:tr w:rsidR="003E0BB0" w:rsidRPr="00257A2C" w:rsidTr="00263F34">
        <w:tc>
          <w:tcPr>
            <w:tcW w:w="2538" w:type="dxa"/>
          </w:tcPr>
          <w:p w:rsidR="003E0BB0" w:rsidRPr="00257A2C" w:rsidRDefault="003E0BB0" w:rsidP="00263F34">
            <w:r w:rsidRPr="00257A2C">
              <w:t xml:space="preserve">Mise en œuvre </w:t>
            </w:r>
          </w:p>
        </w:tc>
        <w:tc>
          <w:tcPr>
            <w:tcW w:w="6751" w:type="dxa"/>
          </w:tcPr>
          <w:p w:rsidR="003E0BB0" w:rsidRPr="00257A2C" w:rsidRDefault="003E0BB0" w:rsidP="00263F34">
            <w:r w:rsidRPr="00257A2C">
              <w:t>Cette recommandation est en cours de mise en œuvre depuis 2014.  Elle a été examinée dans le cadre des documents suivants : CDIP/6/8 et CDIP/7/4.</w:t>
            </w:r>
          </w:p>
          <w:p w:rsidR="003E0BB0" w:rsidRPr="00257A2C" w:rsidRDefault="003E0BB0" w:rsidP="00263F34"/>
        </w:tc>
      </w:tr>
      <w:tr w:rsidR="003E0BB0" w:rsidRPr="00257A2C" w:rsidTr="00263F34">
        <w:tc>
          <w:tcPr>
            <w:tcW w:w="2538" w:type="dxa"/>
          </w:tcPr>
          <w:p w:rsidR="003E0BB0" w:rsidRPr="00257A2C" w:rsidRDefault="003E0BB0" w:rsidP="00263F34">
            <w:r w:rsidRPr="00257A2C">
              <w:rPr>
                <w:bCs/>
              </w:rPr>
              <w:t xml:space="preserve">Liens avec les </w:t>
            </w:r>
            <w:r w:rsidRPr="00257A2C">
              <w:t>projets du Plan d’action pour le développement</w:t>
            </w:r>
          </w:p>
        </w:tc>
        <w:tc>
          <w:tcPr>
            <w:tcW w:w="6751" w:type="dxa"/>
          </w:tcPr>
          <w:p w:rsidR="003E0BB0" w:rsidRPr="00257A2C" w:rsidRDefault="003E0BB0" w:rsidP="00263F34">
            <w:pPr>
              <w:rPr>
                <w:szCs w:val="24"/>
              </w:rPr>
            </w:pPr>
            <w:r w:rsidRPr="00257A2C">
              <w:t xml:space="preserve">Cette recommandation a principalement été couverte par le projet relatif à </w:t>
            </w:r>
            <w:hyperlink r:id="rId114" w:tgtFrame="_self" w:history="1">
              <w:r w:rsidRPr="00257A2C">
                <w:t>la propriété intellectuelle et à la fuite des cerveaux</w:t>
              </w:r>
            </w:hyperlink>
            <w:r w:rsidRPr="00257A2C">
              <w:t xml:space="preserve"> (CDIP/8/REF/CDIP/7/4 Rev.).</w:t>
            </w:r>
          </w:p>
          <w:p w:rsidR="003E0BB0" w:rsidRPr="00257A2C" w:rsidRDefault="003E0BB0" w:rsidP="00263F34"/>
        </w:tc>
      </w:tr>
      <w:tr w:rsidR="003E0BB0" w:rsidRPr="00257A2C" w:rsidTr="00263F34">
        <w:tc>
          <w:tcPr>
            <w:tcW w:w="2538" w:type="dxa"/>
          </w:tcPr>
          <w:p w:rsidR="003E0BB0" w:rsidRPr="00257A2C" w:rsidRDefault="003E0BB0" w:rsidP="00263F34">
            <w:r w:rsidRPr="00257A2C">
              <w:t xml:space="preserve">Activités </w:t>
            </w:r>
            <w:r w:rsidRPr="00257A2C">
              <w:rPr>
                <w:bCs/>
              </w:rPr>
              <w:t>et</w:t>
            </w:r>
            <w:r w:rsidRPr="00257A2C">
              <w:t xml:space="preserve"> réalisations </w:t>
            </w:r>
          </w:p>
        </w:tc>
        <w:tc>
          <w:tcPr>
            <w:tcW w:w="6751" w:type="dxa"/>
          </w:tcPr>
          <w:p w:rsidR="003E0BB0" w:rsidRPr="00257A2C" w:rsidRDefault="003E0BB0" w:rsidP="00263F34">
            <w:pPr>
              <w:rPr>
                <w:szCs w:val="22"/>
              </w:rPr>
            </w:pPr>
            <w:r w:rsidRPr="00257A2C">
              <w:t xml:space="preserve">En 2017, l’OMPI et Cambridge University Press ont publié un </w:t>
            </w:r>
            <w:r w:rsidRPr="00257A2C">
              <w:rPr>
                <w:bCs/>
              </w:rPr>
              <w:t>ouvrage</w:t>
            </w:r>
            <w:r w:rsidRPr="00257A2C">
              <w:t xml:space="preserve"> collectif sur la mobilité internationale des compétences et l’innovation, intitulé “The International Mobility of Talent and Innovation – New Evidence and Policy Implications”, qui s’appuie en grande partie sur les résultats du projet relatif à la propriété intellectuelle et à la fuite des cerveaux (CDIP/7/4) </w:t>
            </w:r>
            <w:r w:rsidRPr="00257A2C">
              <w:rPr>
                <w:bCs/>
              </w:rPr>
              <w:t xml:space="preserve">mené </w:t>
            </w:r>
            <w:r w:rsidRPr="00257A2C">
              <w:t>par le CDIP.  Cet ouvrage est destiné aux responsables politiques et aux universitaires.  Il est déjà cité dans des études universitaires et des débats de politique générale.</w:t>
            </w:r>
          </w:p>
          <w:p w:rsidR="003E0BB0" w:rsidRPr="00257A2C" w:rsidRDefault="003E0BB0" w:rsidP="00263F34">
            <w:pPr>
              <w:rPr>
                <w:szCs w:val="22"/>
              </w:rPr>
            </w:pPr>
          </w:p>
          <w:p w:rsidR="003E0BB0" w:rsidRPr="00257A2C" w:rsidRDefault="003E0BB0" w:rsidP="00263F34">
            <w:pPr>
              <w:rPr>
                <w:szCs w:val="22"/>
              </w:rPr>
            </w:pPr>
            <w:r w:rsidRPr="00257A2C">
              <w:t xml:space="preserve">En outre, l’OMPI a continué de mettre sa base de données sur les mouvements migratoires des inventeurs à la disposition des chercheurs, et a reçu quatre demandes </w:t>
            </w:r>
            <w:r w:rsidRPr="00257A2C">
              <w:rPr>
                <w:bCs/>
              </w:rPr>
              <w:t>émanant</w:t>
            </w:r>
            <w:r w:rsidRPr="00257A2C">
              <w:t xml:space="preserve"> d’universitaires entre juillet 2017 et juin 2018.</w:t>
            </w:r>
          </w:p>
          <w:p w:rsidR="003E0BB0" w:rsidRPr="00257A2C" w:rsidRDefault="003E0BB0" w:rsidP="00263F34"/>
        </w:tc>
      </w:tr>
      <w:tr w:rsidR="003E0BB0" w:rsidRPr="00257A2C" w:rsidTr="00263F34">
        <w:tc>
          <w:tcPr>
            <w:tcW w:w="2538" w:type="dxa"/>
          </w:tcPr>
          <w:p w:rsidR="003E0BB0" w:rsidRPr="00257A2C" w:rsidRDefault="003E0BB0" w:rsidP="00263F34">
            <w:r w:rsidRPr="00257A2C">
              <w:t>Autres rapports ou documents connexes</w:t>
            </w:r>
          </w:p>
        </w:tc>
        <w:tc>
          <w:tcPr>
            <w:tcW w:w="6751" w:type="dxa"/>
          </w:tcPr>
          <w:p w:rsidR="003E0BB0" w:rsidRPr="00257A2C" w:rsidRDefault="003E0BB0" w:rsidP="00263F34">
            <w:r w:rsidRPr="00257A2C">
              <w:t>Rapports examinés par le CDIP : CDIP/10/2, CDIP/12/2 et CDIP/13/6.</w:t>
            </w:r>
          </w:p>
          <w:p w:rsidR="003E0BB0" w:rsidRPr="00257A2C" w:rsidRDefault="003E0BB0" w:rsidP="00263F34"/>
          <w:p w:rsidR="003E0BB0" w:rsidRPr="00257A2C" w:rsidRDefault="003E0BB0" w:rsidP="00263F34">
            <w:r w:rsidRPr="00257A2C">
              <w:t>En dehors des activités qui figurent dans l’IP</w:t>
            </w:r>
            <w:r w:rsidRPr="00257A2C">
              <w:noBreakHyphen/>
              <w:t>TAD, pour obtenir de plus amples informations sur les réalisations liées à cette recommandation, il convient de se référer au Rapport sur la performance de l’OMPI en 2016</w:t>
            </w:r>
            <w:r w:rsidRPr="00257A2C">
              <w:noBreakHyphen/>
              <w:t>2017 (document WO/PBC/28/7).</w:t>
            </w:r>
          </w:p>
          <w:p w:rsidR="003E0BB0" w:rsidRPr="00257A2C" w:rsidRDefault="003E0BB0" w:rsidP="00263F34"/>
        </w:tc>
      </w:tr>
    </w:tbl>
    <w:p w:rsidR="003E0BB0" w:rsidRPr="00257A2C" w:rsidRDefault="003E0BB0" w:rsidP="003E0BB0">
      <w:r w:rsidRPr="00257A2C">
        <w:br w:type="page"/>
      </w:r>
    </w:p>
    <w:tbl>
      <w:tblPr>
        <w:tblStyle w:val="TableGrid"/>
        <w:tblW w:w="0" w:type="auto"/>
        <w:tblLook w:val="04A0" w:firstRow="1" w:lastRow="0" w:firstColumn="1" w:lastColumn="0" w:noHBand="0" w:noVBand="1"/>
      </w:tblPr>
      <w:tblGrid>
        <w:gridCol w:w="2538"/>
        <w:gridCol w:w="6749"/>
      </w:tblGrid>
      <w:tr w:rsidR="003E0BB0" w:rsidRPr="00257A2C" w:rsidTr="00263F34">
        <w:tc>
          <w:tcPr>
            <w:tcW w:w="2538" w:type="dxa"/>
            <w:shd w:val="clear" w:color="auto" w:fill="BFBFBF" w:themeFill="background1" w:themeFillShade="BF"/>
          </w:tcPr>
          <w:p w:rsidR="003E0BB0" w:rsidRPr="00257A2C" w:rsidRDefault="003E0BB0" w:rsidP="00263F34">
            <w:r w:rsidRPr="00257A2C">
              <w:t>Recommandation(s)</w:t>
            </w:r>
          </w:p>
        </w:tc>
        <w:tc>
          <w:tcPr>
            <w:tcW w:w="6749" w:type="dxa"/>
            <w:shd w:val="clear" w:color="auto" w:fill="BFBFBF" w:themeFill="background1" w:themeFillShade="BF"/>
          </w:tcPr>
          <w:p w:rsidR="003E0BB0" w:rsidRPr="00257A2C" w:rsidRDefault="003E0BB0" w:rsidP="00263F34">
            <w:pPr>
              <w:rPr>
                <w:i/>
              </w:rPr>
            </w:pPr>
            <w:r w:rsidRPr="00257A2C">
              <w:rPr>
                <w:i/>
              </w:rPr>
              <w:t>Recommandation n° 40</w:t>
            </w:r>
          </w:p>
          <w:p w:rsidR="003E0BB0" w:rsidRPr="00257A2C" w:rsidRDefault="003E0BB0" w:rsidP="00263F34">
            <w:pPr>
              <w:rPr>
                <w:i/>
              </w:rPr>
            </w:pPr>
          </w:p>
          <w:p w:rsidR="003E0BB0" w:rsidRPr="00257A2C" w:rsidRDefault="003E0BB0" w:rsidP="00263F34">
            <w:r w:rsidRPr="00257A2C">
              <w:t>Demander à l’OMPI d’intensifier sa coopération avec les institutions des Nations Unies, en particulier la CNUCED, le PNUE, l’OMS, l’ONUDI, l’UNESCO et d’autres organisations internationales compétentes, notamment l’OMC, sur les questions relatives à la propriété intellectuelle et conformément aux orientations données par les États membres, afin de renforcer la coordination pour une efficacité maximum dans l’application de programmes de développement.</w:t>
            </w:r>
          </w:p>
          <w:p w:rsidR="003E0BB0" w:rsidRPr="00257A2C" w:rsidRDefault="003E0BB0" w:rsidP="00263F34"/>
        </w:tc>
      </w:tr>
      <w:tr w:rsidR="003E0BB0" w:rsidRPr="00257A2C" w:rsidTr="00263F34">
        <w:tc>
          <w:tcPr>
            <w:tcW w:w="2538" w:type="dxa"/>
          </w:tcPr>
          <w:p w:rsidR="003E0BB0" w:rsidRPr="00257A2C" w:rsidRDefault="003E0BB0" w:rsidP="00263F34">
            <w:r w:rsidRPr="00257A2C">
              <w:rPr>
                <w:bCs/>
              </w:rPr>
              <w:t>Liens avec l</w:t>
            </w:r>
            <w:r w:rsidRPr="00257A2C">
              <w:t>es programmes inscrits au programme et budget 2018</w:t>
            </w:r>
            <w:r w:rsidRPr="00257A2C">
              <w:noBreakHyphen/>
              <w:t>2019</w:t>
            </w:r>
          </w:p>
          <w:p w:rsidR="003E0BB0" w:rsidRPr="00257A2C" w:rsidRDefault="003E0BB0" w:rsidP="00263F34"/>
        </w:tc>
        <w:tc>
          <w:tcPr>
            <w:tcW w:w="6749" w:type="dxa"/>
          </w:tcPr>
          <w:p w:rsidR="003E0BB0" w:rsidRPr="00257A2C" w:rsidRDefault="003E0BB0" w:rsidP="00263F34">
            <w:r w:rsidRPr="00257A2C">
              <w:t>1, 3, 4, 8, 9, 17, 18 et 20</w:t>
            </w:r>
          </w:p>
        </w:tc>
      </w:tr>
      <w:tr w:rsidR="003E0BB0" w:rsidRPr="00257A2C" w:rsidTr="00263F34">
        <w:tc>
          <w:tcPr>
            <w:tcW w:w="2538" w:type="dxa"/>
          </w:tcPr>
          <w:p w:rsidR="003E0BB0" w:rsidRPr="00257A2C" w:rsidRDefault="003E0BB0" w:rsidP="00263F34">
            <w:r w:rsidRPr="00257A2C">
              <w:t xml:space="preserve">Mise en œuvre </w:t>
            </w:r>
          </w:p>
        </w:tc>
        <w:tc>
          <w:tcPr>
            <w:tcW w:w="6749" w:type="dxa"/>
          </w:tcPr>
          <w:p w:rsidR="003E0BB0" w:rsidRPr="00257A2C" w:rsidRDefault="003E0BB0" w:rsidP="00263F34">
            <w:r w:rsidRPr="00257A2C">
              <w:t>Cette recommandation a été partiellement examinée par le CDIP.</w:t>
            </w:r>
          </w:p>
          <w:p w:rsidR="003E0BB0" w:rsidRPr="00257A2C" w:rsidRDefault="003E0BB0" w:rsidP="00263F34"/>
        </w:tc>
      </w:tr>
      <w:tr w:rsidR="003E0BB0" w:rsidRPr="00257A2C" w:rsidTr="00263F34">
        <w:tc>
          <w:tcPr>
            <w:tcW w:w="2538" w:type="dxa"/>
          </w:tcPr>
          <w:p w:rsidR="003E0BB0" w:rsidRPr="00257A2C" w:rsidRDefault="003E0BB0" w:rsidP="00263F34">
            <w:r w:rsidRPr="00257A2C">
              <w:rPr>
                <w:bCs/>
              </w:rPr>
              <w:t xml:space="preserve">Liens avec les </w:t>
            </w:r>
            <w:r w:rsidRPr="00257A2C">
              <w:t>projets du Plan d’action pour le développement</w:t>
            </w:r>
          </w:p>
        </w:tc>
        <w:tc>
          <w:tcPr>
            <w:tcW w:w="6749" w:type="dxa"/>
          </w:tcPr>
          <w:p w:rsidR="003E0BB0" w:rsidRPr="00257A2C" w:rsidRDefault="003E0BB0" w:rsidP="00263F34">
            <w:r w:rsidRPr="00257A2C">
              <w:t xml:space="preserve">Cette recommandation a principalement été traitée dans le cadre du projet relatif à </w:t>
            </w:r>
            <w:hyperlink r:id="rId115" w:tgtFrame="_self" w:history="1">
              <w:r w:rsidRPr="00257A2C">
                <w:t>la propriété intellectuelle et à la fuite des cerveaux</w:t>
              </w:r>
            </w:hyperlink>
            <w:r w:rsidRPr="00257A2C">
              <w:t xml:space="preserve"> (CDIP/8/REF/CDIP/7/4 Rev.).</w:t>
            </w:r>
          </w:p>
          <w:p w:rsidR="003E0BB0" w:rsidRPr="00257A2C" w:rsidRDefault="003E0BB0" w:rsidP="00263F34"/>
          <w:p w:rsidR="003E0BB0" w:rsidRPr="00257A2C" w:rsidRDefault="003E0BB0" w:rsidP="00263F34">
            <w:r w:rsidRPr="00257A2C">
              <w:rPr>
                <w:bCs/>
              </w:rPr>
              <w:t>Elle est également</w:t>
            </w:r>
            <w:r w:rsidRPr="00257A2C">
              <w:t xml:space="preserve"> couverte par les projets suivants, </w:t>
            </w:r>
            <w:r w:rsidRPr="00257A2C">
              <w:rPr>
                <w:bCs/>
              </w:rPr>
              <w:t>qui sont</w:t>
            </w:r>
            <w:r w:rsidRPr="00257A2C">
              <w:t xml:space="preserve"> en cours d’exécution a</w:t>
            </w:r>
            <w:r w:rsidRPr="00257A2C">
              <w:rPr>
                <w:bCs/>
              </w:rPr>
              <w:t>u titre du</w:t>
            </w:r>
            <w:r w:rsidRPr="00257A2C">
              <w:t xml:space="preserve"> Plan d’action pour le développement :</w:t>
            </w:r>
          </w:p>
          <w:p w:rsidR="003E0BB0" w:rsidRPr="00257A2C" w:rsidRDefault="003E0BB0" w:rsidP="00263F34"/>
          <w:p w:rsidR="003E0BB0" w:rsidRPr="00257A2C" w:rsidRDefault="003E0BB0" w:rsidP="00263F34">
            <w:r w:rsidRPr="00257A2C">
              <w:t xml:space="preserve">– </w:t>
            </w:r>
            <w:hyperlink r:id="rId116" w:history="1">
              <w:r w:rsidRPr="00257A2C">
                <w:rPr>
                  <w:bCs/>
                </w:rPr>
                <w:t>Propriété intellectuelle, tourisme et culture : contribution aux objectifs de développement et promotion du patrimoine culturel en Égypte et dans d’autres pays en développement</w:t>
              </w:r>
            </w:hyperlink>
            <w:r w:rsidRPr="00257A2C">
              <w:t xml:space="preserve"> (CDIP/15/7 Rev.)</w:t>
            </w:r>
          </w:p>
          <w:p w:rsidR="003E0BB0" w:rsidRPr="00257A2C" w:rsidRDefault="003E0BB0" w:rsidP="00263F34"/>
          <w:p w:rsidR="003E0BB0" w:rsidRPr="00257A2C" w:rsidRDefault="003E0BB0" w:rsidP="00263F34">
            <w:r w:rsidRPr="00257A2C">
              <w:t xml:space="preserve">– </w:t>
            </w:r>
            <w:hyperlink r:id="rId117" w:history="1">
              <w:r w:rsidRPr="00257A2C">
                <w:rPr>
                  <w:bCs/>
                </w:rPr>
                <w:t>Gestion de la propriété intellectuelle et transfert de technologie : promouvoir l’utilisation efficace de la propriété intellectuelle dans les pays en développement, les pays les moins avancés et les pays en transition</w:t>
              </w:r>
            </w:hyperlink>
            <w:r w:rsidRPr="00257A2C">
              <w:rPr>
                <w:bCs/>
              </w:rPr>
              <w:t xml:space="preserve"> (</w:t>
            </w:r>
            <w:r w:rsidRPr="00257A2C">
              <w:t>CDIP/19/11 Rev.)</w:t>
            </w:r>
          </w:p>
          <w:p w:rsidR="003E0BB0" w:rsidRPr="00257A2C" w:rsidRDefault="003E0BB0" w:rsidP="00263F34"/>
        </w:tc>
      </w:tr>
      <w:tr w:rsidR="003E0BB0" w:rsidRPr="00257A2C" w:rsidTr="00263F34">
        <w:tc>
          <w:tcPr>
            <w:tcW w:w="2538" w:type="dxa"/>
          </w:tcPr>
          <w:p w:rsidR="003E0BB0" w:rsidRPr="00257A2C" w:rsidRDefault="003E0BB0" w:rsidP="00263F34">
            <w:r w:rsidRPr="00257A2C">
              <w:t xml:space="preserve">Activités </w:t>
            </w:r>
            <w:r w:rsidRPr="00257A2C">
              <w:rPr>
                <w:bCs/>
              </w:rPr>
              <w:t>et</w:t>
            </w:r>
            <w:r w:rsidRPr="00257A2C">
              <w:t xml:space="preserve"> réalisations </w:t>
            </w:r>
          </w:p>
        </w:tc>
        <w:tc>
          <w:tcPr>
            <w:tcW w:w="6749" w:type="dxa"/>
          </w:tcPr>
          <w:p w:rsidR="003E0BB0" w:rsidRPr="00257A2C" w:rsidRDefault="003E0BB0" w:rsidP="00263F34">
            <w:r w:rsidRPr="00257A2C">
              <w:t xml:space="preserve">L’OMPI s’emploie constamment à approfondir sa coopération avec l’ONU et les organisations intergouvernementales partenaires, et continue de participer activement au développement de partenariats et d’activités dans un certain nombre de domaines critiques.  </w:t>
            </w:r>
            <w:r w:rsidRPr="00257A2C">
              <w:rPr>
                <w:bCs/>
              </w:rPr>
              <w:t>Il s’agit</w:t>
            </w:r>
            <w:r w:rsidRPr="00257A2C">
              <w:t xml:space="preserve"> notamment des </w:t>
            </w:r>
            <w:r w:rsidRPr="00257A2C">
              <w:rPr>
                <w:bCs/>
              </w:rPr>
              <w:t>domaines</w:t>
            </w:r>
            <w:r w:rsidRPr="00257A2C">
              <w:t xml:space="preserve"> de la santé publique, des changements climatiques, du commerce, de l’économie numérique et de l’entrepreneuriat, de l’innovation, de la créativité et de la technologie.  L’égalité des sexes est également une question transversale qui est abordée par l’OMPI dans le cadre de plusieurs </w:t>
            </w:r>
            <w:r w:rsidRPr="00257A2C">
              <w:rPr>
                <w:bCs/>
              </w:rPr>
              <w:t>de ses</w:t>
            </w:r>
            <w:r w:rsidRPr="00257A2C">
              <w:t xml:space="preserve"> activités, en particulier celles qui se rapportent à l’innovation.</w:t>
            </w:r>
          </w:p>
          <w:p w:rsidR="003E0BB0" w:rsidRPr="00257A2C" w:rsidRDefault="003E0BB0" w:rsidP="00263F34"/>
          <w:p w:rsidR="003E0BB0" w:rsidRPr="00257A2C" w:rsidRDefault="003E0BB0" w:rsidP="00263F34">
            <w:r w:rsidRPr="00257A2C">
              <w:t xml:space="preserve">La coopération avec l’OMC et l’OMS demeure une </w:t>
            </w:r>
            <w:r w:rsidRPr="00257A2C">
              <w:rPr>
                <w:bCs/>
              </w:rPr>
              <w:t xml:space="preserve">priorité.  </w:t>
            </w:r>
            <w:r w:rsidRPr="00257A2C">
              <w:t xml:space="preserve">Pendant cette période, l’OMPI a participé à des sessions du Conseil des ADPIC de l’OMC et a coordonné avec l’OMC sa participation à des ateliers nationaux, régionaux et internationaux sur divers sujets.  L’OMPI a </w:t>
            </w:r>
            <w:r w:rsidRPr="00257A2C">
              <w:rPr>
                <w:bCs/>
              </w:rPr>
              <w:t>collaboré</w:t>
            </w:r>
            <w:r w:rsidRPr="00257A2C">
              <w:t xml:space="preserve"> étroitement avec l’OMC à </w:t>
            </w:r>
            <w:r w:rsidRPr="00257A2C">
              <w:rPr>
                <w:bCs/>
              </w:rPr>
              <w:t>l’organisation</w:t>
            </w:r>
            <w:r w:rsidRPr="00257A2C">
              <w:t xml:space="preserve"> de l’</w:t>
            </w:r>
            <w:r w:rsidRPr="00257A2C">
              <w:rPr>
                <w:i/>
                <w:iCs/>
              </w:rPr>
              <w:t>atelier annuel sur le</w:t>
            </w:r>
            <w:r w:rsidRPr="00257A2C">
              <w:t xml:space="preserve"> </w:t>
            </w:r>
            <w:r w:rsidRPr="00257A2C">
              <w:rPr>
                <w:i/>
              </w:rPr>
              <w:t>commerce et la santé publique</w:t>
            </w:r>
            <w:r w:rsidRPr="00257A2C">
              <w:t xml:space="preserve"> (du 6 au 10 novembre 2017).  Outre les travaux entrepris au titre de la coopération trilatérale OMPI</w:t>
            </w:r>
            <w:r w:rsidRPr="00257A2C">
              <w:noBreakHyphen/>
              <w:t>OMS</w:t>
            </w:r>
            <w:r w:rsidRPr="00257A2C">
              <w:noBreakHyphen/>
              <w:t>OMC, l’OMPI a participé à des réunions et processus de l’OMS consacrés à ces questions, notamment au Conseil exécutif, à l’Assemblée mondiale de la santé et au groupe de travail interinstitutions des Nations Unies sur les maladies non transmissibles.</w:t>
            </w:r>
          </w:p>
          <w:p w:rsidR="003E0BB0" w:rsidRPr="00257A2C" w:rsidRDefault="003E0BB0" w:rsidP="00263F34"/>
          <w:p w:rsidR="003E0BB0" w:rsidRPr="00257A2C" w:rsidRDefault="003E0BB0" w:rsidP="00263F34">
            <w:r w:rsidRPr="00257A2C">
              <w:t xml:space="preserve">Dans le cadre de la Semaine mondiale de l’entrepreneuriat </w:t>
            </w:r>
            <w:r w:rsidRPr="00257A2C">
              <w:rPr>
                <w:bCs/>
              </w:rPr>
              <w:t>tenue</w:t>
            </w:r>
            <w:r w:rsidRPr="00257A2C">
              <w:t xml:space="preserve"> en 2017 à Genève (du 13 au 17 novembre 2017), la CNUCED et l’OMPI ont, en collaboration avec d’autres partenaires, organisé un événement conjoint </w:t>
            </w:r>
            <w:r w:rsidRPr="00257A2C">
              <w:rPr>
                <w:bCs/>
              </w:rPr>
              <w:t>sur les jeunes entrepreneurs et les ODD intitulé</w:t>
            </w:r>
            <w:r w:rsidRPr="00257A2C">
              <w:t xml:space="preserve"> “</w:t>
            </w:r>
            <w:r w:rsidRPr="00257A2C">
              <w:rPr>
                <w:i/>
              </w:rPr>
              <w:t>Start</w:t>
            </w:r>
            <w:r w:rsidRPr="00257A2C">
              <w:rPr>
                <w:i/>
              </w:rPr>
              <w:noBreakHyphen/>
              <w:t>ups for SDGs: Youth Entrepreneurship for Sustainable Development</w:t>
            </w:r>
            <w:r w:rsidRPr="00257A2C">
              <w:t xml:space="preserve">”.  À l’issue d’un concours international, 10 jeunes entrepreneurs ont été sélectionnés comme finalistes et invités à Genève afin de présenter les projets d’entreprise qu’ils ont élaborés pour relever les défis du développement durable.  Au cours de la manifestation, des investisseurs et des experts ont adressé aux 10 finalistes des observations sur ces projets.  La manifestation s’est achevée par une cérémonie de remise des prix aux deux lauréats </w:t>
            </w:r>
            <w:r w:rsidRPr="00257A2C">
              <w:rPr>
                <w:bCs/>
              </w:rPr>
              <w:t>originaires</w:t>
            </w:r>
            <w:r w:rsidRPr="00257A2C">
              <w:t xml:space="preserve"> de la République</w:t>
            </w:r>
            <w:r w:rsidRPr="00257A2C">
              <w:noBreakHyphen/>
              <w:t xml:space="preserve">Unie de Tanzanie et du Mozambique.  Les 10 finalistes ont </w:t>
            </w:r>
            <w:r w:rsidRPr="00257A2C">
              <w:rPr>
                <w:bCs/>
              </w:rPr>
              <w:t>assisté</w:t>
            </w:r>
            <w:r w:rsidRPr="00257A2C">
              <w:t xml:space="preserve"> à une session de renforcement des capacités en matière de propriété intellectuelle organisée par l’OMPI.</w:t>
            </w:r>
          </w:p>
          <w:p w:rsidR="003E0BB0" w:rsidRPr="00257A2C" w:rsidRDefault="003E0BB0" w:rsidP="00263F34"/>
          <w:p w:rsidR="003E0BB0" w:rsidRPr="00257A2C" w:rsidRDefault="003E0BB0" w:rsidP="00263F34">
            <w:r w:rsidRPr="00257A2C">
              <w:t xml:space="preserve">Pendant cette période, l’OMPI a conclu des accords formels </w:t>
            </w:r>
            <w:r w:rsidRPr="00257A2C">
              <w:rPr>
                <w:bCs/>
              </w:rPr>
              <w:t xml:space="preserve">portant sur </w:t>
            </w:r>
            <w:r w:rsidRPr="00257A2C">
              <w:t xml:space="preserve">la réalisation d’activités conjointes avec des organisations intergouvernementales telles que l’Agence internationale pour les énergies renouvelables (IRENA), </w:t>
            </w:r>
            <w:r w:rsidRPr="00257A2C">
              <w:rPr>
                <w:bCs/>
              </w:rPr>
              <w:t>ou encore</w:t>
            </w:r>
            <w:r w:rsidRPr="00257A2C">
              <w:t xml:space="preserve"> avec la CNUCED </w:t>
            </w:r>
            <w:r w:rsidRPr="00257A2C">
              <w:rPr>
                <w:bCs/>
              </w:rPr>
              <w:t xml:space="preserve">aux fins de </w:t>
            </w:r>
            <w:r w:rsidRPr="00257A2C">
              <w:t>l’initiative “eTrade for All”.  L’OMPI a organisé, à l’occasion de l’</w:t>
            </w:r>
            <w:r w:rsidRPr="00257A2C">
              <w:rPr>
                <w:bCs/>
              </w:rPr>
              <w:t>édition </w:t>
            </w:r>
            <w:r w:rsidRPr="00257A2C">
              <w:t xml:space="preserve">2018 de la </w:t>
            </w:r>
            <w:r w:rsidRPr="00257A2C">
              <w:rPr>
                <w:i/>
              </w:rPr>
              <w:t xml:space="preserve">Semaine du commerce électronique </w:t>
            </w:r>
            <w:r w:rsidRPr="00257A2C">
              <w:t>(</w:t>
            </w:r>
            <w:r w:rsidRPr="00257A2C">
              <w:rPr>
                <w:bCs/>
              </w:rPr>
              <w:t xml:space="preserve">tenue </w:t>
            </w:r>
            <w:r w:rsidRPr="00257A2C">
              <w:t xml:space="preserve">du 16 au 20 avril 2018), une manifestation visant à faire connaître </w:t>
            </w:r>
            <w:r w:rsidRPr="00257A2C">
              <w:rPr>
                <w:bCs/>
              </w:rPr>
              <w:t>ses</w:t>
            </w:r>
            <w:r w:rsidRPr="00257A2C">
              <w:t xml:space="preserve"> programmes et activités d’appui au commerce électronique.</w:t>
            </w:r>
          </w:p>
          <w:p w:rsidR="003E0BB0" w:rsidRPr="00257A2C" w:rsidRDefault="003E0BB0" w:rsidP="00263F34"/>
          <w:p w:rsidR="003E0BB0" w:rsidRPr="00257A2C" w:rsidRDefault="003E0BB0" w:rsidP="00263F34">
            <w:r w:rsidRPr="00257A2C">
              <w:t xml:space="preserve">Dans le cadre de la </w:t>
            </w:r>
            <w:r w:rsidRPr="00257A2C">
              <w:rPr>
                <w:bCs/>
              </w:rPr>
              <w:t>coordination</w:t>
            </w:r>
            <w:r w:rsidRPr="00257A2C">
              <w:t xml:space="preserve"> avec le siège des Nations Unies à New York, le Bureau de coordination de l’OMPI à New York a continué d’approfondir sa coopération sur les questions relatives à la propriété intellectuelle dans le cadre du Programme 2030 et des ODD.  L’OMPI a </w:t>
            </w:r>
            <w:r w:rsidRPr="00257A2C">
              <w:rPr>
                <w:bCs/>
              </w:rPr>
              <w:t>mis</w:t>
            </w:r>
            <w:r w:rsidRPr="00257A2C">
              <w:t xml:space="preserve"> ses compétences en matière de propriété intellectuelle </w:t>
            </w:r>
            <w:r w:rsidRPr="00257A2C">
              <w:rPr>
                <w:bCs/>
              </w:rPr>
              <w:t xml:space="preserve">au service du </w:t>
            </w:r>
            <w:r w:rsidRPr="00257A2C">
              <w:t xml:space="preserve">Mécanisme de facilitation des technologies, en tant que membre actif du groupe de travail interinstitutions des Nations Unies sur la science, la technologie et l’innovation pour la réalisation des ODD, </w:t>
            </w:r>
            <w:r w:rsidRPr="00257A2C">
              <w:rPr>
                <w:bCs/>
              </w:rPr>
              <w:t>qui est</w:t>
            </w:r>
            <w:r w:rsidRPr="00257A2C">
              <w:t xml:space="preserve"> actuellement coprésidé par la CNUCED et le Département des affaires économiques et sociales des Nations Unies (DAES).  </w:t>
            </w:r>
            <w:r w:rsidRPr="00257A2C">
              <w:rPr>
                <w:bCs/>
              </w:rPr>
              <w:t>En particulier</w:t>
            </w:r>
            <w:r w:rsidRPr="00257A2C">
              <w:t>, l’OMPI a collaboré avec la CNUCED, le PNUE et l’UNESCO dans</w:t>
            </w:r>
            <w:r w:rsidRPr="00257A2C">
              <w:rPr>
                <w:bCs/>
              </w:rPr>
              <w:t xml:space="preserve"> le cadre du</w:t>
            </w:r>
            <w:r w:rsidRPr="00257A2C">
              <w:t xml:space="preserve"> sous</w:t>
            </w:r>
            <w:r w:rsidRPr="00257A2C">
              <w:noBreakHyphen/>
              <w:t xml:space="preserve">groupe chargé du renforcement des capacités en matière de science, de technologie et d’innovation, </w:t>
            </w:r>
            <w:r w:rsidRPr="00257A2C">
              <w:rPr>
                <w:bCs/>
              </w:rPr>
              <w:t>qui relève du</w:t>
            </w:r>
            <w:r w:rsidRPr="00257A2C">
              <w:t xml:space="preserve"> groupe de travail interinstitutions des Nations Unies sur la science, la technologie et l’innovation pour la réalisation des ODD.  </w:t>
            </w:r>
            <w:r w:rsidRPr="00257A2C">
              <w:rPr>
                <w:bCs/>
              </w:rPr>
              <w:t>À ce titre</w:t>
            </w:r>
            <w:r w:rsidRPr="00257A2C">
              <w:t>, l’OMPI a co</w:t>
            </w:r>
            <w:r w:rsidRPr="00257A2C">
              <w:rPr>
                <w:bCs/>
              </w:rPr>
              <w:t>organisé</w:t>
            </w:r>
            <w:r w:rsidRPr="00257A2C">
              <w:t xml:space="preserve"> à Amman (Jordanie) un atelier de formation pilote sur la science, la technologie et l’innovation au </w:t>
            </w:r>
            <w:r w:rsidRPr="00257A2C">
              <w:rPr>
                <w:bCs/>
              </w:rPr>
              <w:t xml:space="preserve">service </w:t>
            </w:r>
            <w:r w:rsidRPr="00257A2C">
              <w:t>des ODD, en coordination avec la Commission économique et sociale des Nations Unies pour l’Asie occidentale (CESAO) et le groupe de travail interinstitutions des Nations Unies sur la science, la technologie et l’innovation pour la réalisation des ODD (avril 2018).  Dans le cadre du sous</w:t>
            </w:r>
            <w:r w:rsidRPr="00257A2C">
              <w:noBreakHyphen/>
              <w:t xml:space="preserve">groupe </w:t>
            </w:r>
            <w:r w:rsidRPr="00257A2C">
              <w:rPr>
                <w:bCs/>
              </w:rPr>
              <w:t>chargé d’élaborer</w:t>
            </w:r>
            <w:r w:rsidRPr="00257A2C">
              <w:t xml:space="preserve"> les feuilles de route relatives à la science, à la technologie et à l’innovation, </w:t>
            </w:r>
            <w:r w:rsidRPr="00257A2C">
              <w:rPr>
                <w:bCs/>
              </w:rPr>
              <w:t>qui est placé</w:t>
            </w:r>
            <w:r w:rsidRPr="00257A2C">
              <w:t xml:space="preserve"> sous l’égide du groupe de travail interinstitutions des Nations Unies sur la science, la technologie et l’innovation pour la réalisation des ODD, l’OMPI a contribué et participé à une réunion de travail tenue à Tokyo (Japon) (mai 2018).  L’OMPI a apporté une importante contribution à la mise au point de la plateforme en ligne sur la science, la technologie et l’innovation, qui est </w:t>
            </w:r>
            <w:r w:rsidRPr="00257A2C">
              <w:rPr>
                <w:bCs/>
              </w:rPr>
              <w:t>destinée à</w:t>
            </w:r>
            <w:r w:rsidRPr="00257A2C">
              <w:t xml:space="preserve"> faciliter l’accès à la technologie </w:t>
            </w:r>
            <w:r w:rsidRPr="00257A2C">
              <w:rPr>
                <w:bCs/>
              </w:rPr>
              <w:t>en application de</w:t>
            </w:r>
            <w:r w:rsidRPr="00257A2C">
              <w:t xml:space="preserve"> l’accord sur le </w:t>
            </w:r>
            <w:r w:rsidRPr="00257A2C">
              <w:rPr>
                <w:bCs/>
              </w:rPr>
              <w:t xml:space="preserve">Mécanisme </w:t>
            </w:r>
            <w:r w:rsidRPr="00257A2C">
              <w:t xml:space="preserve">de facilitation des technologies.  WIPO Match et WIPO GREEN sont des exemples de plateformes de mise en relation </w:t>
            </w:r>
            <w:r w:rsidRPr="00257A2C">
              <w:rPr>
                <w:bCs/>
              </w:rPr>
              <w:t>fournies</w:t>
            </w:r>
            <w:r w:rsidRPr="00257A2C">
              <w:t xml:space="preserve"> par l’OMPI </w:t>
            </w:r>
            <w:r w:rsidRPr="00257A2C">
              <w:rPr>
                <w:bCs/>
              </w:rPr>
              <w:t xml:space="preserve">dont les données ont été utilisées pour élaborer </w:t>
            </w:r>
            <w:r w:rsidRPr="00257A2C">
              <w:t>la version bêta de la plateforme en ligne.  L’OMPI, l’UNESCO et l’Entité des Nations Unies pour l’égalité des sexes et l’autonomisation des femmes (ONU</w:t>
            </w:r>
            <w:r w:rsidRPr="00257A2C">
              <w:noBreakHyphen/>
              <w:t xml:space="preserve">Femmes) ont </w:t>
            </w:r>
            <w:r w:rsidRPr="00257A2C">
              <w:rPr>
                <w:bCs/>
              </w:rPr>
              <w:t>collaboré</w:t>
            </w:r>
            <w:r w:rsidRPr="00257A2C">
              <w:t xml:space="preserve"> à la création, </w:t>
            </w:r>
            <w:r w:rsidRPr="00257A2C">
              <w:rPr>
                <w:bCs/>
              </w:rPr>
              <w:t>au sein du</w:t>
            </w:r>
            <w:r w:rsidRPr="00257A2C">
              <w:t xml:space="preserve"> même </w:t>
            </w:r>
            <w:r w:rsidRPr="00257A2C">
              <w:rPr>
                <w:bCs/>
              </w:rPr>
              <w:t>groupe de travail</w:t>
            </w:r>
            <w:r w:rsidRPr="00257A2C">
              <w:t>, d’un sous</w:t>
            </w:r>
            <w:r w:rsidRPr="00257A2C">
              <w:noBreakHyphen/>
              <w:t xml:space="preserve">groupe sur l’égalité des sexes et la science, la technologie et l’innovation au service des ODD, et ont conjointement </w:t>
            </w:r>
            <w:r w:rsidRPr="00257A2C">
              <w:rPr>
                <w:bCs/>
              </w:rPr>
              <w:t>œuvré</w:t>
            </w:r>
            <w:r w:rsidRPr="00257A2C">
              <w:t xml:space="preserve"> au lancement d’un projet sur ce thème </w:t>
            </w:r>
            <w:r w:rsidRPr="00257A2C">
              <w:rPr>
                <w:bCs/>
              </w:rPr>
              <w:t>qui a</w:t>
            </w:r>
            <w:r w:rsidRPr="00257A2C">
              <w:t xml:space="preserve"> consisté à mettre en place, au siège des Nations Unies à New York, pendant cette période, une série d’ateliers d’experts, un forum en ligne et des réunions publiques consacrés à cette question.  L’OMPI a également collaboré avec l’UNESCO, ONU</w:t>
            </w:r>
            <w:r w:rsidRPr="00257A2C">
              <w:noBreakHyphen/>
              <w:t>Femmes et les missions permanentes de l’Autriche et de Saint</w:t>
            </w:r>
            <w:r w:rsidRPr="00257A2C">
              <w:noBreakHyphen/>
              <w:t>Vincent</w:t>
            </w:r>
            <w:r w:rsidRPr="00257A2C">
              <w:noBreakHyphen/>
              <w:t>et</w:t>
            </w:r>
            <w:r w:rsidRPr="00257A2C">
              <w:noBreakHyphen/>
              <w:t xml:space="preserve">les Grenadines auprès des Nations Unies à New York à l’organisation, au siège des Nations Unies à New York, d’un débat et d’une projection de films sur le </w:t>
            </w:r>
            <w:r w:rsidRPr="00257A2C">
              <w:rPr>
                <w:bCs/>
              </w:rPr>
              <w:t>thème</w:t>
            </w:r>
            <w:r w:rsidRPr="00257A2C">
              <w:t xml:space="preserve"> des femmes créatrices et innovatrices à l’occasion de la Journée mondiale de la propriété intellectuelle de 2018.</w:t>
            </w:r>
          </w:p>
          <w:p w:rsidR="003E0BB0" w:rsidRPr="00257A2C" w:rsidRDefault="003E0BB0" w:rsidP="00263F34"/>
          <w:p w:rsidR="003E0BB0" w:rsidRPr="00257A2C" w:rsidRDefault="003E0BB0" w:rsidP="00263F34">
            <w:r w:rsidRPr="00257A2C">
              <w:t xml:space="preserve">Toutes ces activités de collaboration et de partenariat menées </w:t>
            </w:r>
            <w:r w:rsidRPr="00257A2C">
              <w:rPr>
                <w:bCs/>
              </w:rPr>
              <w:t>de concert</w:t>
            </w:r>
            <w:r w:rsidRPr="00257A2C">
              <w:t xml:space="preserve"> avec des institutions des Nations Unies et des organisations intergouvernementales contribuent à la réalisation des ODD.</w:t>
            </w:r>
          </w:p>
          <w:p w:rsidR="003E0BB0" w:rsidRPr="00257A2C" w:rsidRDefault="003E0BB0" w:rsidP="00263F34"/>
          <w:p w:rsidR="003E0BB0" w:rsidRPr="00257A2C" w:rsidRDefault="003E0BB0" w:rsidP="00263F34">
            <w:r w:rsidRPr="00257A2C">
              <w:t xml:space="preserve">Pour obtenir de plus amples informations sur les projets du Plan d’action pour le développement </w:t>
            </w:r>
            <w:r w:rsidRPr="00257A2C">
              <w:rPr>
                <w:bCs/>
              </w:rPr>
              <w:t xml:space="preserve">qui sont </w:t>
            </w:r>
            <w:r w:rsidRPr="00257A2C">
              <w:t xml:space="preserve">en cours </w:t>
            </w:r>
            <w:r w:rsidRPr="00257A2C">
              <w:rPr>
                <w:bCs/>
              </w:rPr>
              <w:t>d’exécution</w:t>
            </w:r>
            <w:r w:rsidRPr="00257A2C">
              <w:t>, il convient de se reporter aux annexes I et IV du présent document.</w:t>
            </w:r>
          </w:p>
          <w:p w:rsidR="003E0BB0" w:rsidRPr="00257A2C" w:rsidRDefault="003E0BB0" w:rsidP="00263F34"/>
        </w:tc>
      </w:tr>
      <w:tr w:rsidR="003E0BB0" w:rsidRPr="00F55E01" w:rsidTr="0020073A">
        <w:tc>
          <w:tcPr>
            <w:tcW w:w="2538" w:type="dxa"/>
          </w:tcPr>
          <w:p w:rsidR="003E0BB0" w:rsidRPr="00F55E01" w:rsidRDefault="003E0BB0" w:rsidP="00263F34">
            <w:r w:rsidRPr="00F55E01">
              <w:t>Autres rapports/documents connexes</w:t>
            </w:r>
          </w:p>
        </w:tc>
        <w:tc>
          <w:tcPr>
            <w:tcW w:w="6749" w:type="dxa"/>
          </w:tcPr>
          <w:p w:rsidR="003E0BB0" w:rsidRPr="00F55E01" w:rsidRDefault="003E0BB0" w:rsidP="00263F34">
            <w:pPr>
              <w:tabs>
                <w:tab w:val="left" w:pos="3890"/>
              </w:tabs>
              <w:rPr>
                <w:lang w:val="fr-CH"/>
              </w:rPr>
            </w:pPr>
            <w:r w:rsidRPr="00F55E01">
              <w:rPr>
                <w:lang w:val="fr-CH"/>
              </w:rPr>
              <w:t>Rapports examinés par le CDIP : CDIP/10/2;  CDIP/12/2;  CDIP/13/4;  CDIP/13/6;  CDIP/14/2;  CDIP/16/2;  CDIP/18/2;  CDIP/20/2.</w:t>
            </w:r>
          </w:p>
          <w:p w:rsidR="003E0BB0" w:rsidRPr="00F55E01" w:rsidRDefault="003E0BB0" w:rsidP="00263F34">
            <w:pPr>
              <w:rPr>
                <w:lang w:val="fr-CH"/>
              </w:rPr>
            </w:pPr>
          </w:p>
          <w:p w:rsidR="003E0BB0" w:rsidRPr="00F55E01" w:rsidRDefault="003E0BB0" w:rsidP="00263F34">
            <w:pPr>
              <w:rPr>
                <w:lang w:val="fr-CH"/>
              </w:rPr>
            </w:pPr>
            <w:r w:rsidRPr="00F55E01">
              <w:rPr>
                <w:lang w:val="fr-CH"/>
              </w:rPr>
              <w:t>Outre les activités figurant dans la base de données de l’assistance technique dans le domaine de la propriété intellectuelle, pour plus d’informations au sujet des réalisations liées à cette recommandation, veuillez vous référer au rapport sur la performance de l’OMPI en 2016</w:t>
            </w:r>
            <w:r w:rsidRPr="00F55E01">
              <w:rPr>
                <w:lang w:val="fr-CH"/>
              </w:rPr>
              <w:noBreakHyphen/>
              <w:t>2017 (document WO/PBC/28/7).</w:t>
            </w:r>
          </w:p>
          <w:p w:rsidR="003E0BB0" w:rsidRPr="00F55E01" w:rsidRDefault="003E0BB0" w:rsidP="00263F34">
            <w:pPr>
              <w:rPr>
                <w:lang w:val="fr-CH"/>
              </w:rPr>
            </w:pPr>
          </w:p>
        </w:tc>
      </w:tr>
    </w:tbl>
    <w:p w:rsidR="003E0BB0" w:rsidRPr="00F55E01" w:rsidRDefault="003E0BB0" w:rsidP="003E0BB0">
      <w:pPr>
        <w:rPr>
          <w:lang w:val="fr-CH"/>
        </w:rPr>
      </w:pPr>
      <w:r w:rsidRPr="00F55E01">
        <w:rPr>
          <w:lang w:val="fr-CH"/>
        </w:rPr>
        <w:br w:type="page"/>
      </w:r>
    </w:p>
    <w:tbl>
      <w:tblPr>
        <w:tblStyle w:val="TableGrid"/>
        <w:tblW w:w="0" w:type="auto"/>
        <w:tblLook w:val="04A0" w:firstRow="1" w:lastRow="0" w:firstColumn="1" w:lastColumn="0" w:noHBand="0" w:noVBand="1"/>
      </w:tblPr>
      <w:tblGrid>
        <w:gridCol w:w="2538"/>
        <w:gridCol w:w="6749"/>
      </w:tblGrid>
      <w:tr w:rsidR="003E0BB0" w:rsidRPr="00F55E01" w:rsidTr="00263F34">
        <w:tc>
          <w:tcPr>
            <w:tcW w:w="2538" w:type="dxa"/>
            <w:shd w:val="clear" w:color="auto" w:fill="BFBFBF" w:themeFill="background1" w:themeFillShade="BF"/>
          </w:tcPr>
          <w:p w:rsidR="003E0BB0" w:rsidRPr="00F55E01" w:rsidRDefault="003E0BB0" w:rsidP="00263F34">
            <w:r w:rsidRPr="00F55E01">
              <w:t>Recommandation(s)</w:t>
            </w:r>
          </w:p>
        </w:tc>
        <w:tc>
          <w:tcPr>
            <w:tcW w:w="6751" w:type="dxa"/>
            <w:shd w:val="clear" w:color="auto" w:fill="BFBFBF" w:themeFill="background1" w:themeFillShade="BF"/>
          </w:tcPr>
          <w:p w:rsidR="003E0BB0" w:rsidRPr="00F55E01" w:rsidRDefault="003E0BB0" w:rsidP="00263F34">
            <w:pPr>
              <w:rPr>
                <w:i/>
                <w:lang w:val="fr-FR"/>
              </w:rPr>
            </w:pPr>
            <w:r w:rsidRPr="00F55E01">
              <w:rPr>
                <w:i/>
                <w:lang w:val="fr-FR"/>
              </w:rPr>
              <w:t>Recommandation n° 41</w:t>
            </w:r>
          </w:p>
          <w:p w:rsidR="003E0BB0" w:rsidRPr="00F55E01" w:rsidRDefault="003E0BB0" w:rsidP="00263F34">
            <w:pPr>
              <w:rPr>
                <w:lang w:val="fr-FR"/>
              </w:rPr>
            </w:pPr>
          </w:p>
          <w:p w:rsidR="003E0BB0" w:rsidRPr="00F55E01" w:rsidRDefault="003E0BB0" w:rsidP="00263F34">
            <w:pPr>
              <w:rPr>
                <w:lang w:val="fr-FR"/>
              </w:rPr>
            </w:pPr>
            <w:r w:rsidRPr="00F55E01">
              <w:rPr>
                <w:lang w:val="fr-FR"/>
              </w:rPr>
              <w:t>Effectuer une étude des activités d’assistance technique de l’OMPI existantes dans le domaine de la coopération et du développement.</w:t>
            </w:r>
          </w:p>
          <w:p w:rsidR="003E0BB0" w:rsidRPr="00F55E01" w:rsidRDefault="003E0BB0" w:rsidP="00263F34">
            <w:pPr>
              <w:rPr>
                <w:lang w:val="fr-FR"/>
              </w:rPr>
            </w:pPr>
          </w:p>
        </w:tc>
      </w:tr>
      <w:tr w:rsidR="003E0BB0" w:rsidRPr="00F55E01" w:rsidTr="00263F34">
        <w:tc>
          <w:tcPr>
            <w:tcW w:w="2538" w:type="dxa"/>
          </w:tcPr>
          <w:p w:rsidR="003E0BB0" w:rsidRPr="00F55E01" w:rsidRDefault="003E0BB0" w:rsidP="00263F34">
            <w:pPr>
              <w:rPr>
                <w:lang w:val="fr-CH"/>
              </w:rPr>
            </w:pPr>
            <w:r w:rsidRPr="00F55E01">
              <w:rPr>
                <w:lang w:val="fr-CH"/>
              </w:rPr>
              <w:t>Programmes connexes dans le programme et budget 2018/2019</w:t>
            </w:r>
          </w:p>
          <w:p w:rsidR="003E0BB0" w:rsidRPr="00F55E01" w:rsidRDefault="003E0BB0" w:rsidP="00263F34">
            <w:pPr>
              <w:rPr>
                <w:lang w:val="fr-CH"/>
              </w:rPr>
            </w:pPr>
          </w:p>
        </w:tc>
        <w:tc>
          <w:tcPr>
            <w:tcW w:w="6751" w:type="dxa"/>
          </w:tcPr>
          <w:p w:rsidR="003E0BB0" w:rsidRPr="00F55E01" w:rsidRDefault="003E0BB0" w:rsidP="00263F34">
            <w:r w:rsidRPr="00F55E01">
              <w:t>1, 2, 3, 4, 5, 8, 9, 10, 11, 17 et 30</w:t>
            </w:r>
          </w:p>
        </w:tc>
      </w:tr>
      <w:tr w:rsidR="003E0BB0" w:rsidRPr="00F55E01" w:rsidTr="00263F34">
        <w:tc>
          <w:tcPr>
            <w:tcW w:w="2538" w:type="dxa"/>
          </w:tcPr>
          <w:p w:rsidR="003E0BB0" w:rsidRPr="00F55E01" w:rsidRDefault="003E0BB0" w:rsidP="00263F34">
            <w:r w:rsidRPr="00F55E01">
              <w:t xml:space="preserve">Mise en œuvre </w:t>
            </w:r>
          </w:p>
        </w:tc>
        <w:tc>
          <w:tcPr>
            <w:tcW w:w="6751" w:type="dxa"/>
          </w:tcPr>
          <w:p w:rsidR="003E0BB0" w:rsidRPr="00F55E01" w:rsidRDefault="003E0BB0" w:rsidP="00263F34">
            <w:pPr>
              <w:rPr>
                <w:lang w:val="fr-CH"/>
              </w:rPr>
            </w:pPr>
            <w:r w:rsidRPr="00F55E01">
              <w:rPr>
                <w:lang w:val="fr-CH"/>
              </w:rPr>
              <w:t>Cette recommandation est en cours d’application depuis 2010.  Les activités convenues pour sa mise en œuvre reposaient initialement sur le document de projet CDIP/4/8 Rev.  Elles ont été examinées plus en détail dans le cadre de l’étude extérieure sur l’assistance technique fournie par l’OMPI dans le domaine de la coopération pour le développement figurant dans le document CDIP/8/INF/1.  Par la suite, l’examen a été complété par une proposition conjointe du groupe du Plan d’action pour le développement et du groupe des pays africains sur l’assistance technique fournie par l’OMPI dans le domaine de la coopération pour le développement (document CDIP/9/16) et par deux réponses de la direction établies par le Secrétariat – documents CDIP/9/14 et CDIP/16/6.</w:t>
            </w:r>
          </w:p>
          <w:p w:rsidR="003E0BB0" w:rsidRPr="00F55E01" w:rsidRDefault="003E0BB0" w:rsidP="00263F34">
            <w:pPr>
              <w:rPr>
                <w:lang w:val="fr-CH"/>
              </w:rPr>
            </w:pPr>
          </w:p>
          <w:p w:rsidR="003E0BB0" w:rsidRPr="00F55E01" w:rsidRDefault="003E0BB0" w:rsidP="00263F34">
            <w:pPr>
              <w:rPr>
                <w:lang w:val="fr-CH"/>
              </w:rPr>
            </w:pPr>
            <w:r w:rsidRPr="00F55E01">
              <w:rPr>
                <w:lang w:val="fr-CH"/>
              </w:rPr>
              <w:t>À la suite de l’examen des documents précités, une proposition prévoyant des moyens visant à améliorer les travaux menés par l’organisation afin de fournir une assistance technique dans le domaine de la coopération pour le développement a été faite par la délégation de l’Espagne.  La proposition a été révisée et approuvée par le CDIP à sa dix</w:t>
            </w:r>
            <w:r w:rsidRPr="00F55E01">
              <w:rPr>
                <w:lang w:val="fr-CH"/>
              </w:rPr>
              <w:noBreakHyphen/>
              <w:t>septième session.  La proposition révisée figure dans l’appendice I du résumé présenté par le président du CDIP/17.  À sa dix</w:t>
            </w:r>
            <w:r w:rsidRPr="00F55E01">
              <w:rPr>
                <w:lang w:val="fr-CH"/>
              </w:rPr>
              <w:noBreakHyphen/>
              <w:t>huitième session, le comité a décidé de clore les délibérations relatives à l’Étude extérieure sur l’assistance technique fournie par l’OMPI;  d’ouvrir un sous</w:t>
            </w:r>
            <w:r w:rsidRPr="00F55E01">
              <w:rPr>
                <w:lang w:val="fr-CH"/>
              </w:rPr>
              <w:noBreakHyphen/>
              <w:t>élément d’un point de l’ordre du jour portant sur “L’Assistance technique fournie par l’OMPI dans le domaine de la coopération pour le développement”, en se concentrant sur l’appendice I pour six sessions consécutives et, à l’issue de cette période, d’examiner la mise en œuvre finale de l’appendice I.</w:t>
            </w:r>
          </w:p>
          <w:p w:rsidR="003E0BB0" w:rsidRPr="00F55E01" w:rsidRDefault="003E0BB0" w:rsidP="00263F34">
            <w:pPr>
              <w:rPr>
                <w:lang w:val="fr-CH"/>
              </w:rPr>
            </w:pPr>
          </w:p>
          <w:p w:rsidR="003E0BB0" w:rsidRPr="00F55E01" w:rsidRDefault="003E0BB0" w:rsidP="00263F34">
            <w:pPr>
              <w:rPr>
                <w:lang w:val="fr-CH"/>
              </w:rPr>
            </w:pPr>
            <w:r w:rsidRPr="00F55E01">
              <w:rPr>
                <w:lang w:val="fr-CH"/>
              </w:rPr>
              <w:t>Au titre du sous</w:t>
            </w:r>
            <w:r w:rsidRPr="00F55E01">
              <w:rPr>
                <w:lang w:val="fr-CH"/>
              </w:rPr>
              <w:noBreakHyphen/>
              <w:t>élément du point de l’ordre du jour portant sur “L’Assistance technique fournie par l’OMPI dans le domaine de la coopération pour le développement”, le CDIP a examiné le document CDIP/19/10 sur les améliorations possibles de la page Web de l’OMPI relative à l’assistance technique, et un exposé sur la politique de l’OMPI relative aux examens externes par des pairs a été présenté par l’économiste en chef à la dix</w:t>
            </w:r>
            <w:r w:rsidRPr="00F55E01">
              <w:rPr>
                <w:lang w:val="fr-CH"/>
              </w:rPr>
              <w:noBreakHyphen/>
              <w:t>neuvième session du CDIP (Mai 2017).</w:t>
            </w:r>
          </w:p>
          <w:p w:rsidR="003E0BB0" w:rsidRPr="00F55E01" w:rsidRDefault="003E0BB0" w:rsidP="00263F34">
            <w:pPr>
              <w:rPr>
                <w:lang w:val="fr-CH"/>
              </w:rPr>
            </w:pPr>
          </w:p>
          <w:p w:rsidR="003E0BB0" w:rsidRPr="00F55E01" w:rsidRDefault="003E0BB0" w:rsidP="00263F34">
            <w:pPr>
              <w:rPr>
                <w:lang w:val="fr-FR"/>
              </w:rPr>
            </w:pPr>
            <w:r w:rsidRPr="00F55E01">
              <w:rPr>
                <w:lang w:val="fr-CH"/>
              </w:rPr>
              <w:t>Les débats relevant de ce sous</w:t>
            </w:r>
            <w:r w:rsidRPr="00F55E01">
              <w:rPr>
                <w:lang w:val="fr-CH"/>
              </w:rPr>
              <w:noBreakHyphen/>
              <w:t xml:space="preserve">élément du point de l’ordre du jour se poursuivront durant la session en cours ainsi que durant deux autres sessions du CDIP (CDIP/23 et CDIP/24).  </w:t>
            </w:r>
            <w:r w:rsidRPr="00F55E01">
              <w:rPr>
                <w:lang w:val="fr-FR"/>
              </w:rPr>
              <w:t>À l’issue de cette période, un rapport final sera examiné par le CDIP.</w:t>
            </w:r>
          </w:p>
          <w:p w:rsidR="003E0BB0" w:rsidRPr="00F55E01" w:rsidRDefault="003E0BB0" w:rsidP="00263F34">
            <w:pPr>
              <w:rPr>
                <w:lang w:val="fr-FR"/>
              </w:rPr>
            </w:pPr>
          </w:p>
        </w:tc>
      </w:tr>
      <w:tr w:rsidR="003E0BB0" w:rsidRPr="00F55E01" w:rsidTr="00263F34">
        <w:tc>
          <w:tcPr>
            <w:tcW w:w="2538" w:type="dxa"/>
          </w:tcPr>
          <w:p w:rsidR="003E0BB0" w:rsidRPr="00F55E01" w:rsidRDefault="003E0BB0" w:rsidP="00263F34">
            <w:pPr>
              <w:rPr>
                <w:lang w:val="fr-CH"/>
              </w:rPr>
            </w:pPr>
            <w:r w:rsidRPr="00F55E01">
              <w:rPr>
                <w:lang w:val="fr-CH"/>
              </w:rPr>
              <w:t xml:space="preserve">Projets connexes du Plan d’action </w:t>
            </w:r>
          </w:p>
        </w:tc>
        <w:tc>
          <w:tcPr>
            <w:tcW w:w="6751" w:type="dxa"/>
          </w:tcPr>
          <w:p w:rsidR="003E0BB0" w:rsidRPr="00F55E01" w:rsidRDefault="003E0BB0" w:rsidP="00263F34">
            <w:pPr>
              <w:rPr>
                <w:lang w:val="fr-CH"/>
              </w:rPr>
            </w:pPr>
            <w:r w:rsidRPr="00F55E01">
              <w:rPr>
                <w:lang w:val="fr-CH"/>
              </w:rPr>
              <w:t xml:space="preserve">La recommandation a principalement été traitée par le “Projet relatif à l’amélioration du cadre de gestion axée sur les résultats mis en œuvre par l’OMPI aux fins du suivi et de l’évaluation des activités de développement” (document CDIP/4/8 Rev.).  Ce projet constituait le point de départ pour de futurs travaux, comme souligné dans l’historique de la mise en œuvre.  </w:t>
            </w:r>
          </w:p>
        </w:tc>
      </w:tr>
      <w:tr w:rsidR="003E0BB0" w:rsidRPr="00F55E01" w:rsidTr="00263F34">
        <w:tc>
          <w:tcPr>
            <w:tcW w:w="2538" w:type="dxa"/>
          </w:tcPr>
          <w:p w:rsidR="003E0BB0" w:rsidRPr="00F55E01" w:rsidRDefault="003E0BB0" w:rsidP="00263F34">
            <w:r w:rsidRPr="00F55E01">
              <w:t xml:space="preserve">Activités/réalisations </w:t>
            </w:r>
          </w:p>
        </w:tc>
        <w:tc>
          <w:tcPr>
            <w:tcW w:w="6751" w:type="dxa"/>
          </w:tcPr>
          <w:p w:rsidR="003E0BB0" w:rsidRPr="00F55E01" w:rsidRDefault="003E0BB0" w:rsidP="00263F34">
            <w:pPr>
              <w:rPr>
                <w:lang w:val="fr-CH"/>
              </w:rPr>
            </w:pPr>
            <w:r w:rsidRPr="00F55E01">
              <w:rPr>
                <w:lang w:val="fr-CH"/>
              </w:rPr>
              <w:t>Entre juillet 2017 et juin 2018, le CDIP a examiné les documents suivants :</w:t>
            </w:r>
          </w:p>
          <w:p w:rsidR="003E0BB0" w:rsidRPr="00F55E01" w:rsidRDefault="003E0BB0" w:rsidP="00263F34">
            <w:pPr>
              <w:rPr>
                <w:lang w:val="fr-CH"/>
              </w:rPr>
            </w:pPr>
          </w:p>
          <w:p w:rsidR="003E0BB0" w:rsidRPr="00F55E01" w:rsidRDefault="003E0BB0" w:rsidP="00263F34">
            <w:pPr>
              <w:rPr>
                <w:lang w:val="fr-FR"/>
              </w:rPr>
            </w:pPr>
            <w:r w:rsidRPr="00F55E01">
              <w:rPr>
                <w:lang w:val="fr-FR"/>
              </w:rPr>
              <w:t>a) Rapport de la table ronde sur l’assistance technique et le renforcement des capacités : partage de données d’expérience, outils et méthodes (CDIP/20/3);</w:t>
            </w:r>
          </w:p>
          <w:p w:rsidR="003E0BB0" w:rsidRPr="00F55E01" w:rsidRDefault="003E0BB0" w:rsidP="00263F34">
            <w:pPr>
              <w:rPr>
                <w:lang w:val="fr-FR"/>
              </w:rPr>
            </w:pPr>
          </w:p>
          <w:p w:rsidR="003E0BB0" w:rsidRPr="00F55E01" w:rsidRDefault="003E0BB0" w:rsidP="00263F34">
            <w:pPr>
              <w:rPr>
                <w:lang w:val="fr-FR"/>
              </w:rPr>
            </w:pPr>
            <w:r w:rsidRPr="00F55E01">
              <w:rPr>
                <w:lang w:val="fr-FR"/>
              </w:rPr>
              <w:t>b) Rapport sur la base de données relative à la liste des consultants de l’OMPI (CDIP/20/6);</w:t>
            </w:r>
          </w:p>
          <w:p w:rsidR="003E0BB0" w:rsidRPr="00F55E01" w:rsidRDefault="003E0BB0" w:rsidP="00263F34">
            <w:pPr>
              <w:rPr>
                <w:lang w:val="fr-FR"/>
              </w:rPr>
            </w:pPr>
          </w:p>
          <w:p w:rsidR="003E0BB0" w:rsidRPr="00F55E01" w:rsidRDefault="003E0BB0" w:rsidP="00263F34">
            <w:pPr>
              <w:rPr>
                <w:lang w:val="fr-CH"/>
              </w:rPr>
            </w:pPr>
            <w:r w:rsidRPr="00F55E01">
              <w:rPr>
                <w:lang w:val="fr-CH"/>
              </w:rPr>
              <w:t>c) Compilation des pratiques, méthodes et outils de l’OMPI actuels concernant la fourniture d’une assistance technique (CDIP/21/4) et</w:t>
            </w:r>
          </w:p>
          <w:p w:rsidR="003E0BB0" w:rsidRPr="00F55E01" w:rsidRDefault="003E0BB0" w:rsidP="00263F34">
            <w:pPr>
              <w:rPr>
                <w:lang w:val="fr-CH"/>
              </w:rPr>
            </w:pPr>
          </w:p>
          <w:p w:rsidR="003E0BB0" w:rsidRPr="00F55E01" w:rsidRDefault="003E0BB0" w:rsidP="00263F34">
            <w:pPr>
              <w:rPr>
                <w:lang w:val="fr-CH"/>
              </w:rPr>
            </w:pPr>
            <w:r w:rsidRPr="00F55E01">
              <w:rPr>
                <w:lang w:val="fr-CH"/>
              </w:rPr>
              <w:t>d) Pratiques suivies par l’OMPI pour la sélection des consultants chargés de l’assistance technique (CDIP/21/9).</w:t>
            </w:r>
          </w:p>
          <w:p w:rsidR="003E0BB0" w:rsidRPr="00F55E01" w:rsidRDefault="003E0BB0" w:rsidP="00263F34">
            <w:pPr>
              <w:rPr>
                <w:lang w:val="fr-CH"/>
              </w:rPr>
            </w:pPr>
          </w:p>
          <w:p w:rsidR="003E0BB0" w:rsidRPr="00F55E01" w:rsidRDefault="003E0BB0" w:rsidP="00263F34">
            <w:pPr>
              <w:rPr>
                <w:lang w:val="fr-CH"/>
              </w:rPr>
            </w:pPr>
            <w:r w:rsidRPr="00F55E01">
              <w:rPr>
                <w:lang w:val="fr-CH"/>
              </w:rPr>
              <w:t>En outre, l’OMPI a lancé une nouvelle page Web relative à l’assistance technique sur la base de l’examen du document CDIP/19/10, qui peut être consultée à l’adresse</w:t>
            </w:r>
          </w:p>
          <w:p w:rsidR="003E0BB0" w:rsidRPr="00F55E01" w:rsidRDefault="007A5E26" w:rsidP="00263F34">
            <w:pPr>
              <w:rPr>
                <w:lang w:val="fr-CH"/>
              </w:rPr>
            </w:pPr>
            <w:hyperlink r:id="rId118" w:history="1">
              <w:r w:rsidR="003E0BB0" w:rsidRPr="00F55E01">
                <w:rPr>
                  <w:rStyle w:val="Hyperlink"/>
                  <w:lang w:val="fr-CH"/>
                </w:rPr>
                <w:t>http://www.wipo.int/cooperation/fr/technical_assistance/</w:t>
              </w:r>
            </w:hyperlink>
            <w:r w:rsidR="003E0BB0" w:rsidRPr="00F55E01">
              <w:rPr>
                <w:lang w:val="fr-CH"/>
              </w:rPr>
              <w:t>, et est en train de réorganiser sa base de données relative à la liste des consultants, sur la base de l’examen du document CDIP/20/6.</w:t>
            </w:r>
          </w:p>
          <w:p w:rsidR="003E0BB0" w:rsidRPr="00F55E01" w:rsidRDefault="003E0BB0" w:rsidP="00263F34">
            <w:pPr>
              <w:rPr>
                <w:lang w:val="fr-CH"/>
              </w:rPr>
            </w:pPr>
          </w:p>
          <w:p w:rsidR="003E0BB0" w:rsidRPr="00F55E01" w:rsidRDefault="003E0BB0" w:rsidP="00263F34">
            <w:pPr>
              <w:rPr>
                <w:lang w:val="fr-CH"/>
              </w:rPr>
            </w:pPr>
            <w:r w:rsidRPr="00F55E01">
              <w:rPr>
                <w:lang w:val="fr-CH"/>
              </w:rPr>
              <w:t>Le comité a également étudié la possibilité de créer un forum permanent consacré à l’assistance technique.  La session en cours examinera un document sur la faisabilité de la création d’un forum sur le Web consacré à l’assistance technique.  Une session sera consacrée à un dialogue interactif sur l’assistance technique pour que les États membres puissent partager leurs expériences et pratiques à cet égard.</w:t>
            </w:r>
          </w:p>
          <w:p w:rsidR="003E0BB0" w:rsidRPr="00F55E01" w:rsidRDefault="003E0BB0" w:rsidP="00263F34">
            <w:pPr>
              <w:rPr>
                <w:lang w:val="fr-CH"/>
              </w:rPr>
            </w:pPr>
          </w:p>
        </w:tc>
      </w:tr>
      <w:tr w:rsidR="003E0BB0" w:rsidRPr="00F55E01" w:rsidTr="00263F34">
        <w:tc>
          <w:tcPr>
            <w:tcW w:w="2538" w:type="dxa"/>
          </w:tcPr>
          <w:p w:rsidR="003E0BB0" w:rsidRPr="00F55E01" w:rsidRDefault="003E0BB0" w:rsidP="00263F34">
            <w:r w:rsidRPr="00F55E01">
              <w:t>Autres rapports/documents connexes</w:t>
            </w:r>
          </w:p>
        </w:tc>
        <w:tc>
          <w:tcPr>
            <w:tcW w:w="6751" w:type="dxa"/>
          </w:tcPr>
          <w:p w:rsidR="003E0BB0" w:rsidRPr="00F55E01" w:rsidRDefault="003E0BB0" w:rsidP="00263F34">
            <w:pPr>
              <w:rPr>
                <w:lang w:val="fr-CH"/>
              </w:rPr>
            </w:pPr>
            <w:r w:rsidRPr="00F55E01">
              <w:rPr>
                <w:lang w:val="fr-CH"/>
              </w:rPr>
              <w:t>Rapports examinés par le CDIP : CDIP/6/2;  CDIP/8/2;  CDIP/10/2;  CDIP/12/4;  CDIP/20/3;  CDIP/20/6;  CDIP/21/4;  CDIP/21/9.</w:t>
            </w:r>
          </w:p>
          <w:p w:rsidR="003E0BB0" w:rsidRPr="00F55E01" w:rsidRDefault="003E0BB0" w:rsidP="00263F34">
            <w:pPr>
              <w:rPr>
                <w:lang w:val="fr-CH"/>
              </w:rPr>
            </w:pPr>
          </w:p>
          <w:p w:rsidR="003E0BB0" w:rsidRPr="00F55E01" w:rsidRDefault="003E0BB0" w:rsidP="00263F34">
            <w:pPr>
              <w:rPr>
                <w:lang w:val="fr-CH"/>
              </w:rPr>
            </w:pPr>
            <w:r w:rsidRPr="00F55E01">
              <w:rPr>
                <w:lang w:val="fr-CH"/>
              </w:rPr>
              <w:t>Outre les activités figurant dans la base de données de l’assistance technique dans le domaine de la propriété intellectuelle, pour plus d’informations au sujet des réalisations liées à cette recommandation, veuillez vous référer au rapport sur la performance de l’OMPI en 2016</w:t>
            </w:r>
            <w:r w:rsidRPr="00F55E01">
              <w:rPr>
                <w:lang w:val="fr-CH"/>
              </w:rPr>
              <w:noBreakHyphen/>
              <w:t>2017 (document WO/PBC/28/7).</w:t>
            </w:r>
          </w:p>
          <w:p w:rsidR="003E0BB0" w:rsidRPr="00F55E01" w:rsidRDefault="003E0BB0" w:rsidP="00263F34">
            <w:pPr>
              <w:rPr>
                <w:lang w:val="fr-CH"/>
              </w:rPr>
            </w:pPr>
          </w:p>
        </w:tc>
      </w:tr>
    </w:tbl>
    <w:p w:rsidR="003E0BB0" w:rsidRPr="00F55E01" w:rsidRDefault="003E0BB0" w:rsidP="003E0BB0">
      <w:pPr>
        <w:rPr>
          <w:lang w:val="fr-CH"/>
        </w:rPr>
      </w:pPr>
      <w:r w:rsidRPr="00F55E01">
        <w:rPr>
          <w:lang w:val="fr-CH"/>
        </w:rPr>
        <w:br w:type="page"/>
      </w:r>
    </w:p>
    <w:tbl>
      <w:tblPr>
        <w:tblStyle w:val="TableGrid"/>
        <w:tblW w:w="0" w:type="auto"/>
        <w:tblLook w:val="04A0" w:firstRow="1" w:lastRow="0" w:firstColumn="1" w:lastColumn="0" w:noHBand="0" w:noVBand="1"/>
      </w:tblPr>
      <w:tblGrid>
        <w:gridCol w:w="2538"/>
        <w:gridCol w:w="6749"/>
      </w:tblGrid>
      <w:tr w:rsidR="003E0BB0" w:rsidRPr="00F55E01" w:rsidTr="00263F34">
        <w:tc>
          <w:tcPr>
            <w:tcW w:w="2538" w:type="dxa"/>
            <w:shd w:val="clear" w:color="auto" w:fill="BFBFBF" w:themeFill="background1" w:themeFillShade="BF"/>
          </w:tcPr>
          <w:p w:rsidR="003E0BB0" w:rsidRPr="00F55E01" w:rsidRDefault="003E0BB0" w:rsidP="00263F34">
            <w:r w:rsidRPr="00F55E01">
              <w:t xml:space="preserve">Recommandation(s) </w:t>
            </w:r>
          </w:p>
        </w:tc>
        <w:tc>
          <w:tcPr>
            <w:tcW w:w="6751" w:type="dxa"/>
            <w:shd w:val="clear" w:color="auto" w:fill="BFBFBF" w:themeFill="background1" w:themeFillShade="BF"/>
          </w:tcPr>
          <w:p w:rsidR="003E0BB0" w:rsidRPr="00F55E01" w:rsidRDefault="003E0BB0" w:rsidP="00263F34">
            <w:pPr>
              <w:rPr>
                <w:i/>
                <w:lang w:val="fr-FR"/>
              </w:rPr>
            </w:pPr>
            <w:r w:rsidRPr="00F55E01">
              <w:rPr>
                <w:i/>
                <w:lang w:val="fr-FR"/>
              </w:rPr>
              <w:t>Recommandation n° 42</w:t>
            </w:r>
          </w:p>
          <w:p w:rsidR="003E0BB0" w:rsidRPr="00F55E01" w:rsidRDefault="003E0BB0" w:rsidP="00263F34">
            <w:pPr>
              <w:rPr>
                <w:lang w:val="fr-FR"/>
              </w:rPr>
            </w:pPr>
          </w:p>
          <w:p w:rsidR="003E0BB0" w:rsidRPr="00F55E01" w:rsidRDefault="003E0BB0" w:rsidP="00263F34">
            <w:pPr>
              <w:rPr>
                <w:lang w:val="fr-FR"/>
              </w:rPr>
            </w:pPr>
            <w:r w:rsidRPr="00F55E01">
              <w:rPr>
                <w:lang w:val="fr-FR"/>
              </w:rPr>
              <w:t>Renforcer les mesures visant à assurer une large participation de la société civile dans son ensemble aux activités de l’OMPI, conformément à ses critères concernant l’admission et l’accréditation des ONG, tout en gardant cette question à l’ordre du jour.</w:t>
            </w:r>
          </w:p>
          <w:p w:rsidR="003E0BB0" w:rsidRPr="00F55E01" w:rsidRDefault="003E0BB0" w:rsidP="00263F34">
            <w:pPr>
              <w:rPr>
                <w:lang w:val="fr-FR"/>
              </w:rPr>
            </w:pPr>
          </w:p>
        </w:tc>
      </w:tr>
      <w:tr w:rsidR="003E0BB0" w:rsidRPr="00F55E01" w:rsidTr="00263F34">
        <w:tc>
          <w:tcPr>
            <w:tcW w:w="2538" w:type="dxa"/>
          </w:tcPr>
          <w:p w:rsidR="003E0BB0" w:rsidRPr="00F55E01" w:rsidRDefault="003E0BB0" w:rsidP="00263F34">
            <w:pPr>
              <w:rPr>
                <w:lang w:val="fr-FR"/>
              </w:rPr>
            </w:pPr>
            <w:r w:rsidRPr="00F55E01">
              <w:rPr>
                <w:lang w:val="fr-FR"/>
              </w:rPr>
              <w:t>Liens avec les résultats prévus dans le programme et budget 2018</w:t>
            </w:r>
            <w:r w:rsidRPr="00F55E01">
              <w:rPr>
                <w:lang w:val="fr-FR"/>
              </w:rPr>
              <w:noBreakHyphen/>
              <w:t>2019</w:t>
            </w:r>
          </w:p>
          <w:p w:rsidR="003E0BB0" w:rsidRPr="00F55E01" w:rsidRDefault="003E0BB0" w:rsidP="00263F34">
            <w:pPr>
              <w:rPr>
                <w:lang w:val="fr-FR"/>
              </w:rPr>
            </w:pPr>
          </w:p>
        </w:tc>
        <w:tc>
          <w:tcPr>
            <w:tcW w:w="6751" w:type="dxa"/>
          </w:tcPr>
          <w:p w:rsidR="003E0BB0" w:rsidRPr="00F55E01" w:rsidRDefault="003E0BB0" w:rsidP="00263F34">
            <w:r w:rsidRPr="00F55E01">
              <w:t>4, 8, 18 et 20</w:t>
            </w:r>
          </w:p>
        </w:tc>
      </w:tr>
      <w:tr w:rsidR="003E0BB0" w:rsidRPr="00F55E01" w:rsidTr="00263F34">
        <w:tc>
          <w:tcPr>
            <w:tcW w:w="2538" w:type="dxa"/>
          </w:tcPr>
          <w:p w:rsidR="003E0BB0" w:rsidRPr="00F55E01" w:rsidRDefault="003E0BB0" w:rsidP="00263F34">
            <w:r w:rsidRPr="00F55E01">
              <w:t xml:space="preserve">Mise en œuvre </w:t>
            </w:r>
          </w:p>
        </w:tc>
        <w:tc>
          <w:tcPr>
            <w:tcW w:w="6751" w:type="dxa"/>
          </w:tcPr>
          <w:p w:rsidR="003E0BB0" w:rsidRPr="00F55E01" w:rsidRDefault="003E0BB0" w:rsidP="00263F34">
            <w:pPr>
              <w:rPr>
                <w:lang w:val="fr-FR"/>
              </w:rPr>
            </w:pPr>
            <w:r w:rsidRPr="00F55E01">
              <w:rPr>
                <w:lang w:val="fr-CH"/>
              </w:rPr>
              <w:t xml:space="preserve">Cette recommandation a été examinée dans le cadre de différents rapports intérimaires (CDIP/3/5, CDIP/6/3 et CDIP/8/2).  </w:t>
            </w:r>
            <w:r w:rsidRPr="00F55E01">
              <w:rPr>
                <w:lang w:val="fr-FR"/>
              </w:rPr>
              <w:t>Les activités relatives à l’application sont examinées par le comité, mais, dans la pratique, la recommandation est déjà en cours d’application.  La stratégie de mise en œuvre est la suivante :</w:t>
            </w:r>
          </w:p>
          <w:p w:rsidR="003E0BB0" w:rsidRPr="00F55E01" w:rsidRDefault="003E0BB0" w:rsidP="00263F34">
            <w:pPr>
              <w:rPr>
                <w:lang w:val="fr-FR"/>
              </w:rPr>
            </w:pPr>
          </w:p>
          <w:p w:rsidR="003E0BB0" w:rsidRPr="00F55E01" w:rsidRDefault="003E0BB0" w:rsidP="00263F34">
            <w:pPr>
              <w:rPr>
                <w:lang w:val="fr-FR"/>
              </w:rPr>
            </w:pPr>
            <w:r w:rsidRPr="00F55E01">
              <w:rPr>
                <w:lang w:val="fr-FR"/>
              </w:rPr>
              <w:t>“Les procédures et prescriptions actuelles relatives à l’octroi du statut d’observateur à l’OMPI pour les parties prenantes non gouvernementales et intergouvernementales intéressées satisfont toujours à cette recommandation.  L’examen de la procédure d’octroi du statut d’observateur à une organisation en ayant présenté la demande est un moyen de garantir le sérieux et la crédibilité de cette organisation, ainsi que l’intérêt de ses activités dans le domaine de la propriété intellectuelle, et il convient de poursuivre sur cette voie.  En outre, s’agissant des demandes présentées par les ONG, la pratique consistant à tenir des consultations avec l’État concerné s’est avérée revêtir une importance fondamentale aux fins d’assurer la participation d’organisations menant des activités en rapport avec les domaines d’action de l’OMPI et également avec les recommandations formulées dans le Plan d’action pour le développement.  Au</w:t>
            </w:r>
            <w:r w:rsidRPr="00F55E01">
              <w:rPr>
                <w:lang w:val="fr-FR"/>
              </w:rPr>
              <w:noBreakHyphen/>
              <w:t>delà de ces procédures d’accréditation, l’OMPI continue de mettre en évidence et de lancer des initiatives visant à faciliter la participation active des observateurs et la société civile dans son ensemble dans le cadre de ses activités.”</w:t>
            </w:r>
          </w:p>
          <w:p w:rsidR="003E0BB0" w:rsidRPr="00F55E01" w:rsidRDefault="003E0BB0" w:rsidP="00263F34">
            <w:pPr>
              <w:autoSpaceDE w:val="0"/>
              <w:autoSpaceDN w:val="0"/>
              <w:adjustRightInd w:val="0"/>
              <w:rPr>
                <w:lang w:val="fr-FR"/>
              </w:rPr>
            </w:pPr>
          </w:p>
        </w:tc>
      </w:tr>
      <w:tr w:rsidR="003E0BB0" w:rsidRPr="00F55E01" w:rsidTr="00263F34">
        <w:tc>
          <w:tcPr>
            <w:tcW w:w="2538" w:type="dxa"/>
          </w:tcPr>
          <w:p w:rsidR="003E0BB0" w:rsidRPr="00F55E01" w:rsidRDefault="003E0BB0" w:rsidP="00263F34">
            <w:pPr>
              <w:rPr>
                <w:lang w:val="fr-CH"/>
              </w:rPr>
            </w:pPr>
            <w:r w:rsidRPr="00F55E01">
              <w:rPr>
                <w:lang w:val="fr-CH"/>
              </w:rPr>
              <w:t>Projets connexes du Plan d’action</w:t>
            </w:r>
          </w:p>
        </w:tc>
        <w:tc>
          <w:tcPr>
            <w:tcW w:w="6751" w:type="dxa"/>
          </w:tcPr>
          <w:p w:rsidR="003E0BB0" w:rsidRPr="00F55E01" w:rsidRDefault="003E0BB0" w:rsidP="00263F34">
            <w:r w:rsidRPr="00F55E01">
              <w:t>n.d.</w:t>
            </w:r>
          </w:p>
          <w:p w:rsidR="003E0BB0" w:rsidRPr="00F55E01" w:rsidRDefault="003E0BB0" w:rsidP="00263F34"/>
        </w:tc>
      </w:tr>
      <w:tr w:rsidR="003E0BB0" w:rsidRPr="00F55E01" w:rsidTr="0020073A">
        <w:trPr>
          <w:trHeight w:val="1894"/>
        </w:trPr>
        <w:tc>
          <w:tcPr>
            <w:tcW w:w="2538" w:type="dxa"/>
          </w:tcPr>
          <w:p w:rsidR="003E0BB0" w:rsidRPr="00F55E01" w:rsidRDefault="003E0BB0" w:rsidP="00263F34">
            <w:r w:rsidRPr="00F55E01">
              <w:t>Activités/réalisations</w:t>
            </w:r>
          </w:p>
        </w:tc>
        <w:tc>
          <w:tcPr>
            <w:tcW w:w="6751" w:type="dxa"/>
          </w:tcPr>
          <w:p w:rsidR="003E0BB0" w:rsidRPr="00F55E01" w:rsidRDefault="003E0BB0" w:rsidP="00263F34">
            <w:pPr>
              <w:rPr>
                <w:lang w:val="fr-CH"/>
              </w:rPr>
            </w:pPr>
            <w:r w:rsidRPr="00F55E01">
              <w:rPr>
                <w:lang w:val="fr-CH"/>
              </w:rPr>
              <w:t>De nombreuses consultations avec des organisations non gouvernementales (ONG) – observateurs de la société civile ont été organisées, tant à Genève que sur le terrain, pour que les parties prenantes restent informées des travaux de l’OMPI et pour qu’elles puissent informer l’Organisation des priorités actuelles relatives aux politiques en matière de propriété intellectuelle.</w:t>
            </w:r>
          </w:p>
          <w:p w:rsidR="0020073A" w:rsidRDefault="0020073A" w:rsidP="0020073A">
            <w:pPr>
              <w:keepNext/>
              <w:rPr>
                <w:lang w:val="fr-CH"/>
              </w:rPr>
            </w:pPr>
          </w:p>
          <w:p w:rsidR="0020073A" w:rsidRDefault="0020073A" w:rsidP="0020073A">
            <w:pPr>
              <w:keepNext/>
              <w:rPr>
                <w:lang w:val="fr-CH"/>
              </w:rPr>
            </w:pPr>
          </w:p>
          <w:p w:rsidR="0020073A" w:rsidRDefault="0020073A" w:rsidP="0020073A">
            <w:pPr>
              <w:keepNext/>
              <w:rPr>
                <w:lang w:val="fr-CH"/>
              </w:rPr>
            </w:pPr>
          </w:p>
          <w:p w:rsidR="0020073A" w:rsidRDefault="0020073A" w:rsidP="0020073A">
            <w:pPr>
              <w:keepNext/>
              <w:rPr>
                <w:lang w:val="fr-CH"/>
              </w:rPr>
            </w:pPr>
          </w:p>
          <w:p w:rsidR="0020073A" w:rsidRDefault="0020073A" w:rsidP="0020073A">
            <w:pPr>
              <w:keepNext/>
              <w:rPr>
                <w:lang w:val="fr-CH"/>
              </w:rPr>
            </w:pPr>
          </w:p>
          <w:p w:rsidR="0020073A" w:rsidRPr="00F55E01" w:rsidRDefault="0020073A" w:rsidP="0020073A">
            <w:pPr>
              <w:keepNext/>
              <w:rPr>
                <w:lang w:val="fr-CH"/>
              </w:rPr>
            </w:pPr>
          </w:p>
          <w:p w:rsidR="003E0BB0" w:rsidRPr="00F55E01" w:rsidRDefault="003E0BB0" w:rsidP="0020073A">
            <w:pPr>
              <w:keepNext/>
              <w:rPr>
                <w:lang w:val="fr-FR"/>
              </w:rPr>
            </w:pPr>
            <w:r w:rsidRPr="00F55E01">
              <w:rPr>
                <w:lang w:val="fr-FR"/>
              </w:rPr>
              <w:t>Les groupes avec qui les consultations ont eu lieu durant le calendrier 2016</w:t>
            </w:r>
            <w:r w:rsidRPr="00F55E01">
              <w:rPr>
                <w:lang w:val="fr-FR"/>
              </w:rPr>
              <w:noBreakHyphen/>
              <w:t>2017 sont les suivants :</w:t>
            </w:r>
          </w:p>
          <w:p w:rsidR="003E0BB0" w:rsidRPr="00F55E01" w:rsidRDefault="003E0BB0" w:rsidP="0020073A">
            <w:pPr>
              <w:keepNext/>
              <w:rPr>
                <w:lang w:val="fr-FR"/>
              </w:rPr>
            </w:pPr>
          </w:p>
          <w:p w:rsidR="003E0BB0" w:rsidRPr="00F55E01" w:rsidRDefault="003E0BB0" w:rsidP="0020073A">
            <w:pPr>
              <w:pStyle w:val="ListParagraph"/>
              <w:keepNext/>
              <w:numPr>
                <w:ilvl w:val="0"/>
                <w:numId w:val="12"/>
              </w:numPr>
              <w:rPr>
                <w:lang w:val="fr-FR"/>
              </w:rPr>
            </w:pPr>
            <w:r w:rsidRPr="00F55E01">
              <w:rPr>
                <w:lang w:val="fr-FR"/>
              </w:rPr>
              <w:t>le cadre international de protection de la propriété intellectuelle</w:t>
            </w:r>
          </w:p>
          <w:p w:rsidR="003E0BB0" w:rsidRPr="00F55E01" w:rsidRDefault="003E0BB0" w:rsidP="0020073A">
            <w:pPr>
              <w:pStyle w:val="ListParagraph"/>
              <w:numPr>
                <w:ilvl w:val="0"/>
                <w:numId w:val="12"/>
              </w:numPr>
              <w:rPr>
                <w:lang w:val="fr-CH"/>
              </w:rPr>
            </w:pPr>
            <w:r w:rsidRPr="00F55E01">
              <w:rPr>
                <w:lang w:val="fr-CH"/>
              </w:rPr>
              <w:t>BIO (Organisation des industries de biotechnologie)</w:t>
            </w:r>
          </w:p>
          <w:p w:rsidR="003E0BB0" w:rsidRPr="00F55E01" w:rsidRDefault="003E0BB0" w:rsidP="0020073A">
            <w:pPr>
              <w:pStyle w:val="ListParagraph"/>
              <w:numPr>
                <w:ilvl w:val="0"/>
                <w:numId w:val="12"/>
              </w:numPr>
            </w:pPr>
            <w:r w:rsidRPr="00F55E01">
              <w:t>EuropaBIO</w:t>
            </w:r>
          </w:p>
          <w:p w:rsidR="003E0BB0" w:rsidRPr="00F55E01" w:rsidRDefault="003E0BB0" w:rsidP="0020073A">
            <w:pPr>
              <w:pStyle w:val="ListParagraph"/>
              <w:numPr>
                <w:ilvl w:val="0"/>
                <w:numId w:val="12"/>
              </w:numPr>
              <w:rPr>
                <w:lang w:val="fr-FR"/>
              </w:rPr>
            </w:pPr>
            <w:r w:rsidRPr="00F55E01">
              <w:rPr>
                <w:lang w:val="fr-FR"/>
              </w:rPr>
              <w:t>la Fédération internationale des conseils en propriété intellectuelle (FICPI)</w:t>
            </w:r>
          </w:p>
          <w:p w:rsidR="003E0BB0" w:rsidRPr="00F55E01" w:rsidRDefault="003E0BB0" w:rsidP="003E0BB0">
            <w:pPr>
              <w:pStyle w:val="ListParagraph"/>
              <w:numPr>
                <w:ilvl w:val="0"/>
                <w:numId w:val="12"/>
              </w:numPr>
              <w:rPr>
                <w:lang w:val="fr-FR"/>
              </w:rPr>
            </w:pPr>
            <w:r w:rsidRPr="00F55E01">
              <w:rPr>
                <w:lang w:val="fr-FR"/>
              </w:rPr>
              <w:t>l’association américaine du droit de la propriété intellectuelle (AIPLA)</w:t>
            </w:r>
          </w:p>
          <w:p w:rsidR="003E0BB0" w:rsidRPr="00F55E01" w:rsidRDefault="003E0BB0" w:rsidP="003E0BB0">
            <w:pPr>
              <w:pStyle w:val="ListParagraph"/>
              <w:numPr>
                <w:ilvl w:val="0"/>
                <w:numId w:val="12"/>
              </w:numPr>
              <w:rPr>
                <w:lang w:val="fr-FR"/>
              </w:rPr>
            </w:pPr>
            <w:r w:rsidRPr="00F55E01">
              <w:rPr>
                <w:lang w:val="fr-FR"/>
              </w:rPr>
              <w:t>le groupe des titulaires de droits de propriété intellectuelle (IPO)</w:t>
            </w:r>
          </w:p>
          <w:p w:rsidR="003E0BB0" w:rsidRPr="00F55E01" w:rsidRDefault="003E0BB0" w:rsidP="003E0BB0">
            <w:pPr>
              <w:pStyle w:val="ListParagraph"/>
              <w:numPr>
                <w:ilvl w:val="0"/>
                <w:numId w:val="12"/>
              </w:numPr>
              <w:rPr>
                <w:lang w:val="fr-FR"/>
              </w:rPr>
            </w:pPr>
            <w:r w:rsidRPr="00F55E01">
              <w:rPr>
                <w:lang w:val="fr-FR"/>
              </w:rPr>
              <w:t>l’institut international pour la gestion de la propriété intellectuelle (I3PM)</w:t>
            </w:r>
          </w:p>
          <w:p w:rsidR="003E0BB0" w:rsidRPr="00F55E01" w:rsidRDefault="003E0BB0" w:rsidP="003E0BB0">
            <w:pPr>
              <w:pStyle w:val="ListParagraph"/>
              <w:numPr>
                <w:ilvl w:val="0"/>
                <w:numId w:val="12"/>
              </w:numPr>
              <w:rPr>
                <w:lang w:val="fr-FR"/>
              </w:rPr>
            </w:pPr>
            <w:r w:rsidRPr="00F55E01">
              <w:rPr>
                <w:lang w:val="fr-FR"/>
              </w:rPr>
              <w:t>le Centre mondial de la propriété intellectuelle (GIPC) de la Chambre américaine de commerce</w:t>
            </w:r>
          </w:p>
          <w:p w:rsidR="003E0BB0" w:rsidRPr="00F55E01" w:rsidRDefault="003E0BB0" w:rsidP="003E0BB0">
            <w:pPr>
              <w:pStyle w:val="ListParagraph"/>
              <w:numPr>
                <w:ilvl w:val="0"/>
                <w:numId w:val="12"/>
              </w:numPr>
              <w:rPr>
                <w:lang w:val="fr-FR"/>
              </w:rPr>
            </w:pPr>
            <w:r w:rsidRPr="00F55E01">
              <w:rPr>
                <w:lang w:val="fr-FR"/>
              </w:rPr>
              <w:t>l’industrie du droit d’auteur (AEPO</w:t>
            </w:r>
            <w:r w:rsidRPr="00F55E01">
              <w:rPr>
                <w:lang w:val="fr-FR"/>
              </w:rPr>
              <w:noBreakHyphen/>
              <w:t>ARTIS, ARIPO, la Confédération internationale des sociétés d’auteurs et compositeurs, UER, la Convention sur le brevet européen, EVA, FIM, CIEM, UIE, IFPI, IFRRO Latín Artis, NORCODE, SAA, STM)</w:t>
            </w:r>
          </w:p>
          <w:p w:rsidR="003E0BB0" w:rsidRPr="00F55E01" w:rsidRDefault="003E0BB0" w:rsidP="003E0BB0">
            <w:pPr>
              <w:pStyle w:val="ListParagraph"/>
              <w:numPr>
                <w:ilvl w:val="0"/>
                <w:numId w:val="12"/>
              </w:numPr>
              <w:rPr>
                <w:lang w:val="fr-FR"/>
              </w:rPr>
            </w:pPr>
            <w:r w:rsidRPr="00F55E01">
              <w:rPr>
                <w:lang w:val="fr-FR"/>
              </w:rPr>
              <w:t>la Fédération internationale de l’industrie du médicament (IFPMA)</w:t>
            </w:r>
          </w:p>
          <w:p w:rsidR="003E0BB0" w:rsidRPr="00F55E01" w:rsidRDefault="003E0BB0" w:rsidP="003E0BB0">
            <w:pPr>
              <w:pStyle w:val="ListParagraph"/>
              <w:numPr>
                <w:ilvl w:val="0"/>
                <w:numId w:val="12"/>
              </w:numPr>
            </w:pPr>
            <w:r w:rsidRPr="00F55E01">
              <w:t>l’Université Bocconi de Milan</w:t>
            </w:r>
          </w:p>
          <w:p w:rsidR="003E0BB0" w:rsidRPr="00F55E01" w:rsidRDefault="003E0BB0" w:rsidP="003E0BB0">
            <w:pPr>
              <w:pStyle w:val="ListParagraph"/>
              <w:numPr>
                <w:ilvl w:val="0"/>
                <w:numId w:val="12"/>
              </w:numPr>
              <w:rPr>
                <w:lang w:val="fr-FR"/>
              </w:rPr>
            </w:pPr>
            <w:r w:rsidRPr="00F55E01">
              <w:rPr>
                <w:lang w:val="fr-FR"/>
              </w:rPr>
              <w:t>l’Association allemande pour la propriété industrielle et le droit d’auteur (DVGR)</w:t>
            </w:r>
          </w:p>
          <w:p w:rsidR="003E0BB0" w:rsidRPr="00F55E01" w:rsidRDefault="003E0BB0" w:rsidP="00263F34">
            <w:pPr>
              <w:rPr>
                <w:lang w:val="fr-FR"/>
              </w:rPr>
            </w:pPr>
          </w:p>
        </w:tc>
      </w:tr>
      <w:tr w:rsidR="003E0BB0" w:rsidRPr="00F55E01" w:rsidTr="00263F34">
        <w:tc>
          <w:tcPr>
            <w:tcW w:w="2538" w:type="dxa"/>
          </w:tcPr>
          <w:p w:rsidR="003E0BB0" w:rsidRPr="00F55E01" w:rsidRDefault="003E0BB0" w:rsidP="00263F34">
            <w:r w:rsidRPr="00F55E01">
              <w:t>Autres rapports/documents connexes</w:t>
            </w:r>
          </w:p>
        </w:tc>
        <w:tc>
          <w:tcPr>
            <w:tcW w:w="6751" w:type="dxa"/>
          </w:tcPr>
          <w:p w:rsidR="003E0BB0" w:rsidRPr="00F55E01" w:rsidRDefault="003E0BB0" w:rsidP="00263F34">
            <w:pPr>
              <w:rPr>
                <w:lang w:val="fr-CH"/>
              </w:rPr>
            </w:pPr>
            <w:r w:rsidRPr="00F55E01">
              <w:rPr>
                <w:lang w:val="fr-CH"/>
              </w:rPr>
              <w:t>Rapports examinés par le CDIP : CDIP/3/5;  CDIP/6/3;  CDIP/8/2;  CDIP/10/2;  CDIP/12/2;  CDIP/14/2;  CDIP/16/2;  CDIP/18/2;  CDIP/20/2.</w:t>
            </w:r>
          </w:p>
          <w:p w:rsidR="003E0BB0" w:rsidRPr="00F55E01" w:rsidRDefault="003E0BB0" w:rsidP="00263F34">
            <w:pPr>
              <w:rPr>
                <w:lang w:val="fr-CH"/>
              </w:rPr>
            </w:pPr>
          </w:p>
          <w:p w:rsidR="003E0BB0" w:rsidRPr="00F55E01" w:rsidRDefault="003E0BB0" w:rsidP="00263F34">
            <w:pPr>
              <w:rPr>
                <w:lang w:val="fr-CH"/>
              </w:rPr>
            </w:pPr>
            <w:r w:rsidRPr="00F55E01">
              <w:rPr>
                <w:lang w:val="fr-CH"/>
              </w:rPr>
              <w:t>Outre les activités figurant dans la base de données de l’assistance technique dans le domaine de la propriété intellectuelle, pour plus d’informations au sujet des réalisations liées à cette recommandation, veuillez vous référer au rapport sur la performance de l’OMPI en 2016</w:t>
            </w:r>
            <w:r w:rsidRPr="00F55E01">
              <w:rPr>
                <w:lang w:val="fr-CH"/>
              </w:rPr>
              <w:noBreakHyphen/>
              <w:t>2017 (document WO/PBC/28/7).</w:t>
            </w:r>
          </w:p>
          <w:p w:rsidR="003E0BB0" w:rsidRPr="00F55E01" w:rsidRDefault="003E0BB0" w:rsidP="00263F34">
            <w:pPr>
              <w:rPr>
                <w:szCs w:val="22"/>
                <w:highlight w:val="yellow"/>
                <w:bdr w:val="none" w:sz="0" w:space="0" w:color="auto" w:frame="1"/>
                <w:lang w:val="fr-CH"/>
              </w:rPr>
            </w:pPr>
          </w:p>
        </w:tc>
      </w:tr>
    </w:tbl>
    <w:p w:rsidR="003E0BB0" w:rsidRPr="00F55E01" w:rsidRDefault="003E0BB0" w:rsidP="003E0BB0">
      <w:pPr>
        <w:rPr>
          <w:lang w:val="fr-CH"/>
        </w:rPr>
      </w:pPr>
      <w:r w:rsidRPr="00F55E01">
        <w:rPr>
          <w:lang w:val="fr-CH"/>
        </w:rPr>
        <w:br w:type="page"/>
      </w:r>
    </w:p>
    <w:tbl>
      <w:tblPr>
        <w:tblStyle w:val="TableGrid"/>
        <w:tblW w:w="0" w:type="auto"/>
        <w:tblLook w:val="04A0" w:firstRow="1" w:lastRow="0" w:firstColumn="1" w:lastColumn="0" w:noHBand="0" w:noVBand="1"/>
      </w:tblPr>
      <w:tblGrid>
        <w:gridCol w:w="2209"/>
        <w:gridCol w:w="7078"/>
      </w:tblGrid>
      <w:tr w:rsidR="003E0BB0" w:rsidRPr="00F55E01" w:rsidTr="00263F34">
        <w:tc>
          <w:tcPr>
            <w:tcW w:w="2167" w:type="dxa"/>
            <w:shd w:val="clear" w:color="auto" w:fill="BFBFBF" w:themeFill="background1" w:themeFillShade="BF"/>
          </w:tcPr>
          <w:p w:rsidR="003E0BB0" w:rsidRPr="00F55E01" w:rsidRDefault="003E0BB0" w:rsidP="00263F34">
            <w:r w:rsidRPr="00F55E01">
              <w:t>Recommandation(s)</w:t>
            </w:r>
          </w:p>
        </w:tc>
        <w:tc>
          <w:tcPr>
            <w:tcW w:w="7122" w:type="dxa"/>
            <w:shd w:val="clear" w:color="auto" w:fill="BFBFBF" w:themeFill="background1" w:themeFillShade="BF"/>
          </w:tcPr>
          <w:p w:rsidR="003E0BB0" w:rsidRPr="00F55E01" w:rsidRDefault="003E0BB0" w:rsidP="00263F34">
            <w:pPr>
              <w:rPr>
                <w:i/>
                <w:lang w:val="fr-FR"/>
              </w:rPr>
            </w:pPr>
            <w:r w:rsidRPr="00F55E01">
              <w:rPr>
                <w:i/>
                <w:lang w:val="fr-FR"/>
              </w:rPr>
              <w:t>Recommandation n° 43</w:t>
            </w:r>
          </w:p>
          <w:p w:rsidR="003E0BB0" w:rsidRPr="00F55E01" w:rsidRDefault="003E0BB0" w:rsidP="00263F34">
            <w:pPr>
              <w:rPr>
                <w:i/>
                <w:lang w:val="fr-FR"/>
              </w:rPr>
            </w:pPr>
          </w:p>
          <w:p w:rsidR="003E0BB0" w:rsidRPr="00F55E01" w:rsidRDefault="003E0BB0" w:rsidP="00263F34">
            <w:pPr>
              <w:rPr>
                <w:lang w:val="fr-FR"/>
              </w:rPr>
            </w:pPr>
            <w:r w:rsidRPr="00F55E01">
              <w:rPr>
                <w:lang w:val="fr-FR"/>
              </w:rPr>
              <w:t>Examiner comment améliorer le rôle de l’OMPI dans la recherche de partenaires pour le financement et l’exécution de projets relatifs à la fourniture d’une assistance ayant trait à la propriété intellectuelle dans le cadre d’une procédure transparente et contrôlée par les membres et sans préjudice des activités de l’OMPI en cours.</w:t>
            </w:r>
          </w:p>
          <w:p w:rsidR="003E0BB0" w:rsidRPr="00F55E01" w:rsidRDefault="003E0BB0" w:rsidP="00263F34">
            <w:pPr>
              <w:rPr>
                <w:lang w:val="fr-FR"/>
              </w:rPr>
            </w:pPr>
          </w:p>
        </w:tc>
      </w:tr>
      <w:tr w:rsidR="003E0BB0" w:rsidRPr="00F55E01" w:rsidTr="00263F34">
        <w:tc>
          <w:tcPr>
            <w:tcW w:w="2167" w:type="dxa"/>
          </w:tcPr>
          <w:p w:rsidR="003E0BB0" w:rsidRPr="00F55E01" w:rsidRDefault="003E0BB0" w:rsidP="00263F34">
            <w:pPr>
              <w:rPr>
                <w:lang w:val="fr-CH"/>
              </w:rPr>
            </w:pPr>
            <w:r w:rsidRPr="00F55E01">
              <w:rPr>
                <w:lang w:val="fr-CH"/>
              </w:rPr>
              <w:t>Programmes connexes dans le programme et budget 2018/2019</w:t>
            </w:r>
          </w:p>
          <w:p w:rsidR="003E0BB0" w:rsidRPr="00F55E01" w:rsidRDefault="003E0BB0" w:rsidP="00263F34">
            <w:pPr>
              <w:rPr>
                <w:lang w:val="fr-CH"/>
              </w:rPr>
            </w:pPr>
          </w:p>
        </w:tc>
        <w:tc>
          <w:tcPr>
            <w:tcW w:w="7122" w:type="dxa"/>
          </w:tcPr>
          <w:p w:rsidR="003E0BB0" w:rsidRPr="00F55E01" w:rsidRDefault="003E0BB0" w:rsidP="00263F34">
            <w:r w:rsidRPr="00F55E01">
              <w:t>8, 9 et 22</w:t>
            </w:r>
          </w:p>
          <w:p w:rsidR="003E0BB0" w:rsidRPr="00F55E01" w:rsidRDefault="003E0BB0" w:rsidP="00263F34">
            <w:pPr>
              <w:ind w:firstLine="567"/>
            </w:pPr>
          </w:p>
        </w:tc>
      </w:tr>
      <w:tr w:rsidR="003E0BB0" w:rsidRPr="00F55E01" w:rsidTr="00263F34">
        <w:tc>
          <w:tcPr>
            <w:tcW w:w="2167" w:type="dxa"/>
          </w:tcPr>
          <w:p w:rsidR="003E0BB0" w:rsidRPr="00F55E01" w:rsidRDefault="003E0BB0" w:rsidP="00263F34">
            <w:r w:rsidRPr="00F55E01">
              <w:t xml:space="preserve">Mise en œuvre </w:t>
            </w:r>
          </w:p>
        </w:tc>
        <w:tc>
          <w:tcPr>
            <w:tcW w:w="7122" w:type="dxa"/>
          </w:tcPr>
          <w:p w:rsidR="003E0BB0" w:rsidRPr="00F55E01" w:rsidRDefault="003E0BB0" w:rsidP="00263F34">
            <w:pPr>
              <w:rPr>
                <w:lang w:val="fr-CH"/>
              </w:rPr>
            </w:pPr>
            <w:r w:rsidRPr="00F55E01">
              <w:rPr>
                <w:lang w:val="fr-CH"/>
              </w:rPr>
              <w:t>Cette recommandation n’a pas encore été examinée par le CDIP.  La mise en œuvre débutera lorsque les activités auront été approuvées par les États membres.</w:t>
            </w:r>
          </w:p>
          <w:p w:rsidR="003E0BB0" w:rsidRPr="00F55E01" w:rsidRDefault="003E0BB0" w:rsidP="00263F34">
            <w:pPr>
              <w:rPr>
                <w:lang w:val="fr-CH"/>
              </w:rPr>
            </w:pPr>
          </w:p>
        </w:tc>
      </w:tr>
      <w:tr w:rsidR="003E0BB0" w:rsidRPr="00F55E01" w:rsidTr="00263F34">
        <w:tc>
          <w:tcPr>
            <w:tcW w:w="2167" w:type="dxa"/>
          </w:tcPr>
          <w:p w:rsidR="003E0BB0" w:rsidRPr="00F55E01" w:rsidRDefault="003E0BB0" w:rsidP="00263F34">
            <w:pPr>
              <w:rPr>
                <w:lang w:val="fr-CH"/>
              </w:rPr>
            </w:pPr>
            <w:r w:rsidRPr="00F55E01">
              <w:rPr>
                <w:lang w:val="fr-CH"/>
              </w:rPr>
              <w:t>Projets connexes du Plan d’action</w:t>
            </w:r>
          </w:p>
        </w:tc>
        <w:tc>
          <w:tcPr>
            <w:tcW w:w="7122" w:type="dxa"/>
          </w:tcPr>
          <w:p w:rsidR="003E0BB0" w:rsidRPr="00F55E01" w:rsidRDefault="003E0BB0" w:rsidP="00263F34">
            <w:pPr>
              <w:rPr>
                <w:szCs w:val="24"/>
              </w:rPr>
            </w:pPr>
            <w:r w:rsidRPr="00F55E01">
              <w:t>n.d.</w:t>
            </w:r>
          </w:p>
          <w:p w:rsidR="003E0BB0" w:rsidRPr="00F55E01" w:rsidRDefault="003E0BB0" w:rsidP="00263F34">
            <w:pPr>
              <w:rPr>
                <w:b/>
              </w:rPr>
            </w:pPr>
          </w:p>
        </w:tc>
      </w:tr>
      <w:tr w:rsidR="003E0BB0" w:rsidRPr="00F55E01" w:rsidTr="00263F34">
        <w:tc>
          <w:tcPr>
            <w:tcW w:w="2167" w:type="dxa"/>
          </w:tcPr>
          <w:p w:rsidR="003E0BB0" w:rsidRPr="00F55E01" w:rsidRDefault="003E0BB0" w:rsidP="00263F34">
            <w:r w:rsidRPr="00F55E01">
              <w:t>Activités/réalisations</w:t>
            </w:r>
          </w:p>
        </w:tc>
        <w:tc>
          <w:tcPr>
            <w:tcW w:w="7122" w:type="dxa"/>
          </w:tcPr>
          <w:p w:rsidR="003E0BB0" w:rsidRPr="00F55E01" w:rsidRDefault="003E0BB0" w:rsidP="00263F34">
            <w:pPr>
              <w:rPr>
                <w:lang w:val="fr-CH"/>
              </w:rPr>
            </w:pPr>
            <w:r w:rsidRPr="00F55E01">
              <w:rPr>
                <w:lang w:val="fr-CH"/>
              </w:rPr>
              <w:t>Bien que cette recommandation n’ait pas encore été examinée par le CDIP, l’OMPI coordonne avec succès plusieurs partenariats public</w:t>
            </w:r>
            <w:r w:rsidRPr="00F55E01">
              <w:rPr>
                <w:lang w:val="fr-CH"/>
              </w:rPr>
              <w:noBreakHyphen/>
              <w:t>privé, qui permettent au secteur des entreprises et à la société civile de partager leurs compétences et de financer une série de politiques publiques importantes sur lesquelles repose la mission de l’OMPI.  Il convient de mentionner les partenariats suivants :</w:t>
            </w:r>
          </w:p>
          <w:p w:rsidR="003E0BB0" w:rsidRPr="00F55E01" w:rsidRDefault="003E0BB0" w:rsidP="00263F34">
            <w:pPr>
              <w:rPr>
                <w:lang w:val="fr-CH"/>
              </w:rPr>
            </w:pPr>
          </w:p>
          <w:p w:rsidR="003E0BB0" w:rsidRPr="00F55E01" w:rsidRDefault="003E0BB0" w:rsidP="003E0BB0">
            <w:pPr>
              <w:pStyle w:val="ListParagraph"/>
              <w:numPr>
                <w:ilvl w:val="0"/>
                <w:numId w:val="37"/>
              </w:numPr>
              <w:rPr>
                <w:lang w:val="fr-CH"/>
              </w:rPr>
            </w:pPr>
            <w:r w:rsidRPr="00F55E01">
              <w:rPr>
                <w:lang w:val="fr-CH"/>
              </w:rPr>
              <w:t>Consortium pour des livres accessibles (ABC)</w:t>
            </w:r>
          </w:p>
          <w:p w:rsidR="003E0BB0" w:rsidRPr="00F55E01" w:rsidRDefault="003E0BB0" w:rsidP="003E0BB0">
            <w:pPr>
              <w:pStyle w:val="ListParagraph"/>
              <w:numPr>
                <w:ilvl w:val="0"/>
                <w:numId w:val="37"/>
              </w:numPr>
              <w:rPr>
                <w:lang w:val="fr-CH"/>
              </w:rPr>
            </w:pPr>
            <w:r w:rsidRPr="00F55E01">
              <w:rPr>
                <w:lang w:val="fr-CH"/>
              </w:rPr>
              <w:t>WIPO Re:Search</w:t>
            </w:r>
          </w:p>
          <w:p w:rsidR="003E0BB0" w:rsidRPr="00F55E01" w:rsidRDefault="003E0BB0" w:rsidP="003E0BB0">
            <w:pPr>
              <w:pStyle w:val="ListParagraph"/>
              <w:numPr>
                <w:ilvl w:val="0"/>
                <w:numId w:val="37"/>
              </w:numPr>
              <w:rPr>
                <w:lang w:val="fr-FR"/>
              </w:rPr>
            </w:pPr>
            <w:r w:rsidRPr="00F55E01">
              <w:rPr>
                <w:lang w:val="fr-CH"/>
              </w:rPr>
              <w:t>Programme d’accès à la recherche pour le développement et l’inno</w:t>
            </w:r>
            <w:r w:rsidRPr="00F55E01">
              <w:rPr>
                <w:lang w:val="fr-FR"/>
              </w:rPr>
              <w:t>vation (ARDI)</w:t>
            </w:r>
          </w:p>
          <w:p w:rsidR="003E0BB0" w:rsidRPr="00F55E01" w:rsidRDefault="003E0BB0" w:rsidP="003E0BB0">
            <w:pPr>
              <w:pStyle w:val="ListParagraph"/>
              <w:numPr>
                <w:ilvl w:val="0"/>
                <w:numId w:val="37"/>
              </w:numPr>
              <w:rPr>
                <w:lang w:val="fr-FR"/>
              </w:rPr>
            </w:pPr>
            <w:r w:rsidRPr="00F55E01">
              <w:rPr>
                <w:lang w:val="fr-FR"/>
              </w:rPr>
              <w:t>Accès à l’information spécialisée en matière de brevets (ASPI)</w:t>
            </w:r>
          </w:p>
          <w:p w:rsidR="003E0BB0" w:rsidRPr="00F55E01" w:rsidRDefault="003E0BB0" w:rsidP="003E0BB0">
            <w:pPr>
              <w:pStyle w:val="ListParagraph"/>
              <w:numPr>
                <w:ilvl w:val="0"/>
                <w:numId w:val="37"/>
              </w:numPr>
            </w:pPr>
            <w:r w:rsidRPr="00F55E01">
              <w:t>WIPO GREEN</w:t>
            </w:r>
          </w:p>
          <w:p w:rsidR="003E0BB0" w:rsidRPr="00F55E01" w:rsidRDefault="003E0BB0" w:rsidP="00263F34"/>
        </w:tc>
      </w:tr>
      <w:tr w:rsidR="003E0BB0" w:rsidRPr="00F55E01" w:rsidTr="00263F34">
        <w:tc>
          <w:tcPr>
            <w:tcW w:w="2167" w:type="dxa"/>
          </w:tcPr>
          <w:p w:rsidR="003E0BB0" w:rsidRPr="00F55E01" w:rsidRDefault="003E0BB0" w:rsidP="00263F34">
            <w:r w:rsidRPr="00F55E01">
              <w:t>Autres rapports/documents connexes</w:t>
            </w:r>
          </w:p>
        </w:tc>
        <w:tc>
          <w:tcPr>
            <w:tcW w:w="7122" w:type="dxa"/>
          </w:tcPr>
          <w:p w:rsidR="003E0BB0" w:rsidRPr="00F55E01" w:rsidRDefault="003E0BB0" w:rsidP="00263F34">
            <w:pPr>
              <w:rPr>
                <w:lang w:val="fr-CH"/>
              </w:rPr>
            </w:pPr>
            <w:r w:rsidRPr="00F55E01">
              <w:rPr>
                <w:lang w:val="fr-CH"/>
              </w:rPr>
              <w:t>n.d.</w:t>
            </w:r>
          </w:p>
        </w:tc>
      </w:tr>
    </w:tbl>
    <w:p w:rsidR="003E0BB0" w:rsidRPr="00F55E01" w:rsidRDefault="003E0BB0" w:rsidP="003E0BB0">
      <w:pPr>
        <w:rPr>
          <w:lang w:val="fr-CH"/>
        </w:rPr>
      </w:pPr>
      <w:r w:rsidRPr="00F55E01">
        <w:rPr>
          <w:lang w:val="fr-CH"/>
        </w:rPr>
        <w:br w:type="page"/>
      </w:r>
    </w:p>
    <w:tbl>
      <w:tblPr>
        <w:tblStyle w:val="TableGrid"/>
        <w:tblW w:w="0" w:type="auto"/>
        <w:tblLayout w:type="fixed"/>
        <w:tblLook w:val="04A0" w:firstRow="1" w:lastRow="0" w:firstColumn="1" w:lastColumn="0" w:noHBand="0" w:noVBand="1"/>
      </w:tblPr>
      <w:tblGrid>
        <w:gridCol w:w="2518"/>
        <w:gridCol w:w="6771"/>
      </w:tblGrid>
      <w:tr w:rsidR="003E0BB0" w:rsidRPr="00F55E01" w:rsidTr="00263F34">
        <w:tc>
          <w:tcPr>
            <w:tcW w:w="2518" w:type="dxa"/>
            <w:shd w:val="clear" w:color="auto" w:fill="BFBFBF" w:themeFill="background1" w:themeFillShade="BF"/>
          </w:tcPr>
          <w:p w:rsidR="003E0BB0" w:rsidRPr="00F55E01" w:rsidRDefault="003E0BB0" w:rsidP="00263F34">
            <w:pPr>
              <w:rPr>
                <w:lang w:val="fr-CH"/>
              </w:rPr>
            </w:pPr>
            <w:r w:rsidRPr="00F55E01">
              <w:rPr>
                <w:lang w:val="fr-CH"/>
              </w:rPr>
              <w:t>Recommandation(s)</w:t>
            </w:r>
          </w:p>
        </w:tc>
        <w:tc>
          <w:tcPr>
            <w:tcW w:w="6771" w:type="dxa"/>
            <w:shd w:val="clear" w:color="auto" w:fill="BFBFBF" w:themeFill="background1" w:themeFillShade="BF"/>
          </w:tcPr>
          <w:p w:rsidR="003E0BB0" w:rsidRPr="00F55E01" w:rsidRDefault="003E0BB0" w:rsidP="00263F34">
            <w:pPr>
              <w:rPr>
                <w:i/>
                <w:lang w:val="fr-CH"/>
              </w:rPr>
            </w:pPr>
            <w:r w:rsidRPr="00F55E01">
              <w:rPr>
                <w:i/>
                <w:lang w:val="fr-CH"/>
              </w:rPr>
              <w:t>Recommandation n° 45</w:t>
            </w:r>
          </w:p>
          <w:p w:rsidR="003E0BB0" w:rsidRPr="00F55E01" w:rsidRDefault="003E0BB0" w:rsidP="00263F34">
            <w:pPr>
              <w:rPr>
                <w:i/>
                <w:lang w:val="fr-CH"/>
              </w:rPr>
            </w:pPr>
          </w:p>
          <w:p w:rsidR="003E0BB0" w:rsidRPr="00F55E01" w:rsidRDefault="003E0BB0" w:rsidP="00263F34">
            <w:pPr>
              <w:rPr>
                <w:lang w:val="fr-FR"/>
              </w:rPr>
            </w:pPr>
            <w:r w:rsidRPr="00F55E01">
              <w:rPr>
                <w:lang w:val="fr-FR"/>
              </w:rPr>
              <w:t>Replacer l’application des droits de propriété intellectuelle dans le contexte plus large de l’intérêt général et en particulier des préoccupations relatives au développement, étant donné que, conformément à l’article 7 de l’Accord sur les ADPIC, “la protection et le respect des droits de propriété intellectuelle devraient contribuer à la promotion de l’innovation technologique et au transfert et à la diffusion de la technologie, à l’avantage mutuel de ceux qui génèrent et de ceux qui utilisent des connaissances techniques et d’une manière propice au bien</w:t>
            </w:r>
            <w:r w:rsidRPr="00F55E01">
              <w:rPr>
                <w:lang w:val="fr-FR"/>
              </w:rPr>
              <w:noBreakHyphen/>
              <w:t>être social et économique, et à assurer un équilibre de droits et d’obligations”.</w:t>
            </w:r>
          </w:p>
          <w:p w:rsidR="003E0BB0" w:rsidRPr="00F55E01" w:rsidRDefault="003E0BB0" w:rsidP="00263F34">
            <w:pPr>
              <w:rPr>
                <w:lang w:val="fr-FR"/>
              </w:rPr>
            </w:pPr>
          </w:p>
        </w:tc>
      </w:tr>
      <w:tr w:rsidR="003E0BB0" w:rsidRPr="00F55E01" w:rsidTr="00263F34">
        <w:tc>
          <w:tcPr>
            <w:tcW w:w="2518" w:type="dxa"/>
          </w:tcPr>
          <w:p w:rsidR="003E0BB0" w:rsidRPr="00F55E01" w:rsidRDefault="003E0BB0" w:rsidP="00263F34">
            <w:pPr>
              <w:rPr>
                <w:lang w:val="fr-CH"/>
              </w:rPr>
            </w:pPr>
            <w:r w:rsidRPr="00F55E01">
              <w:rPr>
                <w:lang w:val="fr-CH"/>
              </w:rPr>
              <w:t>Programmes connexes dans le programme et budget 2018/2019</w:t>
            </w:r>
          </w:p>
          <w:p w:rsidR="003E0BB0" w:rsidRPr="00F55E01" w:rsidRDefault="003E0BB0" w:rsidP="00263F34">
            <w:pPr>
              <w:rPr>
                <w:lang w:val="fr-CH"/>
              </w:rPr>
            </w:pPr>
          </w:p>
        </w:tc>
        <w:tc>
          <w:tcPr>
            <w:tcW w:w="6771" w:type="dxa"/>
          </w:tcPr>
          <w:p w:rsidR="003E0BB0" w:rsidRPr="00F55E01" w:rsidRDefault="003E0BB0" w:rsidP="00263F34">
            <w:r w:rsidRPr="00F55E01">
              <w:t>9, 11 et 17</w:t>
            </w:r>
          </w:p>
        </w:tc>
      </w:tr>
      <w:tr w:rsidR="003E0BB0" w:rsidRPr="00F55E01" w:rsidTr="00263F34">
        <w:tc>
          <w:tcPr>
            <w:tcW w:w="2518" w:type="dxa"/>
          </w:tcPr>
          <w:p w:rsidR="003E0BB0" w:rsidRPr="00F55E01" w:rsidRDefault="003E0BB0" w:rsidP="00263F34">
            <w:r w:rsidRPr="00F55E01">
              <w:t xml:space="preserve">Mise en œuvre </w:t>
            </w:r>
          </w:p>
        </w:tc>
        <w:tc>
          <w:tcPr>
            <w:tcW w:w="6771" w:type="dxa"/>
          </w:tcPr>
          <w:p w:rsidR="003E0BB0" w:rsidRPr="00F55E01" w:rsidRDefault="003E0BB0" w:rsidP="00263F34">
            <w:pPr>
              <w:rPr>
                <w:lang w:val="fr-CH"/>
              </w:rPr>
            </w:pPr>
            <w:r w:rsidRPr="00F55E01">
              <w:rPr>
                <w:lang w:val="fr-CH"/>
              </w:rPr>
              <w:t>Cette recommandation a été partiellement examinée par le CDIP.</w:t>
            </w:r>
          </w:p>
          <w:p w:rsidR="003E0BB0" w:rsidRPr="00F55E01" w:rsidRDefault="003E0BB0" w:rsidP="00263F34">
            <w:pPr>
              <w:rPr>
                <w:lang w:val="fr-CH"/>
              </w:rPr>
            </w:pPr>
          </w:p>
          <w:p w:rsidR="003E0BB0" w:rsidRPr="00F55E01" w:rsidRDefault="003E0BB0" w:rsidP="00263F34">
            <w:pPr>
              <w:rPr>
                <w:lang w:val="fr-FR"/>
              </w:rPr>
            </w:pPr>
            <w:r w:rsidRPr="00F55E01">
              <w:rPr>
                <w:lang w:val="fr-FR"/>
              </w:rPr>
              <w:t>Dans le cadre du Comité consultatif sur la sanction des droits de propriété industrielle (ACE), la recommandation est déjà en cours de mise en œuvre.  Les délibérations de l’ACE ont lieu dans le cadre de la recommandation n° 45, et les travaux menés par l’OMPI en matière de promotion du respect de la propriété intellectuelle au titre du programme 17 sont également orientés par cette recommandation.  En outre, un projet relatif à la “Coopération avec les instituts de formation judiciaires des pays en développement et des pays les moins avancés dans le domaine de l’enseignement et de la formation professionnelle en matière de droits de propriété intellectuelle” tient également compte de cette recommandation (document CDIP/16/7 Rev.).  Ce projet a été approuvé à la dix</w:t>
            </w:r>
            <w:r w:rsidRPr="00F55E01">
              <w:rPr>
                <w:lang w:val="fr-FR"/>
              </w:rPr>
              <w:noBreakHyphen/>
              <w:t>septième session du CDIP et est en cours d’exécution depuis juillet 2016.</w:t>
            </w:r>
          </w:p>
          <w:p w:rsidR="003E0BB0" w:rsidRPr="00F55E01" w:rsidRDefault="003E0BB0" w:rsidP="00263F34">
            <w:pPr>
              <w:rPr>
                <w:lang w:val="fr-FR"/>
              </w:rPr>
            </w:pPr>
          </w:p>
        </w:tc>
      </w:tr>
      <w:tr w:rsidR="003E0BB0" w:rsidRPr="00F55E01" w:rsidTr="00263F34">
        <w:tc>
          <w:tcPr>
            <w:tcW w:w="2518" w:type="dxa"/>
          </w:tcPr>
          <w:p w:rsidR="003E0BB0" w:rsidRPr="00F55E01" w:rsidRDefault="003E0BB0" w:rsidP="00263F34">
            <w:pPr>
              <w:rPr>
                <w:lang w:val="fr-CH"/>
              </w:rPr>
            </w:pPr>
            <w:r w:rsidRPr="00F55E01">
              <w:rPr>
                <w:lang w:val="fr-CH"/>
              </w:rPr>
              <w:t>Projets connexes du Plan d’action</w:t>
            </w:r>
          </w:p>
        </w:tc>
        <w:tc>
          <w:tcPr>
            <w:tcW w:w="6771" w:type="dxa"/>
          </w:tcPr>
          <w:p w:rsidR="003E0BB0" w:rsidRPr="00F55E01" w:rsidRDefault="003E0BB0" w:rsidP="00263F34">
            <w:pPr>
              <w:rPr>
                <w:lang w:val="fr-CH"/>
              </w:rPr>
            </w:pPr>
            <w:r w:rsidRPr="00F55E01">
              <w:rPr>
                <w:lang w:val="fr-CH"/>
              </w:rPr>
              <w:t>La recommandation est traitée par le projet du Plan d’action en cours sur la Coopération avec les instituts de formation judiciaire des pays en développement et des pays les moins avancés dans le domaine du développement et de l’enseignement et de la formation professionnelle en matière de droits de propriété intellectuelle (CDIP/16/7 Rev.2).</w:t>
            </w:r>
          </w:p>
          <w:p w:rsidR="003E0BB0" w:rsidRPr="00F55E01" w:rsidRDefault="003E0BB0" w:rsidP="00263F34">
            <w:pPr>
              <w:rPr>
                <w:b/>
                <w:lang w:val="fr-CH"/>
              </w:rPr>
            </w:pPr>
          </w:p>
        </w:tc>
      </w:tr>
      <w:tr w:rsidR="003E0BB0" w:rsidRPr="00F55E01" w:rsidTr="00263F34">
        <w:tc>
          <w:tcPr>
            <w:tcW w:w="2518" w:type="dxa"/>
          </w:tcPr>
          <w:p w:rsidR="003E0BB0" w:rsidRPr="00F55E01" w:rsidRDefault="003E0BB0" w:rsidP="00263F34">
            <w:r w:rsidRPr="00F55E01">
              <w:t>Activités/réalisations</w:t>
            </w:r>
          </w:p>
        </w:tc>
        <w:tc>
          <w:tcPr>
            <w:tcW w:w="6771" w:type="dxa"/>
          </w:tcPr>
          <w:p w:rsidR="003E0BB0" w:rsidRPr="00F55E01" w:rsidRDefault="003E0BB0" w:rsidP="00263F34">
            <w:pPr>
              <w:rPr>
                <w:szCs w:val="22"/>
                <w:lang w:val="fr-CH"/>
              </w:rPr>
            </w:pPr>
            <w:r w:rsidRPr="00F55E01">
              <w:rPr>
                <w:szCs w:val="22"/>
                <w:lang w:val="fr-CH"/>
              </w:rPr>
              <w:t>Au cours de la période considérée (juillet 2017 – juin 2018), la Division de la promotion du respect de la propriété intellectuelle a poursuivi ses activités relatives à la politique et coopération internationales, à l’assistance technique, au renforcement des capacités techniques et à la sensibilisation dans le domaine de la promotion du respect de la propriété intellectuelle dans la perspective d’intérêts sociaux plus larges et de préoccupations liées au développement, conformément à la recommandation n° 45 du Plan d’action pour le développement et à l’objectif stratégique VI de l’OMPI “Coopération internationale pour le respect de la propriété intellectuelle”.</w:t>
            </w:r>
          </w:p>
          <w:p w:rsidR="003E0BB0" w:rsidRPr="00F55E01" w:rsidRDefault="003E0BB0" w:rsidP="00263F34">
            <w:pPr>
              <w:rPr>
                <w:szCs w:val="22"/>
                <w:lang w:val="fr-CH"/>
              </w:rPr>
            </w:pPr>
          </w:p>
          <w:p w:rsidR="003E0BB0" w:rsidRPr="00F55E01" w:rsidRDefault="003E0BB0" w:rsidP="003E0BB0">
            <w:pPr>
              <w:pStyle w:val="ListParagraph"/>
              <w:numPr>
                <w:ilvl w:val="0"/>
                <w:numId w:val="34"/>
              </w:numPr>
              <w:rPr>
                <w:i/>
                <w:szCs w:val="22"/>
                <w:lang w:val="fr-CH"/>
              </w:rPr>
            </w:pPr>
            <w:r w:rsidRPr="00F55E01">
              <w:rPr>
                <w:i/>
                <w:szCs w:val="22"/>
                <w:lang w:val="fr-CH"/>
              </w:rPr>
              <w:t>Politique et coopération internationales</w:t>
            </w:r>
          </w:p>
          <w:p w:rsidR="003E0BB0" w:rsidRPr="00F55E01" w:rsidRDefault="003E0BB0" w:rsidP="00263F34">
            <w:pPr>
              <w:pStyle w:val="ListParagraph"/>
              <w:rPr>
                <w:i/>
                <w:szCs w:val="22"/>
                <w:lang w:val="fr-CH"/>
              </w:rPr>
            </w:pPr>
          </w:p>
          <w:p w:rsidR="003E0BB0" w:rsidRPr="00F55E01" w:rsidRDefault="003E0BB0" w:rsidP="00263F34">
            <w:pPr>
              <w:rPr>
                <w:szCs w:val="22"/>
                <w:lang w:val="fr-CH"/>
              </w:rPr>
            </w:pPr>
            <w:r w:rsidRPr="00F55E01">
              <w:rPr>
                <w:szCs w:val="22"/>
                <w:lang w:val="fr-CH"/>
              </w:rPr>
              <w:t>Le Comité consultatif sur l’application des droits (ACE) demeure le forum mondial dans lequel les États membres peuvent échanger des pratiques et données d’expériences nationales et qui facilite le dialogue international sur les politiques d’application des droits de propriété intellectuelle et de promotion du respect de la propriété intellectuelle.  À sa douzième session, tenue du 4 au 6 septembre 2017, les États membres ont échangé des données d’expérience relatives i) aux activités de sensibilisation et aux campagnes stratégiques menées pour promouvoir le respect de la propriété intellectuelle auprès du grand public et notamment auprès des jeunes;  ii) aux mécanismes institutionnels associés aux politiques et systèmes d’application des droits de propriété intellectuelle, notamment les mécanismes permettant de régler les litiges de propriété intellectuelle d’une manière équilibrée, globale et efficace;  iii) à l’assistance dans le domaine législatif, qui tienne compte des éléments de flexibilité, du niveau de développement, des différences entre les traditions juridiques et de l’usage abusif des procédures d’application de la loi et iv) aux exemples de réussite des activités menées à l’échelle nationale et régionale pour les organismes et les fonctionnaires nationaux, conformément aux recommandations pertinentes du Plan d’action pour le développement et au mandat de l’ACE.</w:t>
            </w:r>
          </w:p>
          <w:p w:rsidR="003E0BB0" w:rsidRPr="00F55E01" w:rsidRDefault="003E0BB0" w:rsidP="00263F34">
            <w:pPr>
              <w:rPr>
                <w:szCs w:val="22"/>
                <w:lang w:val="fr-FR"/>
              </w:rPr>
            </w:pPr>
            <w:r w:rsidRPr="00F55E01">
              <w:rPr>
                <w:szCs w:val="22"/>
                <w:lang w:val="fr-CH"/>
              </w:rPr>
              <w:t xml:space="preserve">Les États membres sont convenus de poursuivre leurs travaux relatifs à ces quatre points durant la treizième session de l’ACE.  </w:t>
            </w:r>
            <w:r w:rsidRPr="00F55E01">
              <w:rPr>
                <w:szCs w:val="22"/>
                <w:lang w:val="fr-FR"/>
              </w:rPr>
              <w:t xml:space="preserve">Voir </w:t>
            </w:r>
            <w:r w:rsidRPr="00F55E01">
              <w:rPr>
                <w:i/>
                <w:szCs w:val="22"/>
                <w:lang w:val="fr-FR"/>
              </w:rPr>
              <w:t>http://www.wipo.int/meetings/fr/details.jsp?meeting_id=42290</w:t>
            </w:r>
            <w:r w:rsidRPr="00F55E01">
              <w:rPr>
                <w:szCs w:val="22"/>
                <w:lang w:val="fr-FR"/>
              </w:rPr>
              <w:t>.</w:t>
            </w:r>
          </w:p>
          <w:p w:rsidR="003E0BB0" w:rsidRPr="00F55E01" w:rsidRDefault="003E0BB0" w:rsidP="00263F34">
            <w:pPr>
              <w:rPr>
                <w:lang w:val="fr-FR"/>
              </w:rPr>
            </w:pPr>
          </w:p>
          <w:p w:rsidR="003E0BB0" w:rsidRPr="00F55E01" w:rsidRDefault="003E0BB0" w:rsidP="003E0BB0">
            <w:pPr>
              <w:pStyle w:val="ListParagraph"/>
              <w:numPr>
                <w:ilvl w:val="0"/>
                <w:numId w:val="34"/>
              </w:numPr>
              <w:rPr>
                <w:i/>
              </w:rPr>
            </w:pPr>
            <w:r w:rsidRPr="00F55E01">
              <w:rPr>
                <w:i/>
              </w:rPr>
              <w:t>Assistance législative</w:t>
            </w:r>
          </w:p>
          <w:p w:rsidR="003E0BB0" w:rsidRPr="00F55E01" w:rsidRDefault="003E0BB0" w:rsidP="00263F34">
            <w:pPr>
              <w:pStyle w:val="ListParagraph"/>
              <w:rPr>
                <w:i/>
              </w:rPr>
            </w:pPr>
          </w:p>
          <w:p w:rsidR="003E0BB0" w:rsidRPr="00F55E01" w:rsidRDefault="003E0BB0" w:rsidP="00263F34">
            <w:pPr>
              <w:rPr>
                <w:lang w:val="fr-CH"/>
              </w:rPr>
            </w:pPr>
            <w:r w:rsidRPr="00F55E01">
              <w:rPr>
                <w:lang w:val="fr-CH"/>
              </w:rPr>
              <w:t>Une assistance législative adaptée et équilibrée était fournie sur une base strictement bilatérale, neutre et confidentielle, conformément aux recommandations n° 13, 14 et 45 du Plan d’action pour le développement, à 11 États membres ayant demandé l’assistance.</w:t>
            </w:r>
          </w:p>
          <w:p w:rsidR="003E0BB0" w:rsidRPr="00F55E01" w:rsidRDefault="003E0BB0" w:rsidP="00263F34">
            <w:pPr>
              <w:rPr>
                <w:szCs w:val="22"/>
                <w:lang w:val="fr-FR"/>
              </w:rPr>
            </w:pPr>
            <w:r w:rsidRPr="00F55E01">
              <w:rPr>
                <w:szCs w:val="22"/>
                <w:lang w:val="fr-FR"/>
              </w:rPr>
              <w:t xml:space="preserve">Voir </w:t>
            </w:r>
            <w:hyperlink r:id="rId119" w:history="1">
              <w:r w:rsidRPr="00F55E01">
                <w:rPr>
                  <w:rStyle w:val="Hyperlink"/>
                  <w:lang w:val="fr-FR"/>
                </w:rPr>
                <w:t>http://www.wipo.int/meetings/fr/doc_details.jsp?doc_id=372936</w:t>
              </w:r>
            </w:hyperlink>
            <w:r w:rsidRPr="00F55E01">
              <w:rPr>
                <w:lang w:val="fr-FR"/>
              </w:rPr>
              <w:t>.</w:t>
            </w:r>
          </w:p>
          <w:p w:rsidR="003E0BB0" w:rsidRPr="00F55E01" w:rsidRDefault="003E0BB0" w:rsidP="00263F34">
            <w:pPr>
              <w:rPr>
                <w:i/>
                <w:lang w:val="fr-FR"/>
              </w:rPr>
            </w:pPr>
          </w:p>
          <w:p w:rsidR="003E0BB0" w:rsidRPr="00F55E01" w:rsidRDefault="003E0BB0" w:rsidP="003E0BB0">
            <w:pPr>
              <w:pStyle w:val="ListParagraph"/>
              <w:numPr>
                <w:ilvl w:val="0"/>
                <w:numId w:val="34"/>
              </w:numPr>
              <w:rPr>
                <w:i/>
                <w:szCs w:val="22"/>
                <w:lang w:val="fr-FR"/>
              </w:rPr>
            </w:pPr>
            <w:r w:rsidRPr="00F55E01">
              <w:rPr>
                <w:i/>
                <w:szCs w:val="22"/>
                <w:lang w:val="fr-FR"/>
              </w:rPr>
              <w:t>Assistance technique et renforcement des capacités</w:t>
            </w:r>
          </w:p>
          <w:p w:rsidR="003E0BB0" w:rsidRPr="00F55E01" w:rsidRDefault="003E0BB0" w:rsidP="00263F34">
            <w:pPr>
              <w:pStyle w:val="ListParagraph"/>
              <w:rPr>
                <w:i/>
                <w:szCs w:val="22"/>
                <w:lang w:val="fr-FR"/>
              </w:rPr>
            </w:pPr>
          </w:p>
          <w:p w:rsidR="003E0BB0" w:rsidRPr="00F55E01" w:rsidRDefault="003E0BB0" w:rsidP="00263F34">
            <w:pPr>
              <w:rPr>
                <w:szCs w:val="22"/>
                <w:highlight w:val="yellow"/>
                <w:lang w:val="fr-FR"/>
              </w:rPr>
            </w:pPr>
            <w:r w:rsidRPr="00F55E01">
              <w:rPr>
                <w:szCs w:val="22"/>
                <w:lang w:val="fr-FR"/>
              </w:rPr>
              <w:t>À la demande d’États membres ou d’organisations intergouvernementales régionales, 34 activités de renforcement des capacités et de formation (21 activités nationales et 13 activités sous</w:t>
            </w:r>
            <w:r w:rsidRPr="00F55E01">
              <w:rPr>
                <w:szCs w:val="22"/>
                <w:lang w:val="fr-FR"/>
              </w:rPr>
              <w:noBreakHyphen/>
              <w:t xml:space="preserve">régionales) dans le domaine de la promotion </w:t>
            </w:r>
            <w:r w:rsidRPr="00F55E01">
              <w:rPr>
                <w:szCs w:val="22"/>
                <w:lang w:val="fr-CH"/>
              </w:rPr>
              <w:t>du respect de la propriété intellectuelle destinées aux fonctionnaires chargés de l’application des lois ou aux membres du corps judiciaire ont été organisées</w:t>
            </w:r>
            <w:r w:rsidRPr="00F55E01">
              <w:rPr>
                <w:szCs w:val="22"/>
                <w:lang w:val="fr-FR"/>
              </w:rPr>
              <w:t>.</w:t>
            </w:r>
          </w:p>
          <w:p w:rsidR="003E0BB0" w:rsidRPr="00F55E01" w:rsidRDefault="003E0BB0" w:rsidP="00263F34">
            <w:pPr>
              <w:rPr>
                <w:szCs w:val="22"/>
                <w:lang w:val="fr-CH"/>
              </w:rPr>
            </w:pPr>
            <w:r w:rsidRPr="00F55E01">
              <w:rPr>
                <w:lang w:val="fr-FR"/>
              </w:rPr>
              <w:t xml:space="preserve">Voir </w:t>
            </w:r>
            <w:hyperlink r:id="rId120" w:history="1">
              <w:r w:rsidRPr="00F55E01">
                <w:rPr>
                  <w:bCs/>
                  <w:lang w:val="fr-FR"/>
                </w:rPr>
                <w:t>http://www.wipo.int/enforcement/fr/activities/current.html</w:t>
              </w:r>
            </w:hyperlink>
            <w:r w:rsidRPr="00F55E01">
              <w:rPr>
                <w:szCs w:val="22"/>
                <w:lang w:val="fr-FR"/>
              </w:rPr>
              <w:t>.</w:t>
            </w:r>
            <w:r w:rsidRPr="00F55E01">
              <w:rPr>
                <w:lang w:val="fr-FR"/>
              </w:rPr>
              <w:t xml:space="preserve">  </w:t>
            </w:r>
            <w:r w:rsidRPr="00F55E01">
              <w:rPr>
                <w:szCs w:val="22"/>
                <w:lang w:val="fr-FR"/>
              </w:rPr>
              <w:t>Ces activités de formation s’inspirent de la recommandation n° 45 du Plan d’action de l’OMPI pour le développement</w:t>
            </w:r>
            <w:r w:rsidRPr="00F55E01">
              <w:rPr>
                <w:szCs w:val="22"/>
                <w:lang w:val="fr-CH"/>
              </w:rPr>
              <w:t xml:space="preserve">.  (Concernant la mise en œuvre de la recommandation n° 45 dans les activités de renforcement des capacités, voir : </w:t>
            </w:r>
            <w:hyperlink r:id="rId121" w:history="1">
              <w:r w:rsidRPr="00F55E01">
                <w:rPr>
                  <w:rStyle w:val="Hyperlink"/>
                  <w:szCs w:val="22"/>
                  <w:lang w:val="fr-CH"/>
                </w:rPr>
                <w:t>http://www.wipo.int/edocs/mdocs/enforcement/fr/wipo_ace_11/wipo_ace_11_10.pdf</w:t>
              </w:r>
            </w:hyperlink>
            <w:r w:rsidRPr="00F55E01">
              <w:rPr>
                <w:rStyle w:val="Hyperlink"/>
                <w:szCs w:val="22"/>
                <w:lang w:val="fr-CH"/>
              </w:rPr>
              <w:t>.)</w:t>
            </w:r>
          </w:p>
          <w:p w:rsidR="003E0BB0" w:rsidRPr="00F55E01" w:rsidRDefault="003E0BB0" w:rsidP="00263F34">
            <w:pPr>
              <w:rPr>
                <w:szCs w:val="22"/>
                <w:lang w:val="fr-CH"/>
              </w:rPr>
            </w:pPr>
          </w:p>
          <w:p w:rsidR="003E0BB0" w:rsidRPr="00F55E01" w:rsidRDefault="003E0BB0" w:rsidP="00263F34">
            <w:pPr>
              <w:rPr>
                <w:lang w:val="fr-CH"/>
              </w:rPr>
            </w:pPr>
            <w:r w:rsidRPr="00F55E01">
              <w:rPr>
                <w:lang w:val="fr-CH"/>
              </w:rPr>
              <w:t>Des versions adaptées du matériel de formation de l’OMPI destinées aux fonctionnaires chargés de l’application des lois et procureurs ont été créées pour l’Égypte, la Jordanie, le Maroc et la Namibie afin de répondre aux exigences locales et d’être utilisées comme outil de référence dans le cadre d’événements consacrés au renforcement des capacités destinés aux autorités chargées de l’application des lois à l’échelle nationale.</w:t>
            </w:r>
          </w:p>
          <w:p w:rsidR="003E0BB0" w:rsidRPr="00F55E01" w:rsidRDefault="003E0BB0" w:rsidP="00263F34">
            <w:pPr>
              <w:rPr>
                <w:i/>
                <w:lang w:val="fr-CH"/>
              </w:rPr>
            </w:pPr>
          </w:p>
          <w:p w:rsidR="003E0BB0" w:rsidRPr="00F55E01" w:rsidRDefault="003E0BB0" w:rsidP="003E0BB0">
            <w:pPr>
              <w:pStyle w:val="ListParagraph"/>
              <w:numPr>
                <w:ilvl w:val="0"/>
                <w:numId w:val="34"/>
              </w:numPr>
              <w:rPr>
                <w:i/>
              </w:rPr>
            </w:pPr>
            <w:r w:rsidRPr="00F55E01">
              <w:rPr>
                <w:i/>
              </w:rPr>
              <w:t>Activités de sensibilisation</w:t>
            </w:r>
          </w:p>
          <w:p w:rsidR="003E0BB0" w:rsidRPr="00F55E01" w:rsidRDefault="003E0BB0" w:rsidP="00263F34">
            <w:pPr>
              <w:pStyle w:val="ListParagraph"/>
              <w:rPr>
                <w:i/>
              </w:rPr>
            </w:pPr>
          </w:p>
          <w:p w:rsidR="003E0BB0" w:rsidRPr="00F55E01" w:rsidRDefault="003E0BB0" w:rsidP="00263F34">
            <w:pPr>
              <w:rPr>
                <w:lang w:val="fr-CH"/>
              </w:rPr>
            </w:pPr>
            <w:r w:rsidRPr="00F55E01">
              <w:rPr>
                <w:i/>
                <w:lang w:val="fr-CH"/>
              </w:rPr>
              <w:t xml:space="preserve">L’Instrument relatif à la conduite d’enquêtes auprès des consommateurs sur le respect de la propriété intellectuelle </w:t>
            </w:r>
            <w:r w:rsidRPr="00F55E01">
              <w:rPr>
                <w:lang w:val="fr-CH"/>
              </w:rPr>
              <w:t>a été élaboré avec le soutien du Ministère de la culture, des sports et du tourisme de la République de Corée comme modèle destiné à être adapté par les États membres pour évaluer les attitudes des consommateurs à l’égard des marchandises pirates ou de contrefaçon et pour évaluer l’efficacité des campagnes de sensibilisation.</w:t>
            </w:r>
          </w:p>
          <w:p w:rsidR="003E0BB0" w:rsidRPr="00F55E01" w:rsidRDefault="003E0BB0" w:rsidP="00263F34">
            <w:pPr>
              <w:rPr>
                <w:szCs w:val="22"/>
                <w:lang w:val="fr-FR"/>
              </w:rPr>
            </w:pPr>
            <w:r w:rsidRPr="00F55E01">
              <w:rPr>
                <w:szCs w:val="22"/>
                <w:lang w:val="fr-FR"/>
              </w:rPr>
              <w:t>Voir</w:t>
            </w:r>
            <w:hyperlink r:id="rId122" w:history="1">
              <w:r w:rsidRPr="00F55E01">
                <w:rPr>
                  <w:rStyle w:val="Hyperlink"/>
                  <w:lang w:val="fr-FR"/>
                </w:rPr>
                <w:t xml:space="preserve"> http://www.wipo.int/meetings/fr/doc_details.jsp?doc_id=373336</w:t>
              </w:r>
            </w:hyperlink>
            <w:r w:rsidRPr="00F55E01">
              <w:rPr>
                <w:szCs w:val="22"/>
                <w:lang w:val="fr-FR"/>
              </w:rPr>
              <w:t>.</w:t>
            </w:r>
          </w:p>
          <w:p w:rsidR="003E0BB0" w:rsidRPr="00F55E01" w:rsidRDefault="003E0BB0" w:rsidP="00263F34">
            <w:pPr>
              <w:rPr>
                <w:lang w:val="fr-FR"/>
              </w:rPr>
            </w:pPr>
          </w:p>
          <w:p w:rsidR="003E0BB0" w:rsidRPr="00F55E01" w:rsidRDefault="003E0BB0" w:rsidP="00263F34">
            <w:pPr>
              <w:rPr>
                <w:lang w:val="fr-CH"/>
              </w:rPr>
            </w:pPr>
            <w:r w:rsidRPr="00F55E01">
              <w:rPr>
                <w:lang w:val="fr-CH"/>
              </w:rPr>
              <w:t xml:space="preserve">Le matériel pédagogique </w:t>
            </w:r>
            <w:r w:rsidRPr="00F55E01">
              <w:rPr>
                <w:i/>
                <w:lang w:val="fr-CH"/>
              </w:rPr>
              <w:t>Respect du droit d’auteur – Ressources pédagogiques,</w:t>
            </w:r>
            <w:r w:rsidRPr="00F55E01">
              <w:rPr>
                <w:lang w:val="fr-CH"/>
              </w:rPr>
              <w:t xml:space="preserve"> également élaboré avec le soutien du Ministère de la culture, des sports et du tourisme de la République de Corée, a été traduit en arabe, espagnol et français et ces versions sont accessibles sur le site Web éducatif en anglais </w:t>
            </w:r>
            <w:hyperlink r:id="rId123" w:history="1">
              <w:r w:rsidRPr="00F55E01">
                <w:rPr>
                  <w:rStyle w:val="Hyperlink"/>
                  <w:lang w:val="fr-CH"/>
                </w:rPr>
                <w:t>www.respectforcopyright.org</w:t>
              </w:r>
            </w:hyperlink>
            <w:r w:rsidRPr="00F55E01">
              <w:rPr>
                <w:rStyle w:val="Hyperlink"/>
                <w:lang w:val="fr-CH"/>
              </w:rPr>
              <w:t>,</w:t>
            </w:r>
            <w:r w:rsidRPr="00F55E01">
              <w:rPr>
                <w:lang w:val="fr-CH"/>
              </w:rPr>
              <w:t xml:space="preserve"> ainsi que sur la version en ligne en espagnol à l’adresse </w:t>
            </w:r>
            <w:hyperlink r:id="rId124" w:history="1">
              <w:r w:rsidRPr="00F55E01">
                <w:rPr>
                  <w:rStyle w:val="Hyperlink"/>
                  <w:lang w:val="fr-CH"/>
                </w:rPr>
                <w:t>www.respectoporelderechodeautor.org</w:t>
              </w:r>
            </w:hyperlink>
            <w:r w:rsidRPr="00F55E01">
              <w:rPr>
                <w:lang w:val="fr-CH"/>
              </w:rPr>
              <w:t>.</w:t>
            </w:r>
          </w:p>
          <w:p w:rsidR="003E0BB0" w:rsidRPr="00F55E01" w:rsidRDefault="003E0BB0" w:rsidP="00263F34">
            <w:pPr>
              <w:rPr>
                <w:szCs w:val="22"/>
                <w:lang w:val="fr-CH"/>
              </w:rPr>
            </w:pPr>
          </w:p>
          <w:p w:rsidR="003E0BB0" w:rsidRPr="00F55E01" w:rsidRDefault="003E0BB0" w:rsidP="00263F34">
            <w:pPr>
              <w:rPr>
                <w:lang w:val="fr-CH"/>
              </w:rPr>
            </w:pPr>
            <w:r w:rsidRPr="00F55E01">
              <w:rPr>
                <w:lang w:val="fr-CH"/>
              </w:rPr>
              <w:t xml:space="preserve">Un autre site Web </w:t>
            </w:r>
            <w:hyperlink r:id="rId125" w:history="1">
              <w:r w:rsidRPr="00F55E01">
                <w:rPr>
                  <w:rStyle w:val="Hyperlink"/>
                  <w:lang w:val="fr-CH"/>
                </w:rPr>
                <w:t>www.respectfortrademarks.org</w:t>
              </w:r>
            </w:hyperlink>
            <w:r w:rsidRPr="00F55E01">
              <w:rPr>
                <w:lang w:val="fr-CH"/>
              </w:rPr>
              <w:t xml:space="preserve"> a été conçu avec le soutien de l’Office des brevets du Japon pour sensibiliser en particulier les jeunes au respect des marques.</w:t>
            </w:r>
          </w:p>
          <w:p w:rsidR="003E0BB0" w:rsidRPr="00F55E01" w:rsidRDefault="003E0BB0" w:rsidP="00263F34">
            <w:pPr>
              <w:rPr>
                <w:lang w:val="fr-CH"/>
              </w:rPr>
            </w:pPr>
          </w:p>
        </w:tc>
      </w:tr>
      <w:tr w:rsidR="003E0BB0" w:rsidRPr="00F55E01" w:rsidTr="00263F34">
        <w:tc>
          <w:tcPr>
            <w:tcW w:w="2518" w:type="dxa"/>
          </w:tcPr>
          <w:p w:rsidR="003E0BB0" w:rsidRPr="00F55E01" w:rsidRDefault="003E0BB0" w:rsidP="00263F34">
            <w:r w:rsidRPr="00F55E01">
              <w:t>Autres rapports/documents connexes</w:t>
            </w:r>
          </w:p>
        </w:tc>
        <w:tc>
          <w:tcPr>
            <w:tcW w:w="6771" w:type="dxa"/>
          </w:tcPr>
          <w:p w:rsidR="003E0BB0" w:rsidRPr="00F55E01" w:rsidRDefault="003E0BB0" w:rsidP="00263F34">
            <w:pPr>
              <w:rPr>
                <w:lang w:val="fr-CH"/>
              </w:rPr>
            </w:pPr>
            <w:r w:rsidRPr="00F55E01">
              <w:rPr>
                <w:lang w:val="fr-CH"/>
              </w:rPr>
              <w:t>Rapports examinés par le CDIP : CDIP/18/2;  CDIP/20/2.</w:t>
            </w:r>
          </w:p>
          <w:p w:rsidR="003E0BB0" w:rsidRPr="00F55E01" w:rsidRDefault="003E0BB0" w:rsidP="00263F34">
            <w:pPr>
              <w:rPr>
                <w:lang w:val="fr-CH"/>
              </w:rPr>
            </w:pPr>
          </w:p>
          <w:p w:rsidR="003E0BB0" w:rsidRPr="00F55E01" w:rsidRDefault="003E0BB0" w:rsidP="00263F34">
            <w:pPr>
              <w:rPr>
                <w:lang w:val="fr-CH"/>
              </w:rPr>
            </w:pPr>
            <w:r w:rsidRPr="00F55E01">
              <w:rPr>
                <w:lang w:val="fr-CH"/>
              </w:rPr>
              <w:t>Outre les activités figurant dans la base de données de l’assistance technique dans le domaine de la propriété intellectuelle, pour plus d’informations au sujet des réalisations liées à cette recommandation, veuillez vous référer au rapport sur la performance de l’OMPI en 2016</w:t>
            </w:r>
            <w:r w:rsidRPr="00F55E01">
              <w:rPr>
                <w:lang w:val="fr-CH"/>
              </w:rPr>
              <w:noBreakHyphen/>
              <w:t>2017 (document WO/PBC/28/7).</w:t>
            </w:r>
          </w:p>
          <w:p w:rsidR="003E0BB0" w:rsidRPr="00F55E01" w:rsidRDefault="003E0BB0" w:rsidP="00263F34">
            <w:pPr>
              <w:rPr>
                <w:lang w:val="fr-CH"/>
              </w:rPr>
            </w:pPr>
          </w:p>
        </w:tc>
      </w:tr>
    </w:tbl>
    <w:p w:rsidR="003E0BB0" w:rsidRPr="00F55E01" w:rsidRDefault="003E0BB0" w:rsidP="003E0BB0">
      <w:pPr>
        <w:spacing w:before="960"/>
        <w:ind w:left="5534"/>
        <w:jc w:val="right"/>
        <w:rPr>
          <w:lang w:val="fr-FR"/>
        </w:rPr>
      </w:pPr>
      <w:r w:rsidRPr="00F55E01">
        <w:rPr>
          <w:lang w:val="fr-FR"/>
        </w:rPr>
        <w:t>[Fin de l’annexe VII et du document]</w:t>
      </w:r>
    </w:p>
    <w:sectPr w:rsidR="003E0BB0" w:rsidRPr="00F55E01" w:rsidSect="00263F34">
      <w:headerReference w:type="even" r:id="rId126"/>
      <w:headerReference w:type="default" r:id="rId127"/>
      <w:footerReference w:type="even" r:id="rId128"/>
      <w:footerReference w:type="default" r:id="rId129"/>
      <w:headerReference w:type="first" r:id="rId130"/>
      <w:footerReference w:type="first" r:id="rId131"/>
      <w:pgSz w:w="11907" w:h="16840" w:code="9"/>
      <w:pgMar w:top="1418"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244" w:rsidRDefault="00E30244" w:rsidP="00780CEE">
      <w:r>
        <w:separator/>
      </w:r>
    </w:p>
  </w:endnote>
  <w:endnote w:type="continuationSeparator" w:id="0">
    <w:p w:rsidR="00E30244" w:rsidRDefault="00E30244" w:rsidP="00780CEE">
      <w:r>
        <w:continuationSeparator/>
      </w:r>
    </w:p>
  </w:endnote>
  <w:endnote w:type="continuationNotice" w:id="1">
    <w:p w:rsidR="00E30244" w:rsidRDefault="00E30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244" w:rsidRDefault="00E30244" w:rsidP="00780CEE">
      <w:r>
        <w:separator/>
      </w:r>
    </w:p>
  </w:footnote>
  <w:footnote w:type="continuationSeparator" w:id="0">
    <w:p w:rsidR="00E30244" w:rsidRDefault="00E30244" w:rsidP="00780CEE">
      <w:r>
        <w:continuationSeparator/>
      </w:r>
    </w:p>
  </w:footnote>
  <w:footnote w:type="continuationNotice" w:id="1">
    <w:p w:rsidR="00E30244" w:rsidRDefault="00E30244"/>
  </w:footnote>
  <w:footnote w:id="2">
    <w:p w:rsidR="00E30244" w:rsidRPr="00250629" w:rsidRDefault="00E30244" w:rsidP="00963AA1">
      <w:pPr>
        <w:pStyle w:val="FootnoteText"/>
        <w:rPr>
          <w:lang w:val="fr-FR"/>
        </w:rPr>
      </w:pPr>
      <w:r w:rsidRPr="00250629">
        <w:rPr>
          <w:rStyle w:val="FootnoteReference"/>
        </w:rPr>
        <w:footnoteRef/>
      </w:r>
      <w:r w:rsidRPr="00250629">
        <w:rPr>
          <w:lang w:val="fr-FR"/>
        </w:rPr>
        <w:t xml:space="preserve"> </w:t>
      </w:r>
      <w:r w:rsidRPr="00250629">
        <w:rPr>
          <w:lang w:val="fr-FR"/>
        </w:rPr>
        <w:tab/>
        <w:t>Conformément au descriptif de projet, section 3.2.</w:t>
      </w:r>
    </w:p>
  </w:footnote>
  <w:footnote w:id="3">
    <w:p w:rsidR="00E30244" w:rsidRPr="00250629" w:rsidRDefault="00E30244" w:rsidP="001D4D2F">
      <w:pPr>
        <w:pStyle w:val="FootnoteText"/>
        <w:rPr>
          <w:lang w:val="fr-FR"/>
        </w:rPr>
      </w:pPr>
      <w:r w:rsidRPr="00250629">
        <w:rPr>
          <w:rStyle w:val="FootnoteReference"/>
        </w:rPr>
        <w:footnoteRef/>
      </w:r>
      <w:r w:rsidRPr="00250629">
        <w:rPr>
          <w:lang w:val="fr-FR"/>
        </w:rPr>
        <w:t xml:space="preserve"> </w:t>
      </w:r>
      <w:r w:rsidRPr="00250629">
        <w:rPr>
          <w:lang w:val="fr-FR"/>
        </w:rPr>
        <w:tab/>
        <w:t>Conformément au descriptif de projet, section 3.2.</w:t>
      </w:r>
    </w:p>
  </w:footnote>
  <w:footnote w:id="4">
    <w:p w:rsidR="00E30244" w:rsidRPr="00250629" w:rsidRDefault="00E30244" w:rsidP="001320FC">
      <w:pPr>
        <w:pStyle w:val="FootnoteText"/>
        <w:rPr>
          <w:lang w:val="fr-FR"/>
        </w:rPr>
      </w:pPr>
      <w:r w:rsidRPr="00250629">
        <w:rPr>
          <w:rStyle w:val="FootnoteReference"/>
          <w:lang w:val="fr-FR"/>
        </w:rPr>
        <w:footnoteRef/>
      </w:r>
      <w:r w:rsidRPr="00250629">
        <w:rPr>
          <w:lang w:val="fr-FR"/>
        </w:rPr>
        <w:t xml:space="preserve"> </w:t>
      </w:r>
      <w:r w:rsidR="0020073A">
        <w:rPr>
          <w:lang w:val="fr-FR"/>
        </w:rPr>
        <w:tab/>
      </w:r>
      <w:r w:rsidRPr="00250629">
        <w:rPr>
          <w:lang w:val="fr-FR"/>
        </w:rPr>
        <w:t xml:space="preserve">Le calendrier révisé tient compte du retard initial de six mois pris avant le début réel du projet (octobre 2016), tel qu’expliqué en détail dans le rapport sur l’état d’avancement.  </w:t>
      </w:r>
    </w:p>
  </w:footnote>
  <w:footnote w:id="5">
    <w:p w:rsidR="00E30244" w:rsidRPr="00250629" w:rsidRDefault="00E30244" w:rsidP="001320FC">
      <w:pPr>
        <w:pStyle w:val="FootnoteText"/>
        <w:rPr>
          <w:lang w:val="fr-FR"/>
        </w:rPr>
      </w:pPr>
      <w:r w:rsidRPr="00250629">
        <w:rPr>
          <w:rStyle w:val="FootnoteReference"/>
          <w:lang w:val="fr-FR"/>
        </w:rPr>
        <w:footnoteRef/>
      </w:r>
      <w:r w:rsidRPr="00250629">
        <w:rPr>
          <w:lang w:val="fr-FR"/>
        </w:rPr>
        <w:t xml:space="preserve"> </w:t>
      </w:r>
      <w:r>
        <w:rPr>
          <w:lang w:val="fr-FR"/>
        </w:rPr>
        <w:tab/>
      </w:r>
      <w:r w:rsidRPr="00250629">
        <w:rPr>
          <w:szCs w:val="22"/>
          <w:lang w:val="fr-FR"/>
        </w:rPr>
        <w:t>Réallocation des ressources pour garantir la mise en œuvre des activités du projet conformément au calendrier de mise en œuvre révisé et dans le respect du budget initial approuvé par le CDIP (enveloppe de 800 000 francs suisses).  Les fonds destinés à l’exercice biennal 2016</w:t>
      </w:r>
      <w:r w:rsidRPr="00250629">
        <w:rPr>
          <w:szCs w:val="22"/>
          <w:lang w:val="fr-FR"/>
        </w:rPr>
        <w:noBreakHyphen/>
        <w:t>2017 ont été redistribués entre les différents produits du projet compte tenu du retard initial de six mois et const</w:t>
      </w:r>
      <w:r>
        <w:rPr>
          <w:szCs w:val="22"/>
          <w:lang w:val="fr-FR"/>
        </w:rPr>
        <w:t>ituent des dépenses actuelles.</w:t>
      </w:r>
    </w:p>
  </w:footnote>
  <w:footnote w:id="6">
    <w:p w:rsidR="00E30244" w:rsidRPr="00250629" w:rsidRDefault="00E30244" w:rsidP="00EC684F">
      <w:pPr>
        <w:pStyle w:val="FootnoteText"/>
        <w:rPr>
          <w:lang w:val="fr-FR"/>
        </w:rPr>
      </w:pPr>
      <w:r w:rsidRPr="00250629">
        <w:rPr>
          <w:rStyle w:val="FootnoteReference"/>
        </w:rPr>
        <w:footnoteRef/>
      </w:r>
      <w:r w:rsidRPr="00250629">
        <w:rPr>
          <w:lang w:val="fr-FR"/>
        </w:rPr>
        <w:t xml:space="preserve"> </w:t>
      </w:r>
      <w:r w:rsidRPr="00250629">
        <w:rPr>
          <w:lang w:val="fr-FR"/>
        </w:rPr>
        <w:tab/>
        <w:t>Conformément au descriptif de projet, section 3.2.</w:t>
      </w:r>
    </w:p>
  </w:footnote>
  <w:footnote w:id="7">
    <w:p w:rsidR="00E30244" w:rsidRPr="00250629" w:rsidRDefault="00E30244" w:rsidP="00E031C6">
      <w:pPr>
        <w:pStyle w:val="FootnoteText"/>
        <w:rPr>
          <w:lang w:val="fr-FR"/>
        </w:rPr>
      </w:pPr>
      <w:r w:rsidRPr="00250629">
        <w:rPr>
          <w:rStyle w:val="FootnoteReference"/>
        </w:rPr>
        <w:footnoteRef/>
      </w:r>
      <w:r w:rsidRPr="00250629">
        <w:rPr>
          <w:lang w:val="fr-FR"/>
        </w:rPr>
        <w:t xml:space="preserve"> </w:t>
      </w:r>
      <w:r w:rsidRPr="00250629">
        <w:rPr>
          <w:lang w:val="fr-FR"/>
        </w:rPr>
        <w:tab/>
        <w:t>Conformément au descriptif de projet, section 3.2.</w:t>
      </w:r>
    </w:p>
  </w:footnote>
  <w:footnote w:id="8">
    <w:p w:rsidR="00E30244" w:rsidRPr="00250629" w:rsidRDefault="00E30244" w:rsidP="004044B7">
      <w:pPr>
        <w:pStyle w:val="FootnoteText"/>
      </w:pPr>
      <w:r w:rsidRPr="00250629">
        <w:rPr>
          <w:rStyle w:val="FootnoteReference"/>
          <w:lang w:val="fr-FR"/>
        </w:rPr>
        <w:footnoteRef/>
      </w:r>
      <w:r w:rsidRPr="00250629">
        <w:rPr>
          <w:lang w:val="fr-FR"/>
        </w:rPr>
        <w:t xml:space="preserve"> </w:t>
      </w:r>
      <w:r w:rsidRPr="00250629">
        <w:rPr>
          <w:lang w:val="fr-FR"/>
        </w:rPr>
        <w:tab/>
        <w:t xml:space="preserve">Au cours de la période considérée dans le présent rapport, les directions des équipes chargées du projet au niveau national dans les quatre agences ont connu des changements majeurs, qui ont eu pour effet de ralentir la mise en œuvre globale du projet dans trois des quatre pays.  </w:t>
      </w:r>
    </w:p>
  </w:footnote>
  <w:footnote w:id="9">
    <w:p w:rsidR="00E30244" w:rsidRPr="00250629" w:rsidRDefault="00E30244" w:rsidP="009340D9">
      <w:pPr>
        <w:pStyle w:val="FootnoteText"/>
        <w:rPr>
          <w:lang w:val="fr-FR"/>
        </w:rPr>
      </w:pPr>
      <w:r w:rsidRPr="00250629">
        <w:rPr>
          <w:rStyle w:val="FootnoteReference"/>
        </w:rPr>
        <w:footnoteRef/>
      </w:r>
      <w:r w:rsidRPr="00250629">
        <w:rPr>
          <w:lang w:val="fr-FR"/>
        </w:rPr>
        <w:t xml:space="preserve"> </w:t>
      </w:r>
      <w:r w:rsidRPr="00250629">
        <w:rPr>
          <w:lang w:val="fr-FR"/>
        </w:rPr>
        <w:tab/>
        <w:t>Conformément au descriptif de projet, section 3.2.</w:t>
      </w:r>
    </w:p>
  </w:footnote>
  <w:footnote w:id="10">
    <w:p w:rsidR="00E30244" w:rsidRPr="00250629" w:rsidRDefault="00E30244" w:rsidP="00F70E13">
      <w:pPr>
        <w:pStyle w:val="FootnoteText"/>
        <w:rPr>
          <w:lang w:val="fr-FR"/>
        </w:rPr>
      </w:pPr>
      <w:r w:rsidRPr="00250629">
        <w:rPr>
          <w:rStyle w:val="FootnoteReference"/>
        </w:rPr>
        <w:footnoteRef/>
      </w:r>
      <w:r w:rsidRPr="00250629">
        <w:rPr>
          <w:lang w:val="fr-FR"/>
        </w:rPr>
        <w:t xml:space="preserve"> </w:t>
      </w:r>
      <w:r w:rsidRPr="00250629">
        <w:rPr>
          <w:lang w:val="fr-FR"/>
        </w:rPr>
        <w:tab/>
        <w:t>Conformément au descriptif de projet, section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5966AF">
    <w:pPr>
      <w:pStyle w:val="Header"/>
      <w:ind w:right="-1"/>
      <w:jc w:val="right"/>
      <w:rPr>
        <w:rStyle w:val="PageNumber"/>
      </w:rPr>
    </w:pPr>
    <w:r>
      <w:rPr>
        <w:rStyle w:val="PageNumber"/>
      </w:rPr>
      <w:t>CDIP/22/2</w:t>
    </w:r>
  </w:p>
  <w:p w:rsidR="00E30244" w:rsidRDefault="00E30244" w:rsidP="00A42400">
    <w:pPr>
      <w:pStyle w:val="Header"/>
      <w:ind w:right="-1"/>
      <w:jc w:val="right"/>
    </w:pPr>
    <w:proofErr w:type="gramStart"/>
    <w:r>
      <w:rPr>
        <w:rStyle w:val="PageNumber"/>
      </w:rPr>
      <w:t>page</w:t>
    </w:r>
    <w:proofErr w:type="gramEnd"/>
    <w:r>
      <w:t> </w:t>
    </w:r>
    <w:sdt>
      <w:sdtPr>
        <w:id w:val="-2835806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5E26">
          <w:rPr>
            <w:noProof/>
          </w:rPr>
          <w:t>2</w:t>
        </w:r>
        <w:r>
          <w:rPr>
            <w:noProof/>
          </w:rPr>
          <w:fldChar w:fldCharType="end"/>
        </w:r>
      </w:sdtContent>
    </w:sdt>
  </w:p>
  <w:p w:rsidR="00E30244" w:rsidRDefault="00E30244" w:rsidP="00C3651B">
    <w:pPr>
      <w:pStyle w:val="Header"/>
      <w:ind w:right="360"/>
    </w:pPr>
  </w:p>
  <w:p w:rsidR="00E30244" w:rsidRDefault="00E30244" w:rsidP="00C3651B">
    <w:pPr>
      <w:pStyle w:val="Header"/>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216E2E">
    <w:pPr>
      <w:pStyle w:val="Header"/>
      <w:ind w:right="-1"/>
      <w:jc w:val="right"/>
      <w:rPr>
        <w:rStyle w:val="PageNumber"/>
      </w:rPr>
    </w:pPr>
    <w:r>
      <w:rPr>
        <w:rStyle w:val="PageNumber"/>
      </w:rPr>
      <w:t>CDIP/22/2</w:t>
    </w:r>
  </w:p>
  <w:p w:rsidR="00E30244" w:rsidRDefault="00E30244" w:rsidP="00216E2E">
    <w:pPr>
      <w:pStyle w:val="Header"/>
      <w:ind w:right="-1"/>
      <w:jc w:val="right"/>
    </w:pPr>
    <w:r>
      <w:rPr>
        <w:rStyle w:val="PageNumber"/>
      </w:rPr>
      <w:t>ANNEXE IV</w:t>
    </w:r>
  </w:p>
  <w:p w:rsidR="00E30244" w:rsidRDefault="00E30244">
    <w:pPr>
      <w:pStyle w:val="Header"/>
    </w:pPr>
  </w:p>
  <w:p w:rsidR="00E30244" w:rsidRDefault="00E3024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4059CD">
    <w:pPr>
      <w:pStyle w:val="Header"/>
      <w:ind w:right="-1"/>
      <w:jc w:val="right"/>
      <w:rPr>
        <w:rStyle w:val="PageNumber"/>
      </w:rPr>
    </w:pPr>
    <w:r>
      <w:rPr>
        <w:rStyle w:val="PageNumber"/>
      </w:rPr>
      <w:t>CDIP/22/2</w:t>
    </w:r>
  </w:p>
  <w:p w:rsidR="00E30244" w:rsidRDefault="00E30244" w:rsidP="004059CD">
    <w:pPr>
      <w:pStyle w:val="Header"/>
      <w:jc w:val="right"/>
    </w:pPr>
    <w:r>
      <w:rPr>
        <w:rStyle w:val="PageNumber"/>
      </w:rPr>
      <w:t>Annexe V, page</w:t>
    </w:r>
    <w:r>
      <w:t xml:space="preserve"> </w:t>
    </w:r>
    <w:sdt>
      <w:sdtPr>
        <w:id w:val="-19123055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5E26">
          <w:rPr>
            <w:noProof/>
          </w:rPr>
          <w:t>13</w:t>
        </w:r>
        <w:r>
          <w:rPr>
            <w:noProof/>
          </w:rPr>
          <w:fldChar w:fldCharType="end"/>
        </w:r>
      </w:sdtContent>
    </w:sdt>
  </w:p>
  <w:p w:rsidR="00E30244" w:rsidRDefault="00E30244">
    <w:pPr>
      <w:pStyle w:val="Header"/>
    </w:pPr>
  </w:p>
  <w:p w:rsidR="00E30244" w:rsidRDefault="00E3024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216E2E">
    <w:pPr>
      <w:pStyle w:val="Header"/>
      <w:ind w:right="-1"/>
      <w:jc w:val="right"/>
      <w:rPr>
        <w:rStyle w:val="PageNumber"/>
      </w:rPr>
    </w:pPr>
    <w:r>
      <w:rPr>
        <w:rStyle w:val="PageNumber"/>
      </w:rPr>
      <w:t>CDIP/22/2</w:t>
    </w:r>
  </w:p>
  <w:p w:rsidR="00E30244" w:rsidRDefault="00E30244" w:rsidP="00216E2E">
    <w:pPr>
      <w:pStyle w:val="Header"/>
      <w:ind w:right="-1"/>
      <w:jc w:val="right"/>
    </w:pPr>
    <w:r>
      <w:rPr>
        <w:rStyle w:val="PageNumber"/>
      </w:rPr>
      <w:t>ANNEXE V</w:t>
    </w:r>
  </w:p>
  <w:p w:rsidR="00E30244" w:rsidRDefault="00E30244">
    <w:pPr>
      <w:pStyle w:val="Header"/>
    </w:pPr>
  </w:p>
  <w:p w:rsidR="00E30244" w:rsidRDefault="00E3024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Pr="00EA1A2E" w:rsidRDefault="00E30244" w:rsidP="00EA1A2E">
    <w:pPr>
      <w:pStyle w:val="Header"/>
      <w:jc w:val="right"/>
    </w:pPr>
    <w:r w:rsidRPr="00EA1A2E">
      <w:t>CDIP/22/2</w:t>
    </w:r>
  </w:p>
  <w:p w:rsidR="00E30244" w:rsidRDefault="00E30244" w:rsidP="00EA1A2E">
    <w:pPr>
      <w:pStyle w:val="Header"/>
      <w:jc w:val="right"/>
    </w:pPr>
    <w:r>
      <w:t xml:space="preserve">Annexe VI, page </w:t>
    </w:r>
    <w:sdt>
      <w:sdtPr>
        <w:id w:val="-14412602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5E26">
          <w:rPr>
            <w:noProof/>
          </w:rPr>
          <w:t>5</w:t>
        </w:r>
        <w:r>
          <w:rPr>
            <w:noProof/>
          </w:rPr>
          <w:fldChar w:fldCharType="end"/>
        </w:r>
      </w:sdtContent>
    </w:sdt>
  </w:p>
  <w:p w:rsidR="00E30244" w:rsidRDefault="00E30244" w:rsidP="00EA1A2E">
    <w:pPr>
      <w:pStyle w:val="Header"/>
      <w:jc w:val="right"/>
    </w:pPr>
  </w:p>
  <w:p w:rsidR="00E30244" w:rsidRPr="00EA1A2E" w:rsidRDefault="00E30244" w:rsidP="00EA1A2E">
    <w:pPr>
      <w:pStyle w:val="Heade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EA1A2E">
    <w:pPr>
      <w:pStyle w:val="Header"/>
      <w:ind w:right="-1"/>
      <w:jc w:val="right"/>
      <w:rPr>
        <w:rStyle w:val="PageNumber"/>
      </w:rPr>
    </w:pPr>
    <w:r>
      <w:rPr>
        <w:rStyle w:val="PageNumber"/>
      </w:rPr>
      <w:t>CDIP/22/2</w:t>
    </w:r>
  </w:p>
  <w:p w:rsidR="00E30244" w:rsidRDefault="00E30244" w:rsidP="00EA1A2E">
    <w:pPr>
      <w:pStyle w:val="Header"/>
      <w:jc w:val="right"/>
      <w:rPr>
        <w:rStyle w:val="PageNumber"/>
      </w:rPr>
    </w:pPr>
    <w:r>
      <w:rPr>
        <w:rStyle w:val="PageNumber"/>
      </w:rPr>
      <w:t>ANNEXE VI</w:t>
    </w:r>
  </w:p>
  <w:p w:rsidR="00E30244" w:rsidRDefault="00E30244" w:rsidP="00EA1A2E">
    <w:pPr>
      <w:pStyle w:val="Header"/>
      <w:jc w:val="right"/>
      <w:rPr>
        <w:rStyle w:val="PageNumber"/>
      </w:rPr>
    </w:pPr>
  </w:p>
  <w:p w:rsidR="00E30244" w:rsidRDefault="00E30244" w:rsidP="00EA1A2E">
    <w:pPr>
      <w:pStyle w:val="Header"/>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Pr="00EA1A2E" w:rsidRDefault="00E30244" w:rsidP="00EA1A2E">
    <w:pPr>
      <w:pStyle w:val="Header"/>
      <w:jc w:val="right"/>
    </w:pPr>
    <w:r>
      <w:t>CDIP/22/2</w:t>
    </w:r>
  </w:p>
  <w:p w:rsidR="00E30244" w:rsidRDefault="00E30244" w:rsidP="00EA1A2E">
    <w:pPr>
      <w:pStyle w:val="Header"/>
      <w:jc w:val="right"/>
    </w:pPr>
    <w:r>
      <w:t>Annexe VII, page </w:t>
    </w:r>
    <w:sdt>
      <w:sdtPr>
        <w:id w:val="-23031436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5E26">
          <w:rPr>
            <w:noProof/>
          </w:rPr>
          <w:t>11</w:t>
        </w:r>
        <w:r>
          <w:fldChar w:fldCharType="end"/>
        </w:r>
      </w:sdtContent>
    </w:sdt>
  </w:p>
  <w:p w:rsidR="00E30244" w:rsidRDefault="00E30244" w:rsidP="00EA1A2E">
    <w:pPr>
      <w:pStyle w:val="Header"/>
      <w:jc w:val="right"/>
    </w:pPr>
  </w:p>
  <w:p w:rsidR="00E30244" w:rsidRPr="00EA1A2E" w:rsidRDefault="00E30244" w:rsidP="00EA1A2E">
    <w:pPr>
      <w:pStyle w:val="Header"/>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EA1A2E">
    <w:pPr>
      <w:pStyle w:val="Header"/>
      <w:ind w:right="-1"/>
      <w:jc w:val="right"/>
      <w:rPr>
        <w:rStyle w:val="PageNumber"/>
      </w:rPr>
    </w:pPr>
    <w:r>
      <w:rPr>
        <w:rStyle w:val="PageNumber"/>
      </w:rPr>
      <w:t>CDIP/22/2</w:t>
    </w:r>
  </w:p>
  <w:p w:rsidR="00E30244" w:rsidRDefault="00E30244" w:rsidP="00EA1A2E">
    <w:pPr>
      <w:pStyle w:val="Header"/>
      <w:jc w:val="right"/>
      <w:rPr>
        <w:rStyle w:val="PageNumber"/>
      </w:rPr>
    </w:pPr>
    <w:r>
      <w:rPr>
        <w:rStyle w:val="PageNumber"/>
      </w:rPr>
      <w:t>ANNEXE VII</w:t>
    </w:r>
  </w:p>
  <w:p w:rsidR="00E30244" w:rsidRDefault="00E30244" w:rsidP="00EA1A2E">
    <w:pPr>
      <w:pStyle w:val="Header"/>
      <w:jc w:val="right"/>
      <w:rPr>
        <w:rStyle w:val="PageNumber"/>
      </w:rPr>
    </w:pPr>
  </w:p>
  <w:p w:rsidR="00E30244" w:rsidRDefault="00E30244" w:rsidP="00EA1A2E">
    <w:pPr>
      <w:pStyle w:val="Heade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Pr="00EA1A2E" w:rsidRDefault="00E30244" w:rsidP="00EA1A2E">
    <w:pPr>
      <w:pStyle w:val="Header"/>
      <w:jc w:val="right"/>
    </w:pPr>
    <w:r w:rsidRPr="00EA1A2E">
      <w:t>CDIP/22/2</w:t>
    </w:r>
  </w:p>
  <w:p w:rsidR="00E30244" w:rsidRDefault="00E30244" w:rsidP="00EA1A2E">
    <w:pPr>
      <w:pStyle w:val="Header"/>
      <w:jc w:val="right"/>
    </w:pPr>
    <w:r w:rsidRPr="00115C1A">
      <w:rPr>
        <w:lang w:val="fr-FR"/>
      </w:rPr>
      <w:t>Annexe</w:t>
    </w:r>
    <w:r>
      <w:t> VII, page </w:t>
    </w:r>
    <w:sdt>
      <w:sdtPr>
        <w:id w:val="156668205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5E26">
          <w:rPr>
            <w:noProof/>
          </w:rPr>
          <w:t>28</w:t>
        </w:r>
        <w:r>
          <w:rPr>
            <w:noProof/>
          </w:rPr>
          <w:fldChar w:fldCharType="end"/>
        </w:r>
      </w:sdtContent>
    </w:sdt>
  </w:p>
  <w:p w:rsidR="00E30244" w:rsidRDefault="00E30244" w:rsidP="00EA1A2E">
    <w:pPr>
      <w:pStyle w:val="Header"/>
      <w:jc w:val="right"/>
    </w:pPr>
  </w:p>
  <w:p w:rsidR="00E30244" w:rsidRPr="00EA1A2E" w:rsidRDefault="00E30244" w:rsidP="00EA1A2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5966AF">
    <w:pPr>
      <w:pStyle w:val="Header"/>
      <w:ind w:right="-1"/>
      <w:jc w:val="right"/>
      <w:rPr>
        <w:rStyle w:val="PageNumber"/>
      </w:rPr>
    </w:pPr>
    <w:r>
      <w:rPr>
        <w:rStyle w:val="PageNumber"/>
      </w:rPr>
      <w:t>CDIP/22/2</w:t>
    </w:r>
  </w:p>
  <w:p w:rsidR="00E30244" w:rsidRDefault="00E30244" w:rsidP="00A42400">
    <w:pPr>
      <w:pStyle w:val="Header"/>
      <w:ind w:right="-1"/>
      <w:jc w:val="right"/>
    </w:pPr>
    <w:r>
      <w:rPr>
        <w:rStyle w:val="PageNumber"/>
      </w:rPr>
      <w:t>Annexe I, page</w:t>
    </w:r>
    <w:r>
      <w:t xml:space="preserve"> </w:t>
    </w:r>
    <w:sdt>
      <w:sdtPr>
        <w:id w:val="5415650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5E26">
          <w:rPr>
            <w:noProof/>
          </w:rPr>
          <w:t>7</w:t>
        </w:r>
        <w:r>
          <w:rPr>
            <w:noProof/>
          </w:rPr>
          <w:fldChar w:fldCharType="end"/>
        </w:r>
      </w:sdtContent>
    </w:sdt>
  </w:p>
  <w:p w:rsidR="00E30244" w:rsidRDefault="00E30244" w:rsidP="00C3651B">
    <w:pPr>
      <w:pStyle w:val="Header"/>
      <w:ind w:right="360"/>
    </w:pPr>
  </w:p>
  <w:p w:rsidR="00E30244" w:rsidRDefault="00E30244" w:rsidP="00C3651B">
    <w:pPr>
      <w:pStyle w:val="Header"/>
      <w:ind w:right="36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EA1A2E">
    <w:pPr>
      <w:pStyle w:val="Header"/>
      <w:ind w:right="-1"/>
      <w:jc w:val="right"/>
      <w:rPr>
        <w:rStyle w:val="PageNumber"/>
      </w:rPr>
    </w:pPr>
    <w:r>
      <w:rPr>
        <w:rStyle w:val="PageNumber"/>
      </w:rPr>
      <w:t>CDIP/22/2</w:t>
    </w:r>
  </w:p>
  <w:p w:rsidR="00E30244" w:rsidRDefault="00E30244" w:rsidP="00EA1A2E">
    <w:pPr>
      <w:pStyle w:val="Header"/>
      <w:jc w:val="right"/>
      <w:rPr>
        <w:rStyle w:val="PageNumber"/>
      </w:rPr>
    </w:pPr>
    <w:r>
      <w:rPr>
        <w:rStyle w:val="PageNumber"/>
      </w:rPr>
      <w:t>ANNEXE VII</w:t>
    </w:r>
  </w:p>
  <w:p w:rsidR="00E30244" w:rsidRDefault="00E30244" w:rsidP="00EA1A2E">
    <w:pPr>
      <w:pStyle w:val="Header"/>
      <w:jc w:val="right"/>
      <w:rPr>
        <w:rStyle w:val="PageNumber"/>
      </w:rPr>
    </w:pPr>
  </w:p>
  <w:p w:rsidR="00E30244" w:rsidRDefault="00E30244" w:rsidP="00EA1A2E">
    <w:pPr>
      <w:pStyle w:val="Header"/>
      <w:jc w:val="righ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Pr="00EA1A2E" w:rsidRDefault="00E30244" w:rsidP="00263F34">
    <w:pPr>
      <w:pStyle w:val="Header"/>
      <w:jc w:val="right"/>
    </w:pPr>
    <w:r w:rsidRPr="00EA1A2E">
      <w:t>CDIP/22/2</w:t>
    </w:r>
  </w:p>
  <w:p w:rsidR="00E30244" w:rsidRDefault="00E30244" w:rsidP="00263F34">
    <w:pPr>
      <w:pStyle w:val="Header"/>
      <w:jc w:val="right"/>
    </w:pPr>
    <w:r>
      <w:t>Annexe VII, page </w:t>
    </w:r>
    <w:sdt>
      <w:sdtPr>
        <w:id w:val="-181510251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5E26">
          <w:rPr>
            <w:noProof/>
          </w:rPr>
          <w:t>23</w:t>
        </w:r>
        <w:r>
          <w:rPr>
            <w:noProof/>
          </w:rPr>
          <w:fldChar w:fldCharType="end"/>
        </w:r>
      </w:sdtContent>
    </w:sdt>
  </w:p>
  <w:p w:rsidR="00E30244" w:rsidRDefault="00E30244" w:rsidP="00263F34">
    <w:pPr>
      <w:pStyle w:val="Header"/>
      <w:jc w:val="right"/>
    </w:pPr>
  </w:p>
  <w:p w:rsidR="00E30244" w:rsidRPr="00EA1A2E" w:rsidRDefault="00E30244" w:rsidP="00263F34">
    <w:pPr>
      <w:pStyle w:val="Header"/>
      <w:jc w:val="righ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263F34">
    <w:pPr>
      <w:pStyle w:val="Header"/>
      <w:ind w:right="-1"/>
      <w:jc w:val="right"/>
      <w:rPr>
        <w:rStyle w:val="PageNumber"/>
      </w:rPr>
    </w:pPr>
    <w:r>
      <w:rPr>
        <w:rStyle w:val="PageNumber"/>
      </w:rPr>
      <w:t>CDIP/22/2</w:t>
    </w:r>
  </w:p>
  <w:p w:rsidR="00E30244" w:rsidRDefault="00E30244" w:rsidP="00263F34">
    <w:pPr>
      <w:pStyle w:val="Header"/>
      <w:jc w:val="right"/>
      <w:rPr>
        <w:rStyle w:val="PageNumber"/>
      </w:rPr>
    </w:pPr>
    <w:r>
      <w:rPr>
        <w:rStyle w:val="PageNumber"/>
      </w:rPr>
      <w:t>ANNEXE VII</w:t>
    </w:r>
  </w:p>
  <w:p w:rsidR="00E30244" w:rsidRDefault="00E30244" w:rsidP="00263F34">
    <w:pPr>
      <w:pStyle w:val="Header"/>
      <w:jc w:val="right"/>
      <w:rPr>
        <w:rStyle w:val="PageNumber"/>
      </w:rPr>
    </w:pPr>
  </w:p>
  <w:p w:rsidR="00E30244" w:rsidRDefault="00E30244" w:rsidP="00263F3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6088"/>
      <w:docPartObj>
        <w:docPartGallery w:val="Page Numbers (Top of Page)"/>
        <w:docPartUnique/>
      </w:docPartObj>
    </w:sdtPr>
    <w:sdtEndPr>
      <w:rPr>
        <w:noProof/>
      </w:rPr>
    </w:sdtEndPr>
    <w:sdtContent>
      <w:p w:rsidR="00E30244" w:rsidRDefault="00E30244" w:rsidP="00D9704A">
        <w:pPr>
          <w:pStyle w:val="Header"/>
          <w:ind w:right="-1"/>
          <w:jc w:val="right"/>
          <w:rPr>
            <w:rStyle w:val="PageNumber"/>
          </w:rPr>
        </w:pPr>
        <w:r>
          <w:rPr>
            <w:rStyle w:val="PageNumber"/>
          </w:rPr>
          <w:t>CDIP/22/2</w:t>
        </w:r>
      </w:p>
      <w:p w:rsidR="00E30244" w:rsidRDefault="00E30244" w:rsidP="00D9704A">
        <w:pPr>
          <w:pStyle w:val="Header"/>
          <w:jc w:val="right"/>
          <w:rPr>
            <w:rStyle w:val="PageNumber"/>
          </w:rPr>
        </w:pPr>
        <w:r>
          <w:rPr>
            <w:rStyle w:val="PageNumber"/>
          </w:rPr>
          <w:t>ANNEXE I</w:t>
        </w:r>
      </w:p>
      <w:p w:rsidR="00E30244" w:rsidRDefault="007A5E26" w:rsidP="00D9704A">
        <w:pPr>
          <w:pStyle w:val="Header"/>
          <w:jc w:val="right"/>
        </w:pPr>
      </w:p>
    </w:sdtContent>
  </w:sdt>
  <w:p w:rsidR="00E30244" w:rsidRDefault="00E302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4059CD">
    <w:pPr>
      <w:pStyle w:val="Header"/>
      <w:ind w:right="-1"/>
      <w:jc w:val="right"/>
      <w:rPr>
        <w:rStyle w:val="PageNumber"/>
      </w:rPr>
    </w:pPr>
    <w:r>
      <w:rPr>
        <w:rStyle w:val="PageNumber"/>
      </w:rPr>
      <w:t>CDIP/22/2</w:t>
    </w:r>
  </w:p>
  <w:p w:rsidR="00E30244" w:rsidRDefault="00E30244" w:rsidP="004059CD">
    <w:pPr>
      <w:pStyle w:val="Header"/>
      <w:jc w:val="right"/>
    </w:pPr>
    <w:r>
      <w:rPr>
        <w:rStyle w:val="PageNumber"/>
      </w:rPr>
      <w:t>Annexe II, page</w:t>
    </w:r>
    <w:r>
      <w:t xml:space="preserve"> </w:t>
    </w:r>
    <w:sdt>
      <w:sdtPr>
        <w:id w:val="8038165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5E26">
          <w:rPr>
            <w:noProof/>
          </w:rPr>
          <w:t>13</w:t>
        </w:r>
        <w:r>
          <w:rPr>
            <w:noProof/>
          </w:rPr>
          <w:fldChar w:fldCharType="end"/>
        </w:r>
      </w:sdtContent>
    </w:sdt>
  </w:p>
  <w:p w:rsidR="00E30244" w:rsidRDefault="00E30244">
    <w:pPr>
      <w:pStyle w:val="Header"/>
    </w:pPr>
  </w:p>
  <w:p w:rsidR="00E30244" w:rsidRDefault="00E302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CB72A5">
    <w:pPr>
      <w:pStyle w:val="Header"/>
      <w:jc w:val="right"/>
    </w:pPr>
    <w:r>
      <w:t>CDIP/22/2</w:t>
    </w:r>
  </w:p>
  <w:p w:rsidR="00E30244" w:rsidRDefault="00E30244" w:rsidP="00CB72A5">
    <w:pPr>
      <w:pStyle w:val="Header"/>
      <w:jc w:val="right"/>
    </w:pPr>
    <w:r>
      <w:t>ANNEXE II</w:t>
    </w:r>
  </w:p>
  <w:p w:rsidR="00E30244" w:rsidRDefault="00E30244">
    <w:pPr>
      <w:pStyle w:val="Header"/>
    </w:pPr>
  </w:p>
  <w:p w:rsidR="00E30244" w:rsidRDefault="00E3024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CB72A5">
    <w:pPr>
      <w:pStyle w:val="Header"/>
      <w:jc w:val="right"/>
    </w:pPr>
    <w:r>
      <w:t>CDIP/22/2</w:t>
    </w:r>
  </w:p>
  <w:p w:rsidR="00E30244" w:rsidRDefault="00E30244" w:rsidP="00CB72A5">
    <w:pPr>
      <w:pStyle w:val="Header"/>
      <w:jc w:val="right"/>
    </w:pPr>
    <w:r>
      <w:t>Annexe II, page 11</w:t>
    </w:r>
  </w:p>
  <w:p w:rsidR="00E30244" w:rsidRDefault="00E3024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4059CD">
    <w:pPr>
      <w:pStyle w:val="Header"/>
      <w:ind w:right="-1"/>
      <w:jc w:val="right"/>
      <w:rPr>
        <w:rStyle w:val="PageNumber"/>
      </w:rPr>
    </w:pPr>
    <w:r>
      <w:rPr>
        <w:rStyle w:val="PageNumber"/>
      </w:rPr>
      <w:t>CDIP/22/2</w:t>
    </w:r>
  </w:p>
  <w:p w:rsidR="00E30244" w:rsidRDefault="00E30244" w:rsidP="004059CD">
    <w:pPr>
      <w:pStyle w:val="Header"/>
      <w:jc w:val="right"/>
    </w:pPr>
    <w:r>
      <w:rPr>
        <w:rStyle w:val="PageNumber"/>
      </w:rPr>
      <w:t>Annexe III, page</w:t>
    </w:r>
    <w:r>
      <w:t xml:space="preserve"> </w:t>
    </w:r>
    <w:sdt>
      <w:sdtPr>
        <w:id w:val="123944057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5E26">
          <w:rPr>
            <w:noProof/>
          </w:rPr>
          <w:t>13</w:t>
        </w:r>
        <w:r>
          <w:rPr>
            <w:noProof/>
          </w:rPr>
          <w:fldChar w:fldCharType="end"/>
        </w:r>
      </w:sdtContent>
    </w:sdt>
  </w:p>
  <w:p w:rsidR="00E30244" w:rsidRDefault="00E30244">
    <w:pPr>
      <w:pStyle w:val="Header"/>
    </w:pPr>
  </w:p>
  <w:p w:rsidR="00E30244" w:rsidRDefault="00E3024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216E2E">
    <w:pPr>
      <w:pStyle w:val="Header"/>
      <w:ind w:right="-1"/>
      <w:jc w:val="right"/>
      <w:rPr>
        <w:rStyle w:val="PageNumber"/>
      </w:rPr>
    </w:pPr>
    <w:r>
      <w:rPr>
        <w:rStyle w:val="PageNumber"/>
      </w:rPr>
      <w:t>CDIP/22/2</w:t>
    </w:r>
  </w:p>
  <w:p w:rsidR="00E30244" w:rsidRDefault="00E30244" w:rsidP="00216E2E">
    <w:pPr>
      <w:pStyle w:val="Header"/>
      <w:ind w:right="-1"/>
      <w:jc w:val="right"/>
      <w:rPr>
        <w:rStyle w:val="PageNumber"/>
      </w:rPr>
    </w:pPr>
    <w:r>
      <w:rPr>
        <w:rStyle w:val="PageNumber"/>
      </w:rPr>
      <w:t>ANNEXE III</w:t>
    </w:r>
  </w:p>
  <w:p w:rsidR="00E30244" w:rsidRDefault="00E30244" w:rsidP="00216E2E">
    <w:pPr>
      <w:pStyle w:val="Header"/>
      <w:ind w:right="-1"/>
      <w:jc w:val="right"/>
    </w:pPr>
  </w:p>
  <w:p w:rsidR="00E30244" w:rsidRDefault="00E3024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44" w:rsidRDefault="00E30244" w:rsidP="004059CD">
    <w:pPr>
      <w:pStyle w:val="Header"/>
      <w:ind w:right="-1"/>
      <w:jc w:val="right"/>
      <w:rPr>
        <w:rStyle w:val="PageNumber"/>
      </w:rPr>
    </w:pPr>
    <w:r>
      <w:rPr>
        <w:rStyle w:val="PageNumber"/>
      </w:rPr>
      <w:t>CDIP/22/2</w:t>
    </w:r>
  </w:p>
  <w:p w:rsidR="00E30244" w:rsidRDefault="00E30244" w:rsidP="004059CD">
    <w:pPr>
      <w:pStyle w:val="Header"/>
      <w:jc w:val="right"/>
    </w:pPr>
    <w:r>
      <w:rPr>
        <w:rStyle w:val="PageNumber"/>
      </w:rPr>
      <w:t>Annexe IV, page</w:t>
    </w:r>
    <w:r>
      <w:t xml:space="preserve"> </w:t>
    </w:r>
    <w:sdt>
      <w:sdtPr>
        <w:id w:val="11710726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A5E26">
          <w:rPr>
            <w:noProof/>
          </w:rPr>
          <w:t>7</w:t>
        </w:r>
        <w:r>
          <w:rPr>
            <w:noProof/>
          </w:rPr>
          <w:fldChar w:fldCharType="end"/>
        </w:r>
      </w:sdtContent>
    </w:sdt>
  </w:p>
  <w:p w:rsidR="00E30244" w:rsidRDefault="00E30244">
    <w:pPr>
      <w:pStyle w:val="Header"/>
    </w:pPr>
  </w:p>
  <w:p w:rsidR="00E30244" w:rsidRDefault="00E30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D87"/>
    <w:multiLevelType w:val="hybridMultilevel"/>
    <w:tmpl w:val="3476DBF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521A2"/>
    <w:multiLevelType w:val="hybridMultilevel"/>
    <w:tmpl w:val="FBAEE3A2"/>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7295D"/>
    <w:multiLevelType w:val="multilevel"/>
    <w:tmpl w:val="ACCC8BE4"/>
    <w:lvl w:ilvl="0">
      <w:numFmt w:val="bullet"/>
      <w:lvlText w:val="-"/>
      <w:lvlJc w:val="left"/>
      <w:pPr>
        <w:ind w:left="720" w:hanging="360"/>
      </w:pPr>
      <w:rPr>
        <w:rFonts w:ascii="Calibri" w:eastAsia="SimSun" w:hAnsi="Calibri" w:cs="Century"/>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entury"/>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entury"/>
      </w:rPr>
    </w:lvl>
    <w:lvl w:ilvl="8">
      <w:numFmt w:val="bullet"/>
      <w:lvlText w:val=""/>
      <w:lvlJc w:val="left"/>
      <w:pPr>
        <w:ind w:left="6480" w:hanging="360"/>
      </w:pPr>
      <w:rPr>
        <w:rFonts w:ascii="Wingdings" w:hAnsi="Wingdings"/>
      </w:rPr>
    </w:lvl>
  </w:abstractNum>
  <w:abstractNum w:abstractNumId="3">
    <w:nsid w:val="06465E82"/>
    <w:multiLevelType w:val="hybridMultilevel"/>
    <w:tmpl w:val="EDFE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54FAF"/>
    <w:multiLevelType w:val="multilevel"/>
    <w:tmpl w:val="7542046C"/>
    <w:lvl w:ilvl="0">
      <w:start w:val="1"/>
      <w:numFmt w:val="lowerRoman"/>
      <w:lvlRestart w:val="0"/>
      <w:lvlText w:val="(%1)"/>
      <w:lvlJc w:val="left"/>
      <w:pPr>
        <w:tabs>
          <w:tab w:val="num" w:pos="567"/>
        </w:tabs>
        <w:ind w:left="567" w:firstLine="0"/>
      </w:pPr>
      <w:rPr>
        <w:rFonts w:ascii="Arial" w:eastAsia="SimSun" w:hAnsi="Arial" w:cs="Arial" w:hint="default"/>
        <w:color w:val="auto"/>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0A9D5641"/>
    <w:multiLevelType w:val="hybridMultilevel"/>
    <w:tmpl w:val="211EC2C4"/>
    <w:lvl w:ilvl="0" w:tplc="C4629B2C">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nsid w:val="0AB5055C"/>
    <w:multiLevelType w:val="hybridMultilevel"/>
    <w:tmpl w:val="ED5C7300"/>
    <w:lvl w:ilvl="0" w:tplc="310AC176">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AF6DF6"/>
    <w:multiLevelType w:val="hybridMultilevel"/>
    <w:tmpl w:val="85F0AD22"/>
    <w:lvl w:ilvl="0" w:tplc="4E82478C">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687982"/>
    <w:multiLevelType w:val="hybridMultilevel"/>
    <w:tmpl w:val="0C02E6CC"/>
    <w:lvl w:ilvl="0" w:tplc="0409000F">
      <w:start w:val="1"/>
      <w:numFmt w:val="decimal"/>
      <w:lvlText w:val="%1."/>
      <w:lvlJc w:val="left"/>
      <w:pPr>
        <w:ind w:left="56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414A1"/>
    <w:multiLevelType w:val="hybridMultilevel"/>
    <w:tmpl w:val="3FACF4FA"/>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B8017C"/>
    <w:multiLevelType w:val="hybridMultilevel"/>
    <w:tmpl w:val="45369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B4850"/>
    <w:multiLevelType w:val="hybridMultilevel"/>
    <w:tmpl w:val="3F04E45C"/>
    <w:lvl w:ilvl="0" w:tplc="8B129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F010BF"/>
    <w:multiLevelType w:val="hybridMultilevel"/>
    <w:tmpl w:val="4C384FF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F1CEC"/>
    <w:multiLevelType w:val="hybridMultilevel"/>
    <w:tmpl w:val="72941B8E"/>
    <w:lvl w:ilvl="0" w:tplc="0A5E3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77F56"/>
    <w:multiLevelType w:val="hybridMultilevel"/>
    <w:tmpl w:val="DCA0AA2C"/>
    <w:lvl w:ilvl="0" w:tplc="0409000F">
      <w:start w:val="1"/>
      <w:numFmt w:val="decimal"/>
      <w:lvlText w:val="%1."/>
      <w:lvlJc w:val="left"/>
      <w:pPr>
        <w:ind w:left="720" w:hanging="360"/>
      </w:pPr>
    </w:lvl>
    <w:lvl w:ilvl="1" w:tplc="C4629B2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DDB2E69"/>
    <w:multiLevelType w:val="hybridMultilevel"/>
    <w:tmpl w:val="1C02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64407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D7DB2"/>
    <w:multiLevelType w:val="hybridMultilevel"/>
    <w:tmpl w:val="5D6A0E64"/>
    <w:lvl w:ilvl="0" w:tplc="36DA94D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6515D3"/>
    <w:multiLevelType w:val="hybridMultilevel"/>
    <w:tmpl w:val="3852177C"/>
    <w:lvl w:ilvl="0" w:tplc="97CCF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8C7837"/>
    <w:multiLevelType w:val="hybridMultilevel"/>
    <w:tmpl w:val="49B2C470"/>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36451"/>
    <w:multiLevelType w:val="hybridMultilevel"/>
    <w:tmpl w:val="F2704170"/>
    <w:lvl w:ilvl="0" w:tplc="BF8AC8E2">
      <w:start w:val="1"/>
      <w:numFmt w:val="upp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73A4B65"/>
    <w:multiLevelType w:val="hybridMultilevel"/>
    <w:tmpl w:val="5FC4551C"/>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EE3A15"/>
    <w:multiLevelType w:val="hybridMultilevel"/>
    <w:tmpl w:val="C50299F4"/>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F544B3"/>
    <w:multiLevelType w:val="hybridMultilevel"/>
    <w:tmpl w:val="32FEA6BC"/>
    <w:lvl w:ilvl="0" w:tplc="E45C60F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7A13F6"/>
    <w:multiLevelType w:val="hybridMultilevel"/>
    <w:tmpl w:val="F1B8B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9946AE"/>
    <w:multiLevelType w:val="hybridMultilevel"/>
    <w:tmpl w:val="40684104"/>
    <w:lvl w:ilvl="0" w:tplc="76F6362A">
      <w:start w:val="5"/>
      <w:numFmt w:val="lowerRoman"/>
      <w:lvlText w:val="%1)"/>
      <w:lvlJc w:val="left"/>
      <w:pPr>
        <w:ind w:left="1287" w:hanging="720"/>
      </w:pPr>
      <w:rPr>
        <w:rFonts w:hint="default"/>
        <w:color w:val="00800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nsid w:val="55CB2233"/>
    <w:multiLevelType w:val="hybridMultilevel"/>
    <w:tmpl w:val="5B52E386"/>
    <w:lvl w:ilvl="0" w:tplc="46E04E88">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7E95259"/>
    <w:multiLevelType w:val="hybridMultilevel"/>
    <w:tmpl w:val="F976BA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AD4CB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1">
    <w:nsid w:val="5F510040"/>
    <w:multiLevelType w:val="hybridMultilevel"/>
    <w:tmpl w:val="82C2B77C"/>
    <w:lvl w:ilvl="0" w:tplc="2FAC24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9130F9"/>
    <w:multiLevelType w:val="hybridMultilevel"/>
    <w:tmpl w:val="C13E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6131C7"/>
    <w:multiLevelType w:val="hybridMultilevel"/>
    <w:tmpl w:val="C1321A76"/>
    <w:lvl w:ilvl="0" w:tplc="676C0BDC">
      <w:start w:val="1"/>
      <w:numFmt w:val="lowerLetter"/>
      <w:lvlText w:val="(%1)"/>
      <w:lvlJc w:val="left"/>
      <w:pPr>
        <w:ind w:left="1260" w:hanging="360"/>
      </w:pPr>
      <w:rPr>
        <w:rFonts w:ascii="Arial" w:eastAsia="SimSun"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nsid w:val="69F22637"/>
    <w:multiLevelType w:val="hybridMultilevel"/>
    <w:tmpl w:val="E946B53C"/>
    <w:lvl w:ilvl="0" w:tplc="8034DE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2F6ADD"/>
    <w:multiLevelType w:val="hybridMultilevel"/>
    <w:tmpl w:val="FA366E42"/>
    <w:lvl w:ilvl="0" w:tplc="969A32E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E450D9D"/>
    <w:multiLevelType w:val="hybridMultilevel"/>
    <w:tmpl w:val="B71C331A"/>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059C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BA0F9A"/>
    <w:multiLevelType w:val="hybridMultilevel"/>
    <w:tmpl w:val="43DA9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4D14E3B"/>
    <w:multiLevelType w:val="hybridMultilevel"/>
    <w:tmpl w:val="A40E451C"/>
    <w:lvl w:ilvl="0" w:tplc="751C53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2">
    <w:nsid w:val="784C5941"/>
    <w:multiLevelType w:val="hybridMultilevel"/>
    <w:tmpl w:val="E082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923E3A"/>
    <w:multiLevelType w:val="hybridMultilevel"/>
    <w:tmpl w:val="E9CCD5B6"/>
    <w:lvl w:ilvl="0" w:tplc="BDE47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CF46077"/>
    <w:multiLevelType w:val="hybridMultilevel"/>
    <w:tmpl w:val="1F0A3852"/>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6773EA"/>
    <w:multiLevelType w:val="hybridMultilevel"/>
    <w:tmpl w:val="4E2C4A82"/>
    <w:lvl w:ilvl="0" w:tplc="57D60132">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4"/>
  </w:num>
  <w:num w:numId="3">
    <w:abstractNumId w:val="29"/>
  </w:num>
  <w:num w:numId="4">
    <w:abstractNumId w:val="35"/>
  </w:num>
  <w:num w:numId="5">
    <w:abstractNumId w:val="23"/>
  </w:num>
  <w:num w:numId="6">
    <w:abstractNumId w:val="38"/>
  </w:num>
  <w:num w:numId="7">
    <w:abstractNumId w:val="17"/>
  </w:num>
  <w:num w:numId="8">
    <w:abstractNumId w:val="1"/>
  </w:num>
  <w:num w:numId="9">
    <w:abstractNumId w:val="24"/>
  </w:num>
  <w:num w:numId="10">
    <w:abstractNumId w:val="12"/>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num>
  <w:num w:numId="14">
    <w:abstractNumId w:val="15"/>
  </w:num>
  <w:num w:numId="15">
    <w:abstractNumId w:val="33"/>
  </w:num>
  <w:num w:numId="16">
    <w:abstractNumId w:val="5"/>
  </w:num>
  <w:num w:numId="17">
    <w:abstractNumId w:val="42"/>
  </w:num>
  <w:num w:numId="18">
    <w:abstractNumId w:val="45"/>
  </w:num>
  <w:num w:numId="19">
    <w:abstractNumId w:val="8"/>
  </w:num>
  <w:num w:numId="20">
    <w:abstractNumId w:val="25"/>
  </w:num>
  <w:num w:numId="21">
    <w:abstractNumId w:val="28"/>
  </w:num>
  <w:num w:numId="22">
    <w:abstractNumId w:val="9"/>
  </w:num>
  <w:num w:numId="23">
    <w:abstractNumId w:val="22"/>
  </w:num>
  <w:num w:numId="24">
    <w:abstractNumId w:val="0"/>
  </w:num>
  <w:num w:numId="25">
    <w:abstractNumId w:val="37"/>
  </w:num>
  <w:num w:numId="26">
    <w:abstractNumId w:val="2"/>
  </w:num>
  <w:num w:numId="27">
    <w:abstractNumId w:val="13"/>
  </w:num>
  <w:num w:numId="28">
    <w:abstractNumId w:val="20"/>
  </w:num>
  <w:num w:numId="29">
    <w:abstractNumId w:val="44"/>
  </w:num>
  <w:num w:numId="30">
    <w:abstractNumId w:val="10"/>
  </w:num>
  <w:num w:numId="31">
    <w:abstractNumId w:val="7"/>
  </w:num>
  <w:num w:numId="32">
    <w:abstractNumId w:val="11"/>
  </w:num>
  <w:num w:numId="33">
    <w:abstractNumId w:val="4"/>
  </w:num>
  <w:num w:numId="34">
    <w:abstractNumId w:val="19"/>
  </w:num>
  <w:num w:numId="35">
    <w:abstractNumId w:val="31"/>
  </w:num>
  <w:num w:numId="36">
    <w:abstractNumId w:val="39"/>
  </w:num>
  <w:num w:numId="37">
    <w:abstractNumId w:val="32"/>
  </w:num>
  <w:num w:numId="38">
    <w:abstractNumId w:val="16"/>
  </w:num>
  <w:num w:numId="39">
    <w:abstractNumId w:val="14"/>
  </w:num>
  <w:num w:numId="40">
    <w:abstractNumId w:val="40"/>
  </w:num>
  <w:num w:numId="41">
    <w:abstractNumId w:val="26"/>
  </w:num>
  <w:num w:numId="42">
    <w:abstractNumId w:val="43"/>
  </w:num>
  <w:num w:numId="43">
    <w:abstractNumId w:val="36"/>
  </w:num>
  <w:num w:numId="44">
    <w:abstractNumId w:val="6"/>
  </w:num>
  <w:num w:numId="45">
    <w:abstractNumId w:val="18"/>
  </w:num>
  <w:num w:numId="46">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2"/>
  </w:compat>
  <w:docVars>
    <w:docVar w:name="SourceLng" w:val="eng"/>
    <w:docVar w:name="TargetLng" w:val="fra"/>
    <w:docVar w:name="TermBases" w:val="Empty"/>
    <w:docVar w:name="TermBaseURL" w:val="empty"/>
    <w:docVar w:name="TextBases" w:val="Team Server TMs\French|TextBase TMs\WorkspaceFTS\Development\Development|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F0613B"/>
    <w:rsid w:val="0000134A"/>
    <w:rsid w:val="000014A5"/>
    <w:rsid w:val="00002037"/>
    <w:rsid w:val="000034CA"/>
    <w:rsid w:val="00003735"/>
    <w:rsid w:val="0000391D"/>
    <w:rsid w:val="00003C91"/>
    <w:rsid w:val="00004294"/>
    <w:rsid w:val="0000477A"/>
    <w:rsid w:val="00006AAC"/>
    <w:rsid w:val="000079C3"/>
    <w:rsid w:val="0001042C"/>
    <w:rsid w:val="00012DF6"/>
    <w:rsid w:val="00013ACF"/>
    <w:rsid w:val="0001541C"/>
    <w:rsid w:val="00017164"/>
    <w:rsid w:val="00017778"/>
    <w:rsid w:val="00017D25"/>
    <w:rsid w:val="00020127"/>
    <w:rsid w:val="00022803"/>
    <w:rsid w:val="00023A6F"/>
    <w:rsid w:val="000243D5"/>
    <w:rsid w:val="000249C8"/>
    <w:rsid w:val="00026CBF"/>
    <w:rsid w:val="000272FA"/>
    <w:rsid w:val="00027CB3"/>
    <w:rsid w:val="000309D4"/>
    <w:rsid w:val="000324D7"/>
    <w:rsid w:val="00032742"/>
    <w:rsid w:val="000343D3"/>
    <w:rsid w:val="000343E8"/>
    <w:rsid w:val="000349DA"/>
    <w:rsid w:val="0003514C"/>
    <w:rsid w:val="00043103"/>
    <w:rsid w:val="0004354B"/>
    <w:rsid w:val="00043B1A"/>
    <w:rsid w:val="000444E9"/>
    <w:rsid w:val="000476AF"/>
    <w:rsid w:val="00047C22"/>
    <w:rsid w:val="00050599"/>
    <w:rsid w:val="00051108"/>
    <w:rsid w:val="0005244B"/>
    <w:rsid w:val="00052561"/>
    <w:rsid w:val="00055037"/>
    <w:rsid w:val="00056ED3"/>
    <w:rsid w:val="00057664"/>
    <w:rsid w:val="00057D12"/>
    <w:rsid w:val="00060331"/>
    <w:rsid w:val="00061562"/>
    <w:rsid w:val="00062016"/>
    <w:rsid w:val="000624DF"/>
    <w:rsid w:val="00063DA0"/>
    <w:rsid w:val="000645E5"/>
    <w:rsid w:val="0006527D"/>
    <w:rsid w:val="000675F5"/>
    <w:rsid w:val="00067F44"/>
    <w:rsid w:val="00070838"/>
    <w:rsid w:val="000729FF"/>
    <w:rsid w:val="00075AE6"/>
    <w:rsid w:val="000770F6"/>
    <w:rsid w:val="000773C5"/>
    <w:rsid w:val="00080093"/>
    <w:rsid w:val="00081114"/>
    <w:rsid w:val="00081F27"/>
    <w:rsid w:val="000846B8"/>
    <w:rsid w:val="000853F1"/>
    <w:rsid w:val="000855F9"/>
    <w:rsid w:val="000858D8"/>
    <w:rsid w:val="00086234"/>
    <w:rsid w:val="0008743F"/>
    <w:rsid w:val="000900F8"/>
    <w:rsid w:val="000909B2"/>
    <w:rsid w:val="00091DC4"/>
    <w:rsid w:val="00095CF6"/>
    <w:rsid w:val="00095D71"/>
    <w:rsid w:val="00095EEE"/>
    <w:rsid w:val="00095FBC"/>
    <w:rsid w:val="00096574"/>
    <w:rsid w:val="00096675"/>
    <w:rsid w:val="0009674A"/>
    <w:rsid w:val="000970AC"/>
    <w:rsid w:val="000A0217"/>
    <w:rsid w:val="000A0D18"/>
    <w:rsid w:val="000A1197"/>
    <w:rsid w:val="000A150B"/>
    <w:rsid w:val="000A1A78"/>
    <w:rsid w:val="000A1D68"/>
    <w:rsid w:val="000A3AFD"/>
    <w:rsid w:val="000A3D5E"/>
    <w:rsid w:val="000A5DCC"/>
    <w:rsid w:val="000A5F86"/>
    <w:rsid w:val="000A7146"/>
    <w:rsid w:val="000A7DB1"/>
    <w:rsid w:val="000B0761"/>
    <w:rsid w:val="000B1C7A"/>
    <w:rsid w:val="000B1E08"/>
    <w:rsid w:val="000B3A6A"/>
    <w:rsid w:val="000B41BD"/>
    <w:rsid w:val="000B6F40"/>
    <w:rsid w:val="000B73ED"/>
    <w:rsid w:val="000C02DE"/>
    <w:rsid w:val="000C1173"/>
    <w:rsid w:val="000C1C07"/>
    <w:rsid w:val="000C2256"/>
    <w:rsid w:val="000C274B"/>
    <w:rsid w:val="000C4708"/>
    <w:rsid w:val="000C65C2"/>
    <w:rsid w:val="000C6E40"/>
    <w:rsid w:val="000C7A9B"/>
    <w:rsid w:val="000D028B"/>
    <w:rsid w:val="000D091A"/>
    <w:rsid w:val="000D0BCC"/>
    <w:rsid w:val="000D1EAF"/>
    <w:rsid w:val="000D23B0"/>
    <w:rsid w:val="000D251D"/>
    <w:rsid w:val="000D2831"/>
    <w:rsid w:val="000D43C9"/>
    <w:rsid w:val="000D4F99"/>
    <w:rsid w:val="000D5AC5"/>
    <w:rsid w:val="000D6515"/>
    <w:rsid w:val="000D65AF"/>
    <w:rsid w:val="000D69D1"/>
    <w:rsid w:val="000D702A"/>
    <w:rsid w:val="000D70C3"/>
    <w:rsid w:val="000D7282"/>
    <w:rsid w:val="000D7A32"/>
    <w:rsid w:val="000E1133"/>
    <w:rsid w:val="000E2DFC"/>
    <w:rsid w:val="000E3509"/>
    <w:rsid w:val="000E3BF3"/>
    <w:rsid w:val="000E46F5"/>
    <w:rsid w:val="000E74CB"/>
    <w:rsid w:val="000E7CFE"/>
    <w:rsid w:val="000F104F"/>
    <w:rsid w:val="000F27B9"/>
    <w:rsid w:val="000F2A10"/>
    <w:rsid w:val="000F3E18"/>
    <w:rsid w:val="000F4C94"/>
    <w:rsid w:val="000F5932"/>
    <w:rsid w:val="000F5E56"/>
    <w:rsid w:val="00100D3E"/>
    <w:rsid w:val="0010120A"/>
    <w:rsid w:val="00101BC5"/>
    <w:rsid w:val="00102035"/>
    <w:rsid w:val="00103FA1"/>
    <w:rsid w:val="0010428A"/>
    <w:rsid w:val="00104A15"/>
    <w:rsid w:val="00105C35"/>
    <w:rsid w:val="00105E79"/>
    <w:rsid w:val="00106464"/>
    <w:rsid w:val="0010667E"/>
    <w:rsid w:val="00107EF8"/>
    <w:rsid w:val="001102DD"/>
    <w:rsid w:val="00110501"/>
    <w:rsid w:val="00110931"/>
    <w:rsid w:val="001118FA"/>
    <w:rsid w:val="00112390"/>
    <w:rsid w:val="001144D7"/>
    <w:rsid w:val="00114BEB"/>
    <w:rsid w:val="00116DA4"/>
    <w:rsid w:val="00116E29"/>
    <w:rsid w:val="00120DF0"/>
    <w:rsid w:val="001212EF"/>
    <w:rsid w:val="001231A5"/>
    <w:rsid w:val="00123C77"/>
    <w:rsid w:val="0012630F"/>
    <w:rsid w:val="00126BB1"/>
    <w:rsid w:val="00126F01"/>
    <w:rsid w:val="00127A91"/>
    <w:rsid w:val="00127BC3"/>
    <w:rsid w:val="00131F16"/>
    <w:rsid w:val="001320FC"/>
    <w:rsid w:val="0013293A"/>
    <w:rsid w:val="00134834"/>
    <w:rsid w:val="00134CB2"/>
    <w:rsid w:val="00134FF8"/>
    <w:rsid w:val="001354BD"/>
    <w:rsid w:val="00136257"/>
    <w:rsid w:val="0013771A"/>
    <w:rsid w:val="00137770"/>
    <w:rsid w:val="001405FA"/>
    <w:rsid w:val="00140CCF"/>
    <w:rsid w:val="00142F55"/>
    <w:rsid w:val="0014310F"/>
    <w:rsid w:val="00143C7B"/>
    <w:rsid w:val="00144D4B"/>
    <w:rsid w:val="00144EAC"/>
    <w:rsid w:val="00145C74"/>
    <w:rsid w:val="001462C6"/>
    <w:rsid w:val="001465D9"/>
    <w:rsid w:val="00146DC7"/>
    <w:rsid w:val="00150121"/>
    <w:rsid w:val="001501DE"/>
    <w:rsid w:val="00150213"/>
    <w:rsid w:val="0015132E"/>
    <w:rsid w:val="001515E7"/>
    <w:rsid w:val="0015227A"/>
    <w:rsid w:val="00154D7B"/>
    <w:rsid w:val="0015502F"/>
    <w:rsid w:val="001551C2"/>
    <w:rsid w:val="00156955"/>
    <w:rsid w:val="00156E32"/>
    <w:rsid w:val="0016012B"/>
    <w:rsid w:val="00160164"/>
    <w:rsid w:val="001615D8"/>
    <w:rsid w:val="00161ACB"/>
    <w:rsid w:val="001624BB"/>
    <w:rsid w:val="001633E7"/>
    <w:rsid w:val="00163AA8"/>
    <w:rsid w:val="00163F16"/>
    <w:rsid w:val="00164CBD"/>
    <w:rsid w:val="00164F46"/>
    <w:rsid w:val="001662B7"/>
    <w:rsid w:val="00166451"/>
    <w:rsid w:val="00166A40"/>
    <w:rsid w:val="00166A63"/>
    <w:rsid w:val="0016760D"/>
    <w:rsid w:val="00171543"/>
    <w:rsid w:val="00171AD6"/>
    <w:rsid w:val="00173824"/>
    <w:rsid w:val="00173A27"/>
    <w:rsid w:val="00175572"/>
    <w:rsid w:val="00176B77"/>
    <w:rsid w:val="00176DC3"/>
    <w:rsid w:val="00176DD9"/>
    <w:rsid w:val="00177C88"/>
    <w:rsid w:val="0018063C"/>
    <w:rsid w:val="00184401"/>
    <w:rsid w:val="0018570F"/>
    <w:rsid w:val="001866C5"/>
    <w:rsid w:val="00186F65"/>
    <w:rsid w:val="00193415"/>
    <w:rsid w:val="001950AA"/>
    <w:rsid w:val="0019668C"/>
    <w:rsid w:val="001A32E9"/>
    <w:rsid w:val="001A339F"/>
    <w:rsid w:val="001A4D32"/>
    <w:rsid w:val="001A4E7C"/>
    <w:rsid w:val="001A5122"/>
    <w:rsid w:val="001A5142"/>
    <w:rsid w:val="001A5404"/>
    <w:rsid w:val="001B0654"/>
    <w:rsid w:val="001B0EEB"/>
    <w:rsid w:val="001B1467"/>
    <w:rsid w:val="001B2385"/>
    <w:rsid w:val="001B2C50"/>
    <w:rsid w:val="001B58F5"/>
    <w:rsid w:val="001B7D1A"/>
    <w:rsid w:val="001B7D29"/>
    <w:rsid w:val="001C0C0A"/>
    <w:rsid w:val="001C2386"/>
    <w:rsid w:val="001C4FA6"/>
    <w:rsid w:val="001C57E2"/>
    <w:rsid w:val="001C637A"/>
    <w:rsid w:val="001C6B2C"/>
    <w:rsid w:val="001C74EF"/>
    <w:rsid w:val="001C7643"/>
    <w:rsid w:val="001D07E9"/>
    <w:rsid w:val="001D0852"/>
    <w:rsid w:val="001D1140"/>
    <w:rsid w:val="001D1D7E"/>
    <w:rsid w:val="001D271B"/>
    <w:rsid w:val="001D3292"/>
    <w:rsid w:val="001D4D2F"/>
    <w:rsid w:val="001D60B1"/>
    <w:rsid w:val="001D64F7"/>
    <w:rsid w:val="001D6D2F"/>
    <w:rsid w:val="001E05A7"/>
    <w:rsid w:val="001E0805"/>
    <w:rsid w:val="001E1184"/>
    <w:rsid w:val="001E1417"/>
    <w:rsid w:val="001E1999"/>
    <w:rsid w:val="001E1FBB"/>
    <w:rsid w:val="001E2DAD"/>
    <w:rsid w:val="001E2EA1"/>
    <w:rsid w:val="001E464F"/>
    <w:rsid w:val="001E469B"/>
    <w:rsid w:val="001E7C5B"/>
    <w:rsid w:val="001F0763"/>
    <w:rsid w:val="001F2429"/>
    <w:rsid w:val="001F3239"/>
    <w:rsid w:val="001F4228"/>
    <w:rsid w:val="001F4666"/>
    <w:rsid w:val="001F5324"/>
    <w:rsid w:val="0020073A"/>
    <w:rsid w:val="002014D9"/>
    <w:rsid w:val="00202267"/>
    <w:rsid w:val="00202A13"/>
    <w:rsid w:val="00204B95"/>
    <w:rsid w:val="002053C1"/>
    <w:rsid w:val="002068E2"/>
    <w:rsid w:val="00206E06"/>
    <w:rsid w:val="0020704E"/>
    <w:rsid w:val="0021034E"/>
    <w:rsid w:val="002104CD"/>
    <w:rsid w:val="002121DD"/>
    <w:rsid w:val="00212573"/>
    <w:rsid w:val="00212DBB"/>
    <w:rsid w:val="0021553E"/>
    <w:rsid w:val="00216527"/>
    <w:rsid w:val="00216E2E"/>
    <w:rsid w:val="0021789D"/>
    <w:rsid w:val="00217CD8"/>
    <w:rsid w:val="00221237"/>
    <w:rsid w:val="00222BBC"/>
    <w:rsid w:val="0022390D"/>
    <w:rsid w:val="0022498D"/>
    <w:rsid w:val="002268C3"/>
    <w:rsid w:val="0022690D"/>
    <w:rsid w:val="002269B3"/>
    <w:rsid w:val="002269C9"/>
    <w:rsid w:val="00227786"/>
    <w:rsid w:val="00227B36"/>
    <w:rsid w:val="002309AC"/>
    <w:rsid w:val="00230C40"/>
    <w:rsid w:val="0023142F"/>
    <w:rsid w:val="0023305B"/>
    <w:rsid w:val="002331D7"/>
    <w:rsid w:val="002332B9"/>
    <w:rsid w:val="00233756"/>
    <w:rsid w:val="0023630F"/>
    <w:rsid w:val="00236589"/>
    <w:rsid w:val="002370D5"/>
    <w:rsid w:val="00237DF6"/>
    <w:rsid w:val="002400AD"/>
    <w:rsid w:val="002411E2"/>
    <w:rsid w:val="00242F50"/>
    <w:rsid w:val="0024346E"/>
    <w:rsid w:val="0024439A"/>
    <w:rsid w:val="00244D01"/>
    <w:rsid w:val="00244EF8"/>
    <w:rsid w:val="002453E3"/>
    <w:rsid w:val="00245588"/>
    <w:rsid w:val="00245C5A"/>
    <w:rsid w:val="00245D46"/>
    <w:rsid w:val="002478EB"/>
    <w:rsid w:val="00250075"/>
    <w:rsid w:val="00250629"/>
    <w:rsid w:val="00251420"/>
    <w:rsid w:val="002526BC"/>
    <w:rsid w:val="00252A43"/>
    <w:rsid w:val="002538DC"/>
    <w:rsid w:val="00254A04"/>
    <w:rsid w:val="00254DBB"/>
    <w:rsid w:val="002552A6"/>
    <w:rsid w:val="00256883"/>
    <w:rsid w:val="002576B0"/>
    <w:rsid w:val="00257A3D"/>
    <w:rsid w:val="00257E55"/>
    <w:rsid w:val="00260FE0"/>
    <w:rsid w:val="0026115F"/>
    <w:rsid w:val="00262058"/>
    <w:rsid w:val="00262DA6"/>
    <w:rsid w:val="00263F34"/>
    <w:rsid w:val="00264118"/>
    <w:rsid w:val="00264152"/>
    <w:rsid w:val="002649C5"/>
    <w:rsid w:val="00265350"/>
    <w:rsid w:val="00266C53"/>
    <w:rsid w:val="00267BE4"/>
    <w:rsid w:val="00271BB6"/>
    <w:rsid w:val="002724F5"/>
    <w:rsid w:val="00272CD8"/>
    <w:rsid w:val="00272D18"/>
    <w:rsid w:val="00272EF4"/>
    <w:rsid w:val="0027414A"/>
    <w:rsid w:val="00274D8E"/>
    <w:rsid w:val="002762E8"/>
    <w:rsid w:val="00277BC7"/>
    <w:rsid w:val="002800C6"/>
    <w:rsid w:val="00280E28"/>
    <w:rsid w:val="00282463"/>
    <w:rsid w:val="00282F9E"/>
    <w:rsid w:val="002830D1"/>
    <w:rsid w:val="002840D3"/>
    <w:rsid w:val="002859FB"/>
    <w:rsid w:val="00286D49"/>
    <w:rsid w:val="00287659"/>
    <w:rsid w:val="002936A6"/>
    <w:rsid w:val="0029527A"/>
    <w:rsid w:val="0029558A"/>
    <w:rsid w:val="00295E98"/>
    <w:rsid w:val="002960CA"/>
    <w:rsid w:val="00296D41"/>
    <w:rsid w:val="00297060"/>
    <w:rsid w:val="002A12C6"/>
    <w:rsid w:val="002A2243"/>
    <w:rsid w:val="002A60AA"/>
    <w:rsid w:val="002B0E6A"/>
    <w:rsid w:val="002B20C8"/>
    <w:rsid w:val="002B2E78"/>
    <w:rsid w:val="002B312A"/>
    <w:rsid w:val="002B4A41"/>
    <w:rsid w:val="002B68AA"/>
    <w:rsid w:val="002B7C89"/>
    <w:rsid w:val="002C1AFD"/>
    <w:rsid w:val="002C1CB6"/>
    <w:rsid w:val="002C25B0"/>
    <w:rsid w:val="002C2C93"/>
    <w:rsid w:val="002C355C"/>
    <w:rsid w:val="002C37A5"/>
    <w:rsid w:val="002C3BE0"/>
    <w:rsid w:val="002C61F6"/>
    <w:rsid w:val="002D1997"/>
    <w:rsid w:val="002D4343"/>
    <w:rsid w:val="002D4565"/>
    <w:rsid w:val="002D4F83"/>
    <w:rsid w:val="002D5152"/>
    <w:rsid w:val="002D6DB5"/>
    <w:rsid w:val="002D7E4D"/>
    <w:rsid w:val="002D7FB3"/>
    <w:rsid w:val="002E2400"/>
    <w:rsid w:val="002E2B12"/>
    <w:rsid w:val="002E3444"/>
    <w:rsid w:val="002E35D9"/>
    <w:rsid w:val="002E5A18"/>
    <w:rsid w:val="002E6394"/>
    <w:rsid w:val="002E6654"/>
    <w:rsid w:val="002F02A1"/>
    <w:rsid w:val="002F4EFB"/>
    <w:rsid w:val="002F57E2"/>
    <w:rsid w:val="002F6C9E"/>
    <w:rsid w:val="002F7D00"/>
    <w:rsid w:val="003001D3"/>
    <w:rsid w:val="0030101A"/>
    <w:rsid w:val="003018BA"/>
    <w:rsid w:val="003019A5"/>
    <w:rsid w:val="00301B95"/>
    <w:rsid w:val="00302049"/>
    <w:rsid w:val="003057BE"/>
    <w:rsid w:val="00306E74"/>
    <w:rsid w:val="00310206"/>
    <w:rsid w:val="003102CA"/>
    <w:rsid w:val="003119D1"/>
    <w:rsid w:val="00312128"/>
    <w:rsid w:val="0031212B"/>
    <w:rsid w:val="00313FE1"/>
    <w:rsid w:val="00315C4E"/>
    <w:rsid w:val="00316547"/>
    <w:rsid w:val="003178E0"/>
    <w:rsid w:val="00320DFF"/>
    <w:rsid w:val="00321608"/>
    <w:rsid w:val="003217AD"/>
    <w:rsid w:val="00321DBC"/>
    <w:rsid w:val="00321DF9"/>
    <w:rsid w:val="00321EAC"/>
    <w:rsid w:val="003249FE"/>
    <w:rsid w:val="003259ED"/>
    <w:rsid w:val="00325A2A"/>
    <w:rsid w:val="00326C7A"/>
    <w:rsid w:val="003271D3"/>
    <w:rsid w:val="003301D4"/>
    <w:rsid w:val="00333E6B"/>
    <w:rsid w:val="003340EC"/>
    <w:rsid w:val="00334404"/>
    <w:rsid w:val="003347C2"/>
    <w:rsid w:val="00334A96"/>
    <w:rsid w:val="00336909"/>
    <w:rsid w:val="00341819"/>
    <w:rsid w:val="00342CF4"/>
    <w:rsid w:val="00343A0F"/>
    <w:rsid w:val="00343CC5"/>
    <w:rsid w:val="00343FEE"/>
    <w:rsid w:val="00344711"/>
    <w:rsid w:val="00344733"/>
    <w:rsid w:val="003448E4"/>
    <w:rsid w:val="00344D39"/>
    <w:rsid w:val="0034516D"/>
    <w:rsid w:val="003451E8"/>
    <w:rsid w:val="00347E2A"/>
    <w:rsid w:val="00350454"/>
    <w:rsid w:val="003508F9"/>
    <w:rsid w:val="003523FC"/>
    <w:rsid w:val="00352945"/>
    <w:rsid w:val="0035347B"/>
    <w:rsid w:val="003556F2"/>
    <w:rsid w:val="00355C18"/>
    <w:rsid w:val="00355CE2"/>
    <w:rsid w:val="00356BB4"/>
    <w:rsid w:val="00356C78"/>
    <w:rsid w:val="00357458"/>
    <w:rsid w:val="00363314"/>
    <w:rsid w:val="003646C0"/>
    <w:rsid w:val="003655B3"/>
    <w:rsid w:val="0036624E"/>
    <w:rsid w:val="00371248"/>
    <w:rsid w:val="00373D1C"/>
    <w:rsid w:val="00374532"/>
    <w:rsid w:val="0037796F"/>
    <w:rsid w:val="00377BCD"/>
    <w:rsid w:val="0038068C"/>
    <w:rsid w:val="00380ADB"/>
    <w:rsid w:val="003825BA"/>
    <w:rsid w:val="003832A8"/>
    <w:rsid w:val="00383A33"/>
    <w:rsid w:val="00384983"/>
    <w:rsid w:val="00384F36"/>
    <w:rsid w:val="00385CD9"/>
    <w:rsid w:val="00386439"/>
    <w:rsid w:val="00386688"/>
    <w:rsid w:val="00386BDB"/>
    <w:rsid w:val="00387B98"/>
    <w:rsid w:val="003915CA"/>
    <w:rsid w:val="0039193A"/>
    <w:rsid w:val="0039238F"/>
    <w:rsid w:val="00392D42"/>
    <w:rsid w:val="00392F66"/>
    <w:rsid w:val="00393C84"/>
    <w:rsid w:val="0039550E"/>
    <w:rsid w:val="00396066"/>
    <w:rsid w:val="00396EC6"/>
    <w:rsid w:val="00397A65"/>
    <w:rsid w:val="003A1292"/>
    <w:rsid w:val="003A172F"/>
    <w:rsid w:val="003A197D"/>
    <w:rsid w:val="003A1D9B"/>
    <w:rsid w:val="003A2B3E"/>
    <w:rsid w:val="003A4AA3"/>
    <w:rsid w:val="003A4ABB"/>
    <w:rsid w:val="003A621D"/>
    <w:rsid w:val="003B0DC1"/>
    <w:rsid w:val="003B0E26"/>
    <w:rsid w:val="003B1F73"/>
    <w:rsid w:val="003B257F"/>
    <w:rsid w:val="003B30CD"/>
    <w:rsid w:val="003B31F0"/>
    <w:rsid w:val="003B3832"/>
    <w:rsid w:val="003B4D3D"/>
    <w:rsid w:val="003B569B"/>
    <w:rsid w:val="003B59F7"/>
    <w:rsid w:val="003B5A47"/>
    <w:rsid w:val="003B600C"/>
    <w:rsid w:val="003B749B"/>
    <w:rsid w:val="003B7625"/>
    <w:rsid w:val="003C240F"/>
    <w:rsid w:val="003C4798"/>
    <w:rsid w:val="003C4D6B"/>
    <w:rsid w:val="003C6002"/>
    <w:rsid w:val="003D1024"/>
    <w:rsid w:val="003D360E"/>
    <w:rsid w:val="003D396C"/>
    <w:rsid w:val="003D547D"/>
    <w:rsid w:val="003D6FF0"/>
    <w:rsid w:val="003D7806"/>
    <w:rsid w:val="003E01F1"/>
    <w:rsid w:val="003E0BB0"/>
    <w:rsid w:val="003E1536"/>
    <w:rsid w:val="003E392D"/>
    <w:rsid w:val="003E55D0"/>
    <w:rsid w:val="003E5AE0"/>
    <w:rsid w:val="003F2E28"/>
    <w:rsid w:val="003F4080"/>
    <w:rsid w:val="003F5360"/>
    <w:rsid w:val="003F54E3"/>
    <w:rsid w:val="003F56AC"/>
    <w:rsid w:val="003F6B09"/>
    <w:rsid w:val="003F7401"/>
    <w:rsid w:val="0040293B"/>
    <w:rsid w:val="004034FD"/>
    <w:rsid w:val="004040CE"/>
    <w:rsid w:val="004044B7"/>
    <w:rsid w:val="00404531"/>
    <w:rsid w:val="00404662"/>
    <w:rsid w:val="004047DE"/>
    <w:rsid w:val="00404FA5"/>
    <w:rsid w:val="0040525C"/>
    <w:rsid w:val="0040587E"/>
    <w:rsid w:val="004059CD"/>
    <w:rsid w:val="00405B32"/>
    <w:rsid w:val="00405E37"/>
    <w:rsid w:val="00405FEB"/>
    <w:rsid w:val="0040653B"/>
    <w:rsid w:val="00406CF9"/>
    <w:rsid w:val="0040736C"/>
    <w:rsid w:val="0041334A"/>
    <w:rsid w:val="00413B13"/>
    <w:rsid w:val="00414833"/>
    <w:rsid w:val="00414D79"/>
    <w:rsid w:val="00415490"/>
    <w:rsid w:val="0041697C"/>
    <w:rsid w:val="00425159"/>
    <w:rsid w:val="00425993"/>
    <w:rsid w:val="0042701F"/>
    <w:rsid w:val="00427111"/>
    <w:rsid w:val="004274F0"/>
    <w:rsid w:val="00431118"/>
    <w:rsid w:val="00431C6A"/>
    <w:rsid w:val="004334B3"/>
    <w:rsid w:val="0043583A"/>
    <w:rsid w:val="00435CE4"/>
    <w:rsid w:val="004360D9"/>
    <w:rsid w:val="0043740F"/>
    <w:rsid w:val="00441312"/>
    <w:rsid w:val="004415FB"/>
    <w:rsid w:val="0044181F"/>
    <w:rsid w:val="00442405"/>
    <w:rsid w:val="0044267F"/>
    <w:rsid w:val="00443301"/>
    <w:rsid w:val="00444647"/>
    <w:rsid w:val="00444E2C"/>
    <w:rsid w:val="00446A90"/>
    <w:rsid w:val="004506AF"/>
    <w:rsid w:val="00450E13"/>
    <w:rsid w:val="00453695"/>
    <w:rsid w:val="00455B77"/>
    <w:rsid w:val="00455C34"/>
    <w:rsid w:val="00455C93"/>
    <w:rsid w:val="004565D9"/>
    <w:rsid w:val="00456839"/>
    <w:rsid w:val="00457AA0"/>
    <w:rsid w:val="0046055C"/>
    <w:rsid w:val="004610FD"/>
    <w:rsid w:val="004614B9"/>
    <w:rsid w:val="004621F4"/>
    <w:rsid w:val="004639CB"/>
    <w:rsid w:val="00464EC8"/>
    <w:rsid w:val="004677E3"/>
    <w:rsid w:val="00471171"/>
    <w:rsid w:val="00472D67"/>
    <w:rsid w:val="004733D4"/>
    <w:rsid w:val="004738AE"/>
    <w:rsid w:val="00475251"/>
    <w:rsid w:val="00480C5B"/>
    <w:rsid w:val="004817B6"/>
    <w:rsid w:val="00484A5B"/>
    <w:rsid w:val="004853BF"/>
    <w:rsid w:val="0048581F"/>
    <w:rsid w:val="00490617"/>
    <w:rsid w:val="004914FE"/>
    <w:rsid w:val="00492634"/>
    <w:rsid w:val="00493249"/>
    <w:rsid w:val="00494A24"/>
    <w:rsid w:val="00496160"/>
    <w:rsid w:val="004A07BB"/>
    <w:rsid w:val="004A30FA"/>
    <w:rsid w:val="004A36DA"/>
    <w:rsid w:val="004A5FE4"/>
    <w:rsid w:val="004B0AD3"/>
    <w:rsid w:val="004B14A2"/>
    <w:rsid w:val="004B2A8A"/>
    <w:rsid w:val="004B2BB5"/>
    <w:rsid w:val="004B2DA5"/>
    <w:rsid w:val="004B32B0"/>
    <w:rsid w:val="004B49F8"/>
    <w:rsid w:val="004B716E"/>
    <w:rsid w:val="004C0AD8"/>
    <w:rsid w:val="004C1ED2"/>
    <w:rsid w:val="004C270D"/>
    <w:rsid w:val="004C2728"/>
    <w:rsid w:val="004C2A41"/>
    <w:rsid w:val="004C2F5D"/>
    <w:rsid w:val="004C41C7"/>
    <w:rsid w:val="004C476B"/>
    <w:rsid w:val="004C4F41"/>
    <w:rsid w:val="004C5416"/>
    <w:rsid w:val="004C5944"/>
    <w:rsid w:val="004C79AA"/>
    <w:rsid w:val="004D0618"/>
    <w:rsid w:val="004D074C"/>
    <w:rsid w:val="004D21C2"/>
    <w:rsid w:val="004D5026"/>
    <w:rsid w:val="004D5418"/>
    <w:rsid w:val="004D5823"/>
    <w:rsid w:val="004D6483"/>
    <w:rsid w:val="004D7ACC"/>
    <w:rsid w:val="004E19FF"/>
    <w:rsid w:val="004E1ADC"/>
    <w:rsid w:val="004E2FBA"/>
    <w:rsid w:val="004E31D0"/>
    <w:rsid w:val="004E3640"/>
    <w:rsid w:val="004E6D11"/>
    <w:rsid w:val="004E7C4D"/>
    <w:rsid w:val="004F05CE"/>
    <w:rsid w:val="004F0BE7"/>
    <w:rsid w:val="004F316F"/>
    <w:rsid w:val="004F36A5"/>
    <w:rsid w:val="004F5C42"/>
    <w:rsid w:val="0050034D"/>
    <w:rsid w:val="00501085"/>
    <w:rsid w:val="00501BD7"/>
    <w:rsid w:val="005024A0"/>
    <w:rsid w:val="0050279E"/>
    <w:rsid w:val="005056E7"/>
    <w:rsid w:val="00505A97"/>
    <w:rsid w:val="0050622E"/>
    <w:rsid w:val="00506356"/>
    <w:rsid w:val="00510673"/>
    <w:rsid w:val="00510DDA"/>
    <w:rsid w:val="0051223F"/>
    <w:rsid w:val="00514055"/>
    <w:rsid w:val="00514BF8"/>
    <w:rsid w:val="00514F84"/>
    <w:rsid w:val="0051564A"/>
    <w:rsid w:val="00516260"/>
    <w:rsid w:val="00520666"/>
    <w:rsid w:val="005214A1"/>
    <w:rsid w:val="00521AB9"/>
    <w:rsid w:val="00524376"/>
    <w:rsid w:val="00524399"/>
    <w:rsid w:val="00526FCB"/>
    <w:rsid w:val="00527254"/>
    <w:rsid w:val="00527DE2"/>
    <w:rsid w:val="00530B6E"/>
    <w:rsid w:val="00531010"/>
    <w:rsid w:val="005311B2"/>
    <w:rsid w:val="005312B3"/>
    <w:rsid w:val="0053163D"/>
    <w:rsid w:val="00532599"/>
    <w:rsid w:val="0053266D"/>
    <w:rsid w:val="005327AF"/>
    <w:rsid w:val="0053460D"/>
    <w:rsid w:val="005350F2"/>
    <w:rsid w:val="00536CDB"/>
    <w:rsid w:val="00540B48"/>
    <w:rsid w:val="00541FF8"/>
    <w:rsid w:val="00542684"/>
    <w:rsid w:val="005443A6"/>
    <w:rsid w:val="0054549A"/>
    <w:rsid w:val="00545819"/>
    <w:rsid w:val="00550F40"/>
    <w:rsid w:val="00551003"/>
    <w:rsid w:val="00551687"/>
    <w:rsid w:val="00551E2A"/>
    <w:rsid w:val="00553B1C"/>
    <w:rsid w:val="00554007"/>
    <w:rsid w:val="00554991"/>
    <w:rsid w:val="00556E0D"/>
    <w:rsid w:val="0055712D"/>
    <w:rsid w:val="005603F3"/>
    <w:rsid w:val="00560B8C"/>
    <w:rsid w:val="00561A59"/>
    <w:rsid w:val="00561E6E"/>
    <w:rsid w:val="00561EA1"/>
    <w:rsid w:val="00562131"/>
    <w:rsid w:val="00564BD9"/>
    <w:rsid w:val="00564C30"/>
    <w:rsid w:val="00564D3F"/>
    <w:rsid w:val="00564E7D"/>
    <w:rsid w:val="0056519E"/>
    <w:rsid w:val="00565266"/>
    <w:rsid w:val="00565374"/>
    <w:rsid w:val="005656BA"/>
    <w:rsid w:val="00565FAA"/>
    <w:rsid w:val="0056694E"/>
    <w:rsid w:val="00566E4B"/>
    <w:rsid w:val="00566F90"/>
    <w:rsid w:val="00570D65"/>
    <w:rsid w:val="005711DB"/>
    <w:rsid w:val="0057122A"/>
    <w:rsid w:val="00572CA1"/>
    <w:rsid w:val="0057466D"/>
    <w:rsid w:val="00575B1A"/>
    <w:rsid w:val="005766A2"/>
    <w:rsid w:val="005769B2"/>
    <w:rsid w:val="00577ACB"/>
    <w:rsid w:val="00577B98"/>
    <w:rsid w:val="00580BEE"/>
    <w:rsid w:val="00580DA1"/>
    <w:rsid w:val="005818A8"/>
    <w:rsid w:val="00582749"/>
    <w:rsid w:val="00585E99"/>
    <w:rsid w:val="00591D39"/>
    <w:rsid w:val="0059241C"/>
    <w:rsid w:val="00592898"/>
    <w:rsid w:val="00594A61"/>
    <w:rsid w:val="005954B4"/>
    <w:rsid w:val="0059592F"/>
    <w:rsid w:val="00595A91"/>
    <w:rsid w:val="00595BE1"/>
    <w:rsid w:val="005966AF"/>
    <w:rsid w:val="00597399"/>
    <w:rsid w:val="005A011D"/>
    <w:rsid w:val="005A1F75"/>
    <w:rsid w:val="005A3838"/>
    <w:rsid w:val="005A51DE"/>
    <w:rsid w:val="005A5633"/>
    <w:rsid w:val="005A6F05"/>
    <w:rsid w:val="005B124B"/>
    <w:rsid w:val="005B28ED"/>
    <w:rsid w:val="005B2AA6"/>
    <w:rsid w:val="005B2ED2"/>
    <w:rsid w:val="005B3C9F"/>
    <w:rsid w:val="005B4453"/>
    <w:rsid w:val="005B49E4"/>
    <w:rsid w:val="005B5B80"/>
    <w:rsid w:val="005B68E4"/>
    <w:rsid w:val="005B6D1C"/>
    <w:rsid w:val="005B70D3"/>
    <w:rsid w:val="005B775F"/>
    <w:rsid w:val="005C081A"/>
    <w:rsid w:val="005C0F63"/>
    <w:rsid w:val="005C4142"/>
    <w:rsid w:val="005C6F30"/>
    <w:rsid w:val="005C707F"/>
    <w:rsid w:val="005C71A4"/>
    <w:rsid w:val="005D02D6"/>
    <w:rsid w:val="005D0BA5"/>
    <w:rsid w:val="005D4FA6"/>
    <w:rsid w:val="005D6817"/>
    <w:rsid w:val="005D78FB"/>
    <w:rsid w:val="005D7A6F"/>
    <w:rsid w:val="005E0EAB"/>
    <w:rsid w:val="005E1328"/>
    <w:rsid w:val="005E188A"/>
    <w:rsid w:val="005E1F5E"/>
    <w:rsid w:val="005E3A1A"/>
    <w:rsid w:val="005E5517"/>
    <w:rsid w:val="005E6718"/>
    <w:rsid w:val="005E6F3B"/>
    <w:rsid w:val="005E7F7A"/>
    <w:rsid w:val="005F1BEF"/>
    <w:rsid w:val="005F3FA4"/>
    <w:rsid w:val="005F4D5F"/>
    <w:rsid w:val="005F5E79"/>
    <w:rsid w:val="005F6614"/>
    <w:rsid w:val="005F7AB1"/>
    <w:rsid w:val="006013CB"/>
    <w:rsid w:val="006031CF"/>
    <w:rsid w:val="00604564"/>
    <w:rsid w:val="00604D00"/>
    <w:rsid w:val="00607C57"/>
    <w:rsid w:val="00607CED"/>
    <w:rsid w:val="00610223"/>
    <w:rsid w:val="00610971"/>
    <w:rsid w:val="00610B22"/>
    <w:rsid w:val="0061135C"/>
    <w:rsid w:val="00611EDD"/>
    <w:rsid w:val="006127E2"/>
    <w:rsid w:val="00614090"/>
    <w:rsid w:val="006141C2"/>
    <w:rsid w:val="00614861"/>
    <w:rsid w:val="006210CE"/>
    <w:rsid w:val="00621295"/>
    <w:rsid w:val="0062164A"/>
    <w:rsid w:val="006222F5"/>
    <w:rsid w:val="00623074"/>
    <w:rsid w:val="00623E04"/>
    <w:rsid w:val="00624A6F"/>
    <w:rsid w:val="00625287"/>
    <w:rsid w:val="00626866"/>
    <w:rsid w:val="00630D03"/>
    <w:rsid w:val="00630D23"/>
    <w:rsid w:val="00630E00"/>
    <w:rsid w:val="00630F14"/>
    <w:rsid w:val="0063175C"/>
    <w:rsid w:val="00631B4A"/>
    <w:rsid w:val="0063341D"/>
    <w:rsid w:val="00636673"/>
    <w:rsid w:val="0064192D"/>
    <w:rsid w:val="00641FED"/>
    <w:rsid w:val="00643641"/>
    <w:rsid w:val="006436F0"/>
    <w:rsid w:val="006457E9"/>
    <w:rsid w:val="006468FA"/>
    <w:rsid w:val="006510BE"/>
    <w:rsid w:val="00654C35"/>
    <w:rsid w:val="00655011"/>
    <w:rsid w:val="00655968"/>
    <w:rsid w:val="0065700A"/>
    <w:rsid w:val="00661D92"/>
    <w:rsid w:val="00662D3E"/>
    <w:rsid w:val="0066454B"/>
    <w:rsid w:val="006659EA"/>
    <w:rsid w:val="0066633D"/>
    <w:rsid w:val="00667522"/>
    <w:rsid w:val="00667F07"/>
    <w:rsid w:val="00673984"/>
    <w:rsid w:val="0067705B"/>
    <w:rsid w:val="006800BC"/>
    <w:rsid w:val="006804B3"/>
    <w:rsid w:val="006812F1"/>
    <w:rsid w:val="00682507"/>
    <w:rsid w:val="00682784"/>
    <w:rsid w:val="00682852"/>
    <w:rsid w:val="00682DF2"/>
    <w:rsid w:val="00684DC5"/>
    <w:rsid w:val="00686C2F"/>
    <w:rsid w:val="00687026"/>
    <w:rsid w:val="006879BB"/>
    <w:rsid w:val="00690783"/>
    <w:rsid w:val="00691311"/>
    <w:rsid w:val="00693204"/>
    <w:rsid w:val="00693EB4"/>
    <w:rsid w:val="006943A7"/>
    <w:rsid w:val="00694D43"/>
    <w:rsid w:val="00697DFF"/>
    <w:rsid w:val="006A030A"/>
    <w:rsid w:val="006A08E2"/>
    <w:rsid w:val="006A1197"/>
    <w:rsid w:val="006A228D"/>
    <w:rsid w:val="006A2892"/>
    <w:rsid w:val="006A4632"/>
    <w:rsid w:val="006A4DB5"/>
    <w:rsid w:val="006A6846"/>
    <w:rsid w:val="006A766F"/>
    <w:rsid w:val="006A7AA7"/>
    <w:rsid w:val="006B164F"/>
    <w:rsid w:val="006B2342"/>
    <w:rsid w:val="006B24E1"/>
    <w:rsid w:val="006B33F3"/>
    <w:rsid w:val="006B3F9B"/>
    <w:rsid w:val="006B409A"/>
    <w:rsid w:val="006B42AF"/>
    <w:rsid w:val="006B42FE"/>
    <w:rsid w:val="006B50CC"/>
    <w:rsid w:val="006B5521"/>
    <w:rsid w:val="006B5838"/>
    <w:rsid w:val="006B5AFD"/>
    <w:rsid w:val="006B5B80"/>
    <w:rsid w:val="006B73D6"/>
    <w:rsid w:val="006C1C9E"/>
    <w:rsid w:val="006C289F"/>
    <w:rsid w:val="006C35E0"/>
    <w:rsid w:val="006C413D"/>
    <w:rsid w:val="006C43E6"/>
    <w:rsid w:val="006C658F"/>
    <w:rsid w:val="006C6A8C"/>
    <w:rsid w:val="006C744E"/>
    <w:rsid w:val="006C7A62"/>
    <w:rsid w:val="006D1F51"/>
    <w:rsid w:val="006D48A9"/>
    <w:rsid w:val="006D4B68"/>
    <w:rsid w:val="006D4C53"/>
    <w:rsid w:val="006D5BD0"/>
    <w:rsid w:val="006D631B"/>
    <w:rsid w:val="006E03C5"/>
    <w:rsid w:val="006E1070"/>
    <w:rsid w:val="006E1DDD"/>
    <w:rsid w:val="006E1E81"/>
    <w:rsid w:val="006E1F8A"/>
    <w:rsid w:val="006E3376"/>
    <w:rsid w:val="006E5237"/>
    <w:rsid w:val="006E69BF"/>
    <w:rsid w:val="006E7563"/>
    <w:rsid w:val="006F08C0"/>
    <w:rsid w:val="006F0B33"/>
    <w:rsid w:val="006F18C6"/>
    <w:rsid w:val="006F2F12"/>
    <w:rsid w:val="006F50F7"/>
    <w:rsid w:val="006F6363"/>
    <w:rsid w:val="006F74BF"/>
    <w:rsid w:val="006F7B49"/>
    <w:rsid w:val="00700119"/>
    <w:rsid w:val="00702C3A"/>
    <w:rsid w:val="00702F66"/>
    <w:rsid w:val="00704614"/>
    <w:rsid w:val="00707B10"/>
    <w:rsid w:val="00710DFE"/>
    <w:rsid w:val="007129F8"/>
    <w:rsid w:val="00713EEA"/>
    <w:rsid w:val="00714BF4"/>
    <w:rsid w:val="007179E6"/>
    <w:rsid w:val="00717C93"/>
    <w:rsid w:val="007206A2"/>
    <w:rsid w:val="00720EE2"/>
    <w:rsid w:val="00721566"/>
    <w:rsid w:val="00722002"/>
    <w:rsid w:val="0072394F"/>
    <w:rsid w:val="0072513F"/>
    <w:rsid w:val="0072661C"/>
    <w:rsid w:val="007267C3"/>
    <w:rsid w:val="00731F73"/>
    <w:rsid w:val="007323E1"/>
    <w:rsid w:val="0073274D"/>
    <w:rsid w:val="00732923"/>
    <w:rsid w:val="00734F59"/>
    <w:rsid w:val="0073585B"/>
    <w:rsid w:val="00735B57"/>
    <w:rsid w:val="00735FF8"/>
    <w:rsid w:val="00736214"/>
    <w:rsid w:val="00736FDF"/>
    <w:rsid w:val="0074032D"/>
    <w:rsid w:val="007426E9"/>
    <w:rsid w:val="00742C57"/>
    <w:rsid w:val="00742DFB"/>
    <w:rsid w:val="00743C03"/>
    <w:rsid w:val="0074441B"/>
    <w:rsid w:val="00744CF7"/>
    <w:rsid w:val="00744E37"/>
    <w:rsid w:val="0074524E"/>
    <w:rsid w:val="007462E4"/>
    <w:rsid w:val="007464DD"/>
    <w:rsid w:val="00746931"/>
    <w:rsid w:val="0075028B"/>
    <w:rsid w:val="00750EB5"/>
    <w:rsid w:val="0075134B"/>
    <w:rsid w:val="0075230F"/>
    <w:rsid w:val="00752800"/>
    <w:rsid w:val="00753637"/>
    <w:rsid w:val="00754D57"/>
    <w:rsid w:val="00755496"/>
    <w:rsid w:val="00757A27"/>
    <w:rsid w:val="00760B3A"/>
    <w:rsid w:val="0076148E"/>
    <w:rsid w:val="00761891"/>
    <w:rsid w:val="00761C61"/>
    <w:rsid w:val="00762AC0"/>
    <w:rsid w:val="00762B20"/>
    <w:rsid w:val="00763158"/>
    <w:rsid w:val="00765837"/>
    <w:rsid w:val="00765D53"/>
    <w:rsid w:val="00766AD1"/>
    <w:rsid w:val="00766DF9"/>
    <w:rsid w:val="007705BF"/>
    <w:rsid w:val="00770ED1"/>
    <w:rsid w:val="007717F4"/>
    <w:rsid w:val="00773EBC"/>
    <w:rsid w:val="007748EF"/>
    <w:rsid w:val="00774A74"/>
    <w:rsid w:val="00774BE7"/>
    <w:rsid w:val="00775D5C"/>
    <w:rsid w:val="00775FF2"/>
    <w:rsid w:val="00780865"/>
    <w:rsid w:val="00780AF0"/>
    <w:rsid w:val="00780CEE"/>
    <w:rsid w:val="00782DCC"/>
    <w:rsid w:val="00782DEB"/>
    <w:rsid w:val="007833F6"/>
    <w:rsid w:val="00784EF2"/>
    <w:rsid w:val="007864B9"/>
    <w:rsid w:val="00786671"/>
    <w:rsid w:val="007869CF"/>
    <w:rsid w:val="00787FCA"/>
    <w:rsid w:val="007910FF"/>
    <w:rsid w:val="00792641"/>
    <w:rsid w:val="00792B01"/>
    <w:rsid w:val="00794918"/>
    <w:rsid w:val="0079542E"/>
    <w:rsid w:val="007957F5"/>
    <w:rsid w:val="007A0EAC"/>
    <w:rsid w:val="007A1704"/>
    <w:rsid w:val="007A2097"/>
    <w:rsid w:val="007A2626"/>
    <w:rsid w:val="007A2782"/>
    <w:rsid w:val="007A3233"/>
    <w:rsid w:val="007A438E"/>
    <w:rsid w:val="007A4689"/>
    <w:rsid w:val="007A599A"/>
    <w:rsid w:val="007A5E26"/>
    <w:rsid w:val="007A7CB9"/>
    <w:rsid w:val="007B0153"/>
    <w:rsid w:val="007B0430"/>
    <w:rsid w:val="007B240C"/>
    <w:rsid w:val="007B290F"/>
    <w:rsid w:val="007B3658"/>
    <w:rsid w:val="007B5E09"/>
    <w:rsid w:val="007B6186"/>
    <w:rsid w:val="007B6A31"/>
    <w:rsid w:val="007B7962"/>
    <w:rsid w:val="007C0A48"/>
    <w:rsid w:val="007C1842"/>
    <w:rsid w:val="007C1AE2"/>
    <w:rsid w:val="007C1F8A"/>
    <w:rsid w:val="007C2DFE"/>
    <w:rsid w:val="007C3612"/>
    <w:rsid w:val="007C493F"/>
    <w:rsid w:val="007C5A5F"/>
    <w:rsid w:val="007C6A8B"/>
    <w:rsid w:val="007C7EC5"/>
    <w:rsid w:val="007D06A8"/>
    <w:rsid w:val="007D0B0C"/>
    <w:rsid w:val="007D0E65"/>
    <w:rsid w:val="007D152A"/>
    <w:rsid w:val="007D1C0D"/>
    <w:rsid w:val="007D394C"/>
    <w:rsid w:val="007D3973"/>
    <w:rsid w:val="007D53C7"/>
    <w:rsid w:val="007D541E"/>
    <w:rsid w:val="007D556D"/>
    <w:rsid w:val="007D79BD"/>
    <w:rsid w:val="007E15D3"/>
    <w:rsid w:val="007E1677"/>
    <w:rsid w:val="007E26C6"/>
    <w:rsid w:val="007E34AE"/>
    <w:rsid w:val="007E4691"/>
    <w:rsid w:val="007E5216"/>
    <w:rsid w:val="007E7417"/>
    <w:rsid w:val="007F1168"/>
    <w:rsid w:val="007F12D8"/>
    <w:rsid w:val="007F3486"/>
    <w:rsid w:val="007F3CF1"/>
    <w:rsid w:val="007F3EE2"/>
    <w:rsid w:val="007F4899"/>
    <w:rsid w:val="007F4A85"/>
    <w:rsid w:val="007F65F0"/>
    <w:rsid w:val="007F7385"/>
    <w:rsid w:val="007F7C70"/>
    <w:rsid w:val="007F7E4C"/>
    <w:rsid w:val="0080001D"/>
    <w:rsid w:val="00801EDA"/>
    <w:rsid w:val="00802709"/>
    <w:rsid w:val="008034E6"/>
    <w:rsid w:val="008037FE"/>
    <w:rsid w:val="008048E7"/>
    <w:rsid w:val="00804DB7"/>
    <w:rsid w:val="0080782C"/>
    <w:rsid w:val="00810597"/>
    <w:rsid w:val="00810AD2"/>
    <w:rsid w:val="00812B38"/>
    <w:rsid w:val="0081313D"/>
    <w:rsid w:val="008132C7"/>
    <w:rsid w:val="00814432"/>
    <w:rsid w:val="008156F9"/>
    <w:rsid w:val="00816AC0"/>
    <w:rsid w:val="00817C1E"/>
    <w:rsid w:val="00817E72"/>
    <w:rsid w:val="00820D36"/>
    <w:rsid w:val="00822082"/>
    <w:rsid w:val="0082439C"/>
    <w:rsid w:val="0082448F"/>
    <w:rsid w:val="0082577B"/>
    <w:rsid w:val="00825F11"/>
    <w:rsid w:val="00826BB8"/>
    <w:rsid w:val="00826CE5"/>
    <w:rsid w:val="00826F80"/>
    <w:rsid w:val="00831862"/>
    <w:rsid w:val="0083204C"/>
    <w:rsid w:val="008343DD"/>
    <w:rsid w:val="00834603"/>
    <w:rsid w:val="00834DAF"/>
    <w:rsid w:val="008351B5"/>
    <w:rsid w:val="00835B85"/>
    <w:rsid w:val="00837EC4"/>
    <w:rsid w:val="00841956"/>
    <w:rsid w:val="00841D18"/>
    <w:rsid w:val="00843040"/>
    <w:rsid w:val="00843A08"/>
    <w:rsid w:val="00844E5F"/>
    <w:rsid w:val="00846243"/>
    <w:rsid w:val="0084758C"/>
    <w:rsid w:val="00847CC2"/>
    <w:rsid w:val="00847EED"/>
    <w:rsid w:val="008522BA"/>
    <w:rsid w:val="008535E5"/>
    <w:rsid w:val="008536AB"/>
    <w:rsid w:val="0085444D"/>
    <w:rsid w:val="00854C65"/>
    <w:rsid w:val="00855FC8"/>
    <w:rsid w:val="008578B2"/>
    <w:rsid w:val="00861A56"/>
    <w:rsid w:val="00862A59"/>
    <w:rsid w:val="0086417E"/>
    <w:rsid w:val="00866103"/>
    <w:rsid w:val="00866C6F"/>
    <w:rsid w:val="00870514"/>
    <w:rsid w:val="0087231D"/>
    <w:rsid w:val="00872740"/>
    <w:rsid w:val="008731B7"/>
    <w:rsid w:val="008734D1"/>
    <w:rsid w:val="00873DAC"/>
    <w:rsid w:val="00873FA5"/>
    <w:rsid w:val="00874753"/>
    <w:rsid w:val="00876B42"/>
    <w:rsid w:val="0087711C"/>
    <w:rsid w:val="008802B3"/>
    <w:rsid w:val="0088268D"/>
    <w:rsid w:val="008831E9"/>
    <w:rsid w:val="0088423B"/>
    <w:rsid w:val="0088497A"/>
    <w:rsid w:val="00884E48"/>
    <w:rsid w:val="00885255"/>
    <w:rsid w:val="0088640D"/>
    <w:rsid w:val="008878D6"/>
    <w:rsid w:val="00887EBC"/>
    <w:rsid w:val="00890A89"/>
    <w:rsid w:val="00890FEB"/>
    <w:rsid w:val="008917C2"/>
    <w:rsid w:val="008951BC"/>
    <w:rsid w:val="00897B35"/>
    <w:rsid w:val="008A2B92"/>
    <w:rsid w:val="008A3571"/>
    <w:rsid w:val="008A55F1"/>
    <w:rsid w:val="008A5FB1"/>
    <w:rsid w:val="008B2345"/>
    <w:rsid w:val="008B2744"/>
    <w:rsid w:val="008B2940"/>
    <w:rsid w:val="008B5507"/>
    <w:rsid w:val="008B67DE"/>
    <w:rsid w:val="008B6934"/>
    <w:rsid w:val="008B7545"/>
    <w:rsid w:val="008B75B7"/>
    <w:rsid w:val="008C07A3"/>
    <w:rsid w:val="008C33DB"/>
    <w:rsid w:val="008C5259"/>
    <w:rsid w:val="008C5387"/>
    <w:rsid w:val="008C621C"/>
    <w:rsid w:val="008C6641"/>
    <w:rsid w:val="008C666E"/>
    <w:rsid w:val="008D118B"/>
    <w:rsid w:val="008D4E14"/>
    <w:rsid w:val="008D5E5D"/>
    <w:rsid w:val="008D679B"/>
    <w:rsid w:val="008D72D7"/>
    <w:rsid w:val="008E0A41"/>
    <w:rsid w:val="008E4353"/>
    <w:rsid w:val="008E5F8C"/>
    <w:rsid w:val="008E6F6B"/>
    <w:rsid w:val="008E7DAA"/>
    <w:rsid w:val="008F0718"/>
    <w:rsid w:val="008F0A4D"/>
    <w:rsid w:val="008F3DEF"/>
    <w:rsid w:val="008F6EEE"/>
    <w:rsid w:val="008F6F4E"/>
    <w:rsid w:val="0090053F"/>
    <w:rsid w:val="00901DE3"/>
    <w:rsid w:val="009020B6"/>
    <w:rsid w:val="0090233F"/>
    <w:rsid w:val="009023BE"/>
    <w:rsid w:val="00902CCE"/>
    <w:rsid w:val="00902F8E"/>
    <w:rsid w:val="0090389A"/>
    <w:rsid w:val="00903E9F"/>
    <w:rsid w:val="00904389"/>
    <w:rsid w:val="009043AA"/>
    <w:rsid w:val="009052D4"/>
    <w:rsid w:val="00912F00"/>
    <w:rsid w:val="0091341D"/>
    <w:rsid w:val="00913517"/>
    <w:rsid w:val="00913D7E"/>
    <w:rsid w:val="00913E25"/>
    <w:rsid w:val="00914101"/>
    <w:rsid w:val="00915AC5"/>
    <w:rsid w:val="009163A6"/>
    <w:rsid w:val="00916FA3"/>
    <w:rsid w:val="00917C55"/>
    <w:rsid w:val="00917FCE"/>
    <w:rsid w:val="0092015A"/>
    <w:rsid w:val="009203E7"/>
    <w:rsid w:val="0092127B"/>
    <w:rsid w:val="00921973"/>
    <w:rsid w:val="00922051"/>
    <w:rsid w:val="00922771"/>
    <w:rsid w:val="00924BA2"/>
    <w:rsid w:val="009251CD"/>
    <w:rsid w:val="0092595F"/>
    <w:rsid w:val="00925E6E"/>
    <w:rsid w:val="0092676F"/>
    <w:rsid w:val="0092717B"/>
    <w:rsid w:val="009272E5"/>
    <w:rsid w:val="00927727"/>
    <w:rsid w:val="00927778"/>
    <w:rsid w:val="009308E5"/>
    <w:rsid w:val="00931079"/>
    <w:rsid w:val="009315BF"/>
    <w:rsid w:val="00931B31"/>
    <w:rsid w:val="00933D3F"/>
    <w:rsid w:val="009340D9"/>
    <w:rsid w:val="00934D7D"/>
    <w:rsid w:val="00935C65"/>
    <w:rsid w:val="009360FF"/>
    <w:rsid w:val="0093610E"/>
    <w:rsid w:val="009373F6"/>
    <w:rsid w:val="00937F16"/>
    <w:rsid w:val="00940B8C"/>
    <w:rsid w:val="00942FAE"/>
    <w:rsid w:val="00945130"/>
    <w:rsid w:val="00946E20"/>
    <w:rsid w:val="00947BF5"/>
    <w:rsid w:val="00950418"/>
    <w:rsid w:val="0095135C"/>
    <w:rsid w:val="00952EDA"/>
    <w:rsid w:val="009534B2"/>
    <w:rsid w:val="00954D07"/>
    <w:rsid w:val="00954FA8"/>
    <w:rsid w:val="00955C95"/>
    <w:rsid w:val="00956144"/>
    <w:rsid w:val="009561CA"/>
    <w:rsid w:val="00957BE3"/>
    <w:rsid w:val="009610A8"/>
    <w:rsid w:val="00961AB0"/>
    <w:rsid w:val="00961D10"/>
    <w:rsid w:val="00961EFA"/>
    <w:rsid w:val="00963AA1"/>
    <w:rsid w:val="00964002"/>
    <w:rsid w:val="0096545D"/>
    <w:rsid w:val="009656C1"/>
    <w:rsid w:val="00972D32"/>
    <w:rsid w:val="00972DF7"/>
    <w:rsid w:val="00973315"/>
    <w:rsid w:val="00975298"/>
    <w:rsid w:val="009752E6"/>
    <w:rsid w:val="0098145E"/>
    <w:rsid w:val="00981705"/>
    <w:rsid w:val="009831BD"/>
    <w:rsid w:val="00983594"/>
    <w:rsid w:val="0098359E"/>
    <w:rsid w:val="00990B69"/>
    <w:rsid w:val="00990F2F"/>
    <w:rsid w:val="009915CE"/>
    <w:rsid w:val="00993195"/>
    <w:rsid w:val="00993580"/>
    <w:rsid w:val="00993828"/>
    <w:rsid w:val="00994FB4"/>
    <w:rsid w:val="00996064"/>
    <w:rsid w:val="0099633C"/>
    <w:rsid w:val="009977D3"/>
    <w:rsid w:val="0099782E"/>
    <w:rsid w:val="00997AF8"/>
    <w:rsid w:val="009A0304"/>
    <w:rsid w:val="009A5D90"/>
    <w:rsid w:val="009A651D"/>
    <w:rsid w:val="009A6D8F"/>
    <w:rsid w:val="009A7F58"/>
    <w:rsid w:val="009B013F"/>
    <w:rsid w:val="009B1048"/>
    <w:rsid w:val="009B15AE"/>
    <w:rsid w:val="009B1A95"/>
    <w:rsid w:val="009B3608"/>
    <w:rsid w:val="009B6CFC"/>
    <w:rsid w:val="009B6E2F"/>
    <w:rsid w:val="009C031B"/>
    <w:rsid w:val="009C0773"/>
    <w:rsid w:val="009C0DD7"/>
    <w:rsid w:val="009C228B"/>
    <w:rsid w:val="009C3E01"/>
    <w:rsid w:val="009C67B0"/>
    <w:rsid w:val="009C6D09"/>
    <w:rsid w:val="009D04E4"/>
    <w:rsid w:val="009D16E7"/>
    <w:rsid w:val="009D1EC1"/>
    <w:rsid w:val="009D20D4"/>
    <w:rsid w:val="009D2107"/>
    <w:rsid w:val="009D22C1"/>
    <w:rsid w:val="009D40D5"/>
    <w:rsid w:val="009D497D"/>
    <w:rsid w:val="009D5293"/>
    <w:rsid w:val="009D52BB"/>
    <w:rsid w:val="009D54CD"/>
    <w:rsid w:val="009D5E43"/>
    <w:rsid w:val="009D6A7C"/>
    <w:rsid w:val="009D738F"/>
    <w:rsid w:val="009E060D"/>
    <w:rsid w:val="009E2053"/>
    <w:rsid w:val="009E2AC3"/>
    <w:rsid w:val="009E2F22"/>
    <w:rsid w:val="009E43B6"/>
    <w:rsid w:val="009E4479"/>
    <w:rsid w:val="009E643E"/>
    <w:rsid w:val="009F0451"/>
    <w:rsid w:val="009F17E0"/>
    <w:rsid w:val="009F21D7"/>
    <w:rsid w:val="009F2266"/>
    <w:rsid w:val="009F3B22"/>
    <w:rsid w:val="009F4886"/>
    <w:rsid w:val="009F4A54"/>
    <w:rsid w:val="009F5B43"/>
    <w:rsid w:val="009F7134"/>
    <w:rsid w:val="009F78B0"/>
    <w:rsid w:val="00A00F6D"/>
    <w:rsid w:val="00A02A26"/>
    <w:rsid w:val="00A02E60"/>
    <w:rsid w:val="00A03BEA"/>
    <w:rsid w:val="00A04DA5"/>
    <w:rsid w:val="00A05547"/>
    <w:rsid w:val="00A074D1"/>
    <w:rsid w:val="00A07998"/>
    <w:rsid w:val="00A13442"/>
    <w:rsid w:val="00A13602"/>
    <w:rsid w:val="00A13905"/>
    <w:rsid w:val="00A15889"/>
    <w:rsid w:val="00A16482"/>
    <w:rsid w:val="00A16E0C"/>
    <w:rsid w:val="00A173BA"/>
    <w:rsid w:val="00A20EBA"/>
    <w:rsid w:val="00A217E8"/>
    <w:rsid w:val="00A221AE"/>
    <w:rsid w:val="00A22348"/>
    <w:rsid w:val="00A224A9"/>
    <w:rsid w:val="00A252A7"/>
    <w:rsid w:val="00A25E4D"/>
    <w:rsid w:val="00A26189"/>
    <w:rsid w:val="00A2635A"/>
    <w:rsid w:val="00A279FD"/>
    <w:rsid w:val="00A343CA"/>
    <w:rsid w:val="00A34BC1"/>
    <w:rsid w:val="00A34E0E"/>
    <w:rsid w:val="00A35FB2"/>
    <w:rsid w:val="00A36EFC"/>
    <w:rsid w:val="00A37CE4"/>
    <w:rsid w:val="00A40760"/>
    <w:rsid w:val="00A42400"/>
    <w:rsid w:val="00A42625"/>
    <w:rsid w:val="00A43F4C"/>
    <w:rsid w:val="00A45774"/>
    <w:rsid w:val="00A50DE5"/>
    <w:rsid w:val="00A512F5"/>
    <w:rsid w:val="00A5168D"/>
    <w:rsid w:val="00A539A0"/>
    <w:rsid w:val="00A5438F"/>
    <w:rsid w:val="00A5587A"/>
    <w:rsid w:val="00A57CC7"/>
    <w:rsid w:val="00A60431"/>
    <w:rsid w:val="00A638EB"/>
    <w:rsid w:val="00A64079"/>
    <w:rsid w:val="00A649AA"/>
    <w:rsid w:val="00A65D61"/>
    <w:rsid w:val="00A6751C"/>
    <w:rsid w:val="00A67E00"/>
    <w:rsid w:val="00A70517"/>
    <w:rsid w:val="00A7094D"/>
    <w:rsid w:val="00A70F0D"/>
    <w:rsid w:val="00A7401F"/>
    <w:rsid w:val="00A7472C"/>
    <w:rsid w:val="00A74832"/>
    <w:rsid w:val="00A7530A"/>
    <w:rsid w:val="00A75365"/>
    <w:rsid w:val="00A75CD7"/>
    <w:rsid w:val="00A7646D"/>
    <w:rsid w:val="00A765B4"/>
    <w:rsid w:val="00A769EC"/>
    <w:rsid w:val="00A8096E"/>
    <w:rsid w:val="00A81A0A"/>
    <w:rsid w:val="00A831DE"/>
    <w:rsid w:val="00A843F9"/>
    <w:rsid w:val="00A8560D"/>
    <w:rsid w:val="00A85748"/>
    <w:rsid w:val="00A85DC9"/>
    <w:rsid w:val="00A867A7"/>
    <w:rsid w:val="00A8776E"/>
    <w:rsid w:val="00A87D4C"/>
    <w:rsid w:val="00A90086"/>
    <w:rsid w:val="00A90710"/>
    <w:rsid w:val="00A90B00"/>
    <w:rsid w:val="00A91094"/>
    <w:rsid w:val="00A911AB"/>
    <w:rsid w:val="00A92038"/>
    <w:rsid w:val="00A922BC"/>
    <w:rsid w:val="00A943DE"/>
    <w:rsid w:val="00A94ADC"/>
    <w:rsid w:val="00A96522"/>
    <w:rsid w:val="00A97C2B"/>
    <w:rsid w:val="00AA0054"/>
    <w:rsid w:val="00AA0738"/>
    <w:rsid w:val="00AA1422"/>
    <w:rsid w:val="00AA33C5"/>
    <w:rsid w:val="00AA3BDC"/>
    <w:rsid w:val="00AA3F01"/>
    <w:rsid w:val="00AA4471"/>
    <w:rsid w:val="00AA52AD"/>
    <w:rsid w:val="00AA6324"/>
    <w:rsid w:val="00AA6568"/>
    <w:rsid w:val="00AA6586"/>
    <w:rsid w:val="00AA662D"/>
    <w:rsid w:val="00AB023D"/>
    <w:rsid w:val="00AB193B"/>
    <w:rsid w:val="00AB20F2"/>
    <w:rsid w:val="00AB67E9"/>
    <w:rsid w:val="00AB7EC2"/>
    <w:rsid w:val="00AC0A60"/>
    <w:rsid w:val="00AC15D4"/>
    <w:rsid w:val="00AC315B"/>
    <w:rsid w:val="00AC38AB"/>
    <w:rsid w:val="00AC67A5"/>
    <w:rsid w:val="00AC7612"/>
    <w:rsid w:val="00AC7BC7"/>
    <w:rsid w:val="00AC7D54"/>
    <w:rsid w:val="00AD05AB"/>
    <w:rsid w:val="00AD174A"/>
    <w:rsid w:val="00AD2865"/>
    <w:rsid w:val="00AD3358"/>
    <w:rsid w:val="00AD38A7"/>
    <w:rsid w:val="00AD3C64"/>
    <w:rsid w:val="00AD4697"/>
    <w:rsid w:val="00AD49C9"/>
    <w:rsid w:val="00AD4B88"/>
    <w:rsid w:val="00AD4C10"/>
    <w:rsid w:val="00AD551E"/>
    <w:rsid w:val="00AD6AB4"/>
    <w:rsid w:val="00AD7954"/>
    <w:rsid w:val="00AE0CE9"/>
    <w:rsid w:val="00AE1009"/>
    <w:rsid w:val="00AE16B5"/>
    <w:rsid w:val="00AE19A4"/>
    <w:rsid w:val="00AE2CE2"/>
    <w:rsid w:val="00AE2D9C"/>
    <w:rsid w:val="00AE341F"/>
    <w:rsid w:val="00AE36CA"/>
    <w:rsid w:val="00AE42A7"/>
    <w:rsid w:val="00AF0793"/>
    <w:rsid w:val="00AF1743"/>
    <w:rsid w:val="00AF2FDF"/>
    <w:rsid w:val="00AF36DE"/>
    <w:rsid w:val="00AF4D5E"/>
    <w:rsid w:val="00AF7B0B"/>
    <w:rsid w:val="00AF7C0D"/>
    <w:rsid w:val="00B0010D"/>
    <w:rsid w:val="00B00887"/>
    <w:rsid w:val="00B01224"/>
    <w:rsid w:val="00B01849"/>
    <w:rsid w:val="00B022CE"/>
    <w:rsid w:val="00B04032"/>
    <w:rsid w:val="00B068CB"/>
    <w:rsid w:val="00B06E04"/>
    <w:rsid w:val="00B077EE"/>
    <w:rsid w:val="00B104C1"/>
    <w:rsid w:val="00B1067F"/>
    <w:rsid w:val="00B12123"/>
    <w:rsid w:val="00B124FD"/>
    <w:rsid w:val="00B13A06"/>
    <w:rsid w:val="00B15155"/>
    <w:rsid w:val="00B152D2"/>
    <w:rsid w:val="00B15D3B"/>
    <w:rsid w:val="00B167B3"/>
    <w:rsid w:val="00B17D31"/>
    <w:rsid w:val="00B17D52"/>
    <w:rsid w:val="00B20BD0"/>
    <w:rsid w:val="00B21796"/>
    <w:rsid w:val="00B231E5"/>
    <w:rsid w:val="00B235C1"/>
    <w:rsid w:val="00B23DBB"/>
    <w:rsid w:val="00B25522"/>
    <w:rsid w:val="00B255DA"/>
    <w:rsid w:val="00B2562B"/>
    <w:rsid w:val="00B25DCA"/>
    <w:rsid w:val="00B266F5"/>
    <w:rsid w:val="00B30407"/>
    <w:rsid w:val="00B32CF3"/>
    <w:rsid w:val="00B3307C"/>
    <w:rsid w:val="00B330A3"/>
    <w:rsid w:val="00B332D3"/>
    <w:rsid w:val="00B335B3"/>
    <w:rsid w:val="00B336BA"/>
    <w:rsid w:val="00B3585A"/>
    <w:rsid w:val="00B37489"/>
    <w:rsid w:val="00B3794E"/>
    <w:rsid w:val="00B40664"/>
    <w:rsid w:val="00B41217"/>
    <w:rsid w:val="00B423FF"/>
    <w:rsid w:val="00B42CF7"/>
    <w:rsid w:val="00B43104"/>
    <w:rsid w:val="00B46A7C"/>
    <w:rsid w:val="00B46D49"/>
    <w:rsid w:val="00B47031"/>
    <w:rsid w:val="00B50059"/>
    <w:rsid w:val="00B50247"/>
    <w:rsid w:val="00B5067B"/>
    <w:rsid w:val="00B515BF"/>
    <w:rsid w:val="00B51B78"/>
    <w:rsid w:val="00B54D48"/>
    <w:rsid w:val="00B55827"/>
    <w:rsid w:val="00B563EA"/>
    <w:rsid w:val="00B57014"/>
    <w:rsid w:val="00B60242"/>
    <w:rsid w:val="00B61637"/>
    <w:rsid w:val="00B61F7C"/>
    <w:rsid w:val="00B627BE"/>
    <w:rsid w:val="00B632AB"/>
    <w:rsid w:val="00B63B9F"/>
    <w:rsid w:val="00B63FD1"/>
    <w:rsid w:val="00B6494E"/>
    <w:rsid w:val="00B65E72"/>
    <w:rsid w:val="00B66CF1"/>
    <w:rsid w:val="00B70D33"/>
    <w:rsid w:val="00B71273"/>
    <w:rsid w:val="00B71585"/>
    <w:rsid w:val="00B72770"/>
    <w:rsid w:val="00B73081"/>
    <w:rsid w:val="00B75173"/>
    <w:rsid w:val="00B75E97"/>
    <w:rsid w:val="00B76366"/>
    <w:rsid w:val="00B76800"/>
    <w:rsid w:val="00B76F3A"/>
    <w:rsid w:val="00B77556"/>
    <w:rsid w:val="00B801A5"/>
    <w:rsid w:val="00B80ABA"/>
    <w:rsid w:val="00B81DDF"/>
    <w:rsid w:val="00B8441E"/>
    <w:rsid w:val="00B85223"/>
    <w:rsid w:val="00B8571C"/>
    <w:rsid w:val="00B8633A"/>
    <w:rsid w:val="00B867B1"/>
    <w:rsid w:val="00B901B8"/>
    <w:rsid w:val="00B916C2"/>
    <w:rsid w:val="00B91873"/>
    <w:rsid w:val="00B91C8D"/>
    <w:rsid w:val="00B91CD3"/>
    <w:rsid w:val="00B92494"/>
    <w:rsid w:val="00B936E7"/>
    <w:rsid w:val="00B9384C"/>
    <w:rsid w:val="00B94F49"/>
    <w:rsid w:val="00B95457"/>
    <w:rsid w:val="00B9729A"/>
    <w:rsid w:val="00BA05B1"/>
    <w:rsid w:val="00BA1E49"/>
    <w:rsid w:val="00BA2387"/>
    <w:rsid w:val="00BA2FE8"/>
    <w:rsid w:val="00BA4857"/>
    <w:rsid w:val="00BA4C26"/>
    <w:rsid w:val="00BA5294"/>
    <w:rsid w:val="00BA53FE"/>
    <w:rsid w:val="00BA653A"/>
    <w:rsid w:val="00BA6AA4"/>
    <w:rsid w:val="00BA6CD9"/>
    <w:rsid w:val="00BB0207"/>
    <w:rsid w:val="00BB0C6B"/>
    <w:rsid w:val="00BB202F"/>
    <w:rsid w:val="00BB3752"/>
    <w:rsid w:val="00BB6BE3"/>
    <w:rsid w:val="00BB78F3"/>
    <w:rsid w:val="00BB7913"/>
    <w:rsid w:val="00BB7FA2"/>
    <w:rsid w:val="00BC191A"/>
    <w:rsid w:val="00BC1E50"/>
    <w:rsid w:val="00BC247B"/>
    <w:rsid w:val="00BC3101"/>
    <w:rsid w:val="00BC37F0"/>
    <w:rsid w:val="00BC4E1D"/>
    <w:rsid w:val="00BC53B8"/>
    <w:rsid w:val="00BC54A9"/>
    <w:rsid w:val="00BC56DE"/>
    <w:rsid w:val="00BC6BD2"/>
    <w:rsid w:val="00BC76F0"/>
    <w:rsid w:val="00BD1ED9"/>
    <w:rsid w:val="00BD2F44"/>
    <w:rsid w:val="00BD3D5F"/>
    <w:rsid w:val="00BD5242"/>
    <w:rsid w:val="00BD7506"/>
    <w:rsid w:val="00BE047C"/>
    <w:rsid w:val="00BE07C7"/>
    <w:rsid w:val="00BE2B95"/>
    <w:rsid w:val="00BE3353"/>
    <w:rsid w:val="00BE38E2"/>
    <w:rsid w:val="00BE3A5C"/>
    <w:rsid w:val="00BE4B79"/>
    <w:rsid w:val="00BE4DAE"/>
    <w:rsid w:val="00BE6ED0"/>
    <w:rsid w:val="00BE7043"/>
    <w:rsid w:val="00BE7129"/>
    <w:rsid w:val="00BF4318"/>
    <w:rsid w:val="00BF4A48"/>
    <w:rsid w:val="00BF5B40"/>
    <w:rsid w:val="00BF5BFB"/>
    <w:rsid w:val="00C01091"/>
    <w:rsid w:val="00C01C53"/>
    <w:rsid w:val="00C02293"/>
    <w:rsid w:val="00C0484D"/>
    <w:rsid w:val="00C04DBE"/>
    <w:rsid w:val="00C06200"/>
    <w:rsid w:val="00C1010D"/>
    <w:rsid w:val="00C111BE"/>
    <w:rsid w:val="00C117D8"/>
    <w:rsid w:val="00C11F43"/>
    <w:rsid w:val="00C11FFF"/>
    <w:rsid w:val="00C13CD7"/>
    <w:rsid w:val="00C13CF2"/>
    <w:rsid w:val="00C13D0F"/>
    <w:rsid w:val="00C13F91"/>
    <w:rsid w:val="00C14834"/>
    <w:rsid w:val="00C14D0E"/>
    <w:rsid w:val="00C162F5"/>
    <w:rsid w:val="00C1670B"/>
    <w:rsid w:val="00C17980"/>
    <w:rsid w:val="00C20012"/>
    <w:rsid w:val="00C21064"/>
    <w:rsid w:val="00C222FC"/>
    <w:rsid w:val="00C2337A"/>
    <w:rsid w:val="00C25BFF"/>
    <w:rsid w:val="00C26ADD"/>
    <w:rsid w:val="00C31A37"/>
    <w:rsid w:val="00C31AF0"/>
    <w:rsid w:val="00C329C6"/>
    <w:rsid w:val="00C32F2A"/>
    <w:rsid w:val="00C33F7E"/>
    <w:rsid w:val="00C3651B"/>
    <w:rsid w:val="00C36867"/>
    <w:rsid w:val="00C4055A"/>
    <w:rsid w:val="00C41039"/>
    <w:rsid w:val="00C412A8"/>
    <w:rsid w:val="00C413B3"/>
    <w:rsid w:val="00C414C8"/>
    <w:rsid w:val="00C42E48"/>
    <w:rsid w:val="00C432A6"/>
    <w:rsid w:val="00C458D1"/>
    <w:rsid w:val="00C45E5B"/>
    <w:rsid w:val="00C501D8"/>
    <w:rsid w:val="00C5048B"/>
    <w:rsid w:val="00C5183E"/>
    <w:rsid w:val="00C5338B"/>
    <w:rsid w:val="00C53864"/>
    <w:rsid w:val="00C55238"/>
    <w:rsid w:val="00C554EC"/>
    <w:rsid w:val="00C564D6"/>
    <w:rsid w:val="00C56A2F"/>
    <w:rsid w:val="00C57386"/>
    <w:rsid w:val="00C575EA"/>
    <w:rsid w:val="00C578BD"/>
    <w:rsid w:val="00C6093C"/>
    <w:rsid w:val="00C62544"/>
    <w:rsid w:val="00C62A16"/>
    <w:rsid w:val="00C65887"/>
    <w:rsid w:val="00C66267"/>
    <w:rsid w:val="00C672C0"/>
    <w:rsid w:val="00C6773C"/>
    <w:rsid w:val="00C703A0"/>
    <w:rsid w:val="00C70D3D"/>
    <w:rsid w:val="00C70E17"/>
    <w:rsid w:val="00C71C65"/>
    <w:rsid w:val="00C72CFF"/>
    <w:rsid w:val="00C7301B"/>
    <w:rsid w:val="00C732AB"/>
    <w:rsid w:val="00C73CEB"/>
    <w:rsid w:val="00C73CF0"/>
    <w:rsid w:val="00C742B1"/>
    <w:rsid w:val="00C743FE"/>
    <w:rsid w:val="00C74B8B"/>
    <w:rsid w:val="00C74CEF"/>
    <w:rsid w:val="00C75FC8"/>
    <w:rsid w:val="00C77C1F"/>
    <w:rsid w:val="00C801FB"/>
    <w:rsid w:val="00C816C9"/>
    <w:rsid w:val="00C81CC8"/>
    <w:rsid w:val="00C85016"/>
    <w:rsid w:val="00C86C99"/>
    <w:rsid w:val="00C87C6D"/>
    <w:rsid w:val="00C90D41"/>
    <w:rsid w:val="00C90E33"/>
    <w:rsid w:val="00C915C0"/>
    <w:rsid w:val="00C92A4A"/>
    <w:rsid w:val="00C92F5C"/>
    <w:rsid w:val="00C935BF"/>
    <w:rsid w:val="00C93AFC"/>
    <w:rsid w:val="00C949DC"/>
    <w:rsid w:val="00C94BB8"/>
    <w:rsid w:val="00C94CAD"/>
    <w:rsid w:val="00C95405"/>
    <w:rsid w:val="00C95CD9"/>
    <w:rsid w:val="00C964C2"/>
    <w:rsid w:val="00C96AD4"/>
    <w:rsid w:val="00C96B5C"/>
    <w:rsid w:val="00C96DE5"/>
    <w:rsid w:val="00C973CC"/>
    <w:rsid w:val="00CA03ED"/>
    <w:rsid w:val="00CA042C"/>
    <w:rsid w:val="00CA0AEB"/>
    <w:rsid w:val="00CA270D"/>
    <w:rsid w:val="00CA2E28"/>
    <w:rsid w:val="00CA39B8"/>
    <w:rsid w:val="00CA4709"/>
    <w:rsid w:val="00CA4EB1"/>
    <w:rsid w:val="00CA71D6"/>
    <w:rsid w:val="00CA750B"/>
    <w:rsid w:val="00CA75B5"/>
    <w:rsid w:val="00CB0B75"/>
    <w:rsid w:val="00CB18B0"/>
    <w:rsid w:val="00CB2150"/>
    <w:rsid w:val="00CB27BC"/>
    <w:rsid w:val="00CB29F9"/>
    <w:rsid w:val="00CB3330"/>
    <w:rsid w:val="00CB3AC9"/>
    <w:rsid w:val="00CB410A"/>
    <w:rsid w:val="00CB4E43"/>
    <w:rsid w:val="00CB5AE0"/>
    <w:rsid w:val="00CB5E43"/>
    <w:rsid w:val="00CB6CF0"/>
    <w:rsid w:val="00CB72A5"/>
    <w:rsid w:val="00CB742B"/>
    <w:rsid w:val="00CB74D9"/>
    <w:rsid w:val="00CC081B"/>
    <w:rsid w:val="00CC15B4"/>
    <w:rsid w:val="00CC1C63"/>
    <w:rsid w:val="00CC3F5E"/>
    <w:rsid w:val="00CC4197"/>
    <w:rsid w:val="00CC4C75"/>
    <w:rsid w:val="00CC4EDE"/>
    <w:rsid w:val="00CD0986"/>
    <w:rsid w:val="00CD15BB"/>
    <w:rsid w:val="00CD1675"/>
    <w:rsid w:val="00CD224A"/>
    <w:rsid w:val="00CD2CCB"/>
    <w:rsid w:val="00CD3759"/>
    <w:rsid w:val="00CD3B97"/>
    <w:rsid w:val="00CD3BC4"/>
    <w:rsid w:val="00CD44E7"/>
    <w:rsid w:val="00CD50D5"/>
    <w:rsid w:val="00CD5C3A"/>
    <w:rsid w:val="00CD64E7"/>
    <w:rsid w:val="00CD704C"/>
    <w:rsid w:val="00CD7317"/>
    <w:rsid w:val="00CE161B"/>
    <w:rsid w:val="00CE2342"/>
    <w:rsid w:val="00CE25E4"/>
    <w:rsid w:val="00CE2E23"/>
    <w:rsid w:val="00CE321E"/>
    <w:rsid w:val="00CE38CC"/>
    <w:rsid w:val="00CE3DFB"/>
    <w:rsid w:val="00CE5D1C"/>
    <w:rsid w:val="00CF0F03"/>
    <w:rsid w:val="00CF2D83"/>
    <w:rsid w:val="00CF7344"/>
    <w:rsid w:val="00CF7BA0"/>
    <w:rsid w:val="00D006E4"/>
    <w:rsid w:val="00D0130C"/>
    <w:rsid w:val="00D02806"/>
    <w:rsid w:val="00D02B3D"/>
    <w:rsid w:val="00D02FDE"/>
    <w:rsid w:val="00D03BA7"/>
    <w:rsid w:val="00D03F50"/>
    <w:rsid w:val="00D04A16"/>
    <w:rsid w:val="00D059F7"/>
    <w:rsid w:val="00D065C8"/>
    <w:rsid w:val="00D0695E"/>
    <w:rsid w:val="00D06EF3"/>
    <w:rsid w:val="00D10EE7"/>
    <w:rsid w:val="00D11492"/>
    <w:rsid w:val="00D11D29"/>
    <w:rsid w:val="00D127AA"/>
    <w:rsid w:val="00D12FC0"/>
    <w:rsid w:val="00D13451"/>
    <w:rsid w:val="00D14774"/>
    <w:rsid w:val="00D151BD"/>
    <w:rsid w:val="00D15248"/>
    <w:rsid w:val="00D1576E"/>
    <w:rsid w:val="00D1583C"/>
    <w:rsid w:val="00D15E92"/>
    <w:rsid w:val="00D20261"/>
    <w:rsid w:val="00D20539"/>
    <w:rsid w:val="00D20AD1"/>
    <w:rsid w:val="00D224EF"/>
    <w:rsid w:val="00D23892"/>
    <w:rsid w:val="00D271FE"/>
    <w:rsid w:val="00D30E27"/>
    <w:rsid w:val="00D310CD"/>
    <w:rsid w:val="00D31B1C"/>
    <w:rsid w:val="00D32832"/>
    <w:rsid w:val="00D331A2"/>
    <w:rsid w:val="00D33FAB"/>
    <w:rsid w:val="00D355F5"/>
    <w:rsid w:val="00D36516"/>
    <w:rsid w:val="00D372D5"/>
    <w:rsid w:val="00D4360F"/>
    <w:rsid w:val="00D4408B"/>
    <w:rsid w:val="00D50028"/>
    <w:rsid w:val="00D50441"/>
    <w:rsid w:val="00D50C72"/>
    <w:rsid w:val="00D517C9"/>
    <w:rsid w:val="00D527E8"/>
    <w:rsid w:val="00D541D6"/>
    <w:rsid w:val="00D5488F"/>
    <w:rsid w:val="00D559A9"/>
    <w:rsid w:val="00D56AEA"/>
    <w:rsid w:val="00D6007D"/>
    <w:rsid w:val="00D61716"/>
    <w:rsid w:val="00D62321"/>
    <w:rsid w:val="00D63521"/>
    <w:rsid w:val="00D6366D"/>
    <w:rsid w:val="00D63E52"/>
    <w:rsid w:val="00D64615"/>
    <w:rsid w:val="00D64F3C"/>
    <w:rsid w:val="00D66843"/>
    <w:rsid w:val="00D66F10"/>
    <w:rsid w:val="00D67195"/>
    <w:rsid w:val="00D6721F"/>
    <w:rsid w:val="00D71132"/>
    <w:rsid w:val="00D718F5"/>
    <w:rsid w:val="00D72CCF"/>
    <w:rsid w:val="00D7395C"/>
    <w:rsid w:val="00D73CA3"/>
    <w:rsid w:val="00D753CD"/>
    <w:rsid w:val="00D757B3"/>
    <w:rsid w:val="00D75A1B"/>
    <w:rsid w:val="00D765A5"/>
    <w:rsid w:val="00D76D73"/>
    <w:rsid w:val="00D76F54"/>
    <w:rsid w:val="00D80F74"/>
    <w:rsid w:val="00D833E8"/>
    <w:rsid w:val="00D834AE"/>
    <w:rsid w:val="00D844DC"/>
    <w:rsid w:val="00D848B3"/>
    <w:rsid w:val="00D85B86"/>
    <w:rsid w:val="00D85DAA"/>
    <w:rsid w:val="00D86101"/>
    <w:rsid w:val="00D861C7"/>
    <w:rsid w:val="00D87AFF"/>
    <w:rsid w:val="00D90ACA"/>
    <w:rsid w:val="00D9129E"/>
    <w:rsid w:val="00D939F6"/>
    <w:rsid w:val="00D93B77"/>
    <w:rsid w:val="00D93FD9"/>
    <w:rsid w:val="00D949A5"/>
    <w:rsid w:val="00D954AB"/>
    <w:rsid w:val="00D968D0"/>
    <w:rsid w:val="00D97004"/>
    <w:rsid w:val="00D9704A"/>
    <w:rsid w:val="00DA57EC"/>
    <w:rsid w:val="00DA78ED"/>
    <w:rsid w:val="00DA7B48"/>
    <w:rsid w:val="00DB0B35"/>
    <w:rsid w:val="00DB1FDF"/>
    <w:rsid w:val="00DB29C0"/>
    <w:rsid w:val="00DB4B43"/>
    <w:rsid w:val="00DB63D1"/>
    <w:rsid w:val="00DB7FF9"/>
    <w:rsid w:val="00DC1AA7"/>
    <w:rsid w:val="00DC2539"/>
    <w:rsid w:val="00DC5AAA"/>
    <w:rsid w:val="00DD00B0"/>
    <w:rsid w:val="00DD09C5"/>
    <w:rsid w:val="00DD09E6"/>
    <w:rsid w:val="00DD193C"/>
    <w:rsid w:val="00DD24F1"/>
    <w:rsid w:val="00DD3DBC"/>
    <w:rsid w:val="00DD4064"/>
    <w:rsid w:val="00DD7726"/>
    <w:rsid w:val="00DE00E3"/>
    <w:rsid w:val="00DE12C0"/>
    <w:rsid w:val="00DE14D6"/>
    <w:rsid w:val="00DE18A0"/>
    <w:rsid w:val="00DE354E"/>
    <w:rsid w:val="00DE370C"/>
    <w:rsid w:val="00DE4786"/>
    <w:rsid w:val="00DE6597"/>
    <w:rsid w:val="00DE7936"/>
    <w:rsid w:val="00DF00A2"/>
    <w:rsid w:val="00DF00F8"/>
    <w:rsid w:val="00DF0655"/>
    <w:rsid w:val="00DF1C6E"/>
    <w:rsid w:val="00DF268E"/>
    <w:rsid w:val="00DF2883"/>
    <w:rsid w:val="00DF3C47"/>
    <w:rsid w:val="00DF3FCB"/>
    <w:rsid w:val="00DF4754"/>
    <w:rsid w:val="00DF4B7F"/>
    <w:rsid w:val="00DF53C4"/>
    <w:rsid w:val="00DF5DD6"/>
    <w:rsid w:val="00DF7E90"/>
    <w:rsid w:val="00E00B1B"/>
    <w:rsid w:val="00E01B06"/>
    <w:rsid w:val="00E030B9"/>
    <w:rsid w:val="00E031C6"/>
    <w:rsid w:val="00E034ED"/>
    <w:rsid w:val="00E053FD"/>
    <w:rsid w:val="00E0712E"/>
    <w:rsid w:val="00E111FC"/>
    <w:rsid w:val="00E11431"/>
    <w:rsid w:val="00E13247"/>
    <w:rsid w:val="00E135F8"/>
    <w:rsid w:val="00E13C1D"/>
    <w:rsid w:val="00E146D1"/>
    <w:rsid w:val="00E14DCA"/>
    <w:rsid w:val="00E15340"/>
    <w:rsid w:val="00E15BC7"/>
    <w:rsid w:val="00E16F91"/>
    <w:rsid w:val="00E1731F"/>
    <w:rsid w:val="00E17818"/>
    <w:rsid w:val="00E17DB0"/>
    <w:rsid w:val="00E17ECD"/>
    <w:rsid w:val="00E20810"/>
    <w:rsid w:val="00E211F5"/>
    <w:rsid w:val="00E23192"/>
    <w:rsid w:val="00E244C0"/>
    <w:rsid w:val="00E249C8"/>
    <w:rsid w:val="00E25559"/>
    <w:rsid w:val="00E25682"/>
    <w:rsid w:val="00E26E58"/>
    <w:rsid w:val="00E30244"/>
    <w:rsid w:val="00E30736"/>
    <w:rsid w:val="00E31348"/>
    <w:rsid w:val="00E31428"/>
    <w:rsid w:val="00E316B7"/>
    <w:rsid w:val="00E333B1"/>
    <w:rsid w:val="00E33ECF"/>
    <w:rsid w:val="00E340FD"/>
    <w:rsid w:val="00E35147"/>
    <w:rsid w:val="00E3597B"/>
    <w:rsid w:val="00E362C9"/>
    <w:rsid w:val="00E36818"/>
    <w:rsid w:val="00E372F0"/>
    <w:rsid w:val="00E37A76"/>
    <w:rsid w:val="00E37E3E"/>
    <w:rsid w:val="00E427BF"/>
    <w:rsid w:val="00E42807"/>
    <w:rsid w:val="00E439F2"/>
    <w:rsid w:val="00E45F94"/>
    <w:rsid w:val="00E46912"/>
    <w:rsid w:val="00E47285"/>
    <w:rsid w:val="00E4770F"/>
    <w:rsid w:val="00E50102"/>
    <w:rsid w:val="00E53E51"/>
    <w:rsid w:val="00E5499B"/>
    <w:rsid w:val="00E55E1D"/>
    <w:rsid w:val="00E573F0"/>
    <w:rsid w:val="00E60190"/>
    <w:rsid w:val="00E6096D"/>
    <w:rsid w:val="00E61040"/>
    <w:rsid w:val="00E61D73"/>
    <w:rsid w:val="00E63FCC"/>
    <w:rsid w:val="00E65DCF"/>
    <w:rsid w:val="00E7053D"/>
    <w:rsid w:val="00E7085F"/>
    <w:rsid w:val="00E70B81"/>
    <w:rsid w:val="00E71B8E"/>
    <w:rsid w:val="00E72B19"/>
    <w:rsid w:val="00E75753"/>
    <w:rsid w:val="00E7667B"/>
    <w:rsid w:val="00E76C61"/>
    <w:rsid w:val="00E77297"/>
    <w:rsid w:val="00E77385"/>
    <w:rsid w:val="00E7740D"/>
    <w:rsid w:val="00E82BC9"/>
    <w:rsid w:val="00E8310D"/>
    <w:rsid w:val="00E83A4A"/>
    <w:rsid w:val="00E84B7B"/>
    <w:rsid w:val="00E84E8D"/>
    <w:rsid w:val="00E85521"/>
    <w:rsid w:val="00E87819"/>
    <w:rsid w:val="00E87C5E"/>
    <w:rsid w:val="00E87CDE"/>
    <w:rsid w:val="00E87D93"/>
    <w:rsid w:val="00E904D8"/>
    <w:rsid w:val="00E914F0"/>
    <w:rsid w:val="00E934E1"/>
    <w:rsid w:val="00E94D3F"/>
    <w:rsid w:val="00E95372"/>
    <w:rsid w:val="00E965CB"/>
    <w:rsid w:val="00E9774E"/>
    <w:rsid w:val="00E97ACB"/>
    <w:rsid w:val="00EA1A2A"/>
    <w:rsid w:val="00EA1A2E"/>
    <w:rsid w:val="00EA1B9A"/>
    <w:rsid w:val="00EA2C86"/>
    <w:rsid w:val="00EA4039"/>
    <w:rsid w:val="00EA49EE"/>
    <w:rsid w:val="00EA5255"/>
    <w:rsid w:val="00EA5BFB"/>
    <w:rsid w:val="00EA6669"/>
    <w:rsid w:val="00EB1466"/>
    <w:rsid w:val="00EB195F"/>
    <w:rsid w:val="00EB260E"/>
    <w:rsid w:val="00EB2DC5"/>
    <w:rsid w:val="00EB5DDE"/>
    <w:rsid w:val="00EB61F0"/>
    <w:rsid w:val="00EB7FA7"/>
    <w:rsid w:val="00EC06FA"/>
    <w:rsid w:val="00EC1DE6"/>
    <w:rsid w:val="00EC1E93"/>
    <w:rsid w:val="00EC2734"/>
    <w:rsid w:val="00EC2752"/>
    <w:rsid w:val="00EC52B7"/>
    <w:rsid w:val="00EC52F6"/>
    <w:rsid w:val="00EC684F"/>
    <w:rsid w:val="00ED08D3"/>
    <w:rsid w:val="00ED10E5"/>
    <w:rsid w:val="00ED338B"/>
    <w:rsid w:val="00ED367E"/>
    <w:rsid w:val="00ED416F"/>
    <w:rsid w:val="00ED4F41"/>
    <w:rsid w:val="00ED521B"/>
    <w:rsid w:val="00ED55EB"/>
    <w:rsid w:val="00ED7A93"/>
    <w:rsid w:val="00EE12F2"/>
    <w:rsid w:val="00EE17E0"/>
    <w:rsid w:val="00EE2C7E"/>
    <w:rsid w:val="00EE2F95"/>
    <w:rsid w:val="00EE410A"/>
    <w:rsid w:val="00EE4FE6"/>
    <w:rsid w:val="00EE5725"/>
    <w:rsid w:val="00EE7A5D"/>
    <w:rsid w:val="00EF0ABC"/>
    <w:rsid w:val="00EF1C71"/>
    <w:rsid w:val="00EF2526"/>
    <w:rsid w:val="00EF4022"/>
    <w:rsid w:val="00EF5392"/>
    <w:rsid w:val="00EF72C9"/>
    <w:rsid w:val="00EF7E18"/>
    <w:rsid w:val="00F00571"/>
    <w:rsid w:val="00F01388"/>
    <w:rsid w:val="00F0329A"/>
    <w:rsid w:val="00F0613B"/>
    <w:rsid w:val="00F0614D"/>
    <w:rsid w:val="00F06DF9"/>
    <w:rsid w:val="00F106E0"/>
    <w:rsid w:val="00F12442"/>
    <w:rsid w:val="00F12D9D"/>
    <w:rsid w:val="00F13205"/>
    <w:rsid w:val="00F135CD"/>
    <w:rsid w:val="00F13BF8"/>
    <w:rsid w:val="00F15CD6"/>
    <w:rsid w:val="00F163C7"/>
    <w:rsid w:val="00F164F8"/>
    <w:rsid w:val="00F16F59"/>
    <w:rsid w:val="00F171C1"/>
    <w:rsid w:val="00F17706"/>
    <w:rsid w:val="00F20EA9"/>
    <w:rsid w:val="00F214F2"/>
    <w:rsid w:val="00F22281"/>
    <w:rsid w:val="00F22AD7"/>
    <w:rsid w:val="00F3015B"/>
    <w:rsid w:val="00F30C51"/>
    <w:rsid w:val="00F31ABE"/>
    <w:rsid w:val="00F32105"/>
    <w:rsid w:val="00F37A53"/>
    <w:rsid w:val="00F4237C"/>
    <w:rsid w:val="00F42A0E"/>
    <w:rsid w:val="00F43744"/>
    <w:rsid w:val="00F44D18"/>
    <w:rsid w:val="00F44D25"/>
    <w:rsid w:val="00F45974"/>
    <w:rsid w:val="00F46DE6"/>
    <w:rsid w:val="00F506DA"/>
    <w:rsid w:val="00F510D8"/>
    <w:rsid w:val="00F51C8A"/>
    <w:rsid w:val="00F52AE8"/>
    <w:rsid w:val="00F52D09"/>
    <w:rsid w:val="00F52DC0"/>
    <w:rsid w:val="00F537F1"/>
    <w:rsid w:val="00F542F2"/>
    <w:rsid w:val="00F54FC0"/>
    <w:rsid w:val="00F55C27"/>
    <w:rsid w:val="00F57A40"/>
    <w:rsid w:val="00F57ACA"/>
    <w:rsid w:val="00F60C3E"/>
    <w:rsid w:val="00F60C91"/>
    <w:rsid w:val="00F61795"/>
    <w:rsid w:val="00F635AC"/>
    <w:rsid w:val="00F64414"/>
    <w:rsid w:val="00F6530F"/>
    <w:rsid w:val="00F655BF"/>
    <w:rsid w:val="00F65CF8"/>
    <w:rsid w:val="00F65D02"/>
    <w:rsid w:val="00F666F2"/>
    <w:rsid w:val="00F673CA"/>
    <w:rsid w:val="00F677F6"/>
    <w:rsid w:val="00F70E13"/>
    <w:rsid w:val="00F7107F"/>
    <w:rsid w:val="00F724BC"/>
    <w:rsid w:val="00F74992"/>
    <w:rsid w:val="00F74EED"/>
    <w:rsid w:val="00F75D50"/>
    <w:rsid w:val="00F75DC2"/>
    <w:rsid w:val="00F80349"/>
    <w:rsid w:val="00F80C50"/>
    <w:rsid w:val="00F81778"/>
    <w:rsid w:val="00F8241C"/>
    <w:rsid w:val="00F8584F"/>
    <w:rsid w:val="00F85F0C"/>
    <w:rsid w:val="00F860C5"/>
    <w:rsid w:val="00F87D40"/>
    <w:rsid w:val="00F903B1"/>
    <w:rsid w:val="00F91F66"/>
    <w:rsid w:val="00F92BF4"/>
    <w:rsid w:val="00F931DE"/>
    <w:rsid w:val="00F939B2"/>
    <w:rsid w:val="00F955CD"/>
    <w:rsid w:val="00F9612F"/>
    <w:rsid w:val="00F97204"/>
    <w:rsid w:val="00F972E3"/>
    <w:rsid w:val="00F97C2C"/>
    <w:rsid w:val="00FA0332"/>
    <w:rsid w:val="00FA0C60"/>
    <w:rsid w:val="00FA14E1"/>
    <w:rsid w:val="00FA1528"/>
    <w:rsid w:val="00FA17D0"/>
    <w:rsid w:val="00FA53C4"/>
    <w:rsid w:val="00FB0444"/>
    <w:rsid w:val="00FB055C"/>
    <w:rsid w:val="00FB0F17"/>
    <w:rsid w:val="00FB1A70"/>
    <w:rsid w:val="00FB1AA6"/>
    <w:rsid w:val="00FB2B22"/>
    <w:rsid w:val="00FB3CF3"/>
    <w:rsid w:val="00FB4158"/>
    <w:rsid w:val="00FB4564"/>
    <w:rsid w:val="00FB4993"/>
    <w:rsid w:val="00FB5070"/>
    <w:rsid w:val="00FB53C4"/>
    <w:rsid w:val="00FB6096"/>
    <w:rsid w:val="00FB6607"/>
    <w:rsid w:val="00FB6AD7"/>
    <w:rsid w:val="00FB6BEC"/>
    <w:rsid w:val="00FB7C9B"/>
    <w:rsid w:val="00FC0EA2"/>
    <w:rsid w:val="00FC18C1"/>
    <w:rsid w:val="00FC1C8D"/>
    <w:rsid w:val="00FC3475"/>
    <w:rsid w:val="00FC7EEC"/>
    <w:rsid w:val="00FD1B22"/>
    <w:rsid w:val="00FD1BA7"/>
    <w:rsid w:val="00FD2288"/>
    <w:rsid w:val="00FD2E8D"/>
    <w:rsid w:val="00FE0EE9"/>
    <w:rsid w:val="00FE2FCC"/>
    <w:rsid w:val="00FE3209"/>
    <w:rsid w:val="00FE3A1E"/>
    <w:rsid w:val="00FE3D6B"/>
    <w:rsid w:val="00FE60EE"/>
    <w:rsid w:val="00FE61D3"/>
    <w:rsid w:val="00FE6D7D"/>
    <w:rsid w:val="00FF0628"/>
    <w:rsid w:val="00FF3FC8"/>
    <w:rsid w:val="00FF6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94"/>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3594"/>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table" w:styleId="TableGrid">
    <w:name w:val="Table Grid"/>
    <w:basedOn w:val="TableNormal"/>
    <w:rsid w:val="00F0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4142"/>
    <w:rPr>
      <w:color w:val="0000FF" w:themeColor="hyperlink"/>
      <w:u w:val="single"/>
    </w:rPr>
  </w:style>
  <w:style w:type="character" w:styleId="FollowedHyperlink">
    <w:name w:val="FollowedHyperlink"/>
    <w:basedOn w:val="DefaultParagraphFont"/>
    <w:rsid w:val="005C4142"/>
    <w:rPr>
      <w:color w:val="800080" w:themeColor="followedHyperlink"/>
      <w:u w:val="single"/>
    </w:rPr>
  </w:style>
  <w:style w:type="paragraph" w:styleId="ListParagraph">
    <w:name w:val="List Paragraph"/>
    <w:basedOn w:val="Normal"/>
    <w:uiPriority w:val="34"/>
    <w:qFormat/>
    <w:rsid w:val="00204B95"/>
    <w:pPr>
      <w:ind w:left="720"/>
      <w:contextualSpacing/>
    </w:pPr>
  </w:style>
  <w:style w:type="paragraph" w:styleId="BalloonText">
    <w:name w:val="Balloon Text"/>
    <w:basedOn w:val="Normal"/>
    <w:link w:val="BalloonTextChar"/>
    <w:rsid w:val="002400AD"/>
    <w:rPr>
      <w:rFonts w:ascii="Tahoma" w:hAnsi="Tahoma" w:cs="Tahoma"/>
      <w:sz w:val="16"/>
      <w:szCs w:val="16"/>
    </w:rPr>
  </w:style>
  <w:style w:type="character" w:customStyle="1" w:styleId="BalloonTextChar">
    <w:name w:val="Balloon Text Char"/>
    <w:basedOn w:val="DefaultParagraphFont"/>
    <w:link w:val="BalloonText"/>
    <w:rsid w:val="002400AD"/>
    <w:rPr>
      <w:rFonts w:ascii="Tahoma" w:hAnsi="Tahoma" w:cs="Tahoma"/>
      <w:sz w:val="16"/>
      <w:szCs w:val="16"/>
    </w:rPr>
  </w:style>
  <w:style w:type="character" w:customStyle="1" w:styleId="HeaderChar">
    <w:name w:val="Header Char"/>
    <w:basedOn w:val="DefaultParagraphFont"/>
    <w:link w:val="Header"/>
    <w:uiPriority w:val="99"/>
    <w:rsid w:val="00780CEE"/>
    <w:rPr>
      <w:rFonts w:ascii="Arial" w:hAnsi="Arial" w:cs="Arial"/>
      <w:sz w:val="22"/>
    </w:rPr>
  </w:style>
  <w:style w:type="paragraph" w:customStyle="1" w:styleId="Endofdocument-Annex">
    <w:name w:val="[End of document - Annex]"/>
    <w:basedOn w:val="Normal"/>
    <w:link w:val="Endofdocument-AnnexChar"/>
    <w:rsid w:val="00975298"/>
    <w:pPr>
      <w:ind w:left="5534"/>
    </w:pPr>
    <w:rPr>
      <w:rFonts w:eastAsia="SimSun"/>
      <w:lang w:eastAsia="zh-CN"/>
    </w:rPr>
  </w:style>
  <w:style w:type="character" w:customStyle="1" w:styleId="Endofdocument-AnnexChar">
    <w:name w:val="[End of document - Annex] Char"/>
    <w:link w:val="Endofdocument-Annex"/>
    <w:rsid w:val="00975298"/>
    <w:rPr>
      <w:rFonts w:ascii="Arial" w:eastAsia="SimSun" w:hAnsi="Arial" w:cs="Arial"/>
      <w:sz w:val="22"/>
      <w:lang w:eastAsia="zh-CN"/>
    </w:rPr>
  </w:style>
  <w:style w:type="character" w:styleId="FootnoteReference">
    <w:name w:val="footnote reference"/>
    <w:rsid w:val="001B0EEB"/>
    <w:rPr>
      <w:vertAlign w:val="superscript"/>
    </w:rPr>
  </w:style>
  <w:style w:type="character" w:customStyle="1" w:styleId="Heading3Char">
    <w:name w:val="Heading 3 Char"/>
    <w:link w:val="Heading3"/>
    <w:rsid w:val="001B0EEB"/>
    <w:rPr>
      <w:rFonts w:ascii="Arial" w:eastAsia="SimSun" w:hAnsi="Arial" w:cs="Arial"/>
      <w:bCs/>
      <w:sz w:val="22"/>
      <w:szCs w:val="26"/>
      <w:u w:val="single"/>
    </w:rPr>
  </w:style>
  <w:style w:type="paragraph" w:customStyle="1" w:styleId="Default">
    <w:name w:val="Default"/>
    <w:rsid w:val="00F91F66"/>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1320FC"/>
  </w:style>
  <w:style w:type="paragraph" w:styleId="NormalWeb">
    <w:name w:val="Normal (Web)"/>
    <w:basedOn w:val="Normal"/>
    <w:rsid w:val="001320FC"/>
    <w:pPr>
      <w:spacing w:before="100" w:beforeAutospacing="1" w:after="100" w:afterAutospacing="1"/>
    </w:pPr>
    <w:rPr>
      <w:rFonts w:ascii="Times New Roman" w:hAnsi="Times New Roman" w:cs="Times New Roman"/>
      <w:sz w:val="24"/>
      <w:szCs w:val="24"/>
      <w:lang w:val="fr-FR" w:eastAsia="fr-FR"/>
    </w:rPr>
  </w:style>
  <w:style w:type="character" w:customStyle="1" w:styleId="null1">
    <w:name w:val="null1"/>
    <w:rsid w:val="001320FC"/>
  </w:style>
  <w:style w:type="character" w:styleId="CommentReference">
    <w:name w:val="annotation reference"/>
    <w:basedOn w:val="DefaultParagraphFont"/>
    <w:rsid w:val="005B70D3"/>
    <w:rPr>
      <w:sz w:val="16"/>
      <w:szCs w:val="16"/>
    </w:rPr>
  </w:style>
  <w:style w:type="paragraph" w:styleId="CommentSubject">
    <w:name w:val="annotation subject"/>
    <w:basedOn w:val="CommentText"/>
    <w:next w:val="CommentText"/>
    <w:link w:val="CommentSubjectChar"/>
    <w:rsid w:val="005B70D3"/>
    <w:rPr>
      <w:b/>
      <w:bCs/>
      <w:sz w:val="20"/>
    </w:rPr>
  </w:style>
  <w:style w:type="character" w:customStyle="1" w:styleId="CommentTextChar">
    <w:name w:val="Comment Text Char"/>
    <w:basedOn w:val="DefaultParagraphFont"/>
    <w:link w:val="CommentText"/>
    <w:semiHidden/>
    <w:rsid w:val="005B70D3"/>
    <w:rPr>
      <w:rFonts w:ascii="Arial" w:hAnsi="Arial" w:cs="Arial"/>
      <w:sz w:val="18"/>
    </w:rPr>
  </w:style>
  <w:style w:type="character" w:customStyle="1" w:styleId="CommentSubjectChar">
    <w:name w:val="Comment Subject Char"/>
    <w:basedOn w:val="CommentTextChar"/>
    <w:link w:val="CommentSubject"/>
    <w:rsid w:val="005B70D3"/>
    <w:rPr>
      <w:rFonts w:ascii="Arial" w:hAnsi="Arial" w:cs="Arial"/>
      <w:b/>
      <w:bCs/>
      <w:sz w:val="18"/>
    </w:rPr>
  </w:style>
  <w:style w:type="paragraph" w:styleId="Revision">
    <w:name w:val="Revision"/>
    <w:hidden/>
    <w:uiPriority w:val="99"/>
    <w:semiHidden/>
    <w:rsid w:val="00D0695E"/>
    <w:rPr>
      <w:rFonts w:ascii="Arial" w:hAnsi="Arial" w:cs="Arial"/>
      <w:sz w:val="22"/>
    </w:rPr>
  </w:style>
  <w:style w:type="character" w:customStyle="1" w:styleId="FooterChar">
    <w:name w:val="Footer Char"/>
    <w:basedOn w:val="DefaultParagraphFont"/>
    <w:link w:val="Footer"/>
    <w:uiPriority w:val="99"/>
    <w:rsid w:val="003E0BB0"/>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table" w:styleId="TableGrid">
    <w:name w:val="Table Grid"/>
    <w:basedOn w:val="TableNormal"/>
    <w:rsid w:val="00F0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4142"/>
    <w:rPr>
      <w:color w:val="0000FF" w:themeColor="hyperlink"/>
      <w:u w:val="single"/>
    </w:rPr>
  </w:style>
  <w:style w:type="character" w:styleId="FollowedHyperlink">
    <w:name w:val="FollowedHyperlink"/>
    <w:basedOn w:val="DefaultParagraphFont"/>
    <w:rsid w:val="005C4142"/>
    <w:rPr>
      <w:color w:val="800080" w:themeColor="followedHyperlink"/>
      <w:u w:val="single"/>
    </w:rPr>
  </w:style>
  <w:style w:type="paragraph" w:styleId="ListParagraph">
    <w:name w:val="List Paragraph"/>
    <w:basedOn w:val="Normal"/>
    <w:uiPriority w:val="34"/>
    <w:qFormat/>
    <w:rsid w:val="00204B95"/>
    <w:pPr>
      <w:ind w:left="720"/>
      <w:contextualSpacing/>
    </w:pPr>
  </w:style>
  <w:style w:type="paragraph" w:styleId="BalloonText">
    <w:name w:val="Balloon Text"/>
    <w:basedOn w:val="Normal"/>
    <w:link w:val="BalloonTextChar"/>
    <w:rsid w:val="002400AD"/>
    <w:rPr>
      <w:rFonts w:ascii="Tahoma" w:hAnsi="Tahoma" w:cs="Tahoma"/>
      <w:sz w:val="16"/>
      <w:szCs w:val="16"/>
    </w:rPr>
  </w:style>
  <w:style w:type="character" w:customStyle="1" w:styleId="BalloonTextChar">
    <w:name w:val="Texte de bulles Car"/>
    <w:basedOn w:val="DefaultParagraphFont"/>
    <w:link w:val="BalloonText"/>
    <w:rsid w:val="002400AD"/>
    <w:rPr>
      <w:rFonts w:ascii="Tahoma" w:hAnsi="Tahoma" w:cs="Tahoma"/>
      <w:sz w:val="16"/>
      <w:szCs w:val="16"/>
    </w:rPr>
  </w:style>
  <w:style w:type="character" w:customStyle="1" w:styleId="HeaderChar">
    <w:name w:val="En-tête Car"/>
    <w:basedOn w:val="DefaultParagraphFont"/>
    <w:link w:val="Header"/>
    <w:uiPriority w:val="99"/>
    <w:rsid w:val="00780CEE"/>
    <w:rPr>
      <w:rFonts w:ascii="Arial" w:hAnsi="Arial" w:cs="Arial"/>
      <w:sz w:val="22"/>
    </w:rPr>
  </w:style>
  <w:style w:type="paragraph" w:customStyle="1" w:styleId="Endofdocument-Annex">
    <w:name w:val="[End of document - Annex]"/>
    <w:basedOn w:val="Normal"/>
    <w:link w:val="Endofdocument-AnnexChar"/>
    <w:rsid w:val="00975298"/>
    <w:pPr>
      <w:ind w:left="5534"/>
    </w:pPr>
    <w:rPr>
      <w:rFonts w:eastAsia="SimSun"/>
      <w:lang w:eastAsia="zh-CN"/>
    </w:rPr>
  </w:style>
  <w:style w:type="character" w:customStyle="1" w:styleId="Endofdocument-AnnexChar">
    <w:name w:val="[End of document - Annex] Char"/>
    <w:link w:val="Endofdocument-Annex"/>
    <w:rsid w:val="00975298"/>
    <w:rPr>
      <w:rFonts w:ascii="Arial" w:eastAsia="SimSun" w:hAnsi="Arial" w:cs="Arial"/>
      <w:sz w:val="22"/>
      <w:lang w:eastAsia="zh-CN"/>
    </w:rPr>
  </w:style>
  <w:style w:type="character" w:styleId="FootnoteReference">
    <w:name w:val="footnote reference"/>
    <w:rsid w:val="001B0EEB"/>
    <w:rPr>
      <w:vertAlign w:val="superscript"/>
    </w:rPr>
  </w:style>
  <w:style w:type="character" w:customStyle="1" w:styleId="Heading3Char">
    <w:name w:val="Titre 3 Car"/>
    <w:link w:val="Heading3"/>
    <w:rsid w:val="001B0EEB"/>
    <w:rPr>
      <w:rFonts w:ascii="Arial" w:eastAsia="SimSun" w:hAnsi="Arial" w:cs="Arial"/>
      <w:bCs/>
      <w:sz w:val="22"/>
      <w:szCs w:val="26"/>
      <w:u w:val="single"/>
    </w:rPr>
  </w:style>
  <w:style w:type="paragraph" w:customStyle="1" w:styleId="Default">
    <w:name w:val="Default"/>
    <w:rsid w:val="00F91F66"/>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1320FC"/>
  </w:style>
  <w:style w:type="paragraph" w:styleId="NormalWeb">
    <w:name w:val="Normal (Web)"/>
    <w:basedOn w:val="Normal"/>
    <w:rsid w:val="001320FC"/>
    <w:pPr>
      <w:spacing w:before="100" w:beforeAutospacing="1" w:after="100" w:afterAutospacing="1"/>
    </w:pPr>
    <w:rPr>
      <w:rFonts w:ascii="Times New Roman" w:hAnsi="Times New Roman" w:cs="Times New Roman"/>
      <w:sz w:val="24"/>
      <w:szCs w:val="24"/>
      <w:lang w:val="fr-FR" w:eastAsia="fr-FR"/>
    </w:rPr>
  </w:style>
  <w:style w:type="character" w:customStyle="1" w:styleId="null1">
    <w:name w:val="null1"/>
    <w:rsid w:val="001320FC"/>
  </w:style>
  <w:style w:type="character" w:styleId="CommentReference">
    <w:name w:val="annotation reference"/>
    <w:basedOn w:val="DefaultParagraphFont"/>
    <w:rsid w:val="005B70D3"/>
    <w:rPr>
      <w:sz w:val="16"/>
      <w:szCs w:val="16"/>
    </w:rPr>
  </w:style>
  <w:style w:type="paragraph" w:styleId="CommentSubject">
    <w:name w:val="annotation subject"/>
    <w:basedOn w:val="CommentText"/>
    <w:next w:val="CommentText"/>
    <w:link w:val="CommentSubjectChar"/>
    <w:rsid w:val="005B70D3"/>
    <w:rPr>
      <w:b/>
      <w:bCs/>
      <w:sz w:val="20"/>
    </w:rPr>
  </w:style>
  <w:style w:type="character" w:customStyle="1" w:styleId="CommentTextChar">
    <w:name w:val="Commentaire Car"/>
    <w:basedOn w:val="DefaultParagraphFont"/>
    <w:link w:val="CommentText"/>
    <w:semiHidden/>
    <w:rsid w:val="005B70D3"/>
    <w:rPr>
      <w:rFonts w:ascii="Arial" w:hAnsi="Arial" w:cs="Arial"/>
      <w:sz w:val="18"/>
    </w:rPr>
  </w:style>
  <w:style w:type="character" w:customStyle="1" w:styleId="CommentSubjectChar">
    <w:name w:val="Objet du commentaire Car"/>
    <w:basedOn w:val="CommentTextChar"/>
    <w:link w:val="CommentSubject"/>
    <w:rsid w:val="005B70D3"/>
    <w:rPr>
      <w:rFonts w:ascii="Arial" w:hAnsi="Arial" w:cs="Arial"/>
      <w:b/>
      <w:bCs/>
      <w:sz w:val="18"/>
    </w:rPr>
  </w:style>
  <w:style w:type="paragraph" w:styleId="Revision">
    <w:name w:val="Revision"/>
    <w:hidden/>
    <w:uiPriority w:val="99"/>
    <w:semiHidden/>
    <w:rsid w:val="00D0695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30987">
      <w:bodyDiv w:val="1"/>
      <w:marLeft w:val="0"/>
      <w:marRight w:val="0"/>
      <w:marTop w:val="0"/>
      <w:marBottom w:val="0"/>
      <w:divBdr>
        <w:top w:val="none" w:sz="0" w:space="0" w:color="auto"/>
        <w:left w:val="none" w:sz="0" w:space="0" w:color="auto"/>
        <w:bottom w:val="none" w:sz="0" w:space="0" w:color="auto"/>
        <w:right w:val="none" w:sz="0" w:space="0" w:color="auto"/>
      </w:divBdr>
      <w:divsChild>
        <w:div w:id="622885926">
          <w:marLeft w:val="0"/>
          <w:marRight w:val="0"/>
          <w:marTop w:val="0"/>
          <w:marBottom w:val="0"/>
          <w:divBdr>
            <w:top w:val="none" w:sz="0" w:space="0" w:color="auto"/>
            <w:left w:val="none" w:sz="0" w:space="0" w:color="auto"/>
            <w:bottom w:val="none" w:sz="0" w:space="0" w:color="auto"/>
            <w:right w:val="none" w:sz="0" w:space="0" w:color="auto"/>
          </w:divBdr>
        </w:div>
        <w:div w:id="1932083923">
          <w:marLeft w:val="0"/>
          <w:marRight w:val="0"/>
          <w:marTop w:val="0"/>
          <w:marBottom w:val="0"/>
          <w:divBdr>
            <w:top w:val="none" w:sz="0" w:space="0" w:color="auto"/>
            <w:left w:val="none" w:sz="0" w:space="0" w:color="auto"/>
            <w:bottom w:val="none" w:sz="0" w:space="0" w:color="auto"/>
            <w:right w:val="none" w:sz="0" w:space="0" w:color="auto"/>
          </w:divBdr>
        </w:div>
        <w:div w:id="1151478717">
          <w:marLeft w:val="0"/>
          <w:marRight w:val="0"/>
          <w:marTop w:val="0"/>
          <w:marBottom w:val="0"/>
          <w:divBdr>
            <w:top w:val="none" w:sz="0" w:space="0" w:color="auto"/>
            <w:left w:val="none" w:sz="0" w:space="0" w:color="auto"/>
            <w:bottom w:val="none" w:sz="0" w:space="0" w:color="auto"/>
            <w:right w:val="none" w:sz="0" w:space="0" w:color="auto"/>
          </w:divBdr>
        </w:div>
        <w:div w:id="320546373">
          <w:marLeft w:val="0"/>
          <w:marRight w:val="0"/>
          <w:marTop w:val="0"/>
          <w:marBottom w:val="0"/>
          <w:divBdr>
            <w:top w:val="none" w:sz="0" w:space="0" w:color="auto"/>
            <w:left w:val="none" w:sz="0" w:space="0" w:color="auto"/>
            <w:bottom w:val="none" w:sz="0" w:space="0" w:color="auto"/>
            <w:right w:val="none" w:sz="0" w:space="0" w:color="auto"/>
          </w:divBdr>
        </w:div>
      </w:divsChild>
    </w:div>
    <w:div w:id="1245921321">
      <w:bodyDiv w:val="1"/>
      <w:marLeft w:val="0"/>
      <w:marRight w:val="0"/>
      <w:marTop w:val="0"/>
      <w:marBottom w:val="0"/>
      <w:divBdr>
        <w:top w:val="none" w:sz="0" w:space="0" w:color="auto"/>
        <w:left w:val="none" w:sz="0" w:space="0" w:color="auto"/>
        <w:bottom w:val="none" w:sz="0" w:space="0" w:color="auto"/>
        <w:right w:val="none" w:sz="0" w:space="0" w:color="auto"/>
      </w:divBdr>
      <w:divsChild>
        <w:div w:id="1037001487">
          <w:marLeft w:val="0"/>
          <w:marRight w:val="0"/>
          <w:marTop w:val="0"/>
          <w:marBottom w:val="0"/>
          <w:divBdr>
            <w:top w:val="none" w:sz="0" w:space="0" w:color="auto"/>
            <w:left w:val="none" w:sz="0" w:space="0" w:color="auto"/>
            <w:bottom w:val="none" w:sz="0" w:space="0" w:color="auto"/>
            <w:right w:val="none" w:sz="0" w:space="0" w:color="auto"/>
          </w:divBdr>
        </w:div>
        <w:div w:id="1716002660">
          <w:marLeft w:val="0"/>
          <w:marRight w:val="0"/>
          <w:marTop w:val="0"/>
          <w:marBottom w:val="0"/>
          <w:divBdr>
            <w:top w:val="none" w:sz="0" w:space="0" w:color="auto"/>
            <w:left w:val="none" w:sz="0" w:space="0" w:color="auto"/>
            <w:bottom w:val="none" w:sz="0" w:space="0" w:color="auto"/>
            <w:right w:val="none" w:sz="0" w:space="0" w:color="auto"/>
          </w:divBdr>
        </w:div>
      </w:divsChild>
    </w:div>
    <w:div w:id="1529759034">
      <w:bodyDiv w:val="1"/>
      <w:marLeft w:val="0"/>
      <w:marRight w:val="0"/>
      <w:marTop w:val="0"/>
      <w:marBottom w:val="0"/>
      <w:divBdr>
        <w:top w:val="none" w:sz="0" w:space="0" w:color="auto"/>
        <w:left w:val="none" w:sz="0" w:space="0" w:color="auto"/>
        <w:bottom w:val="none" w:sz="0" w:space="0" w:color="auto"/>
        <w:right w:val="none" w:sz="0" w:space="0" w:color="auto"/>
      </w:divBdr>
    </w:div>
    <w:div w:id="1600674151">
      <w:bodyDiv w:val="1"/>
      <w:marLeft w:val="0"/>
      <w:marRight w:val="0"/>
      <w:marTop w:val="0"/>
      <w:marBottom w:val="0"/>
      <w:divBdr>
        <w:top w:val="none" w:sz="0" w:space="0" w:color="auto"/>
        <w:left w:val="none" w:sz="0" w:space="0" w:color="auto"/>
        <w:bottom w:val="none" w:sz="0" w:space="0" w:color="auto"/>
        <w:right w:val="none" w:sz="0" w:space="0" w:color="auto"/>
      </w:divBdr>
    </w:div>
    <w:div w:id="1657685133">
      <w:bodyDiv w:val="1"/>
      <w:marLeft w:val="0"/>
      <w:marRight w:val="0"/>
      <w:marTop w:val="0"/>
      <w:marBottom w:val="0"/>
      <w:divBdr>
        <w:top w:val="none" w:sz="0" w:space="0" w:color="auto"/>
        <w:left w:val="none" w:sz="0" w:space="0" w:color="auto"/>
        <w:bottom w:val="none" w:sz="0" w:space="0" w:color="auto"/>
        <w:right w:val="none" w:sz="0" w:space="0" w:color="auto"/>
      </w:divBdr>
    </w:div>
    <w:div w:id="197259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117" Type="http://schemas.openxmlformats.org/officeDocument/2006/relationships/hyperlink" Target="http://www.wipo.int/meetings/fr/doc_details.jsp?doc_id=372830" TargetMode="External"/><Relationship Id="rId21" Type="http://schemas.openxmlformats.org/officeDocument/2006/relationships/hyperlink" Target="http://www.wipo.int/meetings/fr/details.jsp?meeting_id=46438" TargetMode="External"/><Relationship Id="rId42" Type="http://schemas.openxmlformats.org/officeDocument/2006/relationships/hyperlink" Target="http://www.wipo.int/ipstrategies/fr/methodology/" TargetMode="External"/><Relationship Id="rId47" Type="http://schemas.openxmlformats.org/officeDocument/2006/relationships/hyperlink" Target="http://www.wipo.int/meetings/fr/doc_details.jsp?doc_id=301656" TargetMode="External"/><Relationship Id="rId63" Type="http://schemas.openxmlformats.org/officeDocument/2006/relationships/header" Target="header15.xml"/><Relationship Id="rId68" Type="http://schemas.openxmlformats.org/officeDocument/2006/relationships/footer" Target="footer3.xml"/><Relationship Id="rId84" Type="http://schemas.openxmlformats.org/officeDocument/2006/relationships/hyperlink" Target="http://www.wipo.int/about-ip/fr/universities_research/ip_policies/" TargetMode="External"/><Relationship Id="rId89" Type="http://schemas.openxmlformats.org/officeDocument/2006/relationships/hyperlink" Target="http://www.wipo.int/meetings/fr/doc_details.jsp?doc_id=131425" TargetMode="External"/><Relationship Id="rId112" Type="http://schemas.openxmlformats.org/officeDocument/2006/relationships/hyperlink" Target="http://www.wipo.int/meetings/fr/doc_details.jsp?doc_id=149209" TargetMode="External"/><Relationship Id="rId133" Type="http://schemas.openxmlformats.org/officeDocument/2006/relationships/theme" Target="theme/theme1.xml"/><Relationship Id="rId16" Type="http://schemas.openxmlformats.org/officeDocument/2006/relationships/header" Target="header6.xml"/><Relationship Id="rId107" Type="http://schemas.openxmlformats.org/officeDocument/2006/relationships/hyperlink" Target="http://www.wipo.int/meetings/fr/doc_details.jsp?doc_id=410994" TargetMode="External"/><Relationship Id="rId11" Type="http://schemas.openxmlformats.org/officeDocument/2006/relationships/header" Target="header1.xml"/><Relationship Id="rId32" Type="http://schemas.openxmlformats.org/officeDocument/2006/relationships/hyperlink" Target="http://www.wipo.int/meetings/fr/doc_details.jsp?doc_id=202139" TargetMode="External"/><Relationship Id="rId37" Type="http://schemas.openxmlformats.org/officeDocument/2006/relationships/hyperlink" Target="http://www.wipo.int/dmd/fr/" TargetMode="External"/><Relationship Id="rId53" Type="http://schemas.openxmlformats.org/officeDocument/2006/relationships/hyperlink" Target="http://www.wipo.int/meetings/fr/doc_details.jsp?doc_id=164186" TargetMode="External"/><Relationship Id="rId58" Type="http://schemas.openxmlformats.org/officeDocument/2006/relationships/hyperlink" Target="http://www.wipo.int/meetings/fr/doc_details.jsp?doc_id=372830" TargetMode="External"/><Relationship Id="rId74" Type="http://schemas.openxmlformats.org/officeDocument/2006/relationships/hyperlink" Target="http://www.wipo.int/meetings/fr/doc_details.jsp?doc_id=139538" TargetMode="External"/><Relationship Id="rId79" Type="http://schemas.openxmlformats.org/officeDocument/2006/relationships/hyperlink" Target="http://www.wipo.int/meetings/fr/doc_details.jsp?doc_id=329197" TargetMode="External"/><Relationship Id="rId102" Type="http://schemas.openxmlformats.org/officeDocument/2006/relationships/hyperlink" Target="http://www.wipo.int/meetings/fr/doc_details.jsp?doc_id=372830" TargetMode="External"/><Relationship Id="rId123" Type="http://schemas.openxmlformats.org/officeDocument/2006/relationships/hyperlink" Target="http://www.respectforcopyright.org" TargetMode="External"/><Relationship Id="rId128" Type="http://schemas.openxmlformats.org/officeDocument/2006/relationships/footer" Target="footer7.xml"/><Relationship Id="rId5" Type="http://schemas.openxmlformats.org/officeDocument/2006/relationships/settings" Target="settings.xml"/><Relationship Id="rId90" Type="http://schemas.openxmlformats.org/officeDocument/2006/relationships/hyperlink" Target="http://www.wipo.int/meetings/fr/doc_details.jsp?doc_id=131425" TargetMode="External"/><Relationship Id="rId95" Type="http://schemas.openxmlformats.org/officeDocument/2006/relationships/footer" Target="footer5.xml"/><Relationship Id="rId14" Type="http://schemas.openxmlformats.org/officeDocument/2006/relationships/header" Target="header4.xml"/><Relationship Id="rId22" Type="http://schemas.openxmlformats.org/officeDocument/2006/relationships/hyperlink" Target="http://www.wipo.int/edocs/mdocs/mdocs/fr/cdip_14/cdip_14_inf_2.pdf" TargetMode="External"/><Relationship Id="rId27" Type="http://schemas.openxmlformats.org/officeDocument/2006/relationships/hyperlink" Target="http://www.wipo.int/meetings/fr/doc_details.jsp?doc_id=119552" TargetMode="External"/><Relationship Id="rId30" Type="http://schemas.openxmlformats.org/officeDocument/2006/relationships/hyperlink" Target="http://www.wipo.int/meetings/fr/doc_details.jsp?doc_id=330596" TargetMode="External"/><Relationship Id="rId35" Type="http://schemas.openxmlformats.org/officeDocument/2006/relationships/hyperlink" Target="http://www.wipo.int/tad/fr/" TargetMode="External"/><Relationship Id="rId43" Type="http://schemas.openxmlformats.org/officeDocument/2006/relationships/hyperlink" Target="http://www.wipo.int/meetings/fr/doc_details.jsp?doc_id=131716" TargetMode="External"/><Relationship Id="rId48" Type="http://schemas.openxmlformats.org/officeDocument/2006/relationships/hyperlink" Target="http://www.wipo.int/meetings/fr/doc_details.jsp?doc_id=330596" TargetMode="External"/><Relationship Id="rId56" Type="http://schemas.openxmlformats.org/officeDocument/2006/relationships/hyperlink" Target="http://www.wipo.int/meetings/fr/doc_details.jsp?doc_id=330596" TargetMode="External"/><Relationship Id="rId64" Type="http://schemas.openxmlformats.org/officeDocument/2006/relationships/header" Target="header16.xml"/><Relationship Id="rId69" Type="http://schemas.openxmlformats.org/officeDocument/2006/relationships/hyperlink" Target="http://www.wipo.int/meetings/fr/doc_details.jsp?doc_id=150598" TargetMode="External"/><Relationship Id="rId77" Type="http://schemas.openxmlformats.org/officeDocument/2006/relationships/hyperlink" Target="http://www.wipo.int/meetings/fr/doc_details.jsp?doc_id=150598" TargetMode="External"/><Relationship Id="rId100" Type="http://schemas.openxmlformats.org/officeDocument/2006/relationships/hyperlink" Target="http://www.wipo.int/meetings/fr/doc_details.jsp?doc_id=139538" TargetMode="External"/><Relationship Id="rId105" Type="http://schemas.openxmlformats.org/officeDocument/2006/relationships/hyperlink" Target="http://www.wipo.int/ip-competition/fr/" TargetMode="External"/><Relationship Id="rId113" Type="http://schemas.openxmlformats.org/officeDocument/2006/relationships/hyperlink" Target="http://www.wipo.int/meetings/fr/doc_details.jsp?doc_id=131428" TargetMode="External"/><Relationship Id="rId118" Type="http://schemas.openxmlformats.org/officeDocument/2006/relationships/hyperlink" Target="http://www.wipo.int/cooperation/fr/technical_assistance/" TargetMode="External"/><Relationship Id="rId126" Type="http://schemas.openxmlformats.org/officeDocument/2006/relationships/header" Target="header21.xml"/><Relationship Id="rId8" Type="http://schemas.openxmlformats.org/officeDocument/2006/relationships/endnotes" Target="endnotes.xml"/><Relationship Id="rId51" Type="http://schemas.openxmlformats.org/officeDocument/2006/relationships/hyperlink" Target="http://www.wipo.int/meetings/fr/doc_details.jsp?doc_id=406377" TargetMode="External"/><Relationship Id="rId72" Type="http://schemas.openxmlformats.org/officeDocument/2006/relationships/hyperlink" Target="http://www.wipo.int/meetings/fr/doc_details.jsp?doc_id=131424" TargetMode="External"/><Relationship Id="rId80" Type="http://schemas.openxmlformats.org/officeDocument/2006/relationships/hyperlink" Target="http://www.wipo.int/ipdevelopment/en/agenda/millennium_goals/" TargetMode="External"/><Relationship Id="rId85" Type="http://schemas.openxmlformats.org/officeDocument/2006/relationships/hyperlink" Target="http://www.wipo.int/publications/fr/details.jsp?id=4332" TargetMode="External"/><Relationship Id="rId93" Type="http://schemas.openxmlformats.org/officeDocument/2006/relationships/header" Target="header19.xml"/><Relationship Id="rId98" Type="http://schemas.openxmlformats.org/officeDocument/2006/relationships/hyperlink" Target="http://www.wipo.int/meetings/fr/doc_details.jsp?doc_id=131425" TargetMode="External"/><Relationship Id="rId121" Type="http://schemas.openxmlformats.org/officeDocument/2006/relationships/hyperlink" Target="http://www.wipo.int/edocs/mdocs/enforcement/fr/wipo_ace_11/wipo_ace_11_10.pd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yperlink" Target="http://www.wipo.int/meetings/fr/doc_details.jsp?doc_id=252504" TargetMode="External"/><Relationship Id="rId38" Type="http://schemas.openxmlformats.org/officeDocument/2006/relationships/hyperlink" Target="http://www.wipo.int/meetings/fr/doc_details.jsp?doc_id=119552" TargetMode="External"/><Relationship Id="rId46" Type="http://schemas.openxmlformats.org/officeDocument/2006/relationships/hyperlink" Target="http://www.wipo.int/meetings/fr/doc_details.jsp?doc_id=252504" TargetMode="External"/><Relationship Id="rId59" Type="http://schemas.openxmlformats.org/officeDocument/2006/relationships/hyperlink" Target="http://www.wipo.int/meetings/fr/doc_details.jsp?doc_id=372830" TargetMode="External"/><Relationship Id="rId67" Type="http://schemas.openxmlformats.org/officeDocument/2006/relationships/header" Target="header17.xml"/><Relationship Id="rId103" Type="http://schemas.openxmlformats.org/officeDocument/2006/relationships/hyperlink" Target="http://www.wipo.int/meetings/fr/doc_details.jsp?doc_id=406377" TargetMode="External"/><Relationship Id="rId108" Type="http://schemas.openxmlformats.org/officeDocument/2006/relationships/hyperlink" Target="http://www.wipo.int/meetings/fr/doc_details.jsp?doc_id=411030" TargetMode="External"/><Relationship Id="rId116" Type="http://schemas.openxmlformats.org/officeDocument/2006/relationships/hyperlink" Target="http://www.wipo.int/meetings/fr/doc_details.jsp?doc_id=301656" TargetMode="External"/><Relationship Id="rId124" Type="http://schemas.openxmlformats.org/officeDocument/2006/relationships/hyperlink" Target="http://www.respectoporelderechodeautor.org" TargetMode="External"/><Relationship Id="rId129" Type="http://schemas.openxmlformats.org/officeDocument/2006/relationships/footer" Target="footer8.xml"/><Relationship Id="rId20" Type="http://schemas.openxmlformats.org/officeDocument/2006/relationships/header" Target="header10.xml"/><Relationship Id="rId41" Type="http://schemas.openxmlformats.org/officeDocument/2006/relationships/hyperlink" Target="http://www.wipo.int/meetings/fr/doc_details.jsp?doc_id=119552" TargetMode="External"/><Relationship Id="rId54" Type="http://schemas.openxmlformats.org/officeDocument/2006/relationships/hyperlink" Target="http://www.wipo.int/meetings/fr/doc_details.jsp?doc_id=202139" TargetMode="External"/><Relationship Id="rId62" Type="http://schemas.openxmlformats.org/officeDocument/2006/relationships/hyperlink" Target="http://www.wipo.int/meetings/fr/doc_details.jsp?doc_id=164186" TargetMode="External"/><Relationship Id="rId70" Type="http://schemas.openxmlformats.org/officeDocument/2006/relationships/hyperlink" Target="http://www.wipo.int/meetings/fr/doc_details.jsp?doc_id=192829" TargetMode="External"/><Relationship Id="rId75" Type="http://schemas.openxmlformats.org/officeDocument/2006/relationships/hyperlink" Target="http://www.wipo.int/meetings/fr/doc_details.jsp?doc_id=156582" TargetMode="External"/><Relationship Id="rId83" Type="http://schemas.openxmlformats.org/officeDocument/2006/relationships/hyperlink" Target="http://www.wipo.int/meetings/fr/doc_details.jsp?doc_id=156582" TargetMode="External"/><Relationship Id="rId88" Type="http://schemas.openxmlformats.org/officeDocument/2006/relationships/hyperlink" Target="http://www.wipo.int/meetings/fr/doc_details.jsp?doc_id=156582" TargetMode="External"/><Relationship Id="rId91" Type="http://schemas.openxmlformats.org/officeDocument/2006/relationships/hyperlink" Target="http://www.wipo.int/meetings/fr/doc_details.jsp?doc_id=139538" TargetMode="External"/><Relationship Id="rId96" Type="http://schemas.openxmlformats.org/officeDocument/2006/relationships/header" Target="header20.xml"/><Relationship Id="rId111" Type="http://schemas.openxmlformats.org/officeDocument/2006/relationships/hyperlink" Target="http://www.wipo.int/meetings/fr/doc_details.jsp?doc_id=149209"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yperlink" Target="http://www.wipo.int/meetings/fr/doc_details.jsp?doc_id=119552" TargetMode="External"/><Relationship Id="rId36" Type="http://schemas.openxmlformats.org/officeDocument/2006/relationships/hyperlink" Target="http://www.wipo.int/meetings/fr/doc_details.jsp?doc_id=119552" TargetMode="External"/><Relationship Id="rId49" Type="http://schemas.openxmlformats.org/officeDocument/2006/relationships/hyperlink" Target="http://www.wipo.int/meetings/fr/doc_details.jsp?doc_id=339288" TargetMode="External"/><Relationship Id="rId57" Type="http://schemas.openxmlformats.org/officeDocument/2006/relationships/hyperlink" Target="http://www.wipo.int/meetings/fr/doc_details.jsp?doc_id=301656" TargetMode="External"/><Relationship Id="rId106" Type="http://schemas.openxmlformats.org/officeDocument/2006/relationships/hyperlink" Target="http://www.wipo.int/meetings/fr/doc_details.jsp?doc_id=164186" TargetMode="External"/><Relationship Id="rId114" Type="http://schemas.openxmlformats.org/officeDocument/2006/relationships/hyperlink" Target="http://www.wipo.int/meetings/fr/doc_details.jsp?doc_id=184781" TargetMode="External"/><Relationship Id="rId119" Type="http://schemas.openxmlformats.org/officeDocument/2006/relationships/hyperlink" Target="http://www.wipo.int/meetings/fr/doc_details.jsp?doc_id=372936" TargetMode="External"/><Relationship Id="rId127" Type="http://schemas.openxmlformats.org/officeDocument/2006/relationships/header" Target="header22.xml"/><Relationship Id="rId10" Type="http://schemas.openxmlformats.org/officeDocument/2006/relationships/hyperlink" Target="http://www.wipo.int/tad" TargetMode="External"/><Relationship Id="rId31" Type="http://schemas.openxmlformats.org/officeDocument/2006/relationships/hyperlink" Target="http://www.wipo.int/meetings/fr/doc_details.jsp?doc_id=339288" TargetMode="External"/><Relationship Id="rId44" Type="http://schemas.openxmlformats.org/officeDocument/2006/relationships/hyperlink" Target="http://www.wipo.int/meetings/fr/doc_details.jsp?doc_id=164186" TargetMode="External"/><Relationship Id="rId52" Type="http://schemas.openxmlformats.org/officeDocument/2006/relationships/hyperlink" Target="http://www.wipo.int/meetings/fr/doc_details.jsp?doc_id=339288" TargetMode="External"/><Relationship Id="rId60" Type="http://schemas.openxmlformats.org/officeDocument/2006/relationships/hyperlink" Target="http://www.wipo.int/meetings/fr/doc_details.jsp?doc_id=406377" TargetMode="External"/><Relationship Id="rId65" Type="http://schemas.openxmlformats.org/officeDocument/2006/relationships/footer" Target="footer1.xml"/><Relationship Id="rId73" Type="http://schemas.openxmlformats.org/officeDocument/2006/relationships/hyperlink" Target="http://www.wipo.int/meetings/fr/doc_details.jsp?doc_id=131425" TargetMode="External"/><Relationship Id="rId78" Type="http://schemas.openxmlformats.org/officeDocument/2006/relationships/hyperlink" Target="http://www.wipo.int/meetings/fr/doc_details.jsp?doc_id=192829" TargetMode="External"/><Relationship Id="rId81" Type="http://schemas.openxmlformats.org/officeDocument/2006/relationships/hyperlink" Target="http://www.wipo.int/ip-competition/fr/" TargetMode="External"/><Relationship Id="rId86" Type="http://schemas.openxmlformats.org/officeDocument/2006/relationships/hyperlink" Target="http://www.wipo.int/meetings/fr/doc_details.jsp?doc_id=131424" TargetMode="External"/><Relationship Id="rId94" Type="http://schemas.openxmlformats.org/officeDocument/2006/relationships/footer" Target="footer4.xml"/><Relationship Id="rId99" Type="http://schemas.openxmlformats.org/officeDocument/2006/relationships/hyperlink" Target="http://www.wipo.int/meetings/fr/doc_details.jsp?doc_id=131425" TargetMode="External"/><Relationship Id="rId101" Type="http://schemas.openxmlformats.org/officeDocument/2006/relationships/hyperlink" Target="http://www.wipo.int/meetings/fr/doc_details.jsp?doc_id=372830" TargetMode="External"/><Relationship Id="rId122" Type="http://schemas.openxmlformats.org/officeDocument/2006/relationships/hyperlink" Target="http://www.wipo.int/meetings/fr/doc_details.jsp?doc_id=373336" TargetMode="External"/><Relationship Id="rId130" Type="http://schemas.openxmlformats.org/officeDocument/2006/relationships/header" Target="header23.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yperlink" Target="http://www.wipo.int/meetings/fr/doc_details.jsp?doc_id=119552" TargetMode="External"/><Relationship Id="rId109" Type="http://schemas.openxmlformats.org/officeDocument/2006/relationships/hyperlink" Target="http://www.wipo.int/meetings/fr/doc_details.jsp?doc_id=139640" TargetMode="External"/><Relationship Id="rId34" Type="http://schemas.openxmlformats.org/officeDocument/2006/relationships/hyperlink" Target="http://www.wipo.int/edocs/mdocs/mdocs/fr/cdip_3/cdip_3_inf_2.pdf" TargetMode="External"/><Relationship Id="rId50" Type="http://schemas.openxmlformats.org/officeDocument/2006/relationships/hyperlink" Target="http://www.wipo.int/meetings/fr/doc_details.jsp?doc_id=372830" TargetMode="External"/><Relationship Id="rId55" Type="http://schemas.openxmlformats.org/officeDocument/2006/relationships/hyperlink" Target="http://www.wipo.int/meetings/fr/doc_details.jsp?doc_id=202139" TargetMode="External"/><Relationship Id="rId76" Type="http://schemas.openxmlformats.org/officeDocument/2006/relationships/hyperlink" Target="http://www.wipo.int/meetings/fr/doc_details.jsp?doc_id=164186" TargetMode="External"/><Relationship Id="rId97" Type="http://schemas.openxmlformats.org/officeDocument/2006/relationships/footer" Target="footer6.xml"/><Relationship Id="rId104" Type="http://schemas.openxmlformats.org/officeDocument/2006/relationships/hyperlink" Target="http://www.wipo.int/meetings/fr/doc_details.jsp?doc_id=406377" TargetMode="External"/><Relationship Id="rId120" Type="http://schemas.openxmlformats.org/officeDocument/2006/relationships/hyperlink" Target="http://www.wipo.int/enforcement/fr/activities/current.html" TargetMode="External"/><Relationship Id="rId125" Type="http://schemas.openxmlformats.org/officeDocument/2006/relationships/hyperlink" Target="http://www.respectfortrademarks.org" TargetMode="External"/><Relationship Id="rId7" Type="http://schemas.openxmlformats.org/officeDocument/2006/relationships/footnotes" Target="footnotes.xml"/><Relationship Id="rId71" Type="http://schemas.openxmlformats.org/officeDocument/2006/relationships/hyperlink" Target="http://www.wipo.int/meetings/fr/doc_details.jsp?doc_id=329197" TargetMode="External"/><Relationship Id="rId92" Type="http://schemas.openxmlformats.org/officeDocument/2006/relationships/header" Target="header18.xml"/><Relationship Id="rId2" Type="http://schemas.openxmlformats.org/officeDocument/2006/relationships/numbering" Target="numbering.xml"/><Relationship Id="rId29" Type="http://schemas.openxmlformats.org/officeDocument/2006/relationships/hyperlink" Target="http://www.wipo.int/meetings/fr/doc_details.jsp?doc_id=202139" TargetMode="External"/><Relationship Id="rId24" Type="http://schemas.openxmlformats.org/officeDocument/2006/relationships/header" Target="header12.xml"/><Relationship Id="rId40" Type="http://schemas.openxmlformats.org/officeDocument/2006/relationships/hyperlink" Target="http://www.wipo.int/meetings/fr/doc_details.jsp?doc_id=119552" TargetMode="External"/><Relationship Id="rId45" Type="http://schemas.openxmlformats.org/officeDocument/2006/relationships/hyperlink" Target="http://www.wipo.int/meetings/fr/doc_details.jsp?doc_id=202139" TargetMode="External"/><Relationship Id="rId66" Type="http://schemas.openxmlformats.org/officeDocument/2006/relationships/footer" Target="footer2.xml"/><Relationship Id="rId87" Type="http://schemas.openxmlformats.org/officeDocument/2006/relationships/hyperlink" Target="http://www.wipo.int/global_ip/fr/activities/ip_office_business_solutions/" TargetMode="External"/><Relationship Id="rId110" Type="http://schemas.openxmlformats.org/officeDocument/2006/relationships/hyperlink" Target="http://www.wipo.int/meetings/fr/doc_details.jsp?doc_id=286771" TargetMode="External"/><Relationship Id="rId115" Type="http://schemas.openxmlformats.org/officeDocument/2006/relationships/hyperlink" Target="http://www.wipo.int/meetings/fr/doc_details.jsp?doc_id=184781" TargetMode="External"/><Relationship Id="rId131" Type="http://schemas.openxmlformats.org/officeDocument/2006/relationships/footer" Target="footer9.xml"/><Relationship Id="rId61" Type="http://schemas.openxmlformats.org/officeDocument/2006/relationships/hyperlink" Target="http://www.wipo.int/ip-development/fr/agenda/flexibilities/database.html" TargetMode="External"/><Relationship Id="rId82" Type="http://schemas.openxmlformats.org/officeDocument/2006/relationships/hyperlink" Target="http://www.wipo.int/meetings/fr/doc_details.jsp?doc_id=131424" TargetMode="External"/><Relationship Id="rId19"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C6A9-5288-4645-9AA0-5E82569B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3389</TotalTime>
  <Pages>164</Pages>
  <Words>51742</Words>
  <Characters>301397</Characters>
  <Application>Microsoft Office Word</Application>
  <DocSecurity>0</DocSecurity>
  <Lines>2511</Lines>
  <Paragraphs>704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352435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CERBARI Mihaela</dc:creator>
  <cp:lastModifiedBy>ROURE Cécile</cp:lastModifiedBy>
  <cp:revision>625</cp:revision>
  <cp:lastPrinted>2018-09-17T14:42:00Z</cp:lastPrinted>
  <dcterms:created xsi:type="dcterms:W3CDTF">2018-10-08T08:48:00Z</dcterms:created>
  <dcterms:modified xsi:type="dcterms:W3CDTF">2018-10-31T08:06:00Z</dcterms:modified>
</cp:coreProperties>
</file>