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023F1" w:rsidRPr="007023F1" w:rsidTr="00A918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55510" w:rsidRPr="007023F1" w:rsidRDefault="00C55510" w:rsidP="00A9183D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5510" w:rsidRPr="007023F1" w:rsidRDefault="00C55510" w:rsidP="00A9183D">
            <w:pPr>
              <w:rPr>
                <w:lang w:val="fr-FR"/>
              </w:rPr>
            </w:pPr>
            <w:r w:rsidRPr="007023F1">
              <w:rPr>
                <w:noProof/>
                <w:lang w:val="en-US" w:eastAsia="en-US"/>
              </w:rPr>
              <w:drawing>
                <wp:inline distT="0" distB="0" distL="0" distR="0" wp14:anchorId="7C1D0E04" wp14:editId="01AF9955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5510" w:rsidRPr="007023F1" w:rsidRDefault="00C55510" w:rsidP="00A9183D">
            <w:pPr>
              <w:jc w:val="right"/>
              <w:rPr>
                <w:lang w:val="fr-FR"/>
              </w:rPr>
            </w:pPr>
            <w:r w:rsidRPr="007023F1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023F1" w:rsidRPr="007023F1" w:rsidTr="00A9183D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55510" w:rsidRPr="007023F1" w:rsidRDefault="00C55510" w:rsidP="00A9183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023F1">
              <w:rPr>
                <w:rFonts w:ascii="Arial Black" w:hAnsi="Arial Black"/>
                <w:caps/>
                <w:sz w:val="15"/>
                <w:lang w:val="fr-FR"/>
              </w:rPr>
              <w:t>CDIP/20/</w:t>
            </w:r>
            <w:bookmarkStart w:id="0" w:name="Code"/>
            <w:bookmarkEnd w:id="0"/>
            <w:r w:rsidRPr="007023F1">
              <w:rPr>
                <w:rFonts w:ascii="Arial Black" w:hAnsi="Arial Black"/>
                <w:caps/>
                <w:sz w:val="15"/>
                <w:lang w:val="fr-FR"/>
              </w:rPr>
              <w:t>5</w:t>
            </w:r>
          </w:p>
        </w:tc>
      </w:tr>
      <w:tr w:rsidR="007023F1" w:rsidRPr="007023F1" w:rsidTr="00A918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55510" w:rsidRPr="007023F1" w:rsidRDefault="00C55510" w:rsidP="00A9183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023F1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1" w:name="Original"/>
            <w:bookmarkEnd w:id="1"/>
            <w:r w:rsidRPr="007023F1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C55510" w:rsidRPr="007023F1" w:rsidTr="00A918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55510" w:rsidRPr="007023F1" w:rsidRDefault="00C55510" w:rsidP="00A9183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023F1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2" w:name="Date"/>
            <w:bookmarkEnd w:id="2"/>
            <w:r w:rsidRPr="007023F1">
              <w:rPr>
                <w:rFonts w:ascii="Arial Black" w:hAnsi="Arial Black"/>
                <w:caps/>
                <w:sz w:val="15"/>
                <w:lang w:val="fr-FR"/>
              </w:rPr>
              <w:t>5 octobre 2017</w:t>
            </w:r>
          </w:p>
        </w:tc>
      </w:tr>
    </w:tbl>
    <w:p w:rsidR="00C55510" w:rsidRPr="007023F1" w:rsidRDefault="00C55510" w:rsidP="00C55510">
      <w:pPr>
        <w:rPr>
          <w:lang w:val="fr-FR"/>
        </w:rPr>
      </w:pPr>
    </w:p>
    <w:p w:rsidR="00C55510" w:rsidRPr="007023F1" w:rsidRDefault="00C55510" w:rsidP="00C55510">
      <w:pPr>
        <w:rPr>
          <w:lang w:val="fr-FR"/>
        </w:rPr>
      </w:pPr>
    </w:p>
    <w:p w:rsidR="00C55510" w:rsidRPr="007023F1" w:rsidRDefault="00C55510" w:rsidP="00C55510">
      <w:pPr>
        <w:rPr>
          <w:lang w:val="fr-FR"/>
        </w:rPr>
      </w:pPr>
    </w:p>
    <w:p w:rsidR="00C55510" w:rsidRPr="007023F1" w:rsidRDefault="00C55510" w:rsidP="00C55510">
      <w:pPr>
        <w:rPr>
          <w:lang w:val="fr-FR"/>
        </w:rPr>
      </w:pPr>
    </w:p>
    <w:p w:rsidR="00C55510" w:rsidRPr="007023F1" w:rsidRDefault="00C55510" w:rsidP="00C55510">
      <w:pPr>
        <w:rPr>
          <w:lang w:val="fr-FR"/>
        </w:rPr>
      </w:pPr>
    </w:p>
    <w:p w:rsidR="00C55510" w:rsidRPr="007023F1" w:rsidRDefault="00C55510" w:rsidP="007023F1">
      <w:pPr>
        <w:rPr>
          <w:b/>
          <w:sz w:val="28"/>
          <w:szCs w:val="28"/>
          <w:lang w:val="fr-FR"/>
        </w:rPr>
      </w:pPr>
      <w:r w:rsidRPr="007023F1">
        <w:rPr>
          <w:b/>
          <w:sz w:val="28"/>
          <w:szCs w:val="28"/>
          <w:lang w:val="fr-FR"/>
        </w:rPr>
        <w:t>Comité du développement et de la propriété intellectuelle (CDIP)</w:t>
      </w:r>
    </w:p>
    <w:p w:rsidR="00C55510" w:rsidRPr="007023F1" w:rsidRDefault="00C55510" w:rsidP="007023F1">
      <w:pPr>
        <w:rPr>
          <w:lang w:val="fr-FR"/>
        </w:rPr>
      </w:pPr>
    </w:p>
    <w:p w:rsidR="00C55510" w:rsidRPr="007023F1" w:rsidRDefault="00C55510" w:rsidP="007023F1">
      <w:pPr>
        <w:rPr>
          <w:lang w:val="fr-FR"/>
        </w:rPr>
      </w:pPr>
    </w:p>
    <w:p w:rsidR="00C55510" w:rsidRPr="007023F1" w:rsidRDefault="00C55510" w:rsidP="007023F1">
      <w:pPr>
        <w:rPr>
          <w:b/>
          <w:sz w:val="24"/>
          <w:szCs w:val="24"/>
          <w:lang w:val="fr-FR"/>
        </w:rPr>
      </w:pPr>
      <w:r w:rsidRPr="007023F1">
        <w:rPr>
          <w:b/>
          <w:sz w:val="24"/>
          <w:szCs w:val="24"/>
          <w:lang w:val="fr-FR"/>
        </w:rPr>
        <w:t>Vingtième session</w:t>
      </w:r>
    </w:p>
    <w:p w:rsidR="00C55510" w:rsidRPr="007023F1" w:rsidRDefault="00C55510" w:rsidP="007023F1">
      <w:pPr>
        <w:rPr>
          <w:b/>
          <w:sz w:val="24"/>
          <w:szCs w:val="24"/>
          <w:lang w:val="fr-FR"/>
        </w:rPr>
      </w:pPr>
      <w:r w:rsidRPr="007023F1">
        <w:rPr>
          <w:b/>
          <w:sz w:val="24"/>
          <w:szCs w:val="24"/>
          <w:lang w:val="fr-FR"/>
        </w:rPr>
        <w:t>Genève, 27 novembre – 1</w:t>
      </w:r>
      <w:r w:rsidRPr="007023F1">
        <w:rPr>
          <w:b/>
          <w:sz w:val="24"/>
          <w:szCs w:val="24"/>
          <w:vertAlign w:val="superscript"/>
          <w:lang w:val="fr-FR"/>
        </w:rPr>
        <w:t>er</w:t>
      </w:r>
      <w:r w:rsidRPr="007023F1">
        <w:rPr>
          <w:b/>
          <w:sz w:val="24"/>
          <w:szCs w:val="24"/>
          <w:lang w:val="fr-FR"/>
        </w:rPr>
        <w:t> décembre 2017</w:t>
      </w:r>
    </w:p>
    <w:p w:rsidR="00C55510" w:rsidRPr="007023F1" w:rsidRDefault="00C55510" w:rsidP="007023F1">
      <w:pPr>
        <w:rPr>
          <w:lang w:val="fr-FR"/>
        </w:rPr>
      </w:pPr>
    </w:p>
    <w:p w:rsidR="00C55510" w:rsidRPr="007023F1" w:rsidRDefault="00C55510" w:rsidP="007023F1">
      <w:pPr>
        <w:rPr>
          <w:lang w:val="fr-FR"/>
        </w:rPr>
      </w:pPr>
    </w:p>
    <w:p w:rsidR="00C55510" w:rsidRPr="007023F1" w:rsidRDefault="00C55510" w:rsidP="007023F1">
      <w:pPr>
        <w:rPr>
          <w:lang w:val="fr-FR"/>
        </w:rPr>
      </w:pPr>
    </w:p>
    <w:p w:rsidR="003F2EA9" w:rsidRPr="007023F1" w:rsidRDefault="00C55510" w:rsidP="007023F1">
      <w:pPr>
        <w:rPr>
          <w:caps/>
          <w:sz w:val="24"/>
          <w:lang w:val="fr-FR"/>
        </w:rPr>
      </w:pPr>
      <w:r w:rsidRPr="007023F1">
        <w:rPr>
          <w:caps/>
          <w:sz w:val="24"/>
          <w:lang w:val="fr-FR"/>
        </w:rPr>
        <w:t>Mesures prises pour diffuser l’information contenue dans la base de données consacrée aux éléments de flexibilité</w:t>
      </w:r>
    </w:p>
    <w:p w:rsidR="003F2EA9" w:rsidRPr="007023F1" w:rsidRDefault="003F2EA9" w:rsidP="007023F1">
      <w:pPr>
        <w:rPr>
          <w:lang w:val="fr-FR"/>
        </w:rPr>
      </w:pPr>
      <w:bookmarkStart w:id="3" w:name="Prepared"/>
      <w:bookmarkEnd w:id="3"/>
    </w:p>
    <w:p w:rsidR="003F2EA9" w:rsidRPr="007023F1" w:rsidRDefault="00F753C6" w:rsidP="007023F1">
      <w:pPr>
        <w:rPr>
          <w:i/>
          <w:lang w:val="fr-FR"/>
        </w:rPr>
      </w:pPr>
      <w:r w:rsidRPr="007023F1">
        <w:rPr>
          <w:i/>
          <w:lang w:val="fr-FR"/>
        </w:rPr>
        <w:t xml:space="preserve">Document </w:t>
      </w:r>
      <w:r w:rsidR="00F37413" w:rsidRPr="007023F1">
        <w:rPr>
          <w:i/>
          <w:lang w:val="fr-FR"/>
        </w:rPr>
        <w:t>établi par le Secrétariat</w:t>
      </w:r>
    </w:p>
    <w:p w:rsidR="003F2EA9" w:rsidRPr="007023F1" w:rsidRDefault="003F2EA9" w:rsidP="007023F1">
      <w:pPr>
        <w:rPr>
          <w:lang w:val="fr-FR"/>
        </w:rPr>
      </w:pPr>
    </w:p>
    <w:p w:rsidR="003F2EA9" w:rsidRPr="007023F1" w:rsidRDefault="003F2EA9" w:rsidP="007023F1">
      <w:pPr>
        <w:rPr>
          <w:lang w:val="fr-FR"/>
        </w:rPr>
      </w:pPr>
    </w:p>
    <w:p w:rsidR="003F2EA9" w:rsidRPr="007023F1" w:rsidRDefault="003F2EA9" w:rsidP="007023F1">
      <w:pPr>
        <w:rPr>
          <w:lang w:val="fr-FR"/>
        </w:rPr>
      </w:pPr>
    </w:p>
    <w:p w:rsidR="00C55510" w:rsidRPr="007023F1" w:rsidRDefault="00C55510" w:rsidP="007023F1">
      <w:pPr>
        <w:rPr>
          <w:lang w:val="fr-FR"/>
        </w:rPr>
      </w:pPr>
    </w:p>
    <w:p w:rsidR="003F2EA9" w:rsidRPr="007023F1" w:rsidRDefault="00F37413" w:rsidP="007023F1">
      <w:pPr>
        <w:pStyle w:val="ONUMFS"/>
        <w:rPr>
          <w:lang w:val="fr-FR"/>
        </w:rPr>
      </w:pPr>
      <w:r w:rsidRPr="007023F1">
        <w:rPr>
          <w:lang w:val="fr-FR"/>
        </w:rPr>
        <w:t xml:space="preserve">Il est rappelé que, </w:t>
      </w:r>
      <w:r w:rsidR="00CD1952" w:rsidRPr="007023F1">
        <w:rPr>
          <w:lang w:val="fr-FR"/>
        </w:rPr>
        <w:t>lors de l’examen de</w:t>
      </w:r>
      <w:r w:rsidR="00543BD2" w:rsidRPr="007023F1">
        <w:rPr>
          <w:lang w:val="fr-FR"/>
        </w:rPr>
        <w:t xml:space="preserve"> la proposition révisée </w:t>
      </w:r>
      <w:r w:rsidR="00CD1952" w:rsidRPr="007023F1">
        <w:rPr>
          <w:lang w:val="fr-FR"/>
        </w:rPr>
        <w:t xml:space="preserve">relative à </w:t>
      </w:r>
      <w:r w:rsidRPr="007023F1">
        <w:rPr>
          <w:lang w:val="fr-FR"/>
        </w:rPr>
        <w:t>un Mécanisme de mise à jour de la base de données consacrée aux éléments de flexibilité</w:t>
      </w:r>
      <w:r w:rsidR="00543BD2" w:rsidRPr="007023F1">
        <w:rPr>
          <w:lang w:val="fr-FR"/>
        </w:rPr>
        <w:t xml:space="preserve"> (</w:t>
      </w:r>
      <w:r w:rsidR="00C55510" w:rsidRPr="007023F1">
        <w:rPr>
          <w:lang w:val="fr-FR"/>
        </w:rPr>
        <w:t>document CD</w:t>
      </w:r>
      <w:r w:rsidRPr="007023F1">
        <w:rPr>
          <w:lang w:val="fr-FR"/>
        </w:rPr>
        <w:t>IP</w:t>
      </w:r>
      <w:r w:rsidR="00CD1952" w:rsidRPr="007023F1">
        <w:rPr>
          <w:lang w:val="fr-FR"/>
        </w:rPr>
        <w:t>/18/5), le</w:t>
      </w:r>
      <w:r w:rsidRPr="007023F1">
        <w:rPr>
          <w:lang w:val="fr-FR"/>
        </w:rPr>
        <w:t xml:space="preserve"> </w:t>
      </w:r>
      <w:r w:rsidR="00CD1952" w:rsidRPr="007023F1">
        <w:rPr>
          <w:lang w:val="fr-FR"/>
        </w:rPr>
        <w:t xml:space="preserve">Comité du développement et de la propriété intellectuelle (CDIP) à sa </w:t>
      </w:r>
      <w:bookmarkStart w:id="4" w:name="_GoBack"/>
      <w:r w:rsidRPr="007023F1">
        <w:rPr>
          <w:lang w:val="fr-FR"/>
        </w:rPr>
        <w:t>dix</w:t>
      </w:r>
      <w:r w:rsidR="001F58C7" w:rsidRPr="007023F1">
        <w:rPr>
          <w:lang w:val="fr-FR"/>
        </w:rPr>
        <w:noBreakHyphen/>
      </w:r>
      <w:r w:rsidR="00A213ED">
        <w:rPr>
          <w:lang w:val="fr-FR"/>
        </w:rPr>
        <w:t>huitième</w:t>
      </w:r>
      <w:r w:rsidR="00C55510" w:rsidRPr="007023F1">
        <w:rPr>
          <w:lang w:val="fr-FR"/>
        </w:rPr>
        <w:t> </w:t>
      </w:r>
      <w:bookmarkEnd w:id="4"/>
      <w:r w:rsidR="00C55510" w:rsidRPr="007023F1">
        <w:rPr>
          <w:lang w:val="fr-FR"/>
        </w:rPr>
        <w:t>session</w:t>
      </w:r>
      <w:r w:rsidRPr="007023F1">
        <w:rPr>
          <w:lang w:val="fr-FR"/>
        </w:rPr>
        <w:t xml:space="preserve"> a prié le Secrétariat, </w:t>
      </w:r>
      <w:r w:rsidR="00CD1952" w:rsidRPr="007023F1">
        <w:rPr>
          <w:lang w:val="fr-FR"/>
        </w:rPr>
        <w:t>notamment</w:t>
      </w:r>
      <w:r w:rsidR="001F58C7" w:rsidRPr="007023F1">
        <w:rPr>
          <w:lang w:val="fr-FR"/>
        </w:rPr>
        <w:t>,</w:t>
      </w:r>
      <w:r w:rsidRPr="007023F1">
        <w:rPr>
          <w:lang w:val="fr-FR"/>
        </w:rPr>
        <w:t xml:space="preserve"> “de prendre des mesures pour garant</w:t>
      </w:r>
      <w:r w:rsidR="00543BD2" w:rsidRPr="007023F1">
        <w:rPr>
          <w:lang w:val="fr-FR"/>
        </w:rPr>
        <w:t>ir une meilleure diffusion de l</w:t>
      </w:r>
      <w:r w:rsidR="00C55510" w:rsidRPr="007023F1">
        <w:rPr>
          <w:lang w:val="fr-FR"/>
        </w:rPr>
        <w:t>’</w:t>
      </w:r>
      <w:r w:rsidRPr="007023F1">
        <w:rPr>
          <w:lang w:val="fr-FR"/>
        </w:rPr>
        <w:t>information conten</w:t>
      </w:r>
      <w:r w:rsidR="00543BD2" w:rsidRPr="007023F1">
        <w:rPr>
          <w:lang w:val="fr-FR"/>
        </w:rPr>
        <w:t>ue dans la base de données et d</w:t>
      </w:r>
      <w:r w:rsidR="00C55510" w:rsidRPr="007023F1">
        <w:rPr>
          <w:lang w:val="fr-FR"/>
        </w:rPr>
        <w:t>’</w:t>
      </w:r>
      <w:r w:rsidRPr="007023F1">
        <w:rPr>
          <w:lang w:val="fr-FR"/>
        </w:rPr>
        <w:t xml:space="preserve">informer </w:t>
      </w:r>
      <w:r w:rsidR="00543BD2" w:rsidRPr="007023F1">
        <w:rPr>
          <w:lang w:val="fr-FR"/>
        </w:rPr>
        <w:t>le comité de ces mesures lors d</w:t>
      </w:r>
      <w:r w:rsidR="00C55510" w:rsidRPr="007023F1">
        <w:rPr>
          <w:lang w:val="fr-FR"/>
        </w:rPr>
        <w:t>’</w:t>
      </w:r>
      <w:r w:rsidRPr="007023F1">
        <w:rPr>
          <w:lang w:val="fr-FR"/>
        </w:rPr>
        <w:t>une future session”</w:t>
      </w:r>
      <w:r w:rsidR="001C5066" w:rsidRPr="007023F1">
        <w:rPr>
          <w:lang w:val="fr-FR"/>
        </w:rPr>
        <w:t xml:space="preserve"> (</w:t>
      </w:r>
      <w:r w:rsidR="001F58C7" w:rsidRPr="007023F1">
        <w:rPr>
          <w:lang w:val="fr-FR"/>
        </w:rPr>
        <w:t>v</w:t>
      </w:r>
      <w:r w:rsidR="00543BD2" w:rsidRPr="007023F1">
        <w:rPr>
          <w:lang w:val="fr-FR"/>
        </w:rPr>
        <w:t>oir le paragraphe 7.2 du Résumé présenté par le président de la dix</w:t>
      </w:r>
      <w:r w:rsidR="001F58C7" w:rsidRPr="007023F1">
        <w:rPr>
          <w:lang w:val="fr-FR"/>
        </w:rPr>
        <w:noBreakHyphen/>
      </w:r>
      <w:r w:rsidR="00543BD2" w:rsidRPr="007023F1">
        <w:rPr>
          <w:lang w:val="fr-FR"/>
        </w:rPr>
        <w:t>huit</w:t>
      </w:r>
      <w:r w:rsidR="00C55510" w:rsidRPr="007023F1">
        <w:rPr>
          <w:lang w:val="fr-FR"/>
        </w:rPr>
        <w:t>ième session du CDI</w:t>
      </w:r>
      <w:r w:rsidR="00543BD2" w:rsidRPr="007023F1">
        <w:rPr>
          <w:lang w:val="fr-FR"/>
        </w:rPr>
        <w:t>P).</w:t>
      </w:r>
    </w:p>
    <w:p w:rsidR="003F2EA9" w:rsidRPr="007023F1" w:rsidRDefault="001F58C7" w:rsidP="007023F1">
      <w:pPr>
        <w:pStyle w:val="ONUMFS"/>
        <w:rPr>
          <w:lang w:val="fr-FR"/>
        </w:rPr>
      </w:pPr>
      <w:r w:rsidRPr="007023F1">
        <w:rPr>
          <w:lang w:val="fr-FR"/>
        </w:rPr>
        <w:t>En consé</w:t>
      </w:r>
      <w:r w:rsidR="001C6C39" w:rsidRPr="007023F1">
        <w:rPr>
          <w:lang w:val="fr-FR"/>
        </w:rPr>
        <w:t xml:space="preserve">quence, un rapport </w:t>
      </w:r>
      <w:r w:rsidR="00CD1952" w:rsidRPr="007023F1">
        <w:rPr>
          <w:lang w:val="fr-FR"/>
        </w:rPr>
        <w:t>établi comme suite</w:t>
      </w:r>
      <w:r w:rsidR="001C6C39" w:rsidRPr="007023F1">
        <w:rPr>
          <w:lang w:val="fr-FR"/>
        </w:rPr>
        <w:t xml:space="preserve"> </w:t>
      </w:r>
      <w:r w:rsidRPr="007023F1">
        <w:rPr>
          <w:lang w:val="fr-FR"/>
        </w:rPr>
        <w:t>à</w:t>
      </w:r>
      <w:r w:rsidR="001C6C39" w:rsidRPr="007023F1">
        <w:rPr>
          <w:lang w:val="fr-FR"/>
        </w:rPr>
        <w:t xml:space="preserve"> la d</w:t>
      </w:r>
      <w:r w:rsidRPr="007023F1">
        <w:rPr>
          <w:lang w:val="fr-FR"/>
        </w:rPr>
        <w:t>écision susmentionné</w:t>
      </w:r>
      <w:r w:rsidR="001C6C39" w:rsidRPr="007023F1">
        <w:rPr>
          <w:lang w:val="fr-FR"/>
        </w:rPr>
        <w:t xml:space="preserve">e figure </w:t>
      </w:r>
      <w:r w:rsidR="00CD1952" w:rsidRPr="007023F1">
        <w:rPr>
          <w:lang w:val="fr-FR"/>
        </w:rPr>
        <w:t>dans les</w:t>
      </w:r>
      <w:r w:rsidR="001C6C39" w:rsidRPr="007023F1">
        <w:rPr>
          <w:lang w:val="fr-FR"/>
        </w:rPr>
        <w:t xml:space="preserve"> annexes du pr</w:t>
      </w:r>
      <w:r w:rsidRPr="007023F1">
        <w:rPr>
          <w:lang w:val="fr-FR"/>
        </w:rPr>
        <w:t>é</w:t>
      </w:r>
      <w:r w:rsidR="001C6C39" w:rsidRPr="007023F1">
        <w:rPr>
          <w:lang w:val="fr-FR"/>
        </w:rPr>
        <w:t>sent document.</w:t>
      </w:r>
    </w:p>
    <w:p w:rsidR="003F2EA9" w:rsidRPr="007023F1" w:rsidRDefault="001C6C39" w:rsidP="007023F1">
      <w:pPr>
        <w:pStyle w:val="ONUMFS"/>
        <w:ind w:left="5533"/>
        <w:rPr>
          <w:i/>
          <w:lang w:val="fr-FR"/>
        </w:rPr>
      </w:pPr>
      <w:r w:rsidRPr="007023F1">
        <w:rPr>
          <w:i/>
          <w:lang w:val="fr-FR"/>
        </w:rPr>
        <w:t>Le CDIP est invité à examiner les informations contenues dans les annexes du présent document.</w:t>
      </w:r>
    </w:p>
    <w:p w:rsidR="003F2EA9" w:rsidRPr="007023F1" w:rsidRDefault="003F2EA9" w:rsidP="007023F1">
      <w:pPr>
        <w:rPr>
          <w:lang w:val="fr-FR"/>
        </w:rPr>
      </w:pPr>
    </w:p>
    <w:p w:rsidR="003F2EA9" w:rsidRPr="007023F1" w:rsidRDefault="003F2EA9" w:rsidP="007023F1">
      <w:pPr>
        <w:rPr>
          <w:lang w:val="fr-FR"/>
        </w:rPr>
      </w:pPr>
    </w:p>
    <w:p w:rsidR="00291A49" w:rsidRPr="007023F1" w:rsidRDefault="001C6C39" w:rsidP="007023F1">
      <w:pPr>
        <w:pStyle w:val="Endofdocument-Annex"/>
        <w:rPr>
          <w:lang w:val="fr-FR"/>
        </w:rPr>
        <w:sectPr w:rsidR="00291A49" w:rsidRPr="007023F1" w:rsidSect="00CD1952">
          <w:headerReference w:type="default" r:id="rId10"/>
          <w:type w:val="continuous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7023F1">
        <w:rPr>
          <w:lang w:val="fr-FR"/>
        </w:rPr>
        <w:t>[Les annexes suivent]</w:t>
      </w:r>
      <w:r w:rsidR="00827F61" w:rsidRPr="007023F1">
        <w:rPr>
          <w:lang w:val="fr-FR"/>
        </w:rPr>
        <w:t xml:space="preserve"> </w:t>
      </w:r>
    </w:p>
    <w:p w:rsidR="003F2EA9" w:rsidRPr="007023F1" w:rsidRDefault="00CD1952" w:rsidP="007023F1">
      <w:pPr>
        <w:pStyle w:val="Heading1"/>
      </w:pPr>
      <w:r w:rsidRPr="007023F1">
        <w:lastRenderedPageBreak/>
        <w:t>Rappel</w:t>
      </w:r>
    </w:p>
    <w:p w:rsidR="003F2EA9" w:rsidRPr="007023F1" w:rsidRDefault="003F2EA9" w:rsidP="007023F1">
      <w:pPr>
        <w:pStyle w:val="NormalWeb"/>
        <w:kinsoku w:val="0"/>
        <w:overflowPunct w:val="0"/>
        <w:spacing w:before="96"/>
        <w:textAlignment w:val="baseline"/>
        <w:rPr>
          <w:rFonts w:ascii="Arial" w:eastAsiaTheme="minorEastAsia" w:hAnsi="Arial" w:cs="Arial"/>
          <w:sz w:val="22"/>
          <w:szCs w:val="22"/>
          <w:lang w:val="fr-FR"/>
        </w:rPr>
      </w:pPr>
    </w:p>
    <w:p w:rsidR="00C55510" w:rsidRPr="007023F1" w:rsidRDefault="001C6C39" w:rsidP="007023F1">
      <w:pPr>
        <w:pStyle w:val="ONUMFS"/>
        <w:numPr>
          <w:ilvl w:val="0"/>
          <w:numId w:val="5"/>
        </w:numPr>
        <w:rPr>
          <w:lang w:val="fr-FR"/>
        </w:rPr>
      </w:pPr>
      <w:r w:rsidRPr="007023F1">
        <w:rPr>
          <w:lang w:val="fr-FR"/>
        </w:rPr>
        <w:t>La base de données consacrée aux éléments de flexibilité dans le système de la propriété intellectuelle (ci</w:t>
      </w:r>
      <w:r w:rsidR="001F58C7" w:rsidRPr="007023F1">
        <w:rPr>
          <w:lang w:val="fr-FR"/>
        </w:rPr>
        <w:noBreakHyphen/>
      </w:r>
      <w:r w:rsidRPr="007023F1">
        <w:rPr>
          <w:lang w:val="fr-FR"/>
        </w:rPr>
        <w:t xml:space="preserve">après dénommée “base de données”) a été publiée en </w:t>
      </w:r>
      <w:r w:rsidR="00C55510" w:rsidRPr="007023F1">
        <w:rPr>
          <w:lang w:val="fr-FR"/>
        </w:rPr>
        <w:t>juin 20</w:t>
      </w:r>
      <w:r w:rsidRPr="007023F1">
        <w:rPr>
          <w:lang w:val="fr-FR"/>
        </w:rPr>
        <w:t>13, comme convenu par le comité à sa six</w:t>
      </w:r>
      <w:r w:rsidR="00C55510" w:rsidRPr="007023F1">
        <w:rPr>
          <w:lang w:val="fr-FR"/>
        </w:rPr>
        <w:t>ième session :</w:t>
      </w:r>
      <w:r w:rsidRPr="007023F1">
        <w:rPr>
          <w:lang w:val="fr-FR"/>
        </w:rPr>
        <w:t xml:space="preserve"> </w:t>
      </w:r>
      <w:hyperlink r:id="rId11" w:history="1">
        <w:r w:rsidR="007023F1">
          <w:rPr>
            <w:rStyle w:val="Hyperlink"/>
          </w:rPr>
          <w:t>http://www.wipo.int/ip-development/fr/agenda/flexibilities/search.jsp</w:t>
        </w:r>
      </w:hyperlink>
      <w:r w:rsidRPr="007023F1">
        <w:rPr>
          <w:lang w:val="fr-FR"/>
        </w:rPr>
        <w:t>.</w:t>
      </w:r>
    </w:p>
    <w:p w:rsidR="003F2EA9" w:rsidRPr="007023F1" w:rsidRDefault="00A36D01" w:rsidP="007023F1">
      <w:pPr>
        <w:pStyle w:val="ONUMFS"/>
        <w:rPr>
          <w:lang w:val="fr-FR"/>
        </w:rPr>
      </w:pPr>
      <w:r w:rsidRPr="007023F1">
        <w:rPr>
          <w:lang w:val="fr-FR"/>
        </w:rPr>
        <w:t>À la demande du comité lors de sa quinz</w:t>
      </w:r>
      <w:r w:rsidR="00C55510" w:rsidRPr="007023F1">
        <w:rPr>
          <w:lang w:val="fr-FR"/>
        </w:rPr>
        <w:t>ième session</w:t>
      </w:r>
      <w:r w:rsidRPr="007023F1">
        <w:rPr>
          <w:lang w:val="fr-FR"/>
        </w:rPr>
        <w:t xml:space="preserve">, la base de données a été mise à jour en 2015 et contient actuellement </w:t>
      </w:r>
      <w:r w:rsidR="006F6CA3" w:rsidRPr="007023F1">
        <w:rPr>
          <w:lang w:val="fr-FR"/>
        </w:rPr>
        <w:t>1371</w:t>
      </w:r>
      <w:r w:rsidRPr="007023F1">
        <w:rPr>
          <w:lang w:val="fr-FR"/>
        </w:rPr>
        <w:t> dispositions de 202 </w:t>
      </w:r>
      <w:r w:rsidR="00CD1952" w:rsidRPr="007023F1">
        <w:rPr>
          <w:lang w:val="fr-FR"/>
        </w:rPr>
        <w:t>ressorts juridiques extraite</w:t>
      </w:r>
      <w:r w:rsidRPr="007023F1">
        <w:rPr>
          <w:lang w:val="fr-FR"/>
        </w:rPr>
        <w:t>s des documents CDIP/5/4</w:t>
      </w:r>
      <w:r w:rsidR="006F6CA3" w:rsidRPr="007023F1">
        <w:rPr>
          <w:lang w:val="fr-FR"/>
        </w:rPr>
        <w:t> </w:t>
      </w:r>
      <w:proofErr w:type="spellStart"/>
      <w:r w:rsidRPr="007023F1">
        <w:rPr>
          <w:lang w:val="fr-FR"/>
        </w:rPr>
        <w:t>Rev</w:t>
      </w:r>
      <w:proofErr w:type="spellEnd"/>
      <w:r w:rsidRPr="007023F1">
        <w:rPr>
          <w:lang w:val="fr-FR"/>
        </w:rPr>
        <w:t>., CDIP/7/3</w:t>
      </w:r>
      <w:r w:rsidR="006F6CA3" w:rsidRPr="007023F1">
        <w:rPr>
          <w:lang w:val="fr-FR"/>
        </w:rPr>
        <w:t> </w:t>
      </w:r>
      <w:proofErr w:type="spellStart"/>
      <w:r w:rsidRPr="007023F1">
        <w:rPr>
          <w:lang w:val="fr-FR"/>
        </w:rPr>
        <w:t>Add</w:t>
      </w:r>
      <w:proofErr w:type="spellEnd"/>
      <w:r w:rsidRPr="007023F1">
        <w:rPr>
          <w:lang w:val="fr-FR"/>
        </w:rPr>
        <w:t>., CDIP/13/10 </w:t>
      </w:r>
      <w:proofErr w:type="spellStart"/>
      <w:r w:rsidRPr="007023F1">
        <w:rPr>
          <w:lang w:val="fr-FR"/>
        </w:rPr>
        <w:t>Rev</w:t>
      </w:r>
      <w:proofErr w:type="spellEnd"/>
      <w:r w:rsidRPr="007023F1">
        <w:rPr>
          <w:lang w:val="fr-FR"/>
        </w:rPr>
        <w:t>. et CDIP/15/6</w:t>
      </w:r>
      <w:r w:rsidR="006F6CA3" w:rsidRPr="007023F1">
        <w:rPr>
          <w:lang w:val="fr-FR"/>
        </w:rPr>
        <w:t> </w:t>
      </w:r>
      <w:r w:rsidRPr="007023F1">
        <w:rPr>
          <w:lang w:val="fr-FR"/>
        </w:rPr>
        <w:t xml:space="preserve">Corr. sur les </w:t>
      </w:r>
      <w:r w:rsidR="006E6400" w:rsidRPr="007023F1">
        <w:rPr>
          <w:lang w:val="fr-FR"/>
        </w:rPr>
        <w:t xml:space="preserve">éléments de </w:t>
      </w:r>
      <w:r w:rsidRPr="007023F1">
        <w:rPr>
          <w:lang w:val="fr-FR"/>
        </w:rPr>
        <w:t xml:space="preserve">flexibilité </w:t>
      </w:r>
      <w:r w:rsidR="00CD1952" w:rsidRPr="007023F1">
        <w:rPr>
          <w:lang w:val="fr-FR"/>
        </w:rPr>
        <w:t>relatifs</w:t>
      </w:r>
      <w:r w:rsidRPr="007023F1">
        <w:rPr>
          <w:lang w:val="fr-FR"/>
        </w:rPr>
        <w:t xml:space="preserve"> aux brevets dans le cadre juridique multilatéral et leur </w:t>
      </w:r>
      <w:r w:rsidR="00CD1952" w:rsidRPr="007023F1">
        <w:rPr>
          <w:lang w:val="fr-FR"/>
        </w:rPr>
        <w:t xml:space="preserve">mise en œuvre </w:t>
      </w:r>
      <w:r w:rsidRPr="007023F1">
        <w:rPr>
          <w:lang w:val="fr-FR"/>
        </w:rPr>
        <w:t>législative au</w:t>
      </w:r>
      <w:r w:rsidR="004B4A35" w:rsidRPr="007023F1">
        <w:rPr>
          <w:lang w:val="fr-FR"/>
        </w:rPr>
        <w:t xml:space="preserve">x </w:t>
      </w:r>
      <w:r w:rsidR="00CD1952" w:rsidRPr="007023F1">
        <w:rPr>
          <w:lang w:val="fr-FR"/>
        </w:rPr>
        <w:t>niveaux</w:t>
      </w:r>
      <w:r w:rsidR="004B4A35" w:rsidRPr="007023F1">
        <w:rPr>
          <w:lang w:val="fr-FR"/>
        </w:rPr>
        <w:t xml:space="preserve"> national et régional</w:t>
      </w:r>
      <w:r w:rsidR="004B4A35" w:rsidRPr="007023F1">
        <w:rPr>
          <w:rStyle w:val="FootnoteReference"/>
          <w:lang w:val="fr-FR"/>
        </w:rPr>
        <w:footnoteReference w:id="2"/>
      </w:r>
      <w:r w:rsidRPr="007023F1">
        <w:rPr>
          <w:lang w:val="fr-FR"/>
        </w:rPr>
        <w:t>.</w:t>
      </w:r>
    </w:p>
    <w:p w:rsidR="003F2EA9" w:rsidRPr="007023F1" w:rsidRDefault="007214B4" w:rsidP="007023F1">
      <w:pPr>
        <w:pStyle w:val="ONUMFS"/>
        <w:rPr>
          <w:lang w:val="fr-FR"/>
        </w:rPr>
      </w:pPr>
      <w:r w:rsidRPr="007023F1">
        <w:rPr>
          <w:lang w:val="fr-FR"/>
        </w:rPr>
        <w:t>À</w:t>
      </w:r>
      <w:r w:rsidR="00AD6856" w:rsidRPr="007023F1">
        <w:rPr>
          <w:lang w:val="fr-FR"/>
        </w:rPr>
        <w:t xml:space="preserve"> sa dix</w:t>
      </w:r>
      <w:r w:rsidR="001F58C7" w:rsidRPr="007023F1">
        <w:rPr>
          <w:lang w:val="fr-FR"/>
        </w:rPr>
        <w:noBreakHyphen/>
      </w:r>
      <w:r w:rsidR="00AD6856" w:rsidRPr="007023F1">
        <w:rPr>
          <w:lang w:val="fr-FR"/>
        </w:rPr>
        <w:t>huit</w:t>
      </w:r>
      <w:r w:rsidR="00C55510" w:rsidRPr="007023F1">
        <w:rPr>
          <w:lang w:val="fr-FR"/>
        </w:rPr>
        <w:t>ième session</w:t>
      </w:r>
      <w:r w:rsidRPr="007023F1">
        <w:rPr>
          <w:lang w:val="fr-FR"/>
        </w:rPr>
        <w:t>, tout en convenant d</w:t>
      </w:r>
      <w:r w:rsidR="00C55510" w:rsidRPr="007023F1">
        <w:rPr>
          <w:lang w:val="fr-FR"/>
        </w:rPr>
        <w:t>’</w:t>
      </w:r>
      <w:r w:rsidR="00AD6856" w:rsidRPr="007023F1">
        <w:rPr>
          <w:lang w:val="fr-FR"/>
        </w:rPr>
        <w:t>un mécanisme permettant de mettre régulièrement à jour la base de données</w:t>
      </w:r>
      <w:r w:rsidR="004B4A35" w:rsidRPr="007023F1">
        <w:rPr>
          <w:rStyle w:val="FootnoteReference"/>
          <w:lang w:val="fr-FR"/>
        </w:rPr>
        <w:footnoteReference w:id="3"/>
      </w:r>
      <w:r w:rsidR="004B4A35" w:rsidRPr="007023F1">
        <w:rPr>
          <w:lang w:val="fr-FR"/>
        </w:rPr>
        <w:t>,</w:t>
      </w:r>
      <w:r w:rsidR="00AD6856" w:rsidRPr="007023F1">
        <w:rPr>
          <w:lang w:val="fr-FR"/>
        </w:rPr>
        <w:t xml:space="preserve"> le comité a décidé que le Secrétariat prendrait des mesures pour garantir une meilleure diffusion de l</w:t>
      </w:r>
      <w:r w:rsidR="00C55510" w:rsidRPr="007023F1">
        <w:rPr>
          <w:lang w:val="fr-FR"/>
        </w:rPr>
        <w:t>’</w:t>
      </w:r>
      <w:r w:rsidR="00AD6856" w:rsidRPr="007023F1">
        <w:rPr>
          <w:lang w:val="fr-FR"/>
        </w:rPr>
        <w:t>information conte</w:t>
      </w:r>
      <w:r w:rsidR="00842AA4" w:rsidRPr="007023F1">
        <w:rPr>
          <w:lang w:val="fr-FR"/>
        </w:rPr>
        <w:t xml:space="preserve">nue dans la base de données et </w:t>
      </w:r>
      <w:r w:rsidR="00AD6856" w:rsidRPr="007023F1">
        <w:rPr>
          <w:lang w:val="fr-FR"/>
        </w:rPr>
        <w:t>informer</w:t>
      </w:r>
      <w:r w:rsidR="00842AA4" w:rsidRPr="007023F1">
        <w:rPr>
          <w:lang w:val="fr-FR"/>
        </w:rPr>
        <w:t>ait</w:t>
      </w:r>
      <w:r w:rsidR="00AD6856" w:rsidRPr="007023F1">
        <w:rPr>
          <w:lang w:val="fr-FR"/>
        </w:rPr>
        <w:t xml:space="preserve"> </w:t>
      </w:r>
      <w:r w:rsidRPr="007023F1">
        <w:rPr>
          <w:lang w:val="fr-FR"/>
        </w:rPr>
        <w:t>le comité de ces mesures lors d</w:t>
      </w:r>
      <w:r w:rsidR="00C55510" w:rsidRPr="007023F1">
        <w:rPr>
          <w:lang w:val="fr-FR"/>
        </w:rPr>
        <w:t>’</w:t>
      </w:r>
      <w:r w:rsidR="00B31E6B" w:rsidRPr="007023F1">
        <w:rPr>
          <w:lang w:val="fr-FR"/>
        </w:rPr>
        <w:t xml:space="preserve">une future </w:t>
      </w:r>
      <w:r w:rsidR="00AD6856" w:rsidRPr="007023F1">
        <w:rPr>
          <w:lang w:val="fr-FR"/>
        </w:rPr>
        <w:t>session, ainsi qu</w:t>
      </w:r>
      <w:r w:rsidR="00C55510" w:rsidRPr="007023F1">
        <w:rPr>
          <w:lang w:val="fr-FR"/>
        </w:rPr>
        <w:t>’</w:t>
      </w:r>
      <w:r w:rsidRPr="007023F1">
        <w:rPr>
          <w:lang w:val="fr-FR"/>
        </w:rPr>
        <w:t>il ressort du paragraphe </w:t>
      </w:r>
      <w:r w:rsidR="00AD6856" w:rsidRPr="007023F1">
        <w:rPr>
          <w:lang w:val="fr-FR"/>
        </w:rPr>
        <w:t>7.2 du Résumé présenté par le président de la dix</w:t>
      </w:r>
      <w:r w:rsidR="001F58C7" w:rsidRPr="007023F1">
        <w:rPr>
          <w:lang w:val="fr-FR"/>
        </w:rPr>
        <w:noBreakHyphen/>
      </w:r>
      <w:r w:rsidR="00AD6856" w:rsidRPr="007023F1">
        <w:rPr>
          <w:lang w:val="fr-FR"/>
        </w:rPr>
        <w:t>huit</w:t>
      </w:r>
      <w:r w:rsidR="00C55510" w:rsidRPr="007023F1">
        <w:rPr>
          <w:lang w:val="fr-FR"/>
        </w:rPr>
        <w:t>ième session</w:t>
      </w:r>
      <w:r w:rsidR="00AD6856" w:rsidRPr="007023F1">
        <w:rPr>
          <w:lang w:val="fr-FR"/>
        </w:rPr>
        <w:t>.</w:t>
      </w:r>
    </w:p>
    <w:p w:rsidR="003F2EA9" w:rsidRPr="007023F1" w:rsidRDefault="006E2A46" w:rsidP="007023F1">
      <w:pPr>
        <w:pStyle w:val="Heading1"/>
      </w:pPr>
      <w:r w:rsidRPr="007023F1">
        <w:t>Mesures prises pour diffuser l’information contenue dans la base de données</w:t>
      </w:r>
    </w:p>
    <w:p w:rsidR="003F2EA9" w:rsidRPr="007023F1" w:rsidRDefault="003F2EA9" w:rsidP="007023F1">
      <w:pPr>
        <w:rPr>
          <w:lang w:val="fr-FR"/>
        </w:rPr>
      </w:pPr>
    </w:p>
    <w:p w:rsidR="003F2EA9" w:rsidRPr="007023F1" w:rsidRDefault="00B31E6B" w:rsidP="007023F1">
      <w:pPr>
        <w:pStyle w:val="ONUMFS"/>
        <w:rPr>
          <w:lang w:val="fr-FR"/>
        </w:rPr>
      </w:pPr>
      <w:r w:rsidRPr="007023F1">
        <w:rPr>
          <w:lang w:val="fr-FR"/>
        </w:rPr>
        <w:t>Conformément à la décision du comité, la série suivante de mesures a été prise par le Secrétariat pour garantir une meilleure diffusion du contenu de la base de données</w:t>
      </w:r>
      <w:r w:rsidR="00C55510" w:rsidRPr="007023F1">
        <w:rPr>
          <w:lang w:val="fr-FR"/>
        </w:rPr>
        <w:t> :</w:t>
      </w:r>
    </w:p>
    <w:p w:rsidR="003F2EA9" w:rsidRPr="007023F1" w:rsidRDefault="00B31E6B" w:rsidP="007023F1">
      <w:pPr>
        <w:pStyle w:val="ONUMFS"/>
        <w:numPr>
          <w:ilvl w:val="2"/>
          <w:numId w:val="3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7023F1">
        <w:rPr>
          <w:lang w:val="fr-FR"/>
        </w:rPr>
        <w:t xml:space="preserve">Une réunion </w:t>
      </w:r>
      <w:r w:rsidR="00527FDA" w:rsidRPr="007023F1">
        <w:rPr>
          <w:lang w:val="fr-FR"/>
        </w:rPr>
        <w:t>interne s</w:t>
      </w:r>
      <w:r w:rsidR="00C55510" w:rsidRPr="007023F1">
        <w:rPr>
          <w:lang w:val="fr-FR"/>
        </w:rPr>
        <w:t>’</w:t>
      </w:r>
      <w:r w:rsidRPr="007023F1">
        <w:rPr>
          <w:lang w:val="fr-FR"/>
        </w:rPr>
        <w:t>est tenue en novembre 2016 avec la participation des divisions concernées afin de les informer de la décision du comité et de les invite</w:t>
      </w:r>
      <w:r w:rsidR="000459AC" w:rsidRPr="007023F1">
        <w:rPr>
          <w:lang w:val="fr-FR"/>
        </w:rPr>
        <w:t>r à accroître la diffusion de l</w:t>
      </w:r>
      <w:r w:rsidR="00C55510" w:rsidRPr="007023F1">
        <w:rPr>
          <w:lang w:val="fr-FR"/>
        </w:rPr>
        <w:t>’</w:t>
      </w:r>
      <w:r w:rsidRPr="007023F1">
        <w:rPr>
          <w:lang w:val="fr-FR"/>
        </w:rPr>
        <w:t>information contenue dans la base de données.</w:t>
      </w:r>
    </w:p>
    <w:p w:rsidR="003F2EA9" w:rsidRPr="007023F1" w:rsidRDefault="000459AC" w:rsidP="007023F1">
      <w:pPr>
        <w:pStyle w:val="ONUMFS"/>
        <w:numPr>
          <w:ilvl w:val="2"/>
          <w:numId w:val="3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7023F1">
        <w:rPr>
          <w:lang w:val="fr-FR"/>
        </w:rPr>
        <w:t>Afin de faciliter ce travail, la Divisi</w:t>
      </w:r>
      <w:r w:rsidR="005B596F" w:rsidRPr="007023F1">
        <w:rPr>
          <w:lang w:val="fr-FR"/>
        </w:rPr>
        <w:t>on de la coordination du Plan d</w:t>
      </w:r>
      <w:r w:rsidR="00C55510" w:rsidRPr="007023F1">
        <w:rPr>
          <w:lang w:val="fr-FR"/>
        </w:rPr>
        <w:t>’</w:t>
      </w:r>
      <w:r w:rsidRPr="007023F1">
        <w:rPr>
          <w:lang w:val="fr-FR"/>
        </w:rPr>
        <w:t>action pour le développement a élaboré un</w:t>
      </w:r>
      <w:r w:rsidR="00CD1952" w:rsidRPr="007023F1">
        <w:rPr>
          <w:lang w:val="fr-FR"/>
        </w:rPr>
        <w:t>e brochure</w:t>
      </w:r>
      <w:r w:rsidRPr="007023F1">
        <w:rPr>
          <w:lang w:val="fr-FR"/>
        </w:rPr>
        <w:t xml:space="preserve"> décrivant les principaux éléments de la base de données, </w:t>
      </w:r>
      <w:r w:rsidR="00C55510" w:rsidRPr="007023F1">
        <w:rPr>
          <w:lang w:val="fr-FR"/>
        </w:rPr>
        <w:t>à savoir</w:t>
      </w:r>
      <w:r w:rsidRPr="007023F1">
        <w:rPr>
          <w:lang w:val="fr-FR"/>
        </w:rPr>
        <w:t xml:space="preserve">, les informations </w:t>
      </w:r>
      <w:r w:rsidR="00CD1952" w:rsidRPr="007023F1">
        <w:rPr>
          <w:lang w:val="fr-FR"/>
        </w:rPr>
        <w:t>qu’elle contient</w:t>
      </w:r>
      <w:r w:rsidRPr="007023F1">
        <w:rPr>
          <w:lang w:val="fr-FR"/>
        </w:rPr>
        <w:t>, sa structure et ses fonctionnalités, les catégories de recherche, les bénéficiaires cibles et le mécanisme convenu pour que les États membres fournissent au Secrétariat des mises à jour de leurs dispositions nationales en rapport avec les</w:t>
      </w:r>
      <w:r w:rsidR="00CD1952" w:rsidRPr="007023F1">
        <w:rPr>
          <w:lang w:val="fr-FR"/>
        </w:rPr>
        <w:t xml:space="preserve"> éléments de</w:t>
      </w:r>
      <w:r w:rsidRPr="007023F1">
        <w:rPr>
          <w:lang w:val="fr-FR"/>
        </w:rPr>
        <w:t xml:space="preserve"> flexibilité (conformément à la décision du comité visée au paragraphe 3).</w:t>
      </w:r>
    </w:p>
    <w:p w:rsidR="003F2EA9" w:rsidRPr="007023F1" w:rsidRDefault="000459AC" w:rsidP="007023F1">
      <w:pPr>
        <w:pStyle w:val="ONUMFS"/>
        <w:numPr>
          <w:ilvl w:val="2"/>
          <w:numId w:val="3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7023F1">
        <w:rPr>
          <w:lang w:val="fr-FR"/>
        </w:rPr>
        <w:t xml:space="preserve">En février 2017, un lien </w:t>
      </w:r>
      <w:r w:rsidR="00CD1952" w:rsidRPr="007023F1">
        <w:rPr>
          <w:lang w:val="fr-FR"/>
        </w:rPr>
        <w:t>renvoyant directement</w:t>
      </w:r>
      <w:r w:rsidRPr="007023F1">
        <w:rPr>
          <w:lang w:val="fr-FR"/>
        </w:rPr>
        <w:t xml:space="preserve"> à la base de données a été </w:t>
      </w:r>
      <w:r w:rsidR="00CD1952" w:rsidRPr="007023F1">
        <w:rPr>
          <w:lang w:val="fr-FR"/>
        </w:rPr>
        <w:t>cré</w:t>
      </w:r>
      <w:r w:rsidRPr="007023F1">
        <w:rPr>
          <w:lang w:val="fr-FR"/>
        </w:rPr>
        <w:t>é sur</w:t>
      </w:r>
      <w:r w:rsidR="00CD1952" w:rsidRPr="007023F1">
        <w:rPr>
          <w:lang w:val="fr-FR"/>
        </w:rPr>
        <w:t xml:space="preserve"> la page </w:t>
      </w:r>
      <w:r w:rsidR="006F6CA3" w:rsidRPr="007023F1">
        <w:rPr>
          <w:lang w:val="fr-FR"/>
        </w:rPr>
        <w:t>Web</w:t>
      </w:r>
      <w:r w:rsidR="00CD1952" w:rsidRPr="007023F1">
        <w:rPr>
          <w:lang w:val="fr-FR"/>
        </w:rPr>
        <w:t xml:space="preserve"> consacrée a</w:t>
      </w:r>
      <w:r w:rsidRPr="007023F1">
        <w:rPr>
          <w:lang w:val="fr-FR"/>
        </w:rPr>
        <w:t>u Plan d</w:t>
      </w:r>
      <w:r w:rsidR="00C55510" w:rsidRPr="007023F1">
        <w:rPr>
          <w:lang w:val="fr-FR"/>
        </w:rPr>
        <w:t>’</w:t>
      </w:r>
      <w:r w:rsidRPr="007023F1">
        <w:rPr>
          <w:lang w:val="fr-FR"/>
        </w:rPr>
        <w:t>action pour le développement</w:t>
      </w:r>
      <w:r w:rsidR="00C55510" w:rsidRPr="007023F1">
        <w:rPr>
          <w:lang w:val="fr-FR"/>
        </w:rPr>
        <w:t> :</w:t>
      </w:r>
      <w:r w:rsidRPr="007023F1">
        <w:rPr>
          <w:lang w:val="fr-FR"/>
        </w:rPr>
        <w:t xml:space="preserve"> </w:t>
      </w:r>
      <w:hyperlink r:id="rId12" w:history="1">
        <w:r w:rsidR="007023F1">
          <w:rPr>
            <w:rStyle w:val="Hyperlink"/>
          </w:rPr>
          <w:t>http://www.wipo.int/ip-development/fr/agenda/</w:t>
        </w:r>
      </w:hyperlink>
      <w:r w:rsidRPr="007023F1">
        <w:rPr>
          <w:lang w:val="fr-FR"/>
        </w:rPr>
        <w:t>, améliorant son accessibilité.</w:t>
      </w:r>
    </w:p>
    <w:p w:rsidR="003F2EA9" w:rsidRPr="007023F1" w:rsidRDefault="000459AC" w:rsidP="007023F1">
      <w:pPr>
        <w:pStyle w:val="ONUMFS"/>
        <w:numPr>
          <w:ilvl w:val="2"/>
          <w:numId w:val="3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7023F1">
        <w:rPr>
          <w:lang w:val="fr-FR"/>
        </w:rPr>
        <w:lastRenderedPageBreak/>
        <w:t>En </w:t>
      </w:r>
      <w:r w:rsidR="00C55510" w:rsidRPr="007023F1">
        <w:rPr>
          <w:lang w:val="fr-FR"/>
        </w:rPr>
        <w:t>mars 20</w:t>
      </w:r>
      <w:r w:rsidRPr="007023F1">
        <w:rPr>
          <w:lang w:val="fr-FR"/>
        </w:rPr>
        <w:t>17, la base de données a été transférée sur une nouvelle plateforme contenant de nouvelles fonctionnalités de recherche et incluant des informations sur son mécanisme de mise à jour.</w:t>
      </w:r>
    </w:p>
    <w:p w:rsidR="003F2EA9" w:rsidRPr="007023F1" w:rsidRDefault="00CD1952" w:rsidP="007023F1">
      <w:pPr>
        <w:pStyle w:val="ONUMFS"/>
        <w:numPr>
          <w:ilvl w:val="2"/>
          <w:numId w:val="3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7023F1">
        <w:rPr>
          <w:lang w:val="fr-FR"/>
        </w:rPr>
        <w:t xml:space="preserve">Des </w:t>
      </w:r>
      <w:r w:rsidR="000459AC" w:rsidRPr="007023F1">
        <w:rPr>
          <w:lang w:val="fr-FR"/>
        </w:rPr>
        <w:t>information</w:t>
      </w:r>
      <w:r w:rsidRPr="007023F1">
        <w:rPr>
          <w:lang w:val="fr-FR"/>
        </w:rPr>
        <w:t>s sur les données</w:t>
      </w:r>
      <w:r w:rsidR="000459AC" w:rsidRPr="007023F1">
        <w:rPr>
          <w:lang w:val="fr-FR"/>
        </w:rPr>
        <w:t xml:space="preserve"> contenue</w:t>
      </w:r>
      <w:r w:rsidRPr="007023F1">
        <w:rPr>
          <w:lang w:val="fr-FR"/>
        </w:rPr>
        <w:t>s</w:t>
      </w:r>
      <w:r w:rsidR="000459AC" w:rsidRPr="007023F1">
        <w:rPr>
          <w:lang w:val="fr-FR"/>
        </w:rPr>
        <w:t xml:space="preserve"> dans la base de données, ainsi que </w:t>
      </w:r>
      <w:r w:rsidRPr="007023F1">
        <w:rPr>
          <w:lang w:val="fr-FR"/>
        </w:rPr>
        <w:t>leur</w:t>
      </w:r>
      <w:r w:rsidR="000459AC" w:rsidRPr="007023F1">
        <w:rPr>
          <w:lang w:val="fr-FR"/>
        </w:rPr>
        <w:t xml:space="preserve"> disponibilité, </w:t>
      </w:r>
      <w:r w:rsidRPr="007023F1">
        <w:rPr>
          <w:lang w:val="fr-FR"/>
        </w:rPr>
        <w:t>ont</w:t>
      </w:r>
      <w:r w:rsidR="000459AC" w:rsidRPr="007023F1">
        <w:rPr>
          <w:lang w:val="fr-FR"/>
        </w:rPr>
        <w:t xml:space="preserve"> été diffusée</w:t>
      </w:r>
      <w:r w:rsidRPr="007023F1">
        <w:rPr>
          <w:lang w:val="fr-FR"/>
        </w:rPr>
        <w:t>s</w:t>
      </w:r>
      <w:r w:rsidR="000459AC" w:rsidRPr="007023F1">
        <w:rPr>
          <w:lang w:val="fr-FR"/>
        </w:rPr>
        <w:t xml:space="preserve"> </w:t>
      </w:r>
      <w:r w:rsidRPr="007023F1">
        <w:rPr>
          <w:lang w:val="fr-FR"/>
        </w:rPr>
        <w:t>au cours d</w:t>
      </w:r>
      <w:r w:rsidR="000459AC" w:rsidRPr="007023F1">
        <w:rPr>
          <w:lang w:val="fr-FR"/>
        </w:rPr>
        <w:t>es activités énuméré</w:t>
      </w:r>
      <w:r w:rsidR="00DF341D" w:rsidRPr="007023F1">
        <w:rPr>
          <w:lang w:val="fr-FR"/>
        </w:rPr>
        <w:t>es dans le tableau figurant à l</w:t>
      </w:r>
      <w:r w:rsidR="00C55510" w:rsidRPr="007023F1">
        <w:rPr>
          <w:lang w:val="fr-FR"/>
        </w:rPr>
        <w:t>’</w:t>
      </w:r>
      <w:r w:rsidR="000459AC" w:rsidRPr="007023F1">
        <w:rPr>
          <w:lang w:val="fr-FR"/>
        </w:rPr>
        <w:t>annexe</w:t>
      </w:r>
      <w:r w:rsidR="00DF341D" w:rsidRPr="007023F1">
        <w:rPr>
          <w:lang w:val="fr-FR"/>
        </w:rPr>
        <w:t> </w:t>
      </w:r>
      <w:r w:rsidR="000459AC" w:rsidRPr="007023F1">
        <w:rPr>
          <w:lang w:val="fr-FR"/>
        </w:rPr>
        <w:t>II du présent docume</w:t>
      </w:r>
      <w:r w:rsidR="00983F1F" w:rsidRPr="007023F1">
        <w:rPr>
          <w:lang w:val="fr-FR"/>
        </w:rPr>
        <w:t>nt.  Le</w:t>
      </w:r>
      <w:r w:rsidR="00DF341D" w:rsidRPr="007023F1">
        <w:rPr>
          <w:lang w:val="fr-FR"/>
        </w:rPr>
        <w:t xml:space="preserve">sdites activités </w:t>
      </w:r>
      <w:r w:rsidRPr="007023F1">
        <w:rPr>
          <w:lang w:val="fr-FR"/>
        </w:rPr>
        <w:t>concern</w:t>
      </w:r>
      <w:r w:rsidR="00DF341D" w:rsidRPr="007023F1">
        <w:rPr>
          <w:lang w:val="fr-FR"/>
        </w:rPr>
        <w:t>aient di</w:t>
      </w:r>
      <w:r w:rsidRPr="007023F1">
        <w:rPr>
          <w:lang w:val="fr-FR"/>
        </w:rPr>
        <w:t>verses</w:t>
      </w:r>
      <w:r w:rsidR="00DF341D" w:rsidRPr="007023F1">
        <w:rPr>
          <w:lang w:val="fr-FR"/>
        </w:rPr>
        <w:t xml:space="preserve"> conférences internationales, des ateliers et </w:t>
      </w:r>
      <w:r w:rsidRPr="007023F1">
        <w:rPr>
          <w:lang w:val="fr-FR"/>
        </w:rPr>
        <w:t xml:space="preserve">des </w:t>
      </w:r>
      <w:r w:rsidR="00DF341D" w:rsidRPr="007023F1">
        <w:rPr>
          <w:lang w:val="fr-FR"/>
        </w:rPr>
        <w:t xml:space="preserve">réunions connexes; </w:t>
      </w:r>
      <w:r w:rsidR="006F6CA3" w:rsidRPr="007023F1">
        <w:rPr>
          <w:lang w:val="fr-FR"/>
        </w:rPr>
        <w:t xml:space="preserve"> </w:t>
      </w:r>
      <w:r w:rsidRPr="007023F1">
        <w:rPr>
          <w:lang w:val="fr-FR"/>
        </w:rPr>
        <w:t>les informations ont également été diffusées</w:t>
      </w:r>
      <w:r w:rsidR="00DF341D" w:rsidRPr="007023F1">
        <w:rPr>
          <w:lang w:val="fr-FR"/>
        </w:rPr>
        <w:t xml:space="preserve"> au moyen des médias socia</w:t>
      </w:r>
      <w:r w:rsidR="00983F1F" w:rsidRPr="007023F1">
        <w:rPr>
          <w:lang w:val="fr-FR"/>
        </w:rPr>
        <w:t>ux.  Le</w:t>
      </w:r>
      <w:r w:rsidR="0022587A" w:rsidRPr="007023F1">
        <w:rPr>
          <w:lang w:val="fr-FR"/>
        </w:rPr>
        <w:t xml:space="preserve">s données compilées dans le tableau </w:t>
      </w:r>
      <w:r w:rsidRPr="007023F1">
        <w:rPr>
          <w:lang w:val="fr-FR"/>
        </w:rPr>
        <w:t>comprennent les date</w:t>
      </w:r>
      <w:r w:rsidR="0022587A" w:rsidRPr="007023F1">
        <w:rPr>
          <w:lang w:val="fr-FR"/>
        </w:rPr>
        <w:t xml:space="preserve"> et lieu de l</w:t>
      </w:r>
      <w:r w:rsidR="00C55510" w:rsidRPr="007023F1">
        <w:rPr>
          <w:lang w:val="fr-FR"/>
        </w:rPr>
        <w:t>’</w:t>
      </w:r>
      <w:r w:rsidR="0022587A" w:rsidRPr="007023F1">
        <w:rPr>
          <w:lang w:val="fr-FR"/>
        </w:rPr>
        <w:t xml:space="preserve">activité, le public, le nombre de participants ou de </w:t>
      </w:r>
      <w:r w:rsidR="000D4B58" w:rsidRPr="007023F1">
        <w:rPr>
          <w:lang w:val="fr-FR"/>
        </w:rPr>
        <w:t>consultations</w:t>
      </w:r>
      <w:r w:rsidR="0022587A" w:rsidRPr="007023F1">
        <w:rPr>
          <w:lang w:val="fr-FR"/>
        </w:rPr>
        <w:t xml:space="preserve"> en ligne, ainsi que la langue dans laquelle l</w:t>
      </w:r>
      <w:r w:rsidR="00C55510" w:rsidRPr="007023F1">
        <w:rPr>
          <w:lang w:val="fr-FR"/>
        </w:rPr>
        <w:t>’</w:t>
      </w:r>
      <w:r w:rsidR="000D4B58" w:rsidRPr="007023F1">
        <w:rPr>
          <w:lang w:val="fr-FR"/>
        </w:rPr>
        <w:t>activité a été réalis</w:t>
      </w:r>
      <w:r w:rsidR="0022587A" w:rsidRPr="007023F1">
        <w:rPr>
          <w:lang w:val="fr-FR"/>
        </w:rPr>
        <w:t>ée (le cas échéant).</w:t>
      </w:r>
    </w:p>
    <w:p w:rsidR="003F2EA9" w:rsidRPr="007023F1" w:rsidRDefault="00A2668F" w:rsidP="007023F1">
      <w:pPr>
        <w:pStyle w:val="ONUMFS"/>
        <w:rPr>
          <w:lang w:val="fr-FR"/>
        </w:rPr>
      </w:pPr>
      <w:r w:rsidRPr="007023F1">
        <w:rPr>
          <w:lang w:val="fr-FR"/>
        </w:rPr>
        <w:t xml:space="preserve">Selon les statistiques suivantes, fournies par la Section des communications sur le Web, de septembre 2016 à août 2017, les consultations de pages ont considérablement </w:t>
      </w:r>
      <w:r w:rsidR="000D4B58" w:rsidRPr="007023F1">
        <w:rPr>
          <w:lang w:val="fr-FR"/>
        </w:rPr>
        <w:t>augmenté par rapport à</w:t>
      </w:r>
      <w:r w:rsidRPr="007023F1">
        <w:rPr>
          <w:lang w:val="fr-FR"/>
        </w:rPr>
        <w:t xml:space="preserve"> l</w:t>
      </w:r>
      <w:r w:rsidR="00C55510" w:rsidRPr="007023F1">
        <w:rPr>
          <w:lang w:val="fr-FR"/>
        </w:rPr>
        <w:t>’</w:t>
      </w:r>
      <w:r w:rsidRPr="007023F1">
        <w:rPr>
          <w:lang w:val="fr-FR"/>
        </w:rPr>
        <w:t>année précédente, atteignant jusqu</w:t>
      </w:r>
      <w:r w:rsidR="00C55510" w:rsidRPr="007023F1">
        <w:rPr>
          <w:lang w:val="fr-FR"/>
        </w:rPr>
        <w:t>’</w:t>
      </w:r>
      <w:r w:rsidRPr="007023F1">
        <w:rPr>
          <w:lang w:val="fr-FR"/>
        </w:rPr>
        <w:t>à </w:t>
      </w:r>
      <w:r w:rsidR="006F6CA3" w:rsidRPr="007023F1">
        <w:rPr>
          <w:lang w:val="fr-FR"/>
        </w:rPr>
        <w:t>2207</w:t>
      </w:r>
      <w:r w:rsidRPr="007023F1">
        <w:rPr>
          <w:lang w:val="fr-FR"/>
        </w:rPr>
        <w:t> </w:t>
      </w:r>
      <w:r w:rsidR="000D4B58" w:rsidRPr="007023F1">
        <w:rPr>
          <w:lang w:val="fr-FR"/>
        </w:rPr>
        <w:t>consultation</w:t>
      </w:r>
      <w:r w:rsidRPr="007023F1">
        <w:rPr>
          <w:lang w:val="fr-FR"/>
        </w:rPr>
        <w:t xml:space="preserve">s, </w:t>
      </w:r>
      <w:r w:rsidR="000D4B58" w:rsidRPr="007023F1">
        <w:rPr>
          <w:lang w:val="fr-FR"/>
        </w:rPr>
        <w:t>dont</w:t>
      </w:r>
      <w:r w:rsidRPr="007023F1">
        <w:rPr>
          <w:lang w:val="fr-FR"/>
        </w:rPr>
        <w:t xml:space="preserve"> </w:t>
      </w:r>
      <w:r w:rsidR="006F6CA3" w:rsidRPr="007023F1">
        <w:rPr>
          <w:lang w:val="fr-FR"/>
        </w:rPr>
        <w:t>1359</w:t>
      </w:r>
      <w:r w:rsidRPr="007023F1">
        <w:rPr>
          <w:lang w:val="fr-FR"/>
        </w:rPr>
        <w:t> </w:t>
      </w:r>
      <w:r w:rsidR="000D4B58" w:rsidRPr="007023F1">
        <w:rPr>
          <w:lang w:val="fr-FR"/>
        </w:rPr>
        <w:t>consultations d</w:t>
      </w:r>
      <w:r w:rsidRPr="007023F1">
        <w:rPr>
          <w:lang w:val="fr-FR"/>
        </w:rPr>
        <w:t>es pages en question une seule fois ou pour la première fo</w:t>
      </w:r>
      <w:r w:rsidR="00983F1F" w:rsidRPr="007023F1">
        <w:rPr>
          <w:lang w:val="fr-FR"/>
        </w:rPr>
        <w:t>is.  Ce</w:t>
      </w:r>
      <w:r w:rsidRPr="007023F1">
        <w:rPr>
          <w:lang w:val="fr-FR"/>
        </w:rPr>
        <w:t>s stati</w:t>
      </w:r>
      <w:r w:rsidR="009078B6" w:rsidRPr="007023F1">
        <w:rPr>
          <w:lang w:val="fr-FR"/>
        </w:rPr>
        <w:t>stiques démontrent clairement l</w:t>
      </w:r>
      <w:r w:rsidR="00C55510" w:rsidRPr="007023F1">
        <w:rPr>
          <w:lang w:val="fr-FR"/>
        </w:rPr>
        <w:t>’</w:t>
      </w:r>
      <w:r w:rsidRPr="007023F1">
        <w:rPr>
          <w:lang w:val="fr-FR"/>
        </w:rPr>
        <w:t>efficacité des mesures de diffusion prises par le Secrétariat dans les différentes instances.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3313"/>
      </w:tblGrid>
      <w:tr w:rsidR="007023F1" w:rsidRPr="007023F1" w:rsidTr="006E2A46">
        <w:trPr>
          <w:trHeight w:val="258"/>
        </w:trPr>
        <w:tc>
          <w:tcPr>
            <w:tcW w:w="2552" w:type="dxa"/>
          </w:tcPr>
          <w:p w:rsidR="004310F3" w:rsidRPr="007023F1" w:rsidRDefault="00A2668F" w:rsidP="007023F1">
            <w:pPr>
              <w:jc w:val="center"/>
              <w:rPr>
                <w:b/>
                <w:lang w:val="fr-FR"/>
              </w:rPr>
            </w:pPr>
            <w:r w:rsidRPr="007023F1">
              <w:rPr>
                <w:b/>
                <w:lang w:val="fr-FR"/>
              </w:rPr>
              <w:t>Consultations de la base de données</w:t>
            </w:r>
          </w:p>
        </w:tc>
        <w:tc>
          <w:tcPr>
            <w:tcW w:w="3402" w:type="dxa"/>
          </w:tcPr>
          <w:p w:rsidR="004310F3" w:rsidRPr="007023F1" w:rsidRDefault="00A2668F" w:rsidP="007023F1">
            <w:pPr>
              <w:jc w:val="center"/>
              <w:rPr>
                <w:b/>
                <w:lang w:val="fr-FR"/>
              </w:rPr>
            </w:pPr>
            <w:r w:rsidRPr="007023F1">
              <w:rPr>
                <w:b/>
                <w:lang w:val="fr-FR"/>
              </w:rPr>
              <w:t>Septembre</w:t>
            </w:r>
            <w:r w:rsidR="001F58C7" w:rsidRPr="007023F1">
              <w:rPr>
                <w:b/>
                <w:lang w:val="fr-FR"/>
              </w:rPr>
              <w:t> </w:t>
            </w:r>
            <w:r w:rsidRPr="007023F1">
              <w:rPr>
                <w:b/>
                <w:lang w:val="fr-FR"/>
              </w:rPr>
              <w:t>2015</w:t>
            </w:r>
            <w:r w:rsidR="00C55510" w:rsidRPr="007023F1">
              <w:rPr>
                <w:b/>
                <w:lang w:val="fr-FR"/>
              </w:rPr>
              <w:t xml:space="preserve"> – août 20</w:t>
            </w:r>
            <w:r w:rsidRPr="007023F1">
              <w:rPr>
                <w:b/>
                <w:lang w:val="fr-FR"/>
              </w:rPr>
              <w:t>16</w:t>
            </w:r>
          </w:p>
        </w:tc>
        <w:tc>
          <w:tcPr>
            <w:tcW w:w="3313" w:type="dxa"/>
          </w:tcPr>
          <w:p w:rsidR="004310F3" w:rsidRPr="007023F1" w:rsidRDefault="00A2668F" w:rsidP="007023F1">
            <w:pPr>
              <w:jc w:val="center"/>
              <w:rPr>
                <w:b/>
                <w:lang w:val="fr-FR"/>
              </w:rPr>
            </w:pPr>
            <w:r w:rsidRPr="007023F1">
              <w:rPr>
                <w:b/>
                <w:lang w:val="fr-FR"/>
              </w:rPr>
              <w:t>Septembre</w:t>
            </w:r>
            <w:r w:rsidR="001F58C7" w:rsidRPr="007023F1">
              <w:rPr>
                <w:b/>
                <w:lang w:val="fr-FR"/>
              </w:rPr>
              <w:t> </w:t>
            </w:r>
            <w:r w:rsidRPr="007023F1">
              <w:rPr>
                <w:b/>
                <w:lang w:val="fr-FR"/>
              </w:rPr>
              <w:t>2016</w:t>
            </w:r>
            <w:r w:rsidR="00C55510" w:rsidRPr="007023F1">
              <w:rPr>
                <w:b/>
                <w:lang w:val="fr-FR"/>
              </w:rPr>
              <w:t xml:space="preserve"> – août 20</w:t>
            </w:r>
            <w:r w:rsidRPr="007023F1">
              <w:rPr>
                <w:b/>
                <w:lang w:val="fr-FR"/>
              </w:rPr>
              <w:t>17</w:t>
            </w:r>
          </w:p>
        </w:tc>
      </w:tr>
      <w:tr w:rsidR="007023F1" w:rsidRPr="007023F1" w:rsidTr="006E2A46">
        <w:trPr>
          <w:trHeight w:val="275"/>
        </w:trPr>
        <w:tc>
          <w:tcPr>
            <w:tcW w:w="2552" w:type="dxa"/>
          </w:tcPr>
          <w:p w:rsidR="004310F3" w:rsidRPr="007023F1" w:rsidRDefault="00A2668F" w:rsidP="007023F1">
            <w:pPr>
              <w:rPr>
                <w:lang w:val="fr-FR"/>
              </w:rPr>
            </w:pPr>
            <w:r w:rsidRPr="007023F1">
              <w:rPr>
                <w:lang w:val="fr-FR"/>
              </w:rPr>
              <w:t>Consultations de pages</w:t>
            </w:r>
          </w:p>
        </w:tc>
        <w:tc>
          <w:tcPr>
            <w:tcW w:w="3402" w:type="dxa"/>
          </w:tcPr>
          <w:p w:rsidR="004310F3" w:rsidRPr="007023F1" w:rsidRDefault="004310F3" w:rsidP="007023F1">
            <w:pPr>
              <w:jc w:val="center"/>
              <w:rPr>
                <w:lang w:val="fr-FR"/>
              </w:rPr>
            </w:pPr>
            <w:r w:rsidRPr="007023F1">
              <w:rPr>
                <w:lang w:val="fr-FR"/>
              </w:rPr>
              <w:t>310</w:t>
            </w:r>
          </w:p>
        </w:tc>
        <w:tc>
          <w:tcPr>
            <w:tcW w:w="3313" w:type="dxa"/>
          </w:tcPr>
          <w:p w:rsidR="004310F3" w:rsidRPr="007023F1" w:rsidRDefault="004310F3" w:rsidP="007023F1">
            <w:pPr>
              <w:jc w:val="center"/>
              <w:rPr>
                <w:lang w:val="fr-FR"/>
              </w:rPr>
            </w:pPr>
            <w:r w:rsidRPr="007023F1">
              <w:rPr>
                <w:lang w:val="fr-FR"/>
              </w:rPr>
              <w:t>2</w:t>
            </w:r>
            <w:r w:rsidR="006E2A46" w:rsidRPr="007023F1">
              <w:rPr>
                <w:lang w:val="fr-FR"/>
              </w:rPr>
              <w:t> </w:t>
            </w:r>
            <w:r w:rsidRPr="007023F1">
              <w:rPr>
                <w:lang w:val="fr-FR"/>
              </w:rPr>
              <w:t>207</w:t>
            </w:r>
          </w:p>
        </w:tc>
      </w:tr>
      <w:tr w:rsidR="004310F3" w:rsidRPr="007023F1" w:rsidTr="006E2A46">
        <w:trPr>
          <w:trHeight w:val="275"/>
        </w:trPr>
        <w:tc>
          <w:tcPr>
            <w:tcW w:w="2552" w:type="dxa"/>
          </w:tcPr>
          <w:p w:rsidR="004310F3" w:rsidRPr="007023F1" w:rsidRDefault="00A2668F" w:rsidP="007023F1">
            <w:pPr>
              <w:rPr>
                <w:lang w:val="fr-FR"/>
              </w:rPr>
            </w:pPr>
            <w:r w:rsidRPr="007023F1">
              <w:rPr>
                <w:lang w:val="fr-FR"/>
              </w:rPr>
              <w:t>Consultations uniques</w:t>
            </w:r>
          </w:p>
        </w:tc>
        <w:tc>
          <w:tcPr>
            <w:tcW w:w="3402" w:type="dxa"/>
          </w:tcPr>
          <w:p w:rsidR="004310F3" w:rsidRPr="007023F1" w:rsidRDefault="004310F3" w:rsidP="007023F1">
            <w:pPr>
              <w:jc w:val="center"/>
              <w:rPr>
                <w:lang w:val="fr-FR"/>
              </w:rPr>
            </w:pPr>
            <w:r w:rsidRPr="007023F1">
              <w:rPr>
                <w:lang w:val="fr-FR"/>
              </w:rPr>
              <w:t>151</w:t>
            </w:r>
          </w:p>
        </w:tc>
        <w:tc>
          <w:tcPr>
            <w:tcW w:w="3313" w:type="dxa"/>
          </w:tcPr>
          <w:p w:rsidR="004310F3" w:rsidRPr="007023F1" w:rsidRDefault="004310F3" w:rsidP="007023F1">
            <w:pPr>
              <w:jc w:val="center"/>
              <w:rPr>
                <w:lang w:val="fr-FR"/>
              </w:rPr>
            </w:pPr>
            <w:r w:rsidRPr="007023F1">
              <w:rPr>
                <w:lang w:val="fr-FR"/>
              </w:rPr>
              <w:t>1</w:t>
            </w:r>
            <w:r w:rsidR="006E2A46" w:rsidRPr="007023F1">
              <w:rPr>
                <w:lang w:val="fr-FR"/>
              </w:rPr>
              <w:t> </w:t>
            </w:r>
            <w:r w:rsidRPr="007023F1">
              <w:rPr>
                <w:lang w:val="fr-FR"/>
              </w:rPr>
              <w:t>359</w:t>
            </w:r>
          </w:p>
        </w:tc>
      </w:tr>
    </w:tbl>
    <w:p w:rsidR="003F2EA9" w:rsidRPr="007023F1" w:rsidRDefault="003F2EA9" w:rsidP="007023F1">
      <w:pPr>
        <w:rPr>
          <w:lang w:val="fr-FR"/>
        </w:rPr>
      </w:pPr>
    </w:p>
    <w:p w:rsidR="003F2EA9" w:rsidRPr="007023F1" w:rsidRDefault="00A2668F" w:rsidP="007023F1">
      <w:pPr>
        <w:pStyle w:val="ONUMFS"/>
        <w:rPr>
          <w:lang w:val="fr-FR"/>
        </w:rPr>
      </w:pPr>
      <w:r w:rsidRPr="007023F1">
        <w:rPr>
          <w:lang w:val="fr-FR"/>
        </w:rPr>
        <w:t xml:space="preserve">Le Secrétariat poursuivra ses efforts aux fins de promouvoir le contenu de la base de données en tant que source </w:t>
      </w:r>
      <w:r w:rsidR="000D4B58" w:rsidRPr="007023F1">
        <w:rPr>
          <w:lang w:val="fr-FR"/>
        </w:rPr>
        <w:t>auprès d</w:t>
      </w:r>
      <w:r w:rsidRPr="007023F1">
        <w:rPr>
          <w:lang w:val="fr-FR"/>
        </w:rPr>
        <w:t xml:space="preserve">es décideurs et </w:t>
      </w:r>
      <w:r w:rsidR="000D4B58" w:rsidRPr="007023F1">
        <w:rPr>
          <w:lang w:val="fr-FR"/>
        </w:rPr>
        <w:t>d</w:t>
      </w:r>
      <w:r w:rsidRPr="007023F1">
        <w:rPr>
          <w:lang w:val="fr-FR"/>
        </w:rPr>
        <w:t xml:space="preserve">es législateurs, </w:t>
      </w:r>
      <w:r w:rsidR="000D4B58" w:rsidRPr="007023F1">
        <w:rPr>
          <w:lang w:val="fr-FR"/>
        </w:rPr>
        <w:t>d</w:t>
      </w:r>
      <w:r w:rsidRPr="007023F1">
        <w:rPr>
          <w:lang w:val="fr-FR"/>
        </w:rPr>
        <w:t xml:space="preserve">es </w:t>
      </w:r>
      <w:r w:rsidR="00F667BC">
        <w:rPr>
          <w:lang w:val="fr-FR"/>
        </w:rPr>
        <w:t>spécialistes</w:t>
      </w:r>
      <w:r w:rsidRPr="007023F1">
        <w:rPr>
          <w:lang w:val="fr-FR"/>
        </w:rPr>
        <w:t xml:space="preserve"> de la propriété intellectuelle, </w:t>
      </w:r>
      <w:r w:rsidR="000D4B58" w:rsidRPr="007023F1">
        <w:rPr>
          <w:lang w:val="fr-FR"/>
        </w:rPr>
        <w:t>d</w:t>
      </w:r>
      <w:r w:rsidRPr="007023F1">
        <w:rPr>
          <w:lang w:val="fr-FR"/>
        </w:rPr>
        <w:t xml:space="preserve">es universitaires et </w:t>
      </w:r>
      <w:r w:rsidR="000D4B58" w:rsidRPr="007023F1">
        <w:rPr>
          <w:lang w:val="fr-FR"/>
        </w:rPr>
        <w:t>d</w:t>
      </w:r>
      <w:r w:rsidRPr="007023F1">
        <w:rPr>
          <w:lang w:val="fr-FR"/>
        </w:rPr>
        <w:t xml:space="preserve">es chercheurs, afin </w:t>
      </w:r>
      <w:r w:rsidR="000D4B58" w:rsidRPr="007023F1">
        <w:rPr>
          <w:lang w:val="fr-FR"/>
        </w:rPr>
        <w:t>de les sensibiliser à</w:t>
      </w:r>
      <w:r w:rsidRPr="007023F1">
        <w:rPr>
          <w:lang w:val="fr-FR"/>
        </w:rPr>
        <w:t xml:space="preserve"> la manière dont les </w:t>
      </w:r>
      <w:r w:rsidR="00F753C6" w:rsidRPr="007023F1">
        <w:rPr>
          <w:lang w:val="fr-FR"/>
        </w:rPr>
        <w:t xml:space="preserve">éléments de </w:t>
      </w:r>
      <w:r w:rsidRPr="007023F1">
        <w:rPr>
          <w:lang w:val="fr-FR"/>
        </w:rPr>
        <w:t>flexibilité pourraien</w:t>
      </w:r>
      <w:r w:rsidR="000D4B58" w:rsidRPr="007023F1">
        <w:rPr>
          <w:lang w:val="fr-FR"/>
        </w:rPr>
        <w:t>t être mis en application dans l</w:t>
      </w:r>
      <w:r w:rsidRPr="007023F1">
        <w:rPr>
          <w:lang w:val="fr-FR"/>
        </w:rPr>
        <w:t>es législations nationales et régionales.</w:t>
      </w:r>
    </w:p>
    <w:p w:rsidR="003F2EA9" w:rsidRPr="007023F1" w:rsidRDefault="003F2EA9" w:rsidP="007023F1">
      <w:pPr>
        <w:rPr>
          <w:lang w:val="fr-FR"/>
        </w:rPr>
      </w:pPr>
    </w:p>
    <w:p w:rsidR="003F2EA9" w:rsidRPr="007023F1" w:rsidRDefault="003F2EA9" w:rsidP="007023F1">
      <w:pPr>
        <w:rPr>
          <w:lang w:val="fr-FR"/>
        </w:rPr>
      </w:pPr>
    </w:p>
    <w:p w:rsidR="003F2EA9" w:rsidRPr="007023F1" w:rsidRDefault="00A2668F" w:rsidP="007023F1">
      <w:pPr>
        <w:pStyle w:val="Endofdocument-Annex"/>
        <w:rPr>
          <w:lang w:val="fr-FR"/>
        </w:rPr>
      </w:pPr>
      <w:r w:rsidRPr="007023F1">
        <w:rPr>
          <w:lang w:val="fr-FR"/>
        </w:rPr>
        <w:t>[L</w:t>
      </w:r>
      <w:r w:rsidR="00C55510" w:rsidRPr="007023F1">
        <w:rPr>
          <w:lang w:val="fr-FR"/>
        </w:rPr>
        <w:t>’annexe I</w:t>
      </w:r>
      <w:r w:rsidRPr="007023F1">
        <w:rPr>
          <w:lang w:val="fr-FR"/>
        </w:rPr>
        <w:t>I suit]</w:t>
      </w:r>
    </w:p>
    <w:p w:rsidR="003F2EA9" w:rsidRPr="007023F1" w:rsidRDefault="003F2EA9" w:rsidP="007023F1">
      <w:pPr>
        <w:rPr>
          <w:szCs w:val="22"/>
          <w:lang w:val="fr-FR"/>
        </w:rPr>
      </w:pPr>
    </w:p>
    <w:p w:rsidR="00602DD2" w:rsidRPr="007023F1" w:rsidRDefault="00602DD2" w:rsidP="007023F1">
      <w:pPr>
        <w:pStyle w:val="Endofdocument-Annex"/>
        <w:rPr>
          <w:lang w:val="fr-FR"/>
        </w:rPr>
        <w:sectPr w:rsidR="00602DD2" w:rsidRPr="007023F1" w:rsidSect="00CD1952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3F2EA9" w:rsidRPr="007023F1" w:rsidRDefault="00A2668F" w:rsidP="007023F1">
      <w:pPr>
        <w:rPr>
          <w:b/>
          <w:szCs w:val="22"/>
          <w:u w:val="single"/>
          <w:lang w:val="fr-FR"/>
        </w:rPr>
      </w:pPr>
      <w:r w:rsidRPr="007023F1">
        <w:rPr>
          <w:b/>
          <w:szCs w:val="22"/>
          <w:u w:val="single"/>
          <w:lang w:val="fr-FR"/>
        </w:rPr>
        <w:lastRenderedPageBreak/>
        <w:t>Activités dans le</w:t>
      </w:r>
      <w:r w:rsidR="000D4B58" w:rsidRPr="007023F1">
        <w:rPr>
          <w:b/>
          <w:szCs w:val="22"/>
          <w:u w:val="single"/>
          <w:lang w:val="fr-FR"/>
        </w:rPr>
        <w:t xml:space="preserve"> cadre de</w:t>
      </w:r>
      <w:r w:rsidRPr="007023F1">
        <w:rPr>
          <w:b/>
          <w:szCs w:val="22"/>
          <w:u w:val="single"/>
          <w:lang w:val="fr-FR"/>
        </w:rPr>
        <w:t xml:space="preserve">squelles </w:t>
      </w:r>
      <w:r w:rsidR="000D4B58" w:rsidRPr="007023F1">
        <w:rPr>
          <w:b/>
          <w:szCs w:val="22"/>
          <w:u w:val="single"/>
          <w:lang w:val="fr-FR"/>
        </w:rPr>
        <w:t xml:space="preserve">des informations sur </w:t>
      </w:r>
      <w:r w:rsidRPr="007023F1">
        <w:rPr>
          <w:b/>
          <w:szCs w:val="22"/>
          <w:u w:val="single"/>
          <w:lang w:val="fr-FR"/>
        </w:rPr>
        <w:t>le</w:t>
      </w:r>
      <w:r w:rsidR="000D4B58" w:rsidRPr="007023F1">
        <w:rPr>
          <w:b/>
          <w:szCs w:val="22"/>
          <w:u w:val="single"/>
          <w:lang w:val="fr-FR"/>
        </w:rPr>
        <w:t xml:space="preserve"> contenu de la base de données ont</w:t>
      </w:r>
      <w:r w:rsidRPr="007023F1">
        <w:rPr>
          <w:b/>
          <w:szCs w:val="22"/>
          <w:u w:val="single"/>
          <w:lang w:val="fr-FR"/>
        </w:rPr>
        <w:t xml:space="preserve"> été diffusé</w:t>
      </w:r>
      <w:r w:rsidR="000D4B58" w:rsidRPr="007023F1">
        <w:rPr>
          <w:b/>
          <w:szCs w:val="22"/>
          <w:u w:val="single"/>
          <w:lang w:val="fr-FR"/>
        </w:rPr>
        <w:t>es</w:t>
      </w:r>
    </w:p>
    <w:p w:rsidR="003F2EA9" w:rsidRPr="007023F1" w:rsidRDefault="003F2EA9" w:rsidP="007023F1">
      <w:pPr>
        <w:rPr>
          <w:b/>
          <w:szCs w:val="22"/>
          <w:u w:val="single"/>
          <w:lang w:val="fr-FR"/>
        </w:rPr>
      </w:pPr>
    </w:p>
    <w:p w:rsidR="00A5052C" w:rsidRPr="007023F1" w:rsidRDefault="00A5052C" w:rsidP="007023F1">
      <w:pPr>
        <w:rPr>
          <w:szCs w:val="22"/>
          <w:lang w:val="fr-FR"/>
        </w:rPr>
      </w:pPr>
    </w:p>
    <w:tbl>
      <w:tblPr>
        <w:tblStyle w:val="TableGrid1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88"/>
        <w:gridCol w:w="2069"/>
        <w:gridCol w:w="2034"/>
        <w:gridCol w:w="2574"/>
        <w:gridCol w:w="2716"/>
        <w:gridCol w:w="1690"/>
      </w:tblGrid>
      <w:tr w:rsidR="007023F1" w:rsidRPr="007023F1" w:rsidTr="00202605">
        <w:trPr>
          <w:cantSplit/>
          <w:tblHeader/>
        </w:trPr>
        <w:tc>
          <w:tcPr>
            <w:tcW w:w="3954" w:type="dxa"/>
          </w:tcPr>
          <w:p w:rsidR="00A5052C" w:rsidRPr="007023F1" w:rsidRDefault="00236D8B" w:rsidP="00202605">
            <w:pPr>
              <w:jc w:val="center"/>
              <w:rPr>
                <w:b/>
                <w:lang w:val="fr-FR"/>
              </w:rPr>
            </w:pPr>
            <w:r w:rsidRPr="007023F1">
              <w:rPr>
                <w:b/>
                <w:lang w:val="fr-FR"/>
              </w:rPr>
              <w:t>Activité</w:t>
            </w:r>
          </w:p>
        </w:tc>
        <w:tc>
          <w:tcPr>
            <w:tcW w:w="1650" w:type="dxa"/>
          </w:tcPr>
          <w:p w:rsidR="00A5052C" w:rsidRPr="007023F1" w:rsidRDefault="00236D8B" w:rsidP="00202605">
            <w:pPr>
              <w:jc w:val="center"/>
              <w:rPr>
                <w:b/>
                <w:lang w:val="fr-FR"/>
              </w:rPr>
            </w:pPr>
            <w:r w:rsidRPr="007023F1">
              <w:rPr>
                <w:b/>
                <w:lang w:val="fr-FR"/>
              </w:rPr>
              <w:t>Date</w:t>
            </w:r>
          </w:p>
        </w:tc>
        <w:tc>
          <w:tcPr>
            <w:tcW w:w="2017" w:type="dxa"/>
          </w:tcPr>
          <w:p w:rsidR="00C55510" w:rsidRPr="007023F1" w:rsidRDefault="00236D8B" w:rsidP="00202605">
            <w:pPr>
              <w:jc w:val="center"/>
              <w:rPr>
                <w:b/>
                <w:lang w:val="fr-FR"/>
              </w:rPr>
            </w:pPr>
            <w:r w:rsidRPr="007023F1">
              <w:rPr>
                <w:b/>
                <w:lang w:val="fr-FR"/>
              </w:rPr>
              <w:t>Lieu</w:t>
            </w:r>
          </w:p>
          <w:p w:rsidR="00A5052C" w:rsidRPr="007023F1" w:rsidRDefault="00236D8B" w:rsidP="00202605">
            <w:pPr>
              <w:jc w:val="center"/>
              <w:rPr>
                <w:b/>
                <w:lang w:val="fr-FR"/>
              </w:rPr>
            </w:pPr>
            <w:r w:rsidRPr="007023F1">
              <w:rPr>
                <w:b/>
                <w:lang w:val="fr-FR"/>
              </w:rPr>
              <w:t>(le cas échéant)</w:t>
            </w:r>
          </w:p>
        </w:tc>
        <w:tc>
          <w:tcPr>
            <w:tcW w:w="2552" w:type="dxa"/>
          </w:tcPr>
          <w:p w:rsidR="00A5052C" w:rsidRPr="007023F1" w:rsidRDefault="00236D8B" w:rsidP="00202605">
            <w:pPr>
              <w:jc w:val="center"/>
              <w:rPr>
                <w:b/>
                <w:lang w:val="fr-FR"/>
              </w:rPr>
            </w:pPr>
            <w:r w:rsidRPr="007023F1">
              <w:rPr>
                <w:b/>
                <w:lang w:val="fr-FR"/>
              </w:rPr>
              <w:t>Destinataires</w:t>
            </w:r>
          </w:p>
        </w:tc>
        <w:tc>
          <w:tcPr>
            <w:tcW w:w="2693" w:type="dxa"/>
          </w:tcPr>
          <w:p w:rsidR="00A5052C" w:rsidRPr="007023F1" w:rsidRDefault="00236D8B" w:rsidP="00202605">
            <w:pPr>
              <w:jc w:val="center"/>
              <w:rPr>
                <w:b/>
                <w:lang w:val="fr-FR"/>
              </w:rPr>
            </w:pPr>
            <w:r w:rsidRPr="007023F1">
              <w:rPr>
                <w:b/>
                <w:lang w:val="fr-FR"/>
              </w:rPr>
              <w:t>Nombre de participants</w:t>
            </w:r>
            <w:r w:rsidR="006E2A46" w:rsidRPr="007023F1">
              <w:rPr>
                <w:b/>
                <w:lang w:val="fr-FR"/>
              </w:rPr>
              <w:t xml:space="preserve"> </w:t>
            </w:r>
            <w:r w:rsidR="000D4B58" w:rsidRPr="007023F1">
              <w:rPr>
                <w:b/>
                <w:lang w:val="fr-FR"/>
              </w:rPr>
              <w:t>(</w:t>
            </w:r>
            <w:r w:rsidR="00F753C6" w:rsidRPr="007023F1">
              <w:rPr>
                <w:b/>
                <w:lang w:val="fr-FR"/>
              </w:rPr>
              <w:t>sur place</w:t>
            </w:r>
            <w:r w:rsidRPr="007023F1">
              <w:rPr>
                <w:b/>
                <w:lang w:val="fr-FR"/>
              </w:rPr>
              <w:t>)</w:t>
            </w:r>
            <w:r w:rsidR="001F58C7" w:rsidRPr="007023F1">
              <w:rPr>
                <w:b/>
                <w:lang w:val="fr-FR"/>
              </w:rPr>
              <w:t>/</w:t>
            </w:r>
            <w:r w:rsidR="006E2A46" w:rsidRPr="007023F1">
              <w:rPr>
                <w:b/>
                <w:lang w:val="fr-FR"/>
              </w:rPr>
              <w:br/>
            </w:r>
            <w:r w:rsidR="000D4B58" w:rsidRPr="007023F1">
              <w:rPr>
                <w:b/>
                <w:lang w:val="fr-FR"/>
              </w:rPr>
              <w:t>de consultations</w:t>
            </w:r>
            <w:r w:rsidRPr="007023F1">
              <w:rPr>
                <w:b/>
                <w:lang w:val="fr-FR"/>
              </w:rPr>
              <w:t xml:space="preserve"> (en</w:t>
            </w:r>
            <w:r w:rsidR="000D4B58" w:rsidRPr="007023F1">
              <w:rPr>
                <w:b/>
                <w:lang w:val="fr-FR"/>
              </w:rPr>
              <w:t> </w:t>
            </w:r>
            <w:r w:rsidRPr="007023F1">
              <w:rPr>
                <w:b/>
                <w:lang w:val="fr-FR"/>
              </w:rPr>
              <w:t>ligne)</w:t>
            </w:r>
          </w:p>
        </w:tc>
        <w:tc>
          <w:tcPr>
            <w:tcW w:w="1676" w:type="dxa"/>
          </w:tcPr>
          <w:p w:rsidR="00A5052C" w:rsidRPr="007023F1" w:rsidRDefault="00236D8B" w:rsidP="00202605">
            <w:pPr>
              <w:jc w:val="center"/>
              <w:rPr>
                <w:b/>
                <w:lang w:val="fr-FR"/>
              </w:rPr>
            </w:pPr>
            <w:r w:rsidRPr="007023F1">
              <w:rPr>
                <w:b/>
                <w:lang w:val="fr-FR"/>
              </w:rPr>
              <w:t>Langue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BF7648" w:rsidRPr="007023F1" w:rsidRDefault="003F2EA9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“</w:t>
            </w:r>
            <w:proofErr w:type="spellStart"/>
            <w:r w:rsidRPr="007023F1">
              <w:rPr>
                <w:szCs w:val="22"/>
                <w:lang w:val="fr-FR"/>
              </w:rPr>
              <w:t>Jornadas</w:t>
            </w:r>
            <w:proofErr w:type="spellEnd"/>
            <w:r w:rsidR="00033CEB" w:rsidRPr="007023F1">
              <w:rPr>
                <w:szCs w:val="22"/>
                <w:lang w:val="fr-FR"/>
              </w:rPr>
              <w:t xml:space="preserve"> Expo Ingenio” </w:t>
            </w:r>
            <w:r w:rsidR="00F753C6" w:rsidRPr="007023F1">
              <w:rPr>
                <w:szCs w:val="22"/>
                <w:lang w:val="fr-FR"/>
              </w:rPr>
              <w:t xml:space="preserve">(journées expo ingénierie) </w:t>
            </w:r>
            <w:r w:rsidR="00033CEB" w:rsidRPr="007023F1">
              <w:rPr>
                <w:szCs w:val="22"/>
                <w:lang w:val="fr-FR"/>
              </w:rPr>
              <w:t>organisées par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Institut mexicain de la propriété industrielle (I</w:t>
            </w:r>
            <w:r w:rsidR="00453DDB" w:rsidRPr="007023F1">
              <w:rPr>
                <w:szCs w:val="22"/>
                <w:lang w:val="fr-FR"/>
              </w:rPr>
              <w:t>MPI</w:t>
            </w:r>
            <w:r w:rsidRPr="007023F1">
              <w:rPr>
                <w:szCs w:val="22"/>
                <w:lang w:val="fr-FR"/>
              </w:rPr>
              <w:t>)</w:t>
            </w:r>
          </w:p>
        </w:tc>
        <w:tc>
          <w:tcPr>
            <w:tcW w:w="1650" w:type="dxa"/>
          </w:tcPr>
          <w:p w:rsidR="00BB3FF5" w:rsidRPr="007023F1" w:rsidRDefault="00BB3FF5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 xml:space="preserve">20 </w:t>
            </w:r>
            <w:r w:rsidR="0020194F" w:rsidRPr="007023F1">
              <w:rPr>
                <w:szCs w:val="22"/>
                <w:lang w:val="fr-FR"/>
              </w:rPr>
              <w:t>et</w:t>
            </w:r>
            <w:r w:rsidRPr="007023F1">
              <w:rPr>
                <w:szCs w:val="22"/>
                <w:lang w:val="fr-FR"/>
              </w:rPr>
              <w:t xml:space="preserve"> 21</w:t>
            </w:r>
            <w:r w:rsidR="0020194F" w:rsidRPr="007023F1">
              <w:rPr>
                <w:szCs w:val="22"/>
                <w:lang w:val="fr-FR"/>
              </w:rPr>
              <w:t> septembre</w:t>
            </w:r>
            <w:r w:rsidR="006E2A46" w:rsidRPr="007023F1">
              <w:rPr>
                <w:szCs w:val="22"/>
                <w:lang w:val="fr-FR"/>
              </w:rPr>
              <w:t xml:space="preserve"> </w:t>
            </w:r>
            <w:r w:rsidRPr="007023F1">
              <w:rPr>
                <w:szCs w:val="22"/>
                <w:lang w:val="fr-FR"/>
              </w:rPr>
              <w:t>2017</w:t>
            </w:r>
          </w:p>
        </w:tc>
        <w:tc>
          <w:tcPr>
            <w:tcW w:w="2017" w:type="dxa"/>
          </w:tcPr>
          <w:p w:rsidR="00BB3FF5" w:rsidRPr="007023F1" w:rsidRDefault="003F2EA9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Tijuana, Ba</w:t>
            </w:r>
            <w:r w:rsidR="00CC7C11" w:rsidRPr="007023F1">
              <w:rPr>
                <w:szCs w:val="22"/>
                <w:lang w:val="fr-FR"/>
              </w:rPr>
              <w:t>sse</w:t>
            </w:r>
            <w:r w:rsidR="001F58C7" w:rsidRPr="007023F1">
              <w:rPr>
                <w:szCs w:val="22"/>
                <w:lang w:val="fr-FR"/>
              </w:rPr>
              <w:noBreakHyphen/>
            </w:r>
            <w:r w:rsidRPr="007023F1">
              <w:rPr>
                <w:szCs w:val="22"/>
                <w:lang w:val="fr-FR"/>
              </w:rPr>
              <w:t>Californi</w:t>
            </w:r>
            <w:r w:rsidR="00CC7C11" w:rsidRPr="007023F1">
              <w:rPr>
                <w:szCs w:val="22"/>
                <w:lang w:val="fr-FR"/>
              </w:rPr>
              <w:t>e</w:t>
            </w:r>
            <w:r w:rsidR="00F753C6" w:rsidRPr="007023F1">
              <w:rPr>
                <w:szCs w:val="22"/>
                <w:lang w:val="fr-FR"/>
              </w:rPr>
              <w:t xml:space="preserve"> (Mexique)</w:t>
            </w:r>
          </w:p>
        </w:tc>
        <w:tc>
          <w:tcPr>
            <w:tcW w:w="2552" w:type="dxa"/>
          </w:tcPr>
          <w:p w:rsidR="00BB3FF5" w:rsidRPr="007023F1" w:rsidRDefault="003F2EA9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Chercheurs, étudiants, petites et moyennes entreprises</w:t>
            </w:r>
            <w:r w:rsidR="00954B58" w:rsidRPr="007023F1">
              <w:rPr>
                <w:szCs w:val="22"/>
                <w:lang w:val="fr-FR"/>
              </w:rPr>
              <w:t>, fonctionnaires d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organismes publics et représentants du secteur privé</w:t>
            </w:r>
          </w:p>
        </w:tc>
        <w:tc>
          <w:tcPr>
            <w:tcW w:w="2693" w:type="dxa"/>
          </w:tcPr>
          <w:p w:rsidR="00BB3FF5" w:rsidRPr="007023F1" w:rsidRDefault="003F2EA9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Environ 500</w:t>
            </w:r>
            <w:r w:rsidR="001F58C7" w:rsidRPr="007023F1">
              <w:rPr>
                <w:szCs w:val="22"/>
                <w:lang w:val="fr-FR"/>
              </w:rPr>
              <w:t> </w:t>
            </w:r>
            <w:r w:rsidRPr="007023F1">
              <w:rPr>
                <w:szCs w:val="22"/>
                <w:lang w:val="fr-FR"/>
              </w:rPr>
              <w:t>participants</w:t>
            </w:r>
          </w:p>
        </w:tc>
        <w:tc>
          <w:tcPr>
            <w:tcW w:w="1676" w:type="dxa"/>
          </w:tcPr>
          <w:p w:rsidR="00BB3FF5" w:rsidRPr="007023F1" w:rsidRDefault="00B0134D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Espagnol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7E36E7" w:rsidRPr="007023F1" w:rsidRDefault="008444CF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Séminaire sous</w:t>
            </w:r>
            <w:r w:rsidR="001F58C7" w:rsidRPr="007023F1">
              <w:rPr>
                <w:szCs w:val="22"/>
                <w:lang w:val="fr-FR"/>
              </w:rPr>
              <w:noBreakHyphen/>
            </w:r>
            <w:r w:rsidRPr="007023F1">
              <w:rPr>
                <w:szCs w:val="22"/>
                <w:lang w:val="fr-FR"/>
              </w:rPr>
              <w:t>régional sur la propriété intellectuelle et le transfert de technologies</w:t>
            </w:r>
            <w:r w:rsidR="006F6CA3" w:rsidRPr="007023F1">
              <w:rPr>
                <w:szCs w:val="22"/>
                <w:lang w:val="fr-FR"/>
              </w:rPr>
              <w:t> </w:t>
            </w:r>
            <w:r w:rsidRPr="007023F1">
              <w:rPr>
                <w:szCs w:val="22"/>
                <w:lang w:val="fr-FR"/>
              </w:rPr>
              <w:t xml:space="preserve">: possibilités, </w:t>
            </w:r>
            <w:r w:rsidR="000D4B58" w:rsidRPr="007023F1">
              <w:rPr>
                <w:szCs w:val="22"/>
                <w:lang w:val="fr-FR"/>
              </w:rPr>
              <w:t>enjeux</w:t>
            </w:r>
            <w:r w:rsidRPr="007023F1">
              <w:rPr>
                <w:szCs w:val="22"/>
                <w:lang w:val="fr-FR"/>
              </w:rPr>
              <w:t xml:space="preserve"> et partenariats stratégiques entre le secteur public, les universités et le secteur priv</w:t>
            </w:r>
            <w:r w:rsidR="00C71760" w:rsidRPr="007023F1">
              <w:rPr>
                <w:szCs w:val="22"/>
                <w:lang w:val="fr-FR"/>
              </w:rPr>
              <w:t>é, conjointement organisé par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OMPI et le tribunal administratif du Costa Rica</w:t>
            </w:r>
          </w:p>
        </w:tc>
        <w:tc>
          <w:tcPr>
            <w:tcW w:w="1650" w:type="dxa"/>
          </w:tcPr>
          <w:p w:rsidR="00BB3FF5" w:rsidRPr="007023F1" w:rsidRDefault="00BB3FF5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22</w:t>
            </w:r>
            <w:r w:rsidR="0020194F" w:rsidRPr="007023F1">
              <w:rPr>
                <w:szCs w:val="22"/>
                <w:lang w:val="fr-FR"/>
              </w:rPr>
              <w:t> août </w:t>
            </w:r>
            <w:r w:rsidRPr="007023F1">
              <w:rPr>
                <w:szCs w:val="22"/>
                <w:lang w:val="fr-FR"/>
              </w:rPr>
              <w:t>2017</w:t>
            </w:r>
          </w:p>
        </w:tc>
        <w:tc>
          <w:tcPr>
            <w:tcW w:w="2017" w:type="dxa"/>
          </w:tcPr>
          <w:p w:rsidR="00BB3FF5" w:rsidRPr="007023F1" w:rsidRDefault="008444CF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San José</w:t>
            </w:r>
            <w:r w:rsidR="00BA1EFB" w:rsidRPr="007023F1">
              <w:rPr>
                <w:szCs w:val="22"/>
                <w:lang w:val="fr-FR"/>
              </w:rPr>
              <w:t xml:space="preserve"> </w:t>
            </w:r>
            <w:r w:rsidR="00D93E14" w:rsidRPr="007023F1">
              <w:rPr>
                <w:szCs w:val="22"/>
                <w:lang w:val="fr-FR"/>
              </w:rPr>
              <w:t>(</w:t>
            </w:r>
            <w:r w:rsidR="00BA1EFB" w:rsidRPr="007023F1">
              <w:rPr>
                <w:szCs w:val="22"/>
                <w:lang w:val="fr-FR"/>
              </w:rPr>
              <w:t>Costa </w:t>
            </w:r>
            <w:r w:rsidRPr="007023F1">
              <w:rPr>
                <w:szCs w:val="22"/>
                <w:lang w:val="fr-FR"/>
              </w:rPr>
              <w:t>Rica</w:t>
            </w:r>
            <w:r w:rsidR="00D93E14" w:rsidRPr="007023F1">
              <w:rPr>
                <w:szCs w:val="22"/>
                <w:lang w:val="fr-FR"/>
              </w:rPr>
              <w:t>)</w:t>
            </w:r>
          </w:p>
        </w:tc>
        <w:tc>
          <w:tcPr>
            <w:tcW w:w="2552" w:type="dxa"/>
          </w:tcPr>
          <w:p w:rsidR="00BB3FF5" w:rsidRPr="007023F1" w:rsidRDefault="008444CF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 xml:space="preserve">Forum de haut niveau pour les représentants du secteur public, du secteur universitaire, </w:t>
            </w:r>
            <w:r w:rsidR="00F753C6" w:rsidRPr="007023F1">
              <w:rPr>
                <w:szCs w:val="22"/>
                <w:lang w:val="fr-FR"/>
              </w:rPr>
              <w:t>et du secteur des entrepr</w:t>
            </w:r>
            <w:r w:rsidR="000D4B58" w:rsidRPr="007023F1">
              <w:rPr>
                <w:szCs w:val="22"/>
                <w:lang w:val="fr-FR"/>
              </w:rPr>
              <w:t>ise</w:t>
            </w:r>
            <w:r w:rsidR="00F753C6" w:rsidRPr="007023F1">
              <w:rPr>
                <w:szCs w:val="22"/>
                <w:lang w:val="fr-FR"/>
              </w:rPr>
              <w:t>s</w:t>
            </w:r>
          </w:p>
        </w:tc>
        <w:tc>
          <w:tcPr>
            <w:tcW w:w="2693" w:type="dxa"/>
          </w:tcPr>
          <w:p w:rsidR="00BB3FF5" w:rsidRPr="007023F1" w:rsidRDefault="008444CF" w:rsidP="00202605">
            <w:pPr>
              <w:rPr>
                <w:szCs w:val="22"/>
                <w:lang w:val="fr-FR"/>
              </w:rPr>
            </w:pPr>
            <w:r w:rsidRPr="007023F1">
              <w:rPr>
                <w:rFonts w:eastAsiaTheme="minorHAnsi"/>
                <w:szCs w:val="22"/>
                <w:lang w:val="fr-FR"/>
              </w:rPr>
              <w:t>Environ 10</w:t>
            </w:r>
            <w:r w:rsidR="001F58C7" w:rsidRPr="007023F1">
              <w:rPr>
                <w:rFonts w:eastAsiaTheme="minorHAnsi"/>
                <w:szCs w:val="22"/>
                <w:lang w:val="fr-FR"/>
              </w:rPr>
              <w:t> </w:t>
            </w:r>
            <w:r w:rsidRPr="007023F1">
              <w:rPr>
                <w:rFonts w:eastAsiaTheme="minorHAnsi"/>
                <w:szCs w:val="22"/>
                <w:lang w:val="fr-FR"/>
              </w:rPr>
              <w:t>participants</w:t>
            </w:r>
          </w:p>
        </w:tc>
        <w:tc>
          <w:tcPr>
            <w:tcW w:w="1676" w:type="dxa"/>
          </w:tcPr>
          <w:p w:rsidR="00BB3FF5" w:rsidRPr="007023F1" w:rsidRDefault="00B0134D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Espagnol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BB3FF5" w:rsidRPr="007023F1" w:rsidRDefault="008444CF" w:rsidP="00202605">
            <w:pPr>
              <w:rPr>
                <w:szCs w:val="22"/>
                <w:lang w:val="fr-FR"/>
              </w:rPr>
            </w:pPr>
            <w:r w:rsidRPr="007023F1">
              <w:rPr>
                <w:lang w:val="fr-FR"/>
              </w:rPr>
              <w:t>Atelier nationa</w:t>
            </w:r>
            <w:r w:rsidR="00C71760" w:rsidRPr="007023F1">
              <w:rPr>
                <w:lang w:val="fr-FR"/>
              </w:rPr>
              <w:t>l de l</w:t>
            </w:r>
            <w:r w:rsidR="00C55510" w:rsidRPr="007023F1">
              <w:rPr>
                <w:lang w:val="fr-FR"/>
              </w:rPr>
              <w:t>’</w:t>
            </w:r>
            <w:r w:rsidRPr="007023F1">
              <w:rPr>
                <w:lang w:val="fr-FR"/>
              </w:rPr>
              <w:t>OMC sur la propriété intellectuelle et la santé publique</w:t>
            </w:r>
          </w:p>
        </w:tc>
        <w:tc>
          <w:tcPr>
            <w:tcW w:w="1650" w:type="dxa"/>
          </w:tcPr>
          <w:p w:rsidR="00BB3FF5" w:rsidRPr="007023F1" w:rsidRDefault="00BB3FF5" w:rsidP="00202605">
            <w:pPr>
              <w:rPr>
                <w:rFonts w:eastAsiaTheme="minorHAnsi"/>
                <w:szCs w:val="22"/>
                <w:lang w:val="fr-FR"/>
              </w:rPr>
            </w:pPr>
            <w:r w:rsidRPr="007023F1">
              <w:rPr>
                <w:lang w:val="fr-FR"/>
              </w:rPr>
              <w:t xml:space="preserve">18 </w:t>
            </w:r>
            <w:r w:rsidR="0020194F" w:rsidRPr="007023F1">
              <w:rPr>
                <w:lang w:val="fr-FR"/>
              </w:rPr>
              <w:t>et</w:t>
            </w:r>
            <w:r w:rsidR="008444CF" w:rsidRPr="007023F1">
              <w:rPr>
                <w:lang w:val="fr-FR"/>
              </w:rPr>
              <w:t xml:space="preserve"> </w:t>
            </w:r>
            <w:r w:rsidRPr="007023F1">
              <w:rPr>
                <w:lang w:val="fr-FR"/>
              </w:rPr>
              <w:t>19</w:t>
            </w:r>
            <w:r w:rsidR="0020194F" w:rsidRPr="007023F1">
              <w:rPr>
                <w:lang w:val="fr-FR"/>
              </w:rPr>
              <w:t> juillet </w:t>
            </w:r>
            <w:r w:rsidRPr="007023F1">
              <w:rPr>
                <w:lang w:val="fr-FR"/>
              </w:rPr>
              <w:t>2017</w:t>
            </w:r>
          </w:p>
        </w:tc>
        <w:tc>
          <w:tcPr>
            <w:tcW w:w="2017" w:type="dxa"/>
          </w:tcPr>
          <w:p w:rsidR="00BB3FF5" w:rsidRPr="007023F1" w:rsidRDefault="00BA1EFB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Lomé</w:t>
            </w:r>
            <w:r w:rsidR="00BB3FF5" w:rsidRPr="007023F1">
              <w:rPr>
                <w:szCs w:val="22"/>
                <w:lang w:val="fr-FR"/>
              </w:rPr>
              <w:t xml:space="preserve"> </w:t>
            </w:r>
            <w:r w:rsidRPr="007023F1">
              <w:rPr>
                <w:szCs w:val="22"/>
                <w:lang w:val="fr-FR"/>
              </w:rPr>
              <w:t>(</w:t>
            </w:r>
            <w:r w:rsidR="00BB3FF5" w:rsidRPr="007023F1">
              <w:rPr>
                <w:szCs w:val="22"/>
                <w:lang w:val="fr-FR"/>
              </w:rPr>
              <w:t>Togo</w:t>
            </w:r>
            <w:r w:rsidRPr="007023F1">
              <w:rPr>
                <w:szCs w:val="22"/>
                <w:lang w:val="fr-FR"/>
              </w:rPr>
              <w:t>)</w:t>
            </w:r>
          </w:p>
        </w:tc>
        <w:tc>
          <w:tcPr>
            <w:tcW w:w="2552" w:type="dxa"/>
          </w:tcPr>
          <w:p w:rsidR="00BB3FF5" w:rsidRPr="007023F1" w:rsidRDefault="008444CF" w:rsidP="00202605">
            <w:pPr>
              <w:rPr>
                <w:rFonts w:eastAsiaTheme="minorHAnsi"/>
                <w:szCs w:val="22"/>
                <w:lang w:val="fr-FR"/>
              </w:rPr>
            </w:pPr>
            <w:r w:rsidRPr="007023F1">
              <w:rPr>
                <w:rFonts w:eastAsiaTheme="minorHAnsi"/>
                <w:szCs w:val="22"/>
                <w:lang w:val="fr-FR"/>
              </w:rPr>
              <w:t>Fonctionnaires du</w:t>
            </w:r>
            <w:r w:rsidR="00706F91" w:rsidRPr="007023F1">
              <w:rPr>
                <w:rFonts w:eastAsiaTheme="minorHAnsi"/>
                <w:szCs w:val="22"/>
                <w:lang w:val="fr-FR"/>
              </w:rPr>
              <w:t xml:space="preserve"> gouvernement, praticiens privé</w:t>
            </w:r>
            <w:r w:rsidRPr="007023F1">
              <w:rPr>
                <w:rFonts w:eastAsiaTheme="minorHAnsi"/>
                <w:szCs w:val="22"/>
                <w:lang w:val="fr-FR"/>
              </w:rPr>
              <w:t>s et représentants des corporations/</w:t>
            </w:r>
            <w:r w:rsidR="006E2A46" w:rsidRPr="007023F1">
              <w:rPr>
                <w:rFonts w:eastAsiaTheme="minorHAnsi"/>
                <w:szCs w:val="22"/>
                <w:lang w:val="fr-FR"/>
              </w:rPr>
              <w:br/>
            </w:r>
            <w:r w:rsidRPr="007023F1">
              <w:rPr>
                <w:rFonts w:eastAsiaTheme="minorHAnsi"/>
                <w:szCs w:val="22"/>
                <w:lang w:val="fr-FR"/>
              </w:rPr>
              <w:t>associations au niveau national</w:t>
            </w:r>
          </w:p>
        </w:tc>
        <w:tc>
          <w:tcPr>
            <w:tcW w:w="2693" w:type="dxa"/>
          </w:tcPr>
          <w:p w:rsidR="00BB3FF5" w:rsidRPr="007023F1" w:rsidRDefault="008444CF" w:rsidP="00202605">
            <w:pPr>
              <w:rPr>
                <w:rFonts w:eastAsiaTheme="minorHAnsi"/>
                <w:szCs w:val="22"/>
                <w:lang w:val="fr-FR"/>
              </w:rPr>
            </w:pPr>
            <w:r w:rsidRPr="007023F1">
              <w:rPr>
                <w:rFonts w:eastAsiaTheme="minorHAnsi"/>
                <w:szCs w:val="22"/>
                <w:lang w:val="fr-FR"/>
              </w:rPr>
              <w:t>Environ 40</w:t>
            </w:r>
            <w:r w:rsidR="001F58C7" w:rsidRPr="007023F1">
              <w:rPr>
                <w:rFonts w:eastAsiaTheme="minorHAnsi"/>
                <w:szCs w:val="22"/>
                <w:lang w:val="fr-FR"/>
              </w:rPr>
              <w:t> </w:t>
            </w:r>
            <w:r w:rsidRPr="007023F1">
              <w:rPr>
                <w:rFonts w:eastAsiaTheme="minorHAnsi"/>
                <w:szCs w:val="22"/>
                <w:lang w:val="fr-FR"/>
              </w:rPr>
              <w:t>participants</w:t>
            </w:r>
          </w:p>
        </w:tc>
        <w:tc>
          <w:tcPr>
            <w:tcW w:w="1676" w:type="dxa"/>
          </w:tcPr>
          <w:p w:rsidR="00BB3FF5" w:rsidRPr="007023F1" w:rsidRDefault="00B0134D" w:rsidP="00202605">
            <w:pPr>
              <w:rPr>
                <w:rFonts w:eastAsiaTheme="minorHAnsi"/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Anglais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BB3FF5" w:rsidRPr="007023F1" w:rsidRDefault="008444CF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 xml:space="preserve">Promotion des médias sociaux </w:t>
            </w:r>
            <w:r w:rsidR="00F753C6" w:rsidRPr="007023F1">
              <w:rPr>
                <w:szCs w:val="22"/>
                <w:lang w:val="fr-FR"/>
              </w:rPr>
              <w:t>(T</w:t>
            </w:r>
            <w:r w:rsidRPr="007023F1">
              <w:rPr>
                <w:szCs w:val="22"/>
                <w:lang w:val="fr-FR"/>
              </w:rPr>
              <w:t>witter)</w:t>
            </w:r>
          </w:p>
        </w:tc>
        <w:tc>
          <w:tcPr>
            <w:tcW w:w="1650" w:type="dxa"/>
          </w:tcPr>
          <w:p w:rsidR="00BB3FF5" w:rsidRPr="007023F1" w:rsidRDefault="00BB3FF5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25</w:t>
            </w:r>
            <w:r w:rsidR="0020194F" w:rsidRPr="007023F1">
              <w:rPr>
                <w:szCs w:val="22"/>
                <w:lang w:val="fr-FR"/>
              </w:rPr>
              <w:t> mai </w:t>
            </w:r>
            <w:r w:rsidRPr="007023F1">
              <w:rPr>
                <w:szCs w:val="22"/>
                <w:lang w:val="fr-FR"/>
              </w:rPr>
              <w:t>2017</w:t>
            </w:r>
          </w:p>
        </w:tc>
        <w:tc>
          <w:tcPr>
            <w:tcW w:w="2017" w:type="dxa"/>
          </w:tcPr>
          <w:p w:rsidR="003F2EA9" w:rsidRPr="007023F1" w:rsidRDefault="003F2EA9" w:rsidP="00202605">
            <w:pPr>
              <w:rPr>
                <w:szCs w:val="22"/>
                <w:lang w:val="fr-FR"/>
              </w:rPr>
            </w:pPr>
          </w:p>
          <w:p w:rsidR="00BB3FF5" w:rsidRPr="007023F1" w:rsidRDefault="001F58C7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noBreakHyphen/>
            </w:r>
          </w:p>
        </w:tc>
        <w:tc>
          <w:tcPr>
            <w:tcW w:w="2552" w:type="dxa"/>
          </w:tcPr>
          <w:p w:rsidR="00BB3FF5" w:rsidRPr="007023F1" w:rsidRDefault="000D4B58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Grand p</w:t>
            </w:r>
            <w:r w:rsidR="008444CF" w:rsidRPr="007023F1">
              <w:rPr>
                <w:szCs w:val="22"/>
                <w:lang w:val="fr-FR"/>
              </w:rPr>
              <w:t>ublic</w:t>
            </w:r>
          </w:p>
        </w:tc>
        <w:tc>
          <w:tcPr>
            <w:tcW w:w="2693" w:type="dxa"/>
          </w:tcPr>
          <w:p w:rsidR="00BB3FF5" w:rsidRPr="007023F1" w:rsidRDefault="00517DFC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6 802 consultations</w:t>
            </w:r>
            <w:r w:rsidR="001F58C7" w:rsidRPr="007023F1">
              <w:rPr>
                <w:szCs w:val="22"/>
                <w:lang w:val="fr-FR"/>
              </w:rPr>
              <w:t>/</w:t>
            </w:r>
            <w:r w:rsidR="00BA1EFB" w:rsidRPr="007023F1">
              <w:rPr>
                <w:szCs w:val="22"/>
                <w:lang w:val="fr-FR"/>
              </w:rPr>
              <w:t xml:space="preserve"> </w:t>
            </w:r>
            <w:r w:rsidRPr="007023F1">
              <w:rPr>
                <w:szCs w:val="22"/>
                <w:lang w:val="fr-FR"/>
              </w:rPr>
              <w:t>125 </w:t>
            </w:r>
            <w:r w:rsidR="00706F91" w:rsidRPr="007023F1">
              <w:rPr>
                <w:szCs w:val="22"/>
                <w:lang w:val="fr-FR"/>
              </w:rPr>
              <w:t>interactions avec le contenu publié</w:t>
            </w:r>
          </w:p>
        </w:tc>
        <w:tc>
          <w:tcPr>
            <w:tcW w:w="1676" w:type="dxa"/>
          </w:tcPr>
          <w:p w:rsidR="00BB3FF5" w:rsidRPr="007023F1" w:rsidRDefault="00B0134D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Anglais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2A437F" w:rsidRPr="007023F1" w:rsidRDefault="00706F91" w:rsidP="00202605">
            <w:pPr>
              <w:rPr>
                <w:szCs w:val="22"/>
                <w:lang w:val="fr-FR"/>
              </w:rPr>
            </w:pPr>
            <w:r w:rsidRPr="007023F1">
              <w:rPr>
                <w:lang w:val="fr-FR"/>
              </w:rPr>
              <w:lastRenderedPageBreak/>
              <w:t>Atelier régional sur les brevets et les systèmes de dé</w:t>
            </w:r>
            <w:r w:rsidR="00C71760" w:rsidRPr="007023F1">
              <w:rPr>
                <w:lang w:val="fr-FR"/>
              </w:rPr>
              <w:t>pôt électronique organisé par l</w:t>
            </w:r>
            <w:r w:rsidR="00C55510" w:rsidRPr="007023F1">
              <w:rPr>
                <w:lang w:val="fr-FR"/>
              </w:rPr>
              <w:t>’</w:t>
            </w:r>
            <w:r w:rsidRPr="007023F1">
              <w:rPr>
                <w:lang w:val="fr-FR"/>
              </w:rPr>
              <w:t xml:space="preserve">Office de la propriété intellectuelle de la </w:t>
            </w:r>
            <w:r w:rsidR="00C71760" w:rsidRPr="007023F1">
              <w:rPr>
                <w:lang w:val="fr-FR"/>
              </w:rPr>
              <w:t>République d</w:t>
            </w:r>
            <w:r w:rsidR="00C55510" w:rsidRPr="007023F1">
              <w:rPr>
                <w:lang w:val="fr-FR"/>
              </w:rPr>
              <w:t>’</w:t>
            </w:r>
            <w:r w:rsidRPr="007023F1">
              <w:rPr>
                <w:lang w:val="fr-FR"/>
              </w:rPr>
              <w:t>Ouzbékistan, en collaboration avec l</w:t>
            </w:r>
            <w:r w:rsidR="00C55510" w:rsidRPr="007023F1">
              <w:rPr>
                <w:lang w:val="fr-FR"/>
              </w:rPr>
              <w:t>’</w:t>
            </w:r>
            <w:r w:rsidRPr="007023F1">
              <w:rPr>
                <w:lang w:val="fr-FR"/>
              </w:rPr>
              <w:t>OMPI</w:t>
            </w:r>
          </w:p>
        </w:tc>
        <w:tc>
          <w:tcPr>
            <w:tcW w:w="1650" w:type="dxa"/>
          </w:tcPr>
          <w:p w:rsidR="00BB3FF5" w:rsidRPr="007023F1" w:rsidRDefault="00BB3FF5" w:rsidP="00202605">
            <w:pPr>
              <w:rPr>
                <w:szCs w:val="22"/>
                <w:lang w:val="fr-FR"/>
              </w:rPr>
            </w:pPr>
            <w:r w:rsidRPr="007023F1">
              <w:rPr>
                <w:lang w:val="fr-FR"/>
              </w:rPr>
              <w:t xml:space="preserve">17 </w:t>
            </w:r>
            <w:r w:rsidR="0020194F" w:rsidRPr="007023F1">
              <w:rPr>
                <w:lang w:val="fr-FR"/>
              </w:rPr>
              <w:t>et</w:t>
            </w:r>
            <w:r w:rsidRPr="007023F1">
              <w:rPr>
                <w:lang w:val="fr-FR"/>
              </w:rPr>
              <w:t xml:space="preserve"> 18</w:t>
            </w:r>
            <w:r w:rsidR="0020194F" w:rsidRPr="007023F1">
              <w:rPr>
                <w:lang w:val="fr-FR"/>
              </w:rPr>
              <w:t> mai </w:t>
            </w:r>
            <w:r w:rsidRPr="007023F1">
              <w:rPr>
                <w:lang w:val="fr-FR"/>
              </w:rPr>
              <w:t>2017</w:t>
            </w:r>
          </w:p>
        </w:tc>
        <w:tc>
          <w:tcPr>
            <w:tcW w:w="2017" w:type="dxa"/>
          </w:tcPr>
          <w:p w:rsidR="00BB3FF5" w:rsidRPr="007023F1" w:rsidRDefault="00706F91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Tachkent (Ouzbékistan)</w:t>
            </w:r>
          </w:p>
        </w:tc>
        <w:tc>
          <w:tcPr>
            <w:tcW w:w="2552" w:type="dxa"/>
          </w:tcPr>
          <w:p w:rsidR="00BB3FF5" w:rsidRPr="007023F1" w:rsidRDefault="00517DFC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Fonctionnaires du gouvernement, juristes, entreprises, universitaires, etc.</w:t>
            </w:r>
          </w:p>
        </w:tc>
        <w:tc>
          <w:tcPr>
            <w:tcW w:w="2693" w:type="dxa"/>
          </w:tcPr>
          <w:p w:rsidR="00BB3FF5" w:rsidRPr="007023F1" w:rsidRDefault="00BB3FF5" w:rsidP="00202605">
            <w:pPr>
              <w:rPr>
                <w:szCs w:val="22"/>
                <w:lang w:val="fr-FR"/>
              </w:rPr>
            </w:pPr>
            <w:r w:rsidRPr="007023F1">
              <w:rPr>
                <w:lang w:val="fr-FR"/>
              </w:rPr>
              <w:t>50</w:t>
            </w:r>
          </w:p>
        </w:tc>
        <w:tc>
          <w:tcPr>
            <w:tcW w:w="1676" w:type="dxa"/>
          </w:tcPr>
          <w:p w:rsidR="00BB3FF5" w:rsidRPr="007023F1" w:rsidRDefault="00BB3FF5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R</w:t>
            </w:r>
            <w:r w:rsidR="00B0134D" w:rsidRPr="007023F1">
              <w:rPr>
                <w:szCs w:val="22"/>
                <w:lang w:val="fr-FR"/>
              </w:rPr>
              <w:t>usse</w:t>
            </w:r>
            <w:r w:rsidR="001F58C7" w:rsidRPr="007023F1">
              <w:rPr>
                <w:szCs w:val="22"/>
                <w:lang w:val="fr-FR"/>
              </w:rPr>
              <w:t>/</w:t>
            </w:r>
            <w:r w:rsidR="00B0134D" w:rsidRPr="007023F1">
              <w:rPr>
                <w:szCs w:val="22"/>
                <w:lang w:val="fr-FR"/>
              </w:rPr>
              <w:t>anglais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BB3FF5" w:rsidRPr="007023F1" w:rsidRDefault="00517DFC" w:rsidP="00202605">
            <w:pPr>
              <w:rPr>
                <w:highlight w:val="yellow"/>
                <w:lang w:val="fr-FR"/>
              </w:rPr>
            </w:pPr>
            <w:r w:rsidRPr="007023F1">
              <w:rPr>
                <w:lang w:val="fr-FR"/>
              </w:rPr>
              <w:t xml:space="preserve">Promotion des médias sociaux </w:t>
            </w:r>
            <w:r w:rsidR="00F753C6" w:rsidRPr="007023F1">
              <w:rPr>
                <w:lang w:val="fr-FR"/>
              </w:rPr>
              <w:t>(T</w:t>
            </w:r>
            <w:r w:rsidRPr="007023F1">
              <w:rPr>
                <w:lang w:val="fr-FR"/>
              </w:rPr>
              <w:t>witter)</w:t>
            </w:r>
          </w:p>
        </w:tc>
        <w:tc>
          <w:tcPr>
            <w:tcW w:w="1650" w:type="dxa"/>
          </w:tcPr>
          <w:p w:rsidR="00BB3FF5" w:rsidRPr="007023F1" w:rsidRDefault="00BB3FF5" w:rsidP="00202605">
            <w:pPr>
              <w:rPr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15</w:t>
            </w:r>
            <w:r w:rsidR="0020194F" w:rsidRPr="007023F1">
              <w:rPr>
                <w:szCs w:val="22"/>
                <w:lang w:val="fr-FR"/>
              </w:rPr>
              <w:t> mai </w:t>
            </w:r>
            <w:r w:rsidRPr="007023F1">
              <w:rPr>
                <w:szCs w:val="22"/>
                <w:lang w:val="fr-FR"/>
              </w:rPr>
              <w:t>2017</w:t>
            </w:r>
          </w:p>
        </w:tc>
        <w:tc>
          <w:tcPr>
            <w:tcW w:w="2017" w:type="dxa"/>
          </w:tcPr>
          <w:p w:rsidR="003F2EA9" w:rsidRPr="007023F1" w:rsidRDefault="003F2EA9" w:rsidP="00202605">
            <w:pPr>
              <w:rPr>
                <w:szCs w:val="22"/>
                <w:lang w:val="fr-FR"/>
              </w:rPr>
            </w:pPr>
          </w:p>
          <w:p w:rsidR="00BB3FF5" w:rsidRPr="007023F1" w:rsidRDefault="001F58C7" w:rsidP="00202605">
            <w:pPr>
              <w:rPr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noBreakHyphen/>
            </w:r>
          </w:p>
        </w:tc>
        <w:tc>
          <w:tcPr>
            <w:tcW w:w="2552" w:type="dxa"/>
          </w:tcPr>
          <w:p w:rsidR="00BB3FF5" w:rsidRPr="007023F1" w:rsidRDefault="000D4B58" w:rsidP="00202605">
            <w:pPr>
              <w:rPr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Grand public</w:t>
            </w:r>
          </w:p>
        </w:tc>
        <w:tc>
          <w:tcPr>
            <w:tcW w:w="2693" w:type="dxa"/>
          </w:tcPr>
          <w:p w:rsidR="00BB3FF5" w:rsidRPr="007023F1" w:rsidRDefault="00C71760" w:rsidP="00202605">
            <w:pPr>
              <w:rPr>
                <w:highlight w:val="yellow"/>
                <w:lang w:val="fr-FR"/>
              </w:rPr>
            </w:pPr>
            <w:r w:rsidRPr="007023F1">
              <w:rPr>
                <w:lang w:val="fr-FR"/>
              </w:rPr>
              <w:t>5 163 consultations</w:t>
            </w:r>
            <w:r w:rsidR="001F58C7" w:rsidRPr="007023F1">
              <w:rPr>
                <w:lang w:val="fr-FR"/>
              </w:rPr>
              <w:t>/</w:t>
            </w:r>
            <w:r w:rsidR="00BA1EFB" w:rsidRPr="007023F1">
              <w:rPr>
                <w:lang w:val="fr-FR"/>
              </w:rPr>
              <w:t xml:space="preserve"> </w:t>
            </w:r>
            <w:r w:rsidRPr="007023F1">
              <w:rPr>
                <w:lang w:val="fr-FR"/>
              </w:rPr>
              <w:t>61 </w:t>
            </w:r>
            <w:r w:rsidR="00FD3602" w:rsidRPr="007023F1">
              <w:rPr>
                <w:lang w:val="fr-FR"/>
              </w:rPr>
              <w:t>interactions avec le contenu publié</w:t>
            </w:r>
          </w:p>
        </w:tc>
        <w:tc>
          <w:tcPr>
            <w:tcW w:w="1676" w:type="dxa"/>
          </w:tcPr>
          <w:p w:rsidR="00BB3FF5" w:rsidRPr="007023F1" w:rsidRDefault="00B0134D" w:rsidP="00202605">
            <w:pPr>
              <w:rPr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Anglais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BB3FF5" w:rsidRPr="007023F1" w:rsidRDefault="00C71760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Séminaire national de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OMC sur le commerce, la propriété intellectuelle et la santé publique</w:t>
            </w:r>
          </w:p>
        </w:tc>
        <w:tc>
          <w:tcPr>
            <w:tcW w:w="1650" w:type="dxa"/>
          </w:tcPr>
          <w:p w:rsidR="00BB3FF5" w:rsidRPr="007023F1" w:rsidRDefault="00BB3FF5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 xml:space="preserve">11 </w:t>
            </w:r>
            <w:r w:rsidR="0020194F" w:rsidRPr="007023F1">
              <w:rPr>
                <w:szCs w:val="22"/>
                <w:lang w:val="fr-FR"/>
              </w:rPr>
              <w:t>et</w:t>
            </w:r>
            <w:r w:rsidRPr="007023F1">
              <w:rPr>
                <w:szCs w:val="22"/>
                <w:lang w:val="fr-FR"/>
              </w:rPr>
              <w:t xml:space="preserve"> 12</w:t>
            </w:r>
            <w:r w:rsidR="0020194F" w:rsidRPr="007023F1">
              <w:rPr>
                <w:szCs w:val="22"/>
                <w:lang w:val="fr-FR"/>
              </w:rPr>
              <w:t> mai </w:t>
            </w:r>
            <w:r w:rsidRPr="007023F1">
              <w:rPr>
                <w:szCs w:val="22"/>
                <w:lang w:val="fr-FR"/>
              </w:rPr>
              <w:t>2017</w:t>
            </w:r>
          </w:p>
        </w:tc>
        <w:tc>
          <w:tcPr>
            <w:tcW w:w="2017" w:type="dxa"/>
          </w:tcPr>
          <w:p w:rsidR="00BB3FF5" w:rsidRPr="007023F1" w:rsidRDefault="00C71760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Santiago</w:t>
            </w:r>
            <w:r w:rsidR="00BA1EFB" w:rsidRPr="007023F1">
              <w:rPr>
                <w:szCs w:val="22"/>
                <w:lang w:val="fr-FR"/>
              </w:rPr>
              <w:t xml:space="preserve"> (</w:t>
            </w:r>
            <w:r w:rsidRPr="007023F1">
              <w:rPr>
                <w:szCs w:val="22"/>
                <w:lang w:val="fr-FR"/>
              </w:rPr>
              <w:t>Chili</w:t>
            </w:r>
            <w:r w:rsidR="00BA1EFB" w:rsidRPr="007023F1">
              <w:rPr>
                <w:szCs w:val="22"/>
                <w:lang w:val="fr-FR"/>
              </w:rPr>
              <w:t>)</w:t>
            </w:r>
          </w:p>
        </w:tc>
        <w:tc>
          <w:tcPr>
            <w:tcW w:w="2552" w:type="dxa"/>
          </w:tcPr>
          <w:p w:rsidR="00BB3FF5" w:rsidRPr="007023F1" w:rsidRDefault="00C71760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Fonctionnaires du gouvernement concernés par les questions de propriété intellectuelle et les systèmes de santé</w:t>
            </w:r>
          </w:p>
        </w:tc>
        <w:tc>
          <w:tcPr>
            <w:tcW w:w="2693" w:type="dxa"/>
          </w:tcPr>
          <w:p w:rsidR="00BB3FF5" w:rsidRPr="007023F1" w:rsidRDefault="00C71760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Environ 100</w:t>
            </w:r>
            <w:r w:rsidR="001F58C7" w:rsidRPr="007023F1">
              <w:rPr>
                <w:szCs w:val="22"/>
                <w:lang w:val="fr-FR"/>
              </w:rPr>
              <w:t> </w:t>
            </w:r>
            <w:r w:rsidRPr="007023F1">
              <w:rPr>
                <w:szCs w:val="22"/>
                <w:lang w:val="fr-FR"/>
              </w:rPr>
              <w:t>participants</w:t>
            </w:r>
          </w:p>
        </w:tc>
        <w:tc>
          <w:tcPr>
            <w:tcW w:w="1676" w:type="dxa"/>
          </w:tcPr>
          <w:p w:rsidR="00BB3FF5" w:rsidRPr="007023F1" w:rsidRDefault="00B0134D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Espagnol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BB3FF5" w:rsidRPr="007023F1" w:rsidRDefault="00E35EE8" w:rsidP="00202605">
            <w:pPr>
              <w:rPr>
                <w:lang w:val="fr-FR"/>
              </w:rPr>
            </w:pPr>
            <w:r w:rsidRPr="007023F1">
              <w:rPr>
                <w:szCs w:val="22"/>
                <w:lang w:val="fr-FR"/>
              </w:rPr>
              <w:t>Séminaire régional de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="00C71760" w:rsidRPr="007023F1">
              <w:rPr>
                <w:szCs w:val="22"/>
                <w:lang w:val="fr-FR"/>
              </w:rPr>
              <w:t>OMPI</w:t>
            </w:r>
            <w:r w:rsidRPr="007023F1">
              <w:rPr>
                <w:szCs w:val="22"/>
                <w:lang w:val="fr-FR"/>
              </w:rPr>
              <w:t xml:space="preserve"> sur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="00C71760" w:rsidRPr="007023F1">
              <w:rPr>
                <w:szCs w:val="22"/>
                <w:lang w:val="fr-FR"/>
              </w:rPr>
              <w:t>innovation, et la commercialisation et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="00C71760" w:rsidRPr="007023F1">
              <w:rPr>
                <w:szCs w:val="22"/>
                <w:lang w:val="fr-FR"/>
              </w:rPr>
              <w:t>innovation en matière de propriété intellectuelle</w:t>
            </w:r>
            <w:r w:rsidR="006F6CA3" w:rsidRPr="007023F1">
              <w:rPr>
                <w:szCs w:val="22"/>
                <w:lang w:val="fr-FR"/>
              </w:rPr>
              <w:t> </w:t>
            </w:r>
            <w:r w:rsidR="00C71760" w:rsidRPr="007023F1">
              <w:rPr>
                <w:szCs w:val="22"/>
                <w:lang w:val="fr-FR"/>
              </w:rPr>
              <w:t>: op</w:t>
            </w:r>
            <w:r w:rsidR="000D4B58" w:rsidRPr="007023F1">
              <w:rPr>
                <w:szCs w:val="22"/>
                <w:lang w:val="fr-FR"/>
              </w:rPr>
              <w:t>tions de politique générale et outils pratiques</w:t>
            </w:r>
            <w:r w:rsidR="00C71760" w:rsidRPr="007023F1">
              <w:rPr>
                <w:szCs w:val="22"/>
                <w:lang w:val="fr-FR"/>
              </w:rPr>
              <w:t xml:space="preserve"> (</w:t>
            </w:r>
            <w:r w:rsidR="00BA1EFB" w:rsidRPr="007023F1">
              <w:rPr>
                <w:szCs w:val="22"/>
                <w:lang w:val="fr-FR"/>
              </w:rPr>
              <w:t>vingt</w:t>
            </w:r>
            <w:r w:rsidR="00BA1EFB" w:rsidRPr="007023F1">
              <w:rPr>
                <w:szCs w:val="22"/>
                <w:lang w:val="fr-FR"/>
              </w:rPr>
              <w:noBreakHyphen/>
              <w:t>cinquième</w:t>
            </w:r>
            <w:r w:rsidR="00C71760" w:rsidRPr="007023F1">
              <w:rPr>
                <w:szCs w:val="22"/>
                <w:lang w:val="fr-FR"/>
              </w:rPr>
              <w:t> anniversaire du système de la propriété intellectuelle du</w:t>
            </w:r>
            <w:r w:rsidR="00BB3FF5" w:rsidRPr="007023F1">
              <w:rPr>
                <w:szCs w:val="22"/>
                <w:lang w:val="fr-FR"/>
              </w:rPr>
              <w:t xml:space="preserve"> B</w:t>
            </w:r>
            <w:r w:rsidR="00C71760" w:rsidRPr="007023F1">
              <w:rPr>
                <w:szCs w:val="22"/>
                <w:lang w:val="fr-FR"/>
              </w:rPr>
              <w:t>é</w:t>
            </w:r>
            <w:r w:rsidR="00BB3FF5" w:rsidRPr="007023F1">
              <w:rPr>
                <w:szCs w:val="22"/>
                <w:lang w:val="fr-FR"/>
              </w:rPr>
              <w:t>larus)</w:t>
            </w:r>
          </w:p>
        </w:tc>
        <w:tc>
          <w:tcPr>
            <w:tcW w:w="1650" w:type="dxa"/>
          </w:tcPr>
          <w:p w:rsidR="00BB3FF5" w:rsidRPr="007023F1" w:rsidRDefault="00BB3FF5" w:rsidP="00202605">
            <w:pPr>
              <w:rPr>
                <w:lang w:val="fr-FR"/>
              </w:rPr>
            </w:pPr>
            <w:r w:rsidRPr="007023F1">
              <w:rPr>
                <w:szCs w:val="22"/>
                <w:lang w:val="fr-FR"/>
              </w:rPr>
              <w:t xml:space="preserve">4 </w:t>
            </w:r>
            <w:r w:rsidR="0020194F" w:rsidRPr="007023F1">
              <w:rPr>
                <w:szCs w:val="22"/>
                <w:lang w:val="fr-FR"/>
              </w:rPr>
              <w:t>et</w:t>
            </w:r>
            <w:r w:rsidRPr="007023F1">
              <w:rPr>
                <w:szCs w:val="22"/>
                <w:lang w:val="fr-FR"/>
              </w:rPr>
              <w:t xml:space="preserve"> 5</w:t>
            </w:r>
            <w:r w:rsidR="0020194F" w:rsidRPr="007023F1">
              <w:rPr>
                <w:szCs w:val="22"/>
                <w:lang w:val="fr-FR"/>
              </w:rPr>
              <w:t> mai </w:t>
            </w:r>
            <w:r w:rsidRPr="007023F1">
              <w:rPr>
                <w:szCs w:val="22"/>
                <w:lang w:val="fr-FR"/>
              </w:rPr>
              <w:t>2017</w:t>
            </w:r>
          </w:p>
        </w:tc>
        <w:tc>
          <w:tcPr>
            <w:tcW w:w="2017" w:type="dxa"/>
          </w:tcPr>
          <w:p w:rsidR="00BB3FF5" w:rsidRPr="007023F1" w:rsidRDefault="00C71760" w:rsidP="00202605">
            <w:pPr>
              <w:rPr>
                <w:lang w:val="fr-FR"/>
              </w:rPr>
            </w:pPr>
            <w:r w:rsidRPr="007023F1">
              <w:rPr>
                <w:lang w:val="fr-FR"/>
              </w:rPr>
              <w:t xml:space="preserve">Minsk </w:t>
            </w:r>
            <w:r w:rsidR="00BA1EFB" w:rsidRPr="007023F1">
              <w:rPr>
                <w:lang w:val="fr-FR"/>
              </w:rPr>
              <w:t>(</w:t>
            </w:r>
            <w:r w:rsidRPr="007023F1">
              <w:rPr>
                <w:lang w:val="fr-FR"/>
              </w:rPr>
              <w:t>Bélarus</w:t>
            </w:r>
            <w:r w:rsidR="00BA1EFB" w:rsidRPr="007023F1">
              <w:rPr>
                <w:lang w:val="fr-FR"/>
              </w:rPr>
              <w:t>)</w:t>
            </w:r>
          </w:p>
        </w:tc>
        <w:tc>
          <w:tcPr>
            <w:tcW w:w="2552" w:type="dxa"/>
          </w:tcPr>
          <w:p w:rsidR="00BB3FF5" w:rsidRPr="007023F1" w:rsidRDefault="00C71760" w:rsidP="00202605">
            <w:pPr>
              <w:rPr>
                <w:lang w:val="fr-FR"/>
              </w:rPr>
            </w:pPr>
            <w:r w:rsidRPr="007023F1">
              <w:rPr>
                <w:lang w:val="fr-FR"/>
              </w:rPr>
              <w:t>Fonctionnaires du gouvernement, juristes, entreprises, universitaires, etc.</w:t>
            </w:r>
          </w:p>
        </w:tc>
        <w:tc>
          <w:tcPr>
            <w:tcW w:w="2693" w:type="dxa"/>
          </w:tcPr>
          <w:p w:rsidR="00BB3FF5" w:rsidRPr="007023F1" w:rsidRDefault="00C71760" w:rsidP="00202605">
            <w:pPr>
              <w:rPr>
                <w:lang w:val="fr-FR"/>
              </w:rPr>
            </w:pPr>
            <w:r w:rsidRPr="007023F1">
              <w:rPr>
                <w:lang w:val="fr-FR"/>
              </w:rPr>
              <w:t>Environ 150</w:t>
            </w:r>
            <w:r w:rsidR="001F58C7" w:rsidRPr="007023F1">
              <w:rPr>
                <w:lang w:val="fr-FR"/>
              </w:rPr>
              <w:t> </w:t>
            </w:r>
            <w:r w:rsidRPr="007023F1">
              <w:rPr>
                <w:lang w:val="fr-FR"/>
              </w:rPr>
              <w:t>participants</w:t>
            </w:r>
          </w:p>
        </w:tc>
        <w:tc>
          <w:tcPr>
            <w:tcW w:w="1676" w:type="dxa"/>
          </w:tcPr>
          <w:p w:rsidR="00BB3FF5" w:rsidRPr="007023F1" w:rsidRDefault="00B0134D" w:rsidP="00202605">
            <w:pPr>
              <w:rPr>
                <w:sz w:val="16"/>
                <w:szCs w:val="16"/>
                <w:lang w:val="fr-FR"/>
              </w:rPr>
            </w:pPr>
            <w:r w:rsidRPr="007023F1">
              <w:rPr>
                <w:szCs w:val="22"/>
                <w:lang w:val="fr-FR"/>
              </w:rPr>
              <w:t>Russe</w:t>
            </w:r>
            <w:r w:rsidR="001F58C7" w:rsidRPr="007023F1">
              <w:rPr>
                <w:szCs w:val="22"/>
                <w:lang w:val="fr-FR"/>
              </w:rPr>
              <w:t>/</w:t>
            </w:r>
            <w:r w:rsidRPr="007023F1">
              <w:rPr>
                <w:szCs w:val="22"/>
                <w:lang w:val="fr-FR"/>
              </w:rPr>
              <w:t>anglais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BB3FF5" w:rsidRPr="007023F1" w:rsidRDefault="00C71760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lastRenderedPageBreak/>
              <w:t>Conférence régionale sur la propriété intellectuelle organisée et accueillie par la Ligue des États arabes</w:t>
            </w:r>
            <w:r w:rsidR="0062778E" w:rsidRPr="007023F1">
              <w:rPr>
                <w:szCs w:val="22"/>
                <w:lang w:val="fr-FR"/>
              </w:rPr>
              <w:t xml:space="preserve"> à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occasion de la Journée mondiale de la propriété intellectuelle.</w:t>
            </w:r>
          </w:p>
        </w:tc>
        <w:tc>
          <w:tcPr>
            <w:tcW w:w="1650" w:type="dxa"/>
          </w:tcPr>
          <w:p w:rsidR="00BB3FF5" w:rsidRPr="007023F1" w:rsidRDefault="00BB3FF5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26</w:t>
            </w:r>
            <w:r w:rsidR="0020194F" w:rsidRPr="007023F1">
              <w:rPr>
                <w:szCs w:val="22"/>
                <w:lang w:val="fr-FR"/>
              </w:rPr>
              <w:t> avril </w:t>
            </w:r>
            <w:r w:rsidRPr="007023F1">
              <w:rPr>
                <w:szCs w:val="22"/>
                <w:lang w:val="fr-FR"/>
              </w:rPr>
              <w:t>2017</w:t>
            </w:r>
          </w:p>
        </w:tc>
        <w:tc>
          <w:tcPr>
            <w:tcW w:w="2017" w:type="dxa"/>
          </w:tcPr>
          <w:p w:rsidR="00BB3FF5" w:rsidRPr="007023F1" w:rsidRDefault="00C71760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Le Caire (Égypte)</w:t>
            </w:r>
          </w:p>
        </w:tc>
        <w:tc>
          <w:tcPr>
            <w:tcW w:w="2552" w:type="dxa"/>
          </w:tcPr>
          <w:p w:rsidR="00BB3FF5" w:rsidRPr="007023F1" w:rsidRDefault="002B2EDC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 xml:space="preserve">Certains offices nationaux de propriété intellectuelle, des représentants de missions permanentes appartenant à la Ligue des </w:t>
            </w:r>
            <w:r w:rsidR="00494CD5" w:rsidRPr="007023F1">
              <w:rPr>
                <w:szCs w:val="22"/>
                <w:lang w:val="fr-FR"/>
              </w:rPr>
              <w:t>É</w:t>
            </w:r>
            <w:r w:rsidRPr="007023F1">
              <w:rPr>
                <w:szCs w:val="22"/>
                <w:lang w:val="fr-FR"/>
              </w:rPr>
              <w:t>tats arabes, le directeur du Conseil de coopération des États arabes du Golfe, le centre de formation à la propriété intellectuelle, certaines parties prenantes concernées dans la région, notamment des représentants d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universités, d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instituts de recherche, du secteur privé et d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organisations non gouvernementales</w:t>
            </w:r>
          </w:p>
        </w:tc>
        <w:tc>
          <w:tcPr>
            <w:tcW w:w="2693" w:type="dxa"/>
          </w:tcPr>
          <w:p w:rsidR="00BB3FF5" w:rsidRPr="007023F1" w:rsidRDefault="002B2EDC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Environ 100</w:t>
            </w:r>
            <w:r w:rsidR="001F58C7" w:rsidRPr="007023F1">
              <w:rPr>
                <w:szCs w:val="22"/>
                <w:lang w:val="fr-FR"/>
              </w:rPr>
              <w:t> </w:t>
            </w:r>
            <w:r w:rsidRPr="007023F1">
              <w:rPr>
                <w:szCs w:val="22"/>
                <w:lang w:val="fr-FR"/>
              </w:rPr>
              <w:t>participants</w:t>
            </w:r>
          </w:p>
        </w:tc>
        <w:tc>
          <w:tcPr>
            <w:tcW w:w="1676" w:type="dxa"/>
          </w:tcPr>
          <w:p w:rsidR="00BB3FF5" w:rsidRPr="007023F1" w:rsidRDefault="00B0134D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Arabe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BB3FF5" w:rsidRPr="007023F1" w:rsidRDefault="00567C66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Promot</w:t>
            </w:r>
            <w:r w:rsidR="00F753C6" w:rsidRPr="007023F1">
              <w:rPr>
                <w:szCs w:val="22"/>
                <w:lang w:val="fr-FR"/>
              </w:rPr>
              <w:t>ion des médias sociaux (T</w:t>
            </w:r>
            <w:r w:rsidRPr="007023F1">
              <w:rPr>
                <w:szCs w:val="22"/>
                <w:lang w:val="fr-FR"/>
              </w:rPr>
              <w:t>witter)</w:t>
            </w:r>
          </w:p>
        </w:tc>
        <w:tc>
          <w:tcPr>
            <w:tcW w:w="1650" w:type="dxa"/>
          </w:tcPr>
          <w:p w:rsidR="00BB3FF5" w:rsidRPr="007023F1" w:rsidRDefault="00BB3FF5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11</w:t>
            </w:r>
            <w:r w:rsidR="0020194F" w:rsidRPr="007023F1">
              <w:rPr>
                <w:szCs w:val="22"/>
                <w:lang w:val="fr-FR"/>
              </w:rPr>
              <w:t> avril </w:t>
            </w:r>
            <w:r w:rsidRPr="007023F1">
              <w:rPr>
                <w:szCs w:val="22"/>
                <w:lang w:val="fr-FR"/>
              </w:rPr>
              <w:t>2017</w:t>
            </w:r>
          </w:p>
        </w:tc>
        <w:tc>
          <w:tcPr>
            <w:tcW w:w="2017" w:type="dxa"/>
          </w:tcPr>
          <w:p w:rsidR="003F2EA9" w:rsidRPr="007023F1" w:rsidRDefault="003F2EA9" w:rsidP="00202605">
            <w:pPr>
              <w:rPr>
                <w:szCs w:val="22"/>
                <w:lang w:val="fr-FR"/>
              </w:rPr>
            </w:pPr>
          </w:p>
          <w:p w:rsidR="00BB3FF5" w:rsidRPr="007023F1" w:rsidRDefault="001F58C7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noBreakHyphen/>
            </w:r>
          </w:p>
        </w:tc>
        <w:tc>
          <w:tcPr>
            <w:tcW w:w="2552" w:type="dxa"/>
          </w:tcPr>
          <w:p w:rsidR="00BB3FF5" w:rsidRPr="007023F1" w:rsidRDefault="000D4B58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Grand public</w:t>
            </w:r>
          </w:p>
        </w:tc>
        <w:tc>
          <w:tcPr>
            <w:tcW w:w="2693" w:type="dxa"/>
          </w:tcPr>
          <w:p w:rsidR="00BB3FF5" w:rsidRPr="007023F1" w:rsidRDefault="001E692A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4 697 consultations</w:t>
            </w:r>
            <w:r w:rsidR="001F58C7" w:rsidRPr="007023F1">
              <w:rPr>
                <w:szCs w:val="22"/>
                <w:lang w:val="fr-FR"/>
              </w:rPr>
              <w:t>/</w:t>
            </w:r>
            <w:r w:rsidR="00D93E14" w:rsidRPr="007023F1">
              <w:rPr>
                <w:szCs w:val="22"/>
                <w:lang w:val="fr-FR"/>
              </w:rPr>
              <w:t xml:space="preserve"> </w:t>
            </w:r>
            <w:r w:rsidRPr="007023F1">
              <w:rPr>
                <w:szCs w:val="22"/>
                <w:lang w:val="fr-FR"/>
              </w:rPr>
              <w:t>95 </w:t>
            </w:r>
            <w:r w:rsidR="00567C66" w:rsidRPr="007023F1">
              <w:rPr>
                <w:szCs w:val="22"/>
                <w:lang w:val="fr-FR"/>
              </w:rPr>
              <w:t>interactions avec le contenu publié</w:t>
            </w:r>
          </w:p>
        </w:tc>
        <w:tc>
          <w:tcPr>
            <w:tcW w:w="1676" w:type="dxa"/>
          </w:tcPr>
          <w:p w:rsidR="00BB3FF5" w:rsidRPr="007023F1" w:rsidRDefault="00B0134D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Anglais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1C3ED2" w:rsidRPr="007023F1" w:rsidRDefault="00494CD5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lastRenderedPageBreak/>
              <w:t>S</w:t>
            </w:r>
            <w:r w:rsidR="000D4B58" w:rsidRPr="007023F1">
              <w:rPr>
                <w:szCs w:val="22"/>
                <w:lang w:val="fr-FR"/>
              </w:rPr>
              <w:t>éance</w:t>
            </w:r>
            <w:r w:rsidRPr="007023F1">
              <w:rPr>
                <w:szCs w:val="22"/>
                <w:lang w:val="fr-FR"/>
              </w:rPr>
              <w:t xml:space="preserve"> d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information de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OMPI sur les é</w:t>
            </w:r>
            <w:r w:rsidR="00567C66" w:rsidRPr="007023F1">
              <w:rPr>
                <w:szCs w:val="22"/>
                <w:lang w:val="fr-FR"/>
              </w:rPr>
              <w:t>léments de flexibilité relatifs aux brevets dans le cadre juridique multilatéral et leur mise en œuvre législative aux niveaux national et régional</w:t>
            </w:r>
          </w:p>
        </w:tc>
        <w:tc>
          <w:tcPr>
            <w:tcW w:w="1650" w:type="dxa"/>
          </w:tcPr>
          <w:p w:rsidR="00BB3FF5" w:rsidRPr="007023F1" w:rsidRDefault="00BB3FF5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16</w:t>
            </w:r>
            <w:r w:rsidR="0020194F" w:rsidRPr="007023F1">
              <w:rPr>
                <w:szCs w:val="22"/>
                <w:lang w:val="fr-FR"/>
              </w:rPr>
              <w:t> mars </w:t>
            </w:r>
            <w:r w:rsidRPr="007023F1">
              <w:rPr>
                <w:szCs w:val="22"/>
                <w:lang w:val="fr-FR"/>
              </w:rPr>
              <w:t>2017</w:t>
            </w:r>
          </w:p>
        </w:tc>
        <w:tc>
          <w:tcPr>
            <w:tcW w:w="2017" w:type="dxa"/>
          </w:tcPr>
          <w:p w:rsidR="00BB3FF5" w:rsidRPr="007023F1" w:rsidRDefault="00B12483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Siège de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OMPI</w:t>
            </w:r>
          </w:p>
        </w:tc>
        <w:tc>
          <w:tcPr>
            <w:tcW w:w="2552" w:type="dxa"/>
          </w:tcPr>
          <w:p w:rsidR="00984B41" w:rsidRPr="007023F1" w:rsidRDefault="00B12483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Conseiller économique de la Mission permanente des Comores à Genève</w:t>
            </w:r>
          </w:p>
        </w:tc>
        <w:tc>
          <w:tcPr>
            <w:tcW w:w="2693" w:type="dxa"/>
          </w:tcPr>
          <w:p w:rsidR="00BB3FF5" w:rsidRPr="007023F1" w:rsidRDefault="001F58C7" w:rsidP="00202605">
            <w:pPr>
              <w:rPr>
                <w:szCs w:val="22"/>
                <w:lang w:val="fr-FR"/>
              </w:rPr>
            </w:pPr>
            <w:proofErr w:type="spellStart"/>
            <w:r w:rsidRPr="007023F1">
              <w:rPr>
                <w:szCs w:val="22"/>
                <w:lang w:val="fr-FR"/>
              </w:rPr>
              <w:t>n.d</w:t>
            </w:r>
            <w:proofErr w:type="spellEnd"/>
            <w:r w:rsidRPr="007023F1">
              <w:rPr>
                <w:szCs w:val="22"/>
                <w:lang w:val="fr-FR"/>
              </w:rPr>
              <w:t xml:space="preserve">. </w:t>
            </w:r>
          </w:p>
        </w:tc>
        <w:tc>
          <w:tcPr>
            <w:tcW w:w="1676" w:type="dxa"/>
          </w:tcPr>
          <w:p w:rsidR="00BB3FF5" w:rsidRPr="007023F1" w:rsidRDefault="00B0134D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Français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A9674A" w:rsidRPr="007023F1" w:rsidRDefault="00305423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Atelier de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="008172B2" w:rsidRPr="007023F1">
              <w:rPr>
                <w:szCs w:val="22"/>
                <w:lang w:val="fr-FR"/>
              </w:rPr>
              <w:t xml:space="preserve">OMPI sur le </w:t>
            </w:r>
            <w:r w:rsidR="002F4B08" w:rsidRPr="007023F1">
              <w:rPr>
                <w:szCs w:val="22"/>
                <w:lang w:val="fr-FR"/>
              </w:rPr>
              <w:t>d</w:t>
            </w:r>
            <w:r w:rsidR="008172B2" w:rsidRPr="007023F1">
              <w:rPr>
                <w:szCs w:val="22"/>
                <w:lang w:val="fr-FR"/>
              </w:rPr>
              <w:t>roit des brevets</w:t>
            </w:r>
            <w:r w:rsidR="006F6CA3" w:rsidRPr="007023F1">
              <w:rPr>
                <w:szCs w:val="22"/>
                <w:lang w:val="fr-FR"/>
              </w:rPr>
              <w:t> </w:t>
            </w:r>
            <w:r w:rsidR="008172B2" w:rsidRPr="007023F1">
              <w:rPr>
                <w:szCs w:val="22"/>
                <w:lang w:val="fr-FR"/>
              </w:rPr>
              <w:t xml:space="preserve">: le cadre juridique multilatéral et sa mise en </w:t>
            </w:r>
            <w:r w:rsidR="00494CD5" w:rsidRPr="007023F1">
              <w:rPr>
                <w:szCs w:val="22"/>
                <w:lang w:val="fr-FR"/>
              </w:rPr>
              <w:t>œuvre</w:t>
            </w:r>
            <w:r w:rsidR="008172B2" w:rsidRPr="007023F1">
              <w:rPr>
                <w:szCs w:val="22"/>
                <w:lang w:val="fr-FR"/>
              </w:rPr>
              <w:t xml:space="preserve"> au niveau national</w:t>
            </w:r>
          </w:p>
        </w:tc>
        <w:tc>
          <w:tcPr>
            <w:tcW w:w="1650" w:type="dxa"/>
          </w:tcPr>
          <w:p w:rsidR="00BB3FF5" w:rsidRPr="007023F1" w:rsidRDefault="00BB3FF5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21</w:t>
            </w:r>
            <w:r w:rsidR="00BA1EFB" w:rsidRPr="007023F1">
              <w:rPr>
                <w:szCs w:val="22"/>
                <w:lang w:val="fr-FR"/>
              </w:rPr>
              <w:t xml:space="preserve"> février </w:t>
            </w:r>
            <w:r w:rsidRPr="007023F1">
              <w:rPr>
                <w:szCs w:val="22"/>
                <w:lang w:val="fr-FR"/>
              </w:rPr>
              <w:t>2017</w:t>
            </w:r>
          </w:p>
        </w:tc>
        <w:tc>
          <w:tcPr>
            <w:tcW w:w="2017" w:type="dxa"/>
          </w:tcPr>
          <w:p w:rsidR="00BB3FF5" w:rsidRPr="007023F1" w:rsidRDefault="00CB4322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Oulan</w:t>
            </w:r>
            <w:r w:rsidR="001F58C7" w:rsidRPr="007023F1">
              <w:rPr>
                <w:szCs w:val="22"/>
                <w:lang w:val="fr-FR"/>
              </w:rPr>
              <w:noBreakHyphen/>
            </w:r>
            <w:r w:rsidRPr="007023F1">
              <w:rPr>
                <w:szCs w:val="22"/>
                <w:lang w:val="fr-FR"/>
              </w:rPr>
              <w:t>Bator</w:t>
            </w:r>
            <w:r w:rsidR="008172B2" w:rsidRPr="007023F1">
              <w:rPr>
                <w:szCs w:val="22"/>
                <w:lang w:val="fr-FR"/>
              </w:rPr>
              <w:t xml:space="preserve"> </w:t>
            </w:r>
            <w:r w:rsidR="00BA1EFB" w:rsidRPr="007023F1">
              <w:rPr>
                <w:szCs w:val="22"/>
                <w:lang w:val="fr-FR"/>
              </w:rPr>
              <w:t>(</w:t>
            </w:r>
            <w:r w:rsidR="008172B2" w:rsidRPr="007023F1">
              <w:rPr>
                <w:szCs w:val="22"/>
                <w:lang w:val="fr-FR"/>
              </w:rPr>
              <w:t>Mongolie</w:t>
            </w:r>
            <w:r w:rsidR="00BA1EFB" w:rsidRPr="007023F1">
              <w:rPr>
                <w:szCs w:val="22"/>
                <w:lang w:val="fr-FR"/>
              </w:rPr>
              <w:t>)</w:t>
            </w:r>
          </w:p>
        </w:tc>
        <w:tc>
          <w:tcPr>
            <w:tcW w:w="2552" w:type="dxa"/>
          </w:tcPr>
          <w:p w:rsidR="00B849E5" w:rsidRPr="007023F1" w:rsidRDefault="007E625D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Fonctionnaires du gouvernement, praticiens privés et représentants des corporations/</w:t>
            </w:r>
            <w:r w:rsidR="00BA1EFB" w:rsidRPr="007023F1">
              <w:rPr>
                <w:szCs w:val="22"/>
                <w:lang w:val="fr-FR"/>
              </w:rPr>
              <w:t xml:space="preserve"> </w:t>
            </w:r>
            <w:r w:rsidRPr="007023F1">
              <w:rPr>
                <w:szCs w:val="22"/>
                <w:lang w:val="fr-FR"/>
              </w:rPr>
              <w:t>associations au niveau national</w:t>
            </w:r>
          </w:p>
        </w:tc>
        <w:tc>
          <w:tcPr>
            <w:tcW w:w="2693" w:type="dxa"/>
          </w:tcPr>
          <w:p w:rsidR="00BB3FF5" w:rsidRPr="007023F1" w:rsidRDefault="007E625D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Environ 20</w:t>
            </w:r>
            <w:r w:rsidR="001F58C7" w:rsidRPr="007023F1">
              <w:rPr>
                <w:szCs w:val="22"/>
                <w:lang w:val="fr-FR"/>
              </w:rPr>
              <w:t> </w:t>
            </w:r>
            <w:r w:rsidRPr="007023F1">
              <w:rPr>
                <w:szCs w:val="22"/>
                <w:lang w:val="fr-FR"/>
              </w:rPr>
              <w:t>participants</w:t>
            </w:r>
          </w:p>
        </w:tc>
        <w:tc>
          <w:tcPr>
            <w:tcW w:w="1676" w:type="dxa"/>
          </w:tcPr>
          <w:p w:rsidR="00BB3FF5" w:rsidRPr="007023F1" w:rsidRDefault="00B0134D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Anglais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294B68" w:rsidRPr="007023F1" w:rsidRDefault="007E625D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Séminaire national de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OMC sur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Accord sur les ADPIC</w:t>
            </w:r>
          </w:p>
        </w:tc>
        <w:tc>
          <w:tcPr>
            <w:tcW w:w="1650" w:type="dxa"/>
          </w:tcPr>
          <w:p w:rsidR="00294B68" w:rsidRPr="007023F1" w:rsidRDefault="0020194F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du</w:t>
            </w:r>
            <w:r w:rsidR="00294B68" w:rsidRPr="007023F1">
              <w:rPr>
                <w:szCs w:val="22"/>
                <w:lang w:val="fr-FR"/>
              </w:rPr>
              <w:t xml:space="preserve"> 7 </w:t>
            </w:r>
            <w:r w:rsidRPr="007023F1">
              <w:rPr>
                <w:szCs w:val="22"/>
                <w:lang w:val="fr-FR"/>
              </w:rPr>
              <w:t xml:space="preserve">au </w:t>
            </w:r>
            <w:r w:rsidR="00294B68" w:rsidRPr="007023F1">
              <w:rPr>
                <w:szCs w:val="22"/>
                <w:lang w:val="fr-FR"/>
              </w:rPr>
              <w:t>9</w:t>
            </w:r>
            <w:r w:rsidRPr="007023F1">
              <w:rPr>
                <w:szCs w:val="22"/>
                <w:lang w:val="fr-FR"/>
              </w:rPr>
              <w:t> février </w:t>
            </w:r>
            <w:r w:rsidR="00294B68" w:rsidRPr="007023F1">
              <w:rPr>
                <w:szCs w:val="22"/>
                <w:lang w:val="fr-FR"/>
              </w:rPr>
              <w:t>2017</w:t>
            </w:r>
          </w:p>
        </w:tc>
        <w:tc>
          <w:tcPr>
            <w:tcW w:w="2017" w:type="dxa"/>
          </w:tcPr>
          <w:p w:rsidR="00294B68" w:rsidRPr="007023F1" w:rsidRDefault="007E625D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Kingstown</w:t>
            </w:r>
            <w:r w:rsidR="00D93E14" w:rsidRPr="007023F1">
              <w:rPr>
                <w:szCs w:val="22"/>
                <w:lang w:val="fr-FR"/>
              </w:rPr>
              <w:t xml:space="preserve"> (</w:t>
            </w:r>
            <w:r w:rsidR="00294B68" w:rsidRPr="007023F1">
              <w:rPr>
                <w:szCs w:val="22"/>
                <w:lang w:val="fr-FR"/>
              </w:rPr>
              <w:t>S</w:t>
            </w:r>
            <w:r w:rsidR="00CB4322" w:rsidRPr="007023F1">
              <w:rPr>
                <w:szCs w:val="22"/>
                <w:lang w:val="fr-FR"/>
              </w:rPr>
              <w:t>aint</w:t>
            </w:r>
            <w:r w:rsidR="001F58C7" w:rsidRPr="007023F1">
              <w:rPr>
                <w:szCs w:val="22"/>
                <w:lang w:val="fr-FR"/>
              </w:rPr>
              <w:noBreakHyphen/>
            </w:r>
            <w:r w:rsidR="00294B68" w:rsidRPr="007023F1">
              <w:rPr>
                <w:szCs w:val="22"/>
                <w:lang w:val="fr-FR"/>
              </w:rPr>
              <w:t>Vincent</w:t>
            </w:r>
            <w:r w:rsidR="001F58C7" w:rsidRPr="007023F1">
              <w:rPr>
                <w:szCs w:val="22"/>
                <w:lang w:val="fr-FR"/>
              </w:rPr>
              <w:noBreakHyphen/>
            </w:r>
            <w:r w:rsidR="00CB4322" w:rsidRPr="007023F1">
              <w:rPr>
                <w:szCs w:val="22"/>
                <w:lang w:val="fr-FR"/>
              </w:rPr>
              <w:t>et</w:t>
            </w:r>
            <w:r w:rsidR="00BA1EFB" w:rsidRPr="007023F1">
              <w:rPr>
                <w:szCs w:val="22"/>
                <w:lang w:val="fr-FR"/>
              </w:rPr>
              <w:t>-</w:t>
            </w:r>
            <w:r w:rsidR="00CB4322" w:rsidRPr="007023F1">
              <w:rPr>
                <w:szCs w:val="22"/>
                <w:lang w:val="fr-FR"/>
              </w:rPr>
              <w:t>les</w:t>
            </w:r>
            <w:r w:rsidR="006F6CA3" w:rsidRPr="007023F1">
              <w:rPr>
                <w:szCs w:val="22"/>
                <w:lang w:val="fr-FR"/>
              </w:rPr>
              <w:t> </w:t>
            </w:r>
            <w:r w:rsidR="00294B68" w:rsidRPr="007023F1">
              <w:rPr>
                <w:szCs w:val="22"/>
                <w:lang w:val="fr-FR"/>
              </w:rPr>
              <w:t>Grenadines</w:t>
            </w:r>
            <w:r w:rsidR="00D93E14" w:rsidRPr="007023F1">
              <w:rPr>
                <w:szCs w:val="22"/>
                <w:lang w:val="fr-FR"/>
              </w:rPr>
              <w:t>)</w:t>
            </w:r>
          </w:p>
        </w:tc>
        <w:tc>
          <w:tcPr>
            <w:tcW w:w="2552" w:type="dxa"/>
          </w:tcPr>
          <w:p w:rsidR="00294B68" w:rsidRPr="007023F1" w:rsidRDefault="00997251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Fonctionnaires du gouvernement, praticiens privés et représentants des corporations/</w:t>
            </w:r>
            <w:r w:rsidR="00BA1EFB" w:rsidRPr="007023F1">
              <w:rPr>
                <w:szCs w:val="22"/>
                <w:lang w:val="fr-FR"/>
              </w:rPr>
              <w:t xml:space="preserve"> </w:t>
            </w:r>
            <w:r w:rsidRPr="007023F1">
              <w:rPr>
                <w:szCs w:val="22"/>
                <w:lang w:val="fr-FR"/>
              </w:rPr>
              <w:t>associations au niveau national</w:t>
            </w:r>
          </w:p>
        </w:tc>
        <w:tc>
          <w:tcPr>
            <w:tcW w:w="2693" w:type="dxa"/>
          </w:tcPr>
          <w:p w:rsidR="00294B68" w:rsidRPr="007023F1" w:rsidRDefault="00294B68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30 participants</w:t>
            </w:r>
          </w:p>
        </w:tc>
        <w:tc>
          <w:tcPr>
            <w:tcW w:w="1676" w:type="dxa"/>
          </w:tcPr>
          <w:p w:rsidR="00294B68" w:rsidRPr="007023F1" w:rsidRDefault="00B0134D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Anglais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294B68" w:rsidRPr="007023F1" w:rsidRDefault="001B29B5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 xml:space="preserve">Conférence “Propriété intellectuelle en </w:t>
            </w:r>
            <w:proofErr w:type="spellStart"/>
            <w:r w:rsidRPr="007023F1">
              <w:rPr>
                <w:szCs w:val="22"/>
                <w:lang w:val="fr-FR"/>
              </w:rPr>
              <w:t>biomédicine</w:t>
            </w:r>
            <w:proofErr w:type="spellEnd"/>
            <w:r w:rsidR="00305423" w:rsidRPr="007023F1">
              <w:rPr>
                <w:szCs w:val="22"/>
                <w:lang w:val="fr-FR"/>
              </w:rPr>
              <w:t>”, organisée par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Office national des brevets de la République de Lituanie</w:t>
            </w:r>
            <w:r w:rsidR="00C02B57" w:rsidRPr="007023F1">
              <w:rPr>
                <w:szCs w:val="22"/>
                <w:lang w:val="fr-FR"/>
              </w:rPr>
              <w:t xml:space="preserve"> en collaboration avec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Office européen des brevets</w:t>
            </w:r>
            <w:r w:rsidR="00C02B57" w:rsidRPr="007023F1">
              <w:rPr>
                <w:szCs w:val="22"/>
                <w:lang w:val="fr-FR"/>
              </w:rPr>
              <w:t xml:space="preserve">; </w:t>
            </w:r>
            <w:r w:rsidR="006F6CA3" w:rsidRPr="007023F1">
              <w:rPr>
                <w:szCs w:val="22"/>
                <w:lang w:val="fr-FR"/>
              </w:rPr>
              <w:t xml:space="preserve"> </w:t>
            </w:r>
            <w:r w:rsidR="00C02B57" w:rsidRPr="007023F1">
              <w:rPr>
                <w:szCs w:val="22"/>
                <w:lang w:val="fr-FR"/>
              </w:rPr>
              <w:t>l</w:t>
            </w:r>
            <w:r w:rsidR="00C55510" w:rsidRPr="007023F1">
              <w:rPr>
                <w:szCs w:val="22"/>
                <w:lang w:val="fr-FR"/>
              </w:rPr>
              <w:t>’</w:t>
            </w:r>
            <w:r w:rsidR="002F4B08" w:rsidRPr="007023F1">
              <w:rPr>
                <w:szCs w:val="22"/>
                <w:lang w:val="fr-FR"/>
              </w:rPr>
              <w:t>U</w:t>
            </w:r>
            <w:r w:rsidRPr="007023F1">
              <w:rPr>
                <w:szCs w:val="22"/>
                <w:lang w:val="fr-FR"/>
              </w:rPr>
              <w:t>niversité lituani</w:t>
            </w:r>
            <w:r w:rsidR="00C02B57" w:rsidRPr="007023F1">
              <w:rPr>
                <w:szCs w:val="22"/>
                <w:lang w:val="fr-FR"/>
              </w:rPr>
              <w:t>enne de sciences médicales et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="002F4B08" w:rsidRPr="007023F1">
              <w:rPr>
                <w:szCs w:val="22"/>
                <w:lang w:val="fr-FR"/>
              </w:rPr>
              <w:t>H</w:t>
            </w:r>
            <w:r w:rsidRPr="007023F1">
              <w:rPr>
                <w:szCs w:val="22"/>
                <w:lang w:val="fr-FR"/>
              </w:rPr>
              <w:t>ôpital de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="002F4B08" w:rsidRPr="007023F1">
              <w:rPr>
                <w:szCs w:val="22"/>
                <w:lang w:val="fr-FR"/>
              </w:rPr>
              <w:t>U</w:t>
            </w:r>
            <w:r w:rsidRPr="007023F1">
              <w:rPr>
                <w:szCs w:val="22"/>
                <w:lang w:val="fr-FR"/>
              </w:rPr>
              <w:t xml:space="preserve">niversité lituanienne des sciences médicales Kauno </w:t>
            </w:r>
            <w:proofErr w:type="spellStart"/>
            <w:r w:rsidRPr="007023F1">
              <w:rPr>
                <w:szCs w:val="22"/>
                <w:lang w:val="fr-FR"/>
              </w:rPr>
              <w:t>klinikos</w:t>
            </w:r>
            <w:proofErr w:type="spellEnd"/>
          </w:p>
        </w:tc>
        <w:tc>
          <w:tcPr>
            <w:tcW w:w="1650" w:type="dxa"/>
          </w:tcPr>
          <w:p w:rsidR="00294B68" w:rsidRPr="007023F1" w:rsidRDefault="0020194F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10 n</w:t>
            </w:r>
            <w:r w:rsidR="00294B68" w:rsidRPr="007023F1">
              <w:rPr>
                <w:szCs w:val="22"/>
                <w:lang w:val="fr-FR"/>
              </w:rPr>
              <w:t>ovemb</w:t>
            </w:r>
            <w:r w:rsidRPr="007023F1">
              <w:rPr>
                <w:szCs w:val="22"/>
                <w:lang w:val="fr-FR"/>
              </w:rPr>
              <w:t>r</w:t>
            </w:r>
            <w:r w:rsidR="00294B68" w:rsidRPr="007023F1">
              <w:rPr>
                <w:szCs w:val="22"/>
                <w:lang w:val="fr-FR"/>
              </w:rPr>
              <w:t>e</w:t>
            </w:r>
            <w:r w:rsidRPr="007023F1">
              <w:rPr>
                <w:szCs w:val="22"/>
                <w:lang w:val="fr-FR"/>
              </w:rPr>
              <w:t> </w:t>
            </w:r>
            <w:r w:rsidR="00294B68" w:rsidRPr="007023F1">
              <w:rPr>
                <w:szCs w:val="22"/>
                <w:lang w:val="fr-FR"/>
              </w:rPr>
              <w:t>2016</w:t>
            </w:r>
          </w:p>
        </w:tc>
        <w:tc>
          <w:tcPr>
            <w:tcW w:w="2017" w:type="dxa"/>
          </w:tcPr>
          <w:p w:rsidR="00294B68" w:rsidRPr="007023F1" w:rsidRDefault="001B29B5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Kaunas</w:t>
            </w:r>
            <w:r w:rsidR="00D93E14" w:rsidRPr="007023F1">
              <w:rPr>
                <w:szCs w:val="22"/>
                <w:lang w:val="fr-FR"/>
              </w:rPr>
              <w:t xml:space="preserve"> (</w:t>
            </w:r>
            <w:r w:rsidRPr="007023F1">
              <w:rPr>
                <w:szCs w:val="22"/>
                <w:lang w:val="fr-FR"/>
              </w:rPr>
              <w:t>Lituanie</w:t>
            </w:r>
            <w:r w:rsidR="00D93E14" w:rsidRPr="007023F1">
              <w:rPr>
                <w:szCs w:val="22"/>
                <w:lang w:val="fr-FR"/>
              </w:rPr>
              <w:t>)</w:t>
            </w:r>
          </w:p>
        </w:tc>
        <w:tc>
          <w:tcPr>
            <w:tcW w:w="2552" w:type="dxa"/>
          </w:tcPr>
          <w:p w:rsidR="00294B68" w:rsidRPr="007023F1" w:rsidRDefault="001B29B5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 xml:space="preserve">Fonctionnaires du gouvernement, </w:t>
            </w:r>
            <w:r w:rsidR="00C02B57" w:rsidRPr="007023F1">
              <w:rPr>
                <w:szCs w:val="22"/>
                <w:lang w:val="fr-FR"/>
              </w:rPr>
              <w:t>professionnels</w:t>
            </w:r>
            <w:r w:rsidRPr="007023F1">
              <w:rPr>
                <w:szCs w:val="22"/>
                <w:lang w:val="fr-FR"/>
              </w:rPr>
              <w:t xml:space="preserve"> de la santé, de la biochimie, pharmaciens, universitaires, et étudiants</w:t>
            </w:r>
          </w:p>
        </w:tc>
        <w:tc>
          <w:tcPr>
            <w:tcW w:w="2693" w:type="dxa"/>
          </w:tcPr>
          <w:p w:rsidR="00294B68" w:rsidRPr="007023F1" w:rsidRDefault="001B29B5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Environ 100</w:t>
            </w:r>
            <w:r w:rsidR="001F58C7" w:rsidRPr="007023F1">
              <w:rPr>
                <w:szCs w:val="22"/>
                <w:lang w:val="fr-FR"/>
              </w:rPr>
              <w:t> </w:t>
            </w:r>
            <w:r w:rsidRPr="007023F1">
              <w:rPr>
                <w:szCs w:val="22"/>
                <w:lang w:val="fr-FR"/>
              </w:rPr>
              <w:t>participants</w:t>
            </w:r>
          </w:p>
        </w:tc>
        <w:tc>
          <w:tcPr>
            <w:tcW w:w="1676" w:type="dxa"/>
          </w:tcPr>
          <w:p w:rsidR="00294B68" w:rsidRPr="007023F1" w:rsidRDefault="00B0134D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Lituanien/</w:t>
            </w:r>
            <w:r w:rsidR="00BA1EFB" w:rsidRPr="007023F1">
              <w:rPr>
                <w:szCs w:val="22"/>
                <w:lang w:val="fr-FR"/>
              </w:rPr>
              <w:t xml:space="preserve"> </w:t>
            </w:r>
            <w:r w:rsidRPr="007023F1">
              <w:rPr>
                <w:szCs w:val="22"/>
                <w:lang w:val="fr-FR"/>
              </w:rPr>
              <w:t>anglais</w:t>
            </w:r>
            <w:r w:rsidR="00294B68" w:rsidRPr="007023F1">
              <w:rPr>
                <w:szCs w:val="22"/>
                <w:lang w:val="fr-FR"/>
              </w:rPr>
              <w:t xml:space="preserve"> </w:t>
            </w:r>
          </w:p>
        </w:tc>
      </w:tr>
      <w:tr w:rsidR="007023F1" w:rsidRPr="007023F1" w:rsidTr="00202605">
        <w:trPr>
          <w:cantSplit/>
        </w:trPr>
        <w:tc>
          <w:tcPr>
            <w:tcW w:w="3954" w:type="dxa"/>
          </w:tcPr>
          <w:p w:rsidR="00294B68" w:rsidRPr="007023F1" w:rsidRDefault="00135BBC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lastRenderedPageBreak/>
              <w:t xml:space="preserve">Premier forum régional sur la propriété intellectuelle pour les tribunaux spécialisés en propriété intellectuelle en </w:t>
            </w:r>
            <w:r w:rsidR="002E489B" w:rsidRPr="007023F1">
              <w:rPr>
                <w:szCs w:val="22"/>
                <w:lang w:val="fr-FR"/>
              </w:rPr>
              <w:t>Amérique latine, organisé par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OMPI, en collaboration avec le tribunal de la propriété industr</w:t>
            </w:r>
            <w:r w:rsidR="002E489B" w:rsidRPr="007023F1">
              <w:rPr>
                <w:szCs w:val="22"/>
                <w:lang w:val="fr-FR"/>
              </w:rPr>
              <w:t>ielle du Chili et le tribunal d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enregistrement administratif du Costa Rica</w:t>
            </w:r>
          </w:p>
        </w:tc>
        <w:tc>
          <w:tcPr>
            <w:tcW w:w="1650" w:type="dxa"/>
          </w:tcPr>
          <w:p w:rsidR="00294B68" w:rsidRPr="007023F1" w:rsidRDefault="0020194F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 xml:space="preserve">Du </w:t>
            </w:r>
            <w:r w:rsidR="00294B68" w:rsidRPr="007023F1">
              <w:rPr>
                <w:szCs w:val="22"/>
                <w:lang w:val="fr-FR"/>
              </w:rPr>
              <w:t xml:space="preserve">9 </w:t>
            </w:r>
            <w:r w:rsidRPr="007023F1">
              <w:rPr>
                <w:szCs w:val="22"/>
                <w:lang w:val="fr-FR"/>
              </w:rPr>
              <w:t>au</w:t>
            </w:r>
            <w:r w:rsidR="00294B68" w:rsidRPr="007023F1">
              <w:rPr>
                <w:szCs w:val="22"/>
                <w:lang w:val="fr-FR"/>
              </w:rPr>
              <w:t xml:space="preserve"> 11</w:t>
            </w:r>
            <w:r w:rsidRPr="007023F1">
              <w:rPr>
                <w:szCs w:val="22"/>
                <w:lang w:val="fr-FR"/>
              </w:rPr>
              <w:t> novembre </w:t>
            </w:r>
            <w:r w:rsidR="00294B68" w:rsidRPr="007023F1">
              <w:rPr>
                <w:szCs w:val="22"/>
                <w:lang w:val="fr-FR"/>
              </w:rPr>
              <w:t>2016</w:t>
            </w:r>
          </w:p>
        </w:tc>
        <w:tc>
          <w:tcPr>
            <w:tcW w:w="2017" w:type="dxa"/>
          </w:tcPr>
          <w:p w:rsidR="00294B68" w:rsidRPr="007023F1" w:rsidRDefault="00135BBC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Santiago</w:t>
            </w:r>
            <w:r w:rsidR="00D93E14" w:rsidRPr="007023F1">
              <w:rPr>
                <w:szCs w:val="22"/>
                <w:lang w:val="fr-FR"/>
              </w:rPr>
              <w:t xml:space="preserve"> (</w:t>
            </w:r>
            <w:r w:rsidRPr="007023F1">
              <w:rPr>
                <w:szCs w:val="22"/>
                <w:lang w:val="fr-FR"/>
              </w:rPr>
              <w:t>Chili</w:t>
            </w:r>
            <w:r w:rsidR="00D93E14" w:rsidRPr="007023F1">
              <w:rPr>
                <w:szCs w:val="22"/>
                <w:lang w:val="fr-FR"/>
              </w:rPr>
              <w:t>)</w:t>
            </w:r>
          </w:p>
        </w:tc>
        <w:tc>
          <w:tcPr>
            <w:tcW w:w="2552" w:type="dxa"/>
          </w:tcPr>
          <w:p w:rsidR="00294B68" w:rsidRPr="007023F1" w:rsidRDefault="00135BBC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Juges de tribunaux spécialisés en prop</w:t>
            </w:r>
            <w:r w:rsidR="002E489B" w:rsidRPr="007023F1">
              <w:rPr>
                <w:szCs w:val="22"/>
                <w:lang w:val="fr-FR"/>
              </w:rPr>
              <w:t>riété intellectuelle des pays d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Amérique latine</w:t>
            </w:r>
          </w:p>
        </w:tc>
        <w:tc>
          <w:tcPr>
            <w:tcW w:w="2693" w:type="dxa"/>
          </w:tcPr>
          <w:p w:rsidR="00294B68" w:rsidRPr="007023F1" w:rsidRDefault="00135BBC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Environ 30</w:t>
            </w:r>
            <w:r w:rsidR="001F58C7" w:rsidRPr="007023F1">
              <w:rPr>
                <w:szCs w:val="22"/>
                <w:lang w:val="fr-FR"/>
              </w:rPr>
              <w:t> </w:t>
            </w:r>
            <w:r w:rsidRPr="007023F1">
              <w:rPr>
                <w:szCs w:val="22"/>
                <w:lang w:val="fr-FR"/>
              </w:rPr>
              <w:t>participants</w:t>
            </w:r>
          </w:p>
        </w:tc>
        <w:tc>
          <w:tcPr>
            <w:tcW w:w="1676" w:type="dxa"/>
          </w:tcPr>
          <w:p w:rsidR="00294B68" w:rsidRPr="007023F1" w:rsidRDefault="00B0134D" w:rsidP="00202605">
            <w:pPr>
              <w:rPr>
                <w:szCs w:val="22"/>
                <w:lang w:val="fr-FR"/>
              </w:rPr>
            </w:pPr>
            <w:r w:rsidRPr="007023F1">
              <w:rPr>
                <w:szCs w:val="22"/>
                <w:lang w:val="fr-FR"/>
              </w:rPr>
              <w:t>Espagnol</w:t>
            </w:r>
          </w:p>
        </w:tc>
      </w:tr>
      <w:tr w:rsidR="00294B68" w:rsidRPr="007023F1" w:rsidTr="00202605">
        <w:trPr>
          <w:cantSplit/>
        </w:trPr>
        <w:tc>
          <w:tcPr>
            <w:tcW w:w="3954" w:type="dxa"/>
          </w:tcPr>
          <w:p w:rsidR="00294B68" w:rsidRPr="007023F1" w:rsidRDefault="00135BBC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 xml:space="preserve">Séminaire régional sur les tendances actuelles en matière de </w:t>
            </w:r>
            <w:r w:rsidR="001F58C7" w:rsidRPr="007023F1">
              <w:rPr>
                <w:szCs w:val="22"/>
                <w:lang w:val="fr-FR"/>
              </w:rPr>
              <w:t>d</w:t>
            </w:r>
            <w:r w:rsidRPr="007023F1">
              <w:rPr>
                <w:szCs w:val="22"/>
                <w:lang w:val="fr-FR"/>
              </w:rPr>
              <w:t>roit des brevets, conjointe</w:t>
            </w:r>
            <w:r w:rsidR="00B0134D" w:rsidRPr="007023F1">
              <w:rPr>
                <w:szCs w:val="22"/>
                <w:lang w:val="fr-FR"/>
              </w:rPr>
              <w:t xml:space="preserve">ment organisé par </w:t>
            </w:r>
            <w:r w:rsidR="00F753C6" w:rsidRPr="007023F1">
              <w:rPr>
                <w:szCs w:val="22"/>
                <w:lang w:val="fr-FR"/>
              </w:rPr>
              <w:t>l’</w:t>
            </w:r>
            <w:r w:rsidR="00B0134D" w:rsidRPr="007023F1">
              <w:rPr>
                <w:szCs w:val="22"/>
                <w:lang w:val="fr-FR"/>
              </w:rPr>
              <w:t>OMPI</w:t>
            </w:r>
            <w:r w:rsidR="001F58C7" w:rsidRPr="007023F1">
              <w:rPr>
                <w:szCs w:val="22"/>
                <w:lang w:val="fr-FR"/>
              </w:rPr>
              <w:noBreakHyphen/>
            </w:r>
            <w:r w:rsidR="00B0134D" w:rsidRPr="007023F1">
              <w:rPr>
                <w:szCs w:val="22"/>
                <w:lang w:val="fr-FR"/>
              </w:rPr>
              <w:t>PCT et l</w:t>
            </w:r>
            <w:r w:rsidR="00C55510" w:rsidRPr="007023F1">
              <w:rPr>
                <w:szCs w:val="22"/>
                <w:lang w:val="fr-FR"/>
              </w:rPr>
              <w:t>’</w:t>
            </w:r>
            <w:r w:rsidRPr="007023F1">
              <w:rPr>
                <w:szCs w:val="22"/>
                <w:lang w:val="fr-FR"/>
              </w:rPr>
              <w:t>Organisation eurasienne des brevets (OEAB)</w:t>
            </w:r>
          </w:p>
        </w:tc>
        <w:tc>
          <w:tcPr>
            <w:tcW w:w="1650" w:type="dxa"/>
          </w:tcPr>
          <w:p w:rsidR="00294B68" w:rsidRPr="007023F1" w:rsidRDefault="00294B68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 xml:space="preserve">25 </w:t>
            </w:r>
            <w:r w:rsidR="0020194F" w:rsidRPr="007023F1">
              <w:rPr>
                <w:szCs w:val="22"/>
                <w:lang w:val="fr-FR"/>
              </w:rPr>
              <w:t>et</w:t>
            </w:r>
            <w:r w:rsidRPr="007023F1">
              <w:rPr>
                <w:szCs w:val="22"/>
                <w:lang w:val="fr-FR"/>
              </w:rPr>
              <w:t xml:space="preserve"> 2</w:t>
            </w:r>
            <w:r w:rsidR="00C55510" w:rsidRPr="007023F1">
              <w:rPr>
                <w:szCs w:val="22"/>
                <w:lang w:val="fr-FR"/>
              </w:rPr>
              <w:t>6 octobre</w:t>
            </w:r>
            <w:r w:rsidR="00BA1EFB" w:rsidRPr="007023F1">
              <w:rPr>
                <w:szCs w:val="22"/>
                <w:lang w:val="fr-FR"/>
              </w:rPr>
              <w:t xml:space="preserve"> </w:t>
            </w:r>
            <w:r w:rsidRPr="007023F1">
              <w:rPr>
                <w:szCs w:val="22"/>
                <w:lang w:val="fr-FR"/>
              </w:rPr>
              <w:t>2016</w:t>
            </w:r>
          </w:p>
        </w:tc>
        <w:tc>
          <w:tcPr>
            <w:tcW w:w="2017" w:type="dxa"/>
          </w:tcPr>
          <w:p w:rsidR="00294B68" w:rsidRPr="007023F1" w:rsidRDefault="00D93E14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Bakou</w:t>
            </w:r>
            <w:r w:rsidR="00135BBC" w:rsidRPr="007023F1">
              <w:rPr>
                <w:szCs w:val="22"/>
                <w:lang w:val="fr-FR"/>
              </w:rPr>
              <w:t xml:space="preserve"> </w:t>
            </w:r>
            <w:r w:rsidRPr="007023F1">
              <w:rPr>
                <w:szCs w:val="22"/>
                <w:lang w:val="fr-FR"/>
              </w:rPr>
              <w:t>(</w:t>
            </w:r>
            <w:r w:rsidR="00135BBC" w:rsidRPr="007023F1">
              <w:rPr>
                <w:szCs w:val="22"/>
                <w:lang w:val="fr-FR"/>
              </w:rPr>
              <w:t>Azerbaïdjan</w:t>
            </w:r>
            <w:r w:rsidRPr="007023F1">
              <w:rPr>
                <w:szCs w:val="22"/>
                <w:lang w:val="fr-FR"/>
              </w:rPr>
              <w:t>)</w:t>
            </w:r>
          </w:p>
        </w:tc>
        <w:tc>
          <w:tcPr>
            <w:tcW w:w="2552" w:type="dxa"/>
          </w:tcPr>
          <w:p w:rsidR="00294B68" w:rsidRPr="007023F1" w:rsidRDefault="00135BBC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Fonctionnaires du gouvernement, juristes, entreprises, universitaires, etc.</w:t>
            </w:r>
          </w:p>
        </w:tc>
        <w:tc>
          <w:tcPr>
            <w:tcW w:w="2693" w:type="dxa"/>
          </w:tcPr>
          <w:p w:rsidR="00294B68" w:rsidRPr="007023F1" w:rsidRDefault="00135BBC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60 participants</w:t>
            </w:r>
          </w:p>
        </w:tc>
        <w:tc>
          <w:tcPr>
            <w:tcW w:w="1676" w:type="dxa"/>
          </w:tcPr>
          <w:p w:rsidR="00294B68" w:rsidRPr="007023F1" w:rsidRDefault="00B0134D" w:rsidP="00202605">
            <w:pPr>
              <w:rPr>
                <w:szCs w:val="22"/>
                <w:highlight w:val="yellow"/>
                <w:lang w:val="fr-FR"/>
              </w:rPr>
            </w:pPr>
            <w:r w:rsidRPr="007023F1">
              <w:rPr>
                <w:szCs w:val="22"/>
                <w:lang w:val="fr-FR"/>
              </w:rPr>
              <w:t>Russe</w:t>
            </w:r>
            <w:r w:rsidR="001F58C7" w:rsidRPr="007023F1">
              <w:rPr>
                <w:szCs w:val="22"/>
                <w:lang w:val="fr-FR"/>
              </w:rPr>
              <w:t>/</w:t>
            </w:r>
            <w:r w:rsidRPr="007023F1">
              <w:rPr>
                <w:szCs w:val="22"/>
                <w:lang w:val="fr-FR"/>
              </w:rPr>
              <w:t>anglais</w:t>
            </w:r>
          </w:p>
        </w:tc>
      </w:tr>
    </w:tbl>
    <w:p w:rsidR="003F2EA9" w:rsidRPr="007023F1" w:rsidRDefault="003F2EA9" w:rsidP="007023F1">
      <w:pPr>
        <w:rPr>
          <w:szCs w:val="22"/>
          <w:lang w:val="fr-FR"/>
        </w:rPr>
      </w:pPr>
    </w:p>
    <w:p w:rsidR="003F2EA9" w:rsidRPr="007023F1" w:rsidRDefault="003F2EA9" w:rsidP="007023F1">
      <w:pPr>
        <w:tabs>
          <w:tab w:val="left" w:pos="6615"/>
        </w:tabs>
        <w:rPr>
          <w:szCs w:val="22"/>
          <w:lang w:val="fr-FR"/>
        </w:rPr>
      </w:pPr>
    </w:p>
    <w:p w:rsidR="00C55510" w:rsidRPr="007023F1" w:rsidRDefault="00135BBC" w:rsidP="007023F1">
      <w:pPr>
        <w:tabs>
          <w:tab w:val="left" w:pos="6615"/>
        </w:tabs>
        <w:jc w:val="right"/>
        <w:rPr>
          <w:szCs w:val="22"/>
          <w:lang w:val="fr-FR"/>
        </w:rPr>
      </w:pPr>
      <w:r w:rsidRPr="007023F1">
        <w:rPr>
          <w:szCs w:val="22"/>
          <w:lang w:val="fr-FR"/>
        </w:rPr>
        <w:t>[Fin de l</w:t>
      </w:r>
      <w:r w:rsidR="00C55510" w:rsidRPr="007023F1">
        <w:rPr>
          <w:szCs w:val="22"/>
          <w:lang w:val="fr-FR"/>
        </w:rPr>
        <w:t>’annexe I</w:t>
      </w:r>
      <w:r w:rsidRPr="007023F1">
        <w:rPr>
          <w:szCs w:val="22"/>
          <w:lang w:val="fr-FR"/>
        </w:rPr>
        <w:t>I et du document]</w:t>
      </w:r>
    </w:p>
    <w:sectPr w:rsidR="00C55510" w:rsidRPr="007023F1" w:rsidSect="00CD1952">
      <w:headerReference w:type="default" r:id="rId17"/>
      <w:footerReference w:type="default" r:id="rId18"/>
      <w:headerReference w:type="first" r:id="rId19"/>
      <w:footerReference w:type="first" r:id="rId20"/>
      <w:pgSz w:w="16840" w:h="11907" w:orient="landscape" w:code="9"/>
      <w:pgMar w:top="1418" w:right="567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87" w:rsidRDefault="00DC3D87">
      <w:r>
        <w:separator/>
      </w:r>
    </w:p>
  </w:endnote>
  <w:endnote w:type="continuationSeparator" w:id="0">
    <w:p w:rsidR="00DC3D87" w:rsidRDefault="00DC3D87" w:rsidP="003B38C1">
      <w:r>
        <w:separator/>
      </w:r>
    </w:p>
    <w:p w:rsidR="00DC3D87" w:rsidRPr="00A213ED" w:rsidRDefault="00DC3D87" w:rsidP="003B38C1">
      <w:pPr>
        <w:spacing w:after="60"/>
        <w:rPr>
          <w:sz w:val="17"/>
          <w:lang w:val="en-US"/>
        </w:rPr>
      </w:pPr>
      <w:r w:rsidRPr="00A213ED">
        <w:rPr>
          <w:sz w:val="17"/>
          <w:lang w:val="en-US"/>
        </w:rPr>
        <w:t>[Endnote continued from previous page]</w:t>
      </w:r>
    </w:p>
  </w:endnote>
  <w:endnote w:type="continuationNotice" w:id="1">
    <w:p w:rsidR="00DC3D87" w:rsidRPr="00A213ED" w:rsidRDefault="00DC3D87" w:rsidP="003B38C1">
      <w:pPr>
        <w:spacing w:before="60"/>
        <w:jc w:val="right"/>
        <w:rPr>
          <w:sz w:val="17"/>
          <w:szCs w:val="17"/>
          <w:lang w:val="en-US"/>
        </w:rPr>
      </w:pPr>
      <w:r w:rsidRPr="00A213ED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49" w:rsidRDefault="00291A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4E" w:rsidRDefault="006B4B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4E" w:rsidRDefault="006B4B4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4E" w:rsidRDefault="006B4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87" w:rsidRDefault="00DC3D87">
      <w:r>
        <w:separator/>
      </w:r>
    </w:p>
  </w:footnote>
  <w:footnote w:type="continuationSeparator" w:id="0">
    <w:p w:rsidR="00DC3D87" w:rsidRDefault="00DC3D87" w:rsidP="008B60B2">
      <w:r>
        <w:separator/>
      </w:r>
    </w:p>
    <w:p w:rsidR="00DC3D87" w:rsidRPr="00A213ED" w:rsidRDefault="00DC3D87" w:rsidP="008B60B2">
      <w:pPr>
        <w:spacing w:after="60"/>
        <w:rPr>
          <w:sz w:val="17"/>
          <w:szCs w:val="17"/>
          <w:lang w:val="en-US"/>
        </w:rPr>
      </w:pPr>
      <w:r w:rsidRPr="00A213ED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DC3D87" w:rsidRPr="00A213ED" w:rsidRDefault="00DC3D87" w:rsidP="008B60B2">
      <w:pPr>
        <w:spacing w:before="60"/>
        <w:jc w:val="right"/>
        <w:rPr>
          <w:sz w:val="17"/>
          <w:szCs w:val="17"/>
          <w:lang w:val="en-US"/>
        </w:rPr>
      </w:pPr>
      <w:r w:rsidRPr="00A213ED">
        <w:rPr>
          <w:sz w:val="17"/>
          <w:szCs w:val="17"/>
          <w:lang w:val="en-US"/>
        </w:rPr>
        <w:t>[Footnote continued on next page]</w:t>
      </w:r>
    </w:p>
  </w:footnote>
  <w:footnote w:id="2">
    <w:p w:rsidR="004B4A35" w:rsidRPr="007023F1" w:rsidRDefault="004B4A35" w:rsidP="007023F1">
      <w:pPr>
        <w:pStyle w:val="FootnoteText"/>
        <w:rPr>
          <w:lang w:val="fr-FR"/>
        </w:rPr>
      </w:pPr>
      <w:r w:rsidRPr="007023F1">
        <w:rPr>
          <w:rStyle w:val="FootnoteReference"/>
        </w:rPr>
        <w:footnoteRef/>
      </w:r>
      <w:r w:rsidR="00BB6E23" w:rsidRPr="007023F1">
        <w:rPr>
          <w:lang w:val="fr-FR"/>
        </w:rPr>
        <w:t xml:space="preserve"> </w:t>
      </w:r>
      <w:r w:rsidR="00983F1F" w:rsidRPr="007023F1">
        <w:rPr>
          <w:lang w:val="fr-FR"/>
        </w:rPr>
        <w:tab/>
      </w:r>
      <w:r w:rsidR="00DB394F" w:rsidRPr="007023F1">
        <w:rPr>
          <w:lang w:val="fr-FR"/>
        </w:rPr>
        <w:t xml:space="preserve">Ces dispositions concernent les </w:t>
      </w:r>
      <w:r w:rsidR="006F6CA3" w:rsidRPr="007023F1">
        <w:rPr>
          <w:lang w:val="fr-FR"/>
        </w:rPr>
        <w:t>14 </w:t>
      </w:r>
      <w:r w:rsidR="00DB394F" w:rsidRPr="007023F1">
        <w:rPr>
          <w:lang w:val="fr-FR"/>
        </w:rPr>
        <w:t>éléments de flexibilité suivants</w:t>
      </w:r>
      <w:r w:rsidR="001A199B" w:rsidRPr="007023F1">
        <w:rPr>
          <w:lang w:val="fr-FR"/>
        </w:rPr>
        <w:t> :</w:t>
      </w:r>
      <w:r w:rsidR="00DB394F" w:rsidRPr="007023F1">
        <w:rPr>
          <w:lang w:val="fr-FR"/>
        </w:rPr>
        <w:t xml:space="preserve"> i)</w:t>
      </w:r>
      <w:r w:rsidR="00A31E78" w:rsidRPr="007023F1">
        <w:rPr>
          <w:lang w:val="fr-FR"/>
        </w:rPr>
        <w:t> les licences obligatoires et l</w:t>
      </w:r>
      <w:r w:rsidR="001A199B" w:rsidRPr="007023F1">
        <w:rPr>
          <w:lang w:val="fr-FR"/>
        </w:rPr>
        <w:t>’</w:t>
      </w:r>
      <w:r w:rsidR="00DB394F" w:rsidRPr="007023F1">
        <w:rPr>
          <w:lang w:val="fr-FR"/>
        </w:rPr>
        <w:t xml:space="preserve">utilisation par les pouvoirs publics;  </w:t>
      </w:r>
      <w:r w:rsidR="00A31E78" w:rsidRPr="007023F1">
        <w:rPr>
          <w:lang w:val="fr-FR"/>
        </w:rPr>
        <w:t>ii) l</w:t>
      </w:r>
      <w:r w:rsidR="001A199B" w:rsidRPr="007023F1">
        <w:rPr>
          <w:lang w:val="fr-FR"/>
        </w:rPr>
        <w:t>’</w:t>
      </w:r>
      <w:r w:rsidR="00A31E78" w:rsidRPr="007023F1">
        <w:rPr>
          <w:lang w:val="fr-FR"/>
        </w:rPr>
        <w:t>épuisement des droits;  iii) l</w:t>
      </w:r>
      <w:r w:rsidR="001A199B" w:rsidRPr="007023F1">
        <w:rPr>
          <w:lang w:val="fr-FR"/>
        </w:rPr>
        <w:t>’</w:t>
      </w:r>
      <w:r w:rsidR="00DB394F" w:rsidRPr="007023F1">
        <w:rPr>
          <w:lang w:val="fr-FR"/>
        </w:rPr>
        <w:t xml:space="preserve">exception dite </w:t>
      </w:r>
      <w:r w:rsidR="001F58C7" w:rsidRPr="007023F1">
        <w:rPr>
          <w:lang w:val="fr-FR"/>
        </w:rPr>
        <w:t>“</w:t>
      </w:r>
      <w:r w:rsidR="00DB394F" w:rsidRPr="007023F1">
        <w:rPr>
          <w:lang w:val="fr-FR"/>
        </w:rPr>
        <w:t>pour examen réglementaire</w:t>
      </w:r>
      <w:r w:rsidR="001F58C7" w:rsidRPr="007023F1">
        <w:rPr>
          <w:lang w:val="fr-FR"/>
        </w:rPr>
        <w:t>”</w:t>
      </w:r>
      <w:r w:rsidR="00DB394F" w:rsidRPr="007023F1">
        <w:rPr>
          <w:lang w:val="fr-FR"/>
        </w:rPr>
        <w:t>;  iv) l</w:t>
      </w:r>
      <w:r w:rsidR="001A199B" w:rsidRPr="007023F1">
        <w:rPr>
          <w:lang w:val="fr-FR"/>
        </w:rPr>
        <w:t>’</w:t>
      </w:r>
      <w:r w:rsidR="00DB394F" w:rsidRPr="007023F1">
        <w:rPr>
          <w:lang w:val="fr-FR"/>
        </w:rPr>
        <w:t>exception en faveur de la recherche;  v) les exclusion</w:t>
      </w:r>
      <w:r w:rsidR="00A31E78" w:rsidRPr="007023F1">
        <w:rPr>
          <w:lang w:val="fr-FR"/>
        </w:rPr>
        <w:t>s de la protection par modèle d</w:t>
      </w:r>
      <w:r w:rsidR="001A199B" w:rsidRPr="007023F1">
        <w:rPr>
          <w:lang w:val="fr-FR"/>
        </w:rPr>
        <w:t>’</w:t>
      </w:r>
      <w:r w:rsidR="00DB394F" w:rsidRPr="007023F1">
        <w:rPr>
          <w:lang w:val="fr-FR"/>
        </w:rPr>
        <w:t>utilité;  vi) les périodes de transition;  vii) la brevetabilité des substances existant dans la nature;  viii) les éléments de flexibilité re</w:t>
      </w:r>
      <w:r w:rsidR="00A31E78" w:rsidRPr="007023F1">
        <w:rPr>
          <w:lang w:val="fr-FR"/>
        </w:rPr>
        <w:t>latifs à la divulgation;  ix) l</w:t>
      </w:r>
      <w:r w:rsidR="001A199B" w:rsidRPr="007023F1">
        <w:rPr>
          <w:lang w:val="fr-FR"/>
        </w:rPr>
        <w:t>’</w:t>
      </w:r>
      <w:r w:rsidR="00DB394F" w:rsidRPr="007023F1">
        <w:rPr>
          <w:lang w:val="fr-FR"/>
        </w:rPr>
        <w:t xml:space="preserve">examen quant au fond; </w:t>
      </w:r>
      <w:r w:rsidR="00A31E78" w:rsidRPr="007023F1">
        <w:rPr>
          <w:lang w:val="fr-FR"/>
        </w:rPr>
        <w:t xml:space="preserve"> x) le contrôle d</w:t>
      </w:r>
      <w:r w:rsidR="001A199B" w:rsidRPr="007023F1">
        <w:rPr>
          <w:lang w:val="fr-FR"/>
        </w:rPr>
        <w:t>’</w:t>
      </w:r>
      <w:r w:rsidR="00DB394F" w:rsidRPr="007023F1">
        <w:rPr>
          <w:lang w:val="fr-FR"/>
        </w:rPr>
        <w:t>office des clauses contractuelles anticoncurrentielles par les offices de propriété intellectuelle dans les accords de licence;  xi) la portée de l</w:t>
      </w:r>
      <w:r w:rsidR="001A199B" w:rsidRPr="007023F1">
        <w:rPr>
          <w:lang w:val="fr-FR"/>
        </w:rPr>
        <w:t>’</w:t>
      </w:r>
      <w:r w:rsidR="00DB394F" w:rsidRPr="007023F1">
        <w:rPr>
          <w:lang w:val="fr-FR"/>
        </w:rPr>
        <w:t xml:space="preserve">exclusion de la brevetabilité concernant les végétaux;  xii) la brevetabilité, ou </w:t>
      </w:r>
      <w:r w:rsidR="00A31E78" w:rsidRPr="007023F1">
        <w:rPr>
          <w:lang w:val="fr-FR"/>
        </w:rPr>
        <w:t>l</w:t>
      </w:r>
      <w:r w:rsidR="001A199B" w:rsidRPr="007023F1">
        <w:rPr>
          <w:lang w:val="fr-FR"/>
        </w:rPr>
        <w:t>’</w:t>
      </w:r>
      <w:r w:rsidR="00DB394F" w:rsidRPr="007023F1">
        <w:rPr>
          <w:lang w:val="fr-FR"/>
        </w:rPr>
        <w:t>exclusion de la brevetabilité, des inventions relatives à des log</w:t>
      </w:r>
      <w:r w:rsidR="00A31E78" w:rsidRPr="007023F1">
        <w:rPr>
          <w:lang w:val="fr-FR"/>
        </w:rPr>
        <w:t>iciels;  xiii) la possibilité d</w:t>
      </w:r>
      <w:r w:rsidR="001A199B" w:rsidRPr="007023F1">
        <w:rPr>
          <w:lang w:val="fr-FR"/>
        </w:rPr>
        <w:t>’</w:t>
      </w:r>
      <w:r w:rsidR="00DB394F" w:rsidRPr="007023F1">
        <w:rPr>
          <w:lang w:val="fr-FR"/>
        </w:rPr>
        <w:t xml:space="preserve">appliquer ou non des </w:t>
      </w:r>
      <w:r w:rsidR="00A31E78" w:rsidRPr="007023F1">
        <w:rPr>
          <w:lang w:val="fr-FR"/>
        </w:rPr>
        <w:t>sanctions pénales aux fins de l</w:t>
      </w:r>
      <w:r w:rsidR="001A199B" w:rsidRPr="007023F1">
        <w:rPr>
          <w:lang w:val="fr-FR"/>
        </w:rPr>
        <w:t>’</w:t>
      </w:r>
      <w:r w:rsidR="00DB394F" w:rsidRPr="007023F1">
        <w:rPr>
          <w:lang w:val="fr-FR"/>
        </w:rPr>
        <w:t>application des droits de brevet;  et xiv) les mesures liées à la sécurité nationale (dénommées “exceptions concernant la sécurité”).</w:t>
      </w:r>
    </w:p>
  </w:footnote>
  <w:footnote w:id="3">
    <w:p w:rsidR="004B4A35" w:rsidRPr="007023F1" w:rsidRDefault="004B4A35" w:rsidP="007023F1">
      <w:pPr>
        <w:pStyle w:val="FootnoteText"/>
        <w:rPr>
          <w:lang w:val="fr-FR"/>
        </w:rPr>
      </w:pPr>
      <w:r w:rsidRPr="007023F1">
        <w:rPr>
          <w:rStyle w:val="FootnoteReference"/>
        </w:rPr>
        <w:footnoteRef/>
      </w:r>
      <w:r w:rsidRPr="007023F1">
        <w:rPr>
          <w:lang w:val="fr-FR"/>
        </w:rPr>
        <w:t xml:space="preserve"> </w:t>
      </w:r>
      <w:r w:rsidR="00983F1F" w:rsidRPr="007023F1">
        <w:rPr>
          <w:lang w:val="fr-FR"/>
        </w:rPr>
        <w:tab/>
      </w:r>
      <w:r w:rsidR="00A31E78" w:rsidRPr="007023F1">
        <w:rPr>
          <w:lang w:val="fr-FR"/>
        </w:rPr>
        <w:t>À</w:t>
      </w:r>
      <w:r w:rsidR="00A95497" w:rsidRPr="007023F1">
        <w:rPr>
          <w:lang w:val="fr-FR"/>
        </w:rPr>
        <w:t xml:space="preserve"> la demande du comi</w:t>
      </w:r>
      <w:r w:rsidR="005477E2" w:rsidRPr="007023F1">
        <w:rPr>
          <w:lang w:val="fr-FR"/>
        </w:rPr>
        <w:t>té</w:t>
      </w:r>
      <w:r w:rsidR="00CD1952" w:rsidRPr="007023F1">
        <w:rPr>
          <w:lang w:val="fr-FR"/>
        </w:rPr>
        <w:t xml:space="preserve"> à sa seizième session</w:t>
      </w:r>
      <w:r w:rsidR="005477E2" w:rsidRPr="007023F1">
        <w:rPr>
          <w:lang w:val="fr-FR"/>
        </w:rPr>
        <w:t xml:space="preserve">, les propositions </w:t>
      </w:r>
      <w:r w:rsidR="00CD1952" w:rsidRPr="007023F1">
        <w:rPr>
          <w:lang w:val="fr-FR"/>
        </w:rPr>
        <w:t xml:space="preserve">relatives à </w:t>
      </w:r>
      <w:r w:rsidR="00A95497" w:rsidRPr="007023F1">
        <w:rPr>
          <w:lang w:val="fr-FR"/>
        </w:rPr>
        <w:t xml:space="preserve">un mécanisme permettant de mettre régulièrement à jour la base de données, contenues </w:t>
      </w:r>
      <w:r w:rsidR="00CD1952" w:rsidRPr="007023F1">
        <w:rPr>
          <w:lang w:val="fr-FR"/>
        </w:rPr>
        <w:t>dans les</w:t>
      </w:r>
      <w:r w:rsidR="00A95497" w:rsidRPr="007023F1">
        <w:rPr>
          <w:lang w:val="fr-FR"/>
        </w:rPr>
        <w:t xml:space="preserve"> documents CDIP/17/5 et CDIP</w:t>
      </w:r>
      <w:r w:rsidR="005477E2" w:rsidRPr="007023F1">
        <w:rPr>
          <w:lang w:val="fr-FR"/>
        </w:rPr>
        <w:t>/18/5, ont fait l</w:t>
      </w:r>
      <w:r w:rsidR="001A199B" w:rsidRPr="007023F1">
        <w:rPr>
          <w:lang w:val="fr-FR"/>
        </w:rPr>
        <w:t>’</w:t>
      </w:r>
      <w:r w:rsidR="00A95497" w:rsidRPr="007023F1">
        <w:rPr>
          <w:lang w:val="fr-FR"/>
        </w:rPr>
        <w:t xml:space="preserve">objet de discussions lors </w:t>
      </w:r>
      <w:proofErr w:type="gramStart"/>
      <w:r w:rsidR="00A95497" w:rsidRPr="007023F1">
        <w:rPr>
          <w:lang w:val="fr-FR"/>
        </w:rPr>
        <w:t>des dix</w:t>
      </w:r>
      <w:r w:rsidR="001A199B" w:rsidRPr="007023F1">
        <w:rPr>
          <w:lang w:val="fr-FR"/>
        </w:rPr>
        <w:t>-</w:t>
      </w:r>
      <w:r w:rsidR="00A95497" w:rsidRPr="007023F1">
        <w:rPr>
          <w:lang w:val="fr-FR"/>
        </w:rPr>
        <w:t>septième</w:t>
      </w:r>
      <w:proofErr w:type="gramEnd"/>
      <w:r w:rsidR="00A95497" w:rsidRPr="007023F1">
        <w:rPr>
          <w:lang w:val="fr-FR"/>
        </w:rPr>
        <w:t xml:space="preserve"> et dix</w:t>
      </w:r>
      <w:r w:rsidR="001A199B" w:rsidRPr="007023F1">
        <w:rPr>
          <w:lang w:val="fr-FR"/>
        </w:rPr>
        <w:t>-</w:t>
      </w:r>
      <w:r w:rsidR="00A95497" w:rsidRPr="007023F1">
        <w:rPr>
          <w:lang w:val="fr-FR"/>
        </w:rPr>
        <w:t>huit</w:t>
      </w:r>
      <w:r w:rsidR="001A199B" w:rsidRPr="007023F1">
        <w:rPr>
          <w:lang w:val="fr-FR"/>
        </w:rPr>
        <w:t>ième session</w:t>
      </w:r>
      <w:r w:rsidR="00A95497" w:rsidRPr="007023F1">
        <w:rPr>
          <w:lang w:val="fr-FR"/>
        </w:rPr>
        <w:t>s</w:t>
      </w:r>
      <w:r w:rsidR="001A199B" w:rsidRPr="007023F1">
        <w:rPr>
          <w:lang w:val="fr-FR"/>
        </w:rPr>
        <w:t xml:space="preserve"> du CDI</w:t>
      </w:r>
      <w:r w:rsidR="00A95497" w:rsidRPr="007023F1">
        <w:rPr>
          <w:lang w:val="fr-FR"/>
        </w:rPr>
        <w:t>P, respectivement.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8A" w:rsidRDefault="00344216" w:rsidP="00BA0CE1">
    <w:pPr>
      <w:pStyle w:val="Header"/>
      <w:jc w:val="right"/>
    </w:pPr>
    <w:r>
      <w:t>CDIP/</w:t>
    </w:r>
    <w:r w:rsidR="001F58C7">
      <w:t>20</w:t>
    </w:r>
    <w:r>
      <w:t>/5</w:t>
    </w:r>
  </w:p>
  <w:p w:rsidR="00117F8A" w:rsidRDefault="007423A2" w:rsidP="00BA0CE1">
    <w:pPr>
      <w:pStyle w:val="Header"/>
      <w:jc w:val="right"/>
    </w:pPr>
    <w:r>
      <w:t>Annex</w:t>
    </w:r>
    <w:r w:rsidR="001F58C7">
      <w:t>e,</w:t>
    </w:r>
    <w:r w:rsidR="00117F8A">
      <w:t xml:space="preserve"> page </w:t>
    </w:r>
    <w:r w:rsidR="00EB0A62">
      <w:t>X</w:t>
    </w:r>
  </w:p>
  <w:p w:rsidR="00117F8A" w:rsidRDefault="00117F8A" w:rsidP="00BA0CE1">
    <w:pPr>
      <w:pStyle w:val="Header"/>
      <w:jc w:val="right"/>
    </w:pPr>
  </w:p>
  <w:p w:rsidR="00117F8A" w:rsidRPr="00DD4C78" w:rsidRDefault="00117F8A" w:rsidP="00BA0CE1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49" w:rsidRDefault="00291A49" w:rsidP="00BA0CE1">
    <w:pPr>
      <w:pStyle w:val="Header"/>
      <w:jc w:val="right"/>
    </w:pPr>
    <w:r>
      <w:t>CDIP/</w:t>
    </w:r>
    <w:r w:rsidR="00602DD2">
      <w:t>20/</w:t>
    </w:r>
    <w:r w:rsidR="00D930A7">
      <w:t>5</w:t>
    </w:r>
  </w:p>
  <w:p w:rsidR="00291A49" w:rsidRDefault="0020165C" w:rsidP="00291A49">
    <w:pPr>
      <w:pStyle w:val="Header"/>
      <w:jc w:val="right"/>
    </w:pPr>
    <w:r>
      <w:t>Annex</w:t>
    </w:r>
    <w:r w:rsidR="001F58C7">
      <w:t>e </w:t>
    </w:r>
    <w:r w:rsidR="00D930A7">
      <w:t>I</w:t>
    </w:r>
    <w:r w:rsidR="00291A49">
      <w:t>, page</w:t>
    </w:r>
    <w:r w:rsidR="001F58C7">
      <w:t> </w:t>
    </w:r>
    <w:r w:rsidR="00291A49" w:rsidRPr="00291A49">
      <w:fldChar w:fldCharType="begin"/>
    </w:r>
    <w:r w:rsidR="00291A49" w:rsidRPr="00291A49">
      <w:instrText xml:space="preserve"> PAGE   \* MERGEFORMAT </w:instrText>
    </w:r>
    <w:r w:rsidR="00291A49" w:rsidRPr="00291A49">
      <w:fldChar w:fldCharType="separate"/>
    </w:r>
    <w:r w:rsidR="00A2646F">
      <w:rPr>
        <w:noProof/>
      </w:rPr>
      <w:t>2</w:t>
    </w:r>
    <w:r w:rsidR="00291A49" w:rsidRPr="00291A49">
      <w:rPr>
        <w:noProof/>
      </w:rPr>
      <w:fldChar w:fldCharType="end"/>
    </w:r>
  </w:p>
  <w:p w:rsidR="00291A49" w:rsidRPr="00DD4C78" w:rsidRDefault="00291A49" w:rsidP="00BA0CE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49" w:rsidRDefault="00D930A7" w:rsidP="00F975C5">
    <w:pPr>
      <w:pStyle w:val="Header"/>
      <w:jc w:val="right"/>
    </w:pPr>
    <w:r>
      <w:t>CDIP/20</w:t>
    </w:r>
    <w:r w:rsidR="00291A49">
      <w:t>/5</w:t>
    </w:r>
  </w:p>
  <w:p w:rsidR="00291A49" w:rsidRDefault="00291A49" w:rsidP="006B4B4E">
    <w:pPr>
      <w:pStyle w:val="Header"/>
      <w:jc w:val="right"/>
    </w:pPr>
    <w:r>
      <w:t>ANNEX</w:t>
    </w:r>
    <w:r w:rsidR="001F58C7">
      <w:t>E </w:t>
    </w:r>
    <w:r w:rsidR="00D930A7">
      <w:t>I</w:t>
    </w:r>
  </w:p>
  <w:p w:rsidR="00291A49" w:rsidRDefault="00291A49" w:rsidP="00790748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4E" w:rsidRDefault="006B4B4E" w:rsidP="00BA0CE1">
    <w:pPr>
      <w:pStyle w:val="Header"/>
      <w:jc w:val="right"/>
    </w:pPr>
    <w:r>
      <w:t>CDIP/20/5</w:t>
    </w:r>
  </w:p>
  <w:p w:rsidR="006B4B4E" w:rsidRDefault="00B849E5" w:rsidP="00291A49">
    <w:pPr>
      <w:pStyle w:val="Header"/>
      <w:jc w:val="right"/>
    </w:pPr>
    <w:r w:rsidRPr="00B849E5">
      <w:t>Annex</w:t>
    </w:r>
    <w:r w:rsidR="001F58C7">
      <w:t>e </w:t>
    </w:r>
    <w:r w:rsidR="006B4B4E">
      <w:t>I</w:t>
    </w:r>
    <w:r w:rsidR="001E1102">
      <w:t>I</w:t>
    </w:r>
    <w:r w:rsidR="006B4B4E">
      <w:t>, page</w:t>
    </w:r>
    <w:r w:rsidR="001F58C7">
      <w:t> </w:t>
    </w:r>
    <w:r w:rsidR="006B4B4E" w:rsidRPr="00291A49">
      <w:fldChar w:fldCharType="begin"/>
    </w:r>
    <w:r w:rsidR="006B4B4E" w:rsidRPr="00291A49">
      <w:instrText xml:space="preserve"> PAGE   \* MERGEFORMAT </w:instrText>
    </w:r>
    <w:r w:rsidR="006B4B4E" w:rsidRPr="00291A49">
      <w:fldChar w:fldCharType="separate"/>
    </w:r>
    <w:r w:rsidR="00A2646F">
      <w:rPr>
        <w:noProof/>
      </w:rPr>
      <w:t>5</w:t>
    </w:r>
    <w:r w:rsidR="006B4B4E" w:rsidRPr="00291A49">
      <w:rPr>
        <w:noProof/>
      </w:rPr>
      <w:fldChar w:fldCharType="end"/>
    </w:r>
  </w:p>
  <w:p w:rsidR="006B4B4E" w:rsidRPr="00DD4C78" w:rsidRDefault="006B4B4E" w:rsidP="00BA0CE1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4E" w:rsidRDefault="006B4B4E" w:rsidP="00F975C5">
    <w:pPr>
      <w:pStyle w:val="Header"/>
      <w:jc w:val="right"/>
    </w:pPr>
    <w:r>
      <w:t>CDIP/20/5</w:t>
    </w:r>
  </w:p>
  <w:p w:rsidR="006B4B4E" w:rsidRDefault="006B4B4E" w:rsidP="00790748">
    <w:pPr>
      <w:pStyle w:val="Header"/>
      <w:jc w:val="right"/>
    </w:pPr>
    <w:r>
      <w:t>ANNEX</w:t>
    </w:r>
    <w:r w:rsidR="001F58C7">
      <w:t>E </w:t>
    </w:r>
    <w:r>
      <w:t>II</w:t>
    </w:r>
  </w:p>
  <w:p w:rsidR="006B4B4E" w:rsidRDefault="006B4B4E" w:rsidP="007907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29211C12"/>
    <w:multiLevelType w:val="hybridMultilevel"/>
    <w:tmpl w:val="A47E2020"/>
    <w:lvl w:ilvl="0" w:tplc="AE6009E4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Outreach\Communications|TextBase TMs\WorkspaceFTS\Brands, Designs &amp; DN\Hague|Team Server TMs\Default"/>
    <w:docVar w:name="TextBaseURL" w:val="empty"/>
    <w:docVar w:name="UILng" w:val="en"/>
  </w:docVars>
  <w:rsids>
    <w:rsidRoot w:val="00827F61"/>
    <w:rsid w:val="00003627"/>
    <w:rsid w:val="00003BE6"/>
    <w:rsid w:val="00004F6A"/>
    <w:rsid w:val="00010A81"/>
    <w:rsid w:val="00011F41"/>
    <w:rsid w:val="00016741"/>
    <w:rsid w:val="000179B2"/>
    <w:rsid w:val="00027B7B"/>
    <w:rsid w:val="00027C1B"/>
    <w:rsid w:val="00033CEB"/>
    <w:rsid w:val="00035C6E"/>
    <w:rsid w:val="00035DDA"/>
    <w:rsid w:val="000366EA"/>
    <w:rsid w:val="0004361E"/>
    <w:rsid w:val="00043CAA"/>
    <w:rsid w:val="000459AC"/>
    <w:rsid w:val="00045F9F"/>
    <w:rsid w:val="00046235"/>
    <w:rsid w:val="00051F65"/>
    <w:rsid w:val="00052D3F"/>
    <w:rsid w:val="00055D8B"/>
    <w:rsid w:val="00057475"/>
    <w:rsid w:val="000606AB"/>
    <w:rsid w:val="00061712"/>
    <w:rsid w:val="000630BF"/>
    <w:rsid w:val="00067EB7"/>
    <w:rsid w:val="0007477A"/>
    <w:rsid w:val="00075432"/>
    <w:rsid w:val="00077885"/>
    <w:rsid w:val="00081EE4"/>
    <w:rsid w:val="00082710"/>
    <w:rsid w:val="000835E5"/>
    <w:rsid w:val="00090291"/>
    <w:rsid w:val="00092EEA"/>
    <w:rsid w:val="00094EE8"/>
    <w:rsid w:val="0009531D"/>
    <w:rsid w:val="000968ED"/>
    <w:rsid w:val="000A023B"/>
    <w:rsid w:val="000A0DE2"/>
    <w:rsid w:val="000A2ABC"/>
    <w:rsid w:val="000A4597"/>
    <w:rsid w:val="000A7840"/>
    <w:rsid w:val="000B0626"/>
    <w:rsid w:val="000B2AD3"/>
    <w:rsid w:val="000C2DB1"/>
    <w:rsid w:val="000C3CE8"/>
    <w:rsid w:val="000C511C"/>
    <w:rsid w:val="000C51E3"/>
    <w:rsid w:val="000C68D2"/>
    <w:rsid w:val="000D20BA"/>
    <w:rsid w:val="000D23C2"/>
    <w:rsid w:val="000D24B5"/>
    <w:rsid w:val="000D4B58"/>
    <w:rsid w:val="000D7C2F"/>
    <w:rsid w:val="000D7F01"/>
    <w:rsid w:val="000E001A"/>
    <w:rsid w:val="000E0813"/>
    <w:rsid w:val="000E2879"/>
    <w:rsid w:val="000E2A5D"/>
    <w:rsid w:val="000E5226"/>
    <w:rsid w:val="000E6CBC"/>
    <w:rsid w:val="000F3EC6"/>
    <w:rsid w:val="000F45DD"/>
    <w:rsid w:val="000F4927"/>
    <w:rsid w:val="000F5E56"/>
    <w:rsid w:val="001000E6"/>
    <w:rsid w:val="00106564"/>
    <w:rsid w:val="00111B45"/>
    <w:rsid w:val="00116436"/>
    <w:rsid w:val="00117F8A"/>
    <w:rsid w:val="001223C8"/>
    <w:rsid w:val="00122517"/>
    <w:rsid w:val="00123099"/>
    <w:rsid w:val="0012610D"/>
    <w:rsid w:val="001320D5"/>
    <w:rsid w:val="00135BBC"/>
    <w:rsid w:val="001362EE"/>
    <w:rsid w:val="0014558C"/>
    <w:rsid w:val="00152195"/>
    <w:rsid w:val="00155C06"/>
    <w:rsid w:val="00165216"/>
    <w:rsid w:val="001746A6"/>
    <w:rsid w:val="001755E3"/>
    <w:rsid w:val="001832A6"/>
    <w:rsid w:val="00191A29"/>
    <w:rsid w:val="0019236A"/>
    <w:rsid w:val="001934CC"/>
    <w:rsid w:val="0019745D"/>
    <w:rsid w:val="001A1822"/>
    <w:rsid w:val="001A199B"/>
    <w:rsid w:val="001A3236"/>
    <w:rsid w:val="001A329D"/>
    <w:rsid w:val="001B29B5"/>
    <w:rsid w:val="001C0A44"/>
    <w:rsid w:val="001C0CA0"/>
    <w:rsid w:val="001C10DE"/>
    <w:rsid w:val="001C3683"/>
    <w:rsid w:val="001C3ED2"/>
    <w:rsid w:val="001C44B1"/>
    <w:rsid w:val="001C5066"/>
    <w:rsid w:val="001C5579"/>
    <w:rsid w:val="001C69BF"/>
    <w:rsid w:val="001C6C39"/>
    <w:rsid w:val="001D0517"/>
    <w:rsid w:val="001D0CBF"/>
    <w:rsid w:val="001E1102"/>
    <w:rsid w:val="001E255A"/>
    <w:rsid w:val="001E3C7A"/>
    <w:rsid w:val="001E692A"/>
    <w:rsid w:val="001F1CB2"/>
    <w:rsid w:val="001F1E46"/>
    <w:rsid w:val="001F2782"/>
    <w:rsid w:val="001F58C7"/>
    <w:rsid w:val="002008AD"/>
    <w:rsid w:val="0020165C"/>
    <w:rsid w:val="0020194F"/>
    <w:rsid w:val="002019D3"/>
    <w:rsid w:val="00202605"/>
    <w:rsid w:val="002049A1"/>
    <w:rsid w:val="0020657B"/>
    <w:rsid w:val="00207A08"/>
    <w:rsid w:val="00207AC8"/>
    <w:rsid w:val="00207AE6"/>
    <w:rsid w:val="00222FB1"/>
    <w:rsid w:val="0022587A"/>
    <w:rsid w:val="00226EEE"/>
    <w:rsid w:val="002353DB"/>
    <w:rsid w:val="00236404"/>
    <w:rsid w:val="00236D8B"/>
    <w:rsid w:val="002419ED"/>
    <w:rsid w:val="00241A45"/>
    <w:rsid w:val="00242EC5"/>
    <w:rsid w:val="002444DB"/>
    <w:rsid w:val="0025304C"/>
    <w:rsid w:val="0026101E"/>
    <w:rsid w:val="0026227E"/>
    <w:rsid w:val="002634C4"/>
    <w:rsid w:val="002679A5"/>
    <w:rsid w:val="00273B43"/>
    <w:rsid w:val="00274A02"/>
    <w:rsid w:val="0027556F"/>
    <w:rsid w:val="00275B59"/>
    <w:rsid w:val="00275C5C"/>
    <w:rsid w:val="00282572"/>
    <w:rsid w:val="00283E6B"/>
    <w:rsid w:val="00284DFA"/>
    <w:rsid w:val="002911FC"/>
    <w:rsid w:val="00291A49"/>
    <w:rsid w:val="002928D3"/>
    <w:rsid w:val="00292A49"/>
    <w:rsid w:val="002937F1"/>
    <w:rsid w:val="00294B68"/>
    <w:rsid w:val="002A2FF8"/>
    <w:rsid w:val="002A437F"/>
    <w:rsid w:val="002B14D8"/>
    <w:rsid w:val="002B2297"/>
    <w:rsid w:val="002B2EDC"/>
    <w:rsid w:val="002B4C3B"/>
    <w:rsid w:val="002B4E42"/>
    <w:rsid w:val="002C263F"/>
    <w:rsid w:val="002C2C9C"/>
    <w:rsid w:val="002D236D"/>
    <w:rsid w:val="002D657B"/>
    <w:rsid w:val="002E1C0A"/>
    <w:rsid w:val="002E2787"/>
    <w:rsid w:val="002E2F01"/>
    <w:rsid w:val="002E489B"/>
    <w:rsid w:val="002E591E"/>
    <w:rsid w:val="002F1AFB"/>
    <w:rsid w:val="002F1FE6"/>
    <w:rsid w:val="002F2E47"/>
    <w:rsid w:val="002F3C79"/>
    <w:rsid w:val="002F4B08"/>
    <w:rsid w:val="002F4CFD"/>
    <w:rsid w:val="002F4E68"/>
    <w:rsid w:val="002F772F"/>
    <w:rsid w:val="00304E10"/>
    <w:rsid w:val="00305423"/>
    <w:rsid w:val="00306A7C"/>
    <w:rsid w:val="00307B7B"/>
    <w:rsid w:val="003106AA"/>
    <w:rsid w:val="003112CE"/>
    <w:rsid w:val="00312F7F"/>
    <w:rsid w:val="00314672"/>
    <w:rsid w:val="00314764"/>
    <w:rsid w:val="00314DFF"/>
    <w:rsid w:val="003154F3"/>
    <w:rsid w:val="00317A35"/>
    <w:rsid w:val="00320831"/>
    <w:rsid w:val="00320BA4"/>
    <w:rsid w:val="00322772"/>
    <w:rsid w:val="00324388"/>
    <w:rsid w:val="00324E38"/>
    <w:rsid w:val="00331BEE"/>
    <w:rsid w:val="00337076"/>
    <w:rsid w:val="00340AF9"/>
    <w:rsid w:val="00340E6D"/>
    <w:rsid w:val="00344216"/>
    <w:rsid w:val="00344F53"/>
    <w:rsid w:val="00346745"/>
    <w:rsid w:val="00353310"/>
    <w:rsid w:val="0035396C"/>
    <w:rsid w:val="00353C48"/>
    <w:rsid w:val="00354EC2"/>
    <w:rsid w:val="00356E98"/>
    <w:rsid w:val="00360764"/>
    <w:rsid w:val="00360E3D"/>
    <w:rsid w:val="00361450"/>
    <w:rsid w:val="00362E2C"/>
    <w:rsid w:val="0036302B"/>
    <w:rsid w:val="003635AF"/>
    <w:rsid w:val="00364C15"/>
    <w:rsid w:val="003666FA"/>
    <w:rsid w:val="003673CF"/>
    <w:rsid w:val="00372449"/>
    <w:rsid w:val="003769D7"/>
    <w:rsid w:val="003837AE"/>
    <w:rsid w:val="003845C1"/>
    <w:rsid w:val="00385D93"/>
    <w:rsid w:val="003875F6"/>
    <w:rsid w:val="00394C94"/>
    <w:rsid w:val="003A0D96"/>
    <w:rsid w:val="003A253B"/>
    <w:rsid w:val="003A5543"/>
    <w:rsid w:val="003A6F89"/>
    <w:rsid w:val="003B0B71"/>
    <w:rsid w:val="003B38C1"/>
    <w:rsid w:val="003C06C1"/>
    <w:rsid w:val="003C0AD1"/>
    <w:rsid w:val="003C0F85"/>
    <w:rsid w:val="003C3E71"/>
    <w:rsid w:val="003C5725"/>
    <w:rsid w:val="003C7030"/>
    <w:rsid w:val="003D606B"/>
    <w:rsid w:val="003D6138"/>
    <w:rsid w:val="003D67A2"/>
    <w:rsid w:val="003D79D9"/>
    <w:rsid w:val="003E350C"/>
    <w:rsid w:val="003E3594"/>
    <w:rsid w:val="003F2159"/>
    <w:rsid w:val="003F2EA9"/>
    <w:rsid w:val="003F3AA3"/>
    <w:rsid w:val="003F5B3E"/>
    <w:rsid w:val="003F6D0E"/>
    <w:rsid w:val="0040350C"/>
    <w:rsid w:val="00406CDE"/>
    <w:rsid w:val="00410A3B"/>
    <w:rsid w:val="00412717"/>
    <w:rsid w:val="00420183"/>
    <w:rsid w:val="00420C0A"/>
    <w:rsid w:val="00420D52"/>
    <w:rsid w:val="00420DE1"/>
    <w:rsid w:val="0042351D"/>
    <w:rsid w:val="00423E3E"/>
    <w:rsid w:val="00425C7C"/>
    <w:rsid w:val="00426465"/>
    <w:rsid w:val="00427AF4"/>
    <w:rsid w:val="00427DAE"/>
    <w:rsid w:val="004310F3"/>
    <w:rsid w:val="00431F89"/>
    <w:rsid w:val="00433582"/>
    <w:rsid w:val="00433875"/>
    <w:rsid w:val="004345D5"/>
    <w:rsid w:val="00441BF3"/>
    <w:rsid w:val="004516CD"/>
    <w:rsid w:val="00453DDB"/>
    <w:rsid w:val="004557A8"/>
    <w:rsid w:val="00455C6D"/>
    <w:rsid w:val="00457C76"/>
    <w:rsid w:val="00463A28"/>
    <w:rsid w:val="004647DA"/>
    <w:rsid w:val="00474062"/>
    <w:rsid w:val="00477D6B"/>
    <w:rsid w:val="004823F6"/>
    <w:rsid w:val="004851D2"/>
    <w:rsid w:val="00492127"/>
    <w:rsid w:val="00494CD5"/>
    <w:rsid w:val="0049620F"/>
    <w:rsid w:val="00496D2F"/>
    <w:rsid w:val="004A0AD3"/>
    <w:rsid w:val="004A37AA"/>
    <w:rsid w:val="004B4A35"/>
    <w:rsid w:val="004B6F61"/>
    <w:rsid w:val="004C1D02"/>
    <w:rsid w:val="004D1FF3"/>
    <w:rsid w:val="004D60B2"/>
    <w:rsid w:val="004E2FA3"/>
    <w:rsid w:val="004E3036"/>
    <w:rsid w:val="004E339B"/>
    <w:rsid w:val="004E5A16"/>
    <w:rsid w:val="004E67E2"/>
    <w:rsid w:val="004E6B66"/>
    <w:rsid w:val="004F232F"/>
    <w:rsid w:val="004F2FA7"/>
    <w:rsid w:val="004F54D9"/>
    <w:rsid w:val="005019FF"/>
    <w:rsid w:val="00507532"/>
    <w:rsid w:val="00513783"/>
    <w:rsid w:val="00514ABF"/>
    <w:rsid w:val="00517DFC"/>
    <w:rsid w:val="00520C62"/>
    <w:rsid w:val="00522009"/>
    <w:rsid w:val="00524FCE"/>
    <w:rsid w:val="00526AC5"/>
    <w:rsid w:val="00526F4B"/>
    <w:rsid w:val="0052796B"/>
    <w:rsid w:val="00527FDA"/>
    <w:rsid w:val="0053057A"/>
    <w:rsid w:val="00530E4E"/>
    <w:rsid w:val="005318E2"/>
    <w:rsid w:val="0053407C"/>
    <w:rsid w:val="00543BD2"/>
    <w:rsid w:val="00543C2F"/>
    <w:rsid w:val="005456BF"/>
    <w:rsid w:val="00546151"/>
    <w:rsid w:val="005477E2"/>
    <w:rsid w:val="00550AC3"/>
    <w:rsid w:val="00550AEE"/>
    <w:rsid w:val="00552572"/>
    <w:rsid w:val="00560A29"/>
    <w:rsid w:val="00564EEE"/>
    <w:rsid w:val="00567C66"/>
    <w:rsid w:val="005771DF"/>
    <w:rsid w:val="00580E86"/>
    <w:rsid w:val="00595516"/>
    <w:rsid w:val="005A0DF4"/>
    <w:rsid w:val="005A19ED"/>
    <w:rsid w:val="005A1B98"/>
    <w:rsid w:val="005A3D1C"/>
    <w:rsid w:val="005A4679"/>
    <w:rsid w:val="005A4946"/>
    <w:rsid w:val="005B0393"/>
    <w:rsid w:val="005B2639"/>
    <w:rsid w:val="005B2C59"/>
    <w:rsid w:val="005B42EE"/>
    <w:rsid w:val="005B596F"/>
    <w:rsid w:val="005B7B99"/>
    <w:rsid w:val="005C605B"/>
    <w:rsid w:val="005C6649"/>
    <w:rsid w:val="005D54C3"/>
    <w:rsid w:val="005D65B9"/>
    <w:rsid w:val="005D71A4"/>
    <w:rsid w:val="005E0C34"/>
    <w:rsid w:val="005E3F12"/>
    <w:rsid w:val="005E4812"/>
    <w:rsid w:val="005E4A3B"/>
    <w:rsid w:val="005E4AE2"/>
    <w:rsid w:val="005E4D4F"/>
    <w:rsid w:val="005E5F50"/>
    <w:rsid w:val="005F33A1"/>
    <w:rsid w:val="005F4794"/>
    <w:rsid w:val="00602C21"/>
    <w:rsid w:val="00602DD2"/>
    <w:rsid w:val="00603C41"/>
    <w:rsid w:val="00605827"/>
    <w:rsid w:val="0061439B"/>
    <w:rsid w:val="006155D1"/>
    <w:rsid w:val="006258FC"/>
    <w:rsid w:val="0062778E"/>
    <w:rsid w:val="0063096E"/>
    <w:rsid w:val="0063142C"/>
    <w:rsid w:val="006349FE"/>
    <w:rsid w:val="006402CE"/>
    <w:rsid w:val="0064332F"/>
    <w:rsid w:val="00646050"/>
    <w:rsid w:val="006513CA"/>
    <w:rsid w:val="006524CF"/>
    <w:rsid w:val="006534E9"/>
    <w:rsid w:val="00653CDB"/>
    <w:rsid w:val="006621E1"/>
    <w:rsid w:val="00663023"/>
    <w:rsid w:val="0066643E"/>
    <w:rsid w:val="006713CA"/>
    <w:rsid w:val="00675CFC"/>
    <w:rsid w:val="0067644E"/>
    <w:rsid w:val="00676644"/>
    <w:rsid w:val="00676C5C"/>
    <w:rsid w:val="0068452E"/>
    <w:rsid w:val="0068627B"/>
    <w:rsid w:val="00690085"/>
    <w:rsid w:val="00693BCA"/>
    <w:rsid w:val="006A10BE"/>
    <w:rsid w:val="006A7ADC"/>
    <w:rsid w:val="006B0378"/>
    <w:rsid w:val="006B1694"/>
    <w:rsid w:val="006B4B4E"/>
    <w:rsid w:val="006B6D7D"/>
    <w:rsid w:val="006C0925"/>
    <w:rsid w:val="006C56AB"/>
    <w:rsid w:val="006D4DC9"/>
    <w:rsid w:val="006D6566"/>
    <w:rsid w:val="006E2A46"/>
    <w:rsid w:val="006E407E"/>
    <w:rsid w:val="006E4A37"/>
    <w:rsid w:val="006E6400"/>
    <w:rsid w:val="006F029F"/>
    <w:rsid w:val="006F16D0"/>
    <w:rsid w:val="006F6CA3"/>
    <w:rsid w:val="0070070D"/>
    <w:rsid w:val="0070151F"/>
    <w:rsid w:val="007023F1"/>
    <w:rsid w:val="00706F91"/>
    <w:rsid w:val="00712679"/>
    <w:rsid w:val="007127C2"/>
    <w:rsid w:val="007204B5"/>
    <w:rsid w:val="00720A5B"/>
    <w:rsid w:val="00721303"/>
    <w:rsid w:val="007214B4"/>
    <w:rsid w:val="00723020"/>
    <w:rsid w:val="00727563"/>
    <w:rsid w:val="0073082A"/>
    <w:rsid w:val="007315FF"/>
    <w:rsid w:val="007341D0"/>
    <w:rsid w:val="00736EF3"/>
    <w:rsid w:val="00741BA7"/>
    <w:rsid w:val="007423A2"/>
    <w:rsid w:val="007452F1"/>
    <w:rsid w:val="00746C6D"/>
    <w:rsid w:val="00751D1C"/>
    <w:rsid w:val="007525B2"/>
    <w:rsid w:val="0075338C"/>
    <w:rsid w:val="00761A95"/>
    <w:rsid w:val="0076218A"/>
    <w:rsid w:val="00764174"/>
    <w:rsid w:val="0077259B"/>
    <w:rsid w:val="00773F6F"/>
    <w:rsid w:val="00774B99"/>
    <w:rsid w:val="00775162"/>
    <w:rsid w:val="00775190"/>
    <w:rsid w:val="007764D0"/>
    <w:rsid w:val="00780843"/>
    <w:rsid w:val="00784F3F"/>
    <w:rsid w:val="007878BF"/>
    <w:rsid w:val="00790748"/>
    <w:rsid w:val="007948AB"/>
    <w:rsid w:val="00795449"/>
    <w:rsid w:val="007A0DDE"/>
    <w:rsid w:val="007A182C"/>
    <w:rsid w:val="007A3DC2"/>
    <w:rsid w:val="007A48BB"/>
    <w:rsid w:val="007B0A0A"/>
    <w:rsid w:val="007B19B7"/>
    <w:rsid w:val="007B45D6"/>
    <w:rsid w:val="007B5F9A"/>
    <w:rsid w:val="007B6D74"/>
    <w:rsid w:val="007B70A3"/>
    <w:rsid w:val="007C4398"/>
    <w:rsid w:val="007C5846"/>
    <w:rsid w:val="007C6BFC"/>
    <w:rsid w:val="007D0D0C"/>
    <w:rsid w:val="007D1613"/>
    <w:rsid w:val="007D3F1A"/>
    <w:rsid w:val="007E1AE3"/>
    <w:rsid w:val="007E2190"/>
    <w:rsid w:val="007E36E7"/>
    <w:rsid w:val="007E625D"/>
    <w:rsid w:val="007F11AC"/>
    <w:rsid w:val="007F4932"/>
    <w:rsid w:val="007F72A9"/>
    <w:rsid w:val="00802964"/>
    <w:rsid w:val="008146CB"/>
    <w:rsid w:val="00816CAB"/>
    <w:rsid w:val="008172B2"/>
    <w:rsid w:val="00817B91"/>
    <w:rsid w:val="00823713"/>
    <w:rsid w:val="00827F61"/>
    <w:rsid w:val="00830524"/>
    <w:rsid w:val="0083798A"/>
    <w:rsid w:val="00842AA4"/>
    <w:rsid w:val="00842E77"/>
    <w:rsid w:val="008444CF"/>
    <w:rsid w:val="00847320"/>
    <w:rsid w:val="00850633"/>
    <w:rsid w:val="00850915"/>
    <w:rsid w:val="008550B5"/>
    <w:rsid w:val="008646C3"/>
    <w:rsid w:val="00865DA5"/>
    <w:rsid w:val="00867249"/>
    <w:rsid w:val="00873BE9"/>
    <w:rsid w:val="00874699"/>
    <w:rsid w:val="00875B16"/>
    <w:rsid w:val="00890F74"/>
    <w:rsid w:val="00893ED4"/>
    <w:rsid w:val="0089640E"/>
    <w:rsid w:val="008A195F"/>
    <w:rsid w:val="008A43CE"/>
    <w:rsid w:val="008A64B1"/>
    <w:rsid w:val="008B2CC1"/>
    <w:rsid w:val="008B3863"/>
    <w:rsid w:val="008B60B2"/>
    <w:rsid w:val="008C0498"/>
    <w:rsid w:val="008C1F2B"/>
    <w:rsid w:val="008C57E2"/>
    <w:rsid w:val="008D0634"/>
    <w:rsid w:val="008D43AF"/>
    <w:rsid w:val="008E415C"/>
    <w:rsid w:val="008E4D82"/>
    <w:rsid w:val="008E70D6"/>
    <w:rsid w:val="008F34EA"/>
    <w:rsid w:val="008F4EA9"/>
    <w:rsid w:val="008F7BC2"/>
    <w:rsid w:val="009011D9"/>
    <w:rsid w:val="00903FDA"/>
    <w:rsid w:val="0090731E"/>
    <w:rsid w:val="009078B6"/>
    <w:rsid w:val="009122C4"/>
    <w:rsid w:val="00916EE2"/>
    <w:rsid w:val="00920B26"/>
    <w:rsid w:val="00923EA1"/>
    <w:rsid w:val="00932704"/>
    <w:rsid w:val="00932F48"/>
    <w:rsid w:val="009378C0"/>
    <w:rsid w:val="00937ACE"/>
    <w:rsid w:val="00937B99"/>
    <w:rsid w:val="009435B1"/>
    <w:rsid w:val="009458A4"/>
    <w:rsid w:val="00947172"/>
    <w:rsid w:val="0095029D"/>
    <w:rsid w:val="00950414"/>
    <w:rsid w:val="00952DBB"/>
    <w:rsid w:val="00953DE9"/>
    <w:rsid w:val="00954B58"/>
    <w:rsid w:val="0095678B"/>
    <w:rsid w:val="009570F9"/>
    <w:rsid w:val="0096181D"/>
    <w:rsid w:val="00966A22"/>
    <w:rsid w:val="0096722F"/>
    <w:rsid w:val="00970C28"/>
    <w:rsid w:val="00972A22"/>
    <w:rsid w:val="00976EB0"/>
    <w:rsid w:val="00977BB9"/>
    <w:rsid w:val="0098048D"/>
    <w:rsid w:val="00980843"/>
    <w:rsid w:val="00983F1F"/>
    <w:rsid w:val="00984B41"/>
    <w:rsid w:val="0098507A"/>
    <w:rsid w:val="0099343F"/>
    <w:rsid w:val="0099358E"/>
    <w:rsid w:val="00994706"/>
    <w:rsid w:val="00997251"/>
    <w:rsid w:val="009A5468"/>
    <w:rsid w:val="009B129F"/>
    <w:rsid w:val="009B1D2B"/>
    <w:rsid w:val="009B749B"/>
    <w:rsid w:val="009C00C2"/>
    <w:rsid w:val="009C30CC"/>
    <w:rsid w:val="009D2738"/>
    <w:rsid w:val="009D47F8"/>
    <w:rsid w:val="009D5E7C"/>
    <w:rsid w:val="009E1DDE"/>
    <w:rsid w:val="009E2791"/>
    <w:rsid w:val="009E289D"/>
    <w:rsid w:val="009E3F6F"/>
    <w:rsid w:val="009E73AA"/>
    <w:rsid w:val="009F2975"/>
    <w:rsid w:val="009F499F"/>
    <w:rsid w:val="009F6187"/>
    <w:rsid w:val="009F6D44"/>
    <w:rsid w:val="009F7616"/>
    <w:rsid w:val="00A00234"/>
    <w:rsid w:val="00A110A4"/>
    <w:rsid w:val="00A11B38"/>
    <w:rsid w:val="00A12CD0"/>
    <w:rsid w:val="00A14814"/>
    <w:rsid w:val="00A17E51"/>
    <w:rsid w:val="00A213ED"/>
    <w:rsid w:val="00A21C52"/>
    <w:rsid w:val="00A224DB"/>
    <w:rsid w:val="00A252A7"/>
    <w:rsid w:val="00A2646F"/>
    <w:rsid w:val="00A2668F"/>
    <w:rsid w:val="00A26BFB"/>
    <w:rsid w:val="00A31E78"/>
    <w:rsid w:val="00A32E32"/>
    <w:rsid w:val="00A36D01"/>
    <w:rsid w:val="00A37E3D"/>
    <w:rsid w:val="00A42DAF"/>
    <w:rsid w:val="00A458D8"/>
    <w:rsid w:val="00A45BD8"/>
    <w:rsid w:val="00A5052C"/>
    <w:rsid w:val="00A5124A"/>
    <w:rsid w:val="00A5470E"/>
    <w:rsid w:val="00A61F0D"/>
    <w:rsid w:val="00A64259"/>
    <w:rsid w:val="00A674A0"/>
    <w:rsid w:val="00A750A0"/>
    <w:rsid w:val="00A849FC"/>
    <w:rsid w:val="00A869B7"/>
    <w:rsid w:val="00A87281"/>
    <w:rsid w:val="00A87385"/>
    <w:rsid w:val="00A87E0B"/>
    <w:rsid w:val="00A92914"/>
    <w:rsid w:val="00A95497"/>
    <w:rsid w:val="00A9674A"/>
    <w:rsid w:val="00AA157D"/>
    <w:rsid w:val="00AA7931"/>
    <w:rsid w:val="00AB6794"/>
    <w:rsid w:val="00AC0C8D"/>
    <w:rsid w:val="00AC205C"/>
    <w:rsid w:val="00AC230E"/>
    <w:rsid w:val="00AC2D65"/>
    <w:rsid w:val="00AC3336"/>
    <w:rsid w:val="00AC4C9E"/>
    <w:rsid w:val="00AC61B0"/>
    <w:rsid w:val="00AC6ADD"/>
    <w:rsid w:val="00AD1DB6"/>
    <w:rsid w:val="00AD6856"/>
    <w:rsid w:val="00AE5CAE"/>
    <w:rsid w:val="00AE5DB2"/>
    <w:rsid w:val="00AE61A1"/>
    <w:rsid w:val="00AE7216"/>
    <w:rsid w:val="00AF0A6B"/>
    <w:rsid w:val="00AF23A2"/>
    <w:rsid w:val="00AF3690"/>
    <w:rsid w:val="00AF6EF2"/>
    <w:rsid w:val="00B0134D"/>
    <w:rsid w:val="00B040FB"/>
    <w:rsid w:val="00B044DA"/>
    <w:rsid w:val="00B05A69"/>
    <w:rsid w:val="00B07E1E"/>
    <w:rsid w:val="00B10C5F"/>
    <w:rsid w:val="00B12483"/>
    <w:rsid w:val="00B134DA"/>
    <w:rsid w:val="00B13B6A"/>
    <w:rsid w:val="00B14E25"/>
    <w:rsid w:val="00B15B66"/>
    <w:rsid w:val="00B22A73"/>
    <w:rsid w:val="00B2489D"/>
    <w:rsid w:val="00B26469"/>
    <w:rsid w:val="00B275DF"/>
    <w:rsid w:val="00B27781"/>
    <w:rsid w:val="00B31E6B"/>
    <w:rsid w:val="00B33173"/>
    <w:rsid w:val="00B350D2"/>
    <w:rsid w:val="00B36CB7"/>
    <w:rsid w:val="00B47429"/>
    <w:rsid w:val="00B47BBC"/>
    <w:rsid w:val="00B55DE0"/>
    <w:rsid w:val="00B568B8"/>
    <w:rsid w:val="00B57FA2"/>
    <w:rsid w:val="00B613F1"/>
    <w:rsid w:val="00B67BB0"/>
    <w:rsid w:val="00B70BEB"/>
    <w:rsid w:val="00B72F70"/>
    <w:rsid w:val="00B77189"/>
    <w:rsid w:val="00B80EFF"/>
    <w:rsid w:val="00B833D8"/>
    <w:rsid w:val="00B849E5"/>
    <w:rsid w:val="00B90F55"/>
    <w:rsid w:val="00B91486"/>
    <w:rsid w:val="00B92184"/>
    <w:rsid w:val="00B968A0"/>
    <w:rsid w:val="00B9734B"/>
    <w:rsid w:val="00BA0CE1"/>
    <w:rsid w:val="00BA1EFB"/>
    <w:rsid w:val="00BA29A5"/>
    <w:rsid w:val="00BA2BCF"/>
    <w:rsid w:val="00BA6B82"/>
    <w:rsid w:val="00BB231F"/>
    <w:rsid w:val="00BB2811"/>
    <w:rsid w:val="00BB3B69"/>
    <w:rsid w:val="00BB3FF5"/>
    <w:rsid w:val="00BB4B28"/>
    <w:rsid w:val="00BB6E23"/>
    <w:rsid w:val="00BC40C6"/>
    <w:rsid w:val="00BD1E5B"/>
    <w:rsid w:val="00BD2C19"/>
    <w:rsid w:val="00BD7C64"/>
    <w:rsid w:val="00BE7815"/>
    <w:rsid w:val="00BF01B3"/>
    <w:rsid w:val="00BF0412"/>
    <w:rsid w:val="00BF2121"/>
    <w:rsid w:val="00BF3E47"/>
    <w:rsid w:val="00BF7648"/>
    <w:rsid w:val="00C014B3"/>
    <w:rsid w:val="00C02B57"/>
    <w:rsid w:val="00C07977"/>
    <w:rsid w:val="00C11BFE"/>
    <w:rsid w:val="00C1324E"/>
    <w:rsid w:val="00C13343"/>
    <w:rsid w:val="00C16C4E"/>
    <w:rsid w:val="00C17A92"/>
    <w:rsid w:val="00C17E16"/>
    <w:rsid w:val="00C2621C"/>
    <w:rsid w:val="00C275C1"/>
    <w:rsid w:val="00C41ED5"/>
    <w:rsid w:val="00C43186"/>
    <w:rsid w:val="00C43C38"/>
    <w:rsid w:val="00C45A0C"/>
    <w:rsid w:val="00C45A59"/>
    <w:rsid w:val="00C464E8"/>
    <w:rsid w:val="00C46E3C"/>
    <w:rsid w:val="00C51A77"/>
    <w:rsid w:val="00C533B3"/>
    <w:rsid w:val="00C54239"/>
    <w:rsid w:val="00C54D2A"/>
    <w:rsid w:val="00C55510"/>
    <w:rsid w:val="00C55F0F"/>
    <w:rsid w:val="00C575C2"/>
    <w:rsid w:val="00C57E27"/>
    <w:rsid w:val="00C62638"/>
    <w:rsid w:val="00C65E31"/>
    <w:rsid w:val="00C66005"/>
    <w:rsid w:val="00C6648C"/>
    <w:rsid w:val="00C666D1"/>
    <w:rsid w:val="00C70B0A"/>
    <w:rsid w:val="00C70EE3"/>
    <w:rsid w:val="00C71760"/>
    <w:rsid w:val="00C719B6"/>
    <w:rsid w:val="00C71CA2"/>
    <w:rsid w:val="00C740A7"/>
    <w:rsid w:val="00C7433A"/>
    <w:rsid w:val="00C74470"/>
    <w:rsid w:val="00C755D1"/>
    <w:rsid w:val="00C75A8F"/>
    <w:rsid w:val="00C77A76"/>
    <w:rsid w:val="00C83160"/>
    <w:rsid w:val="00C86837"/>
    <w:rsid w:val="00C92786"/>
    <w:rsid w:val="00C9356A"/>
    <w:rsid w:val="00CA13CE"/>
    <w:rsid w:val="00CB109A"/>
    <w:rsid w:val="00CB4322"/>
    <w:rsid w:val="00CB50DD"/>
    <w:rsid w:val="00CB6639"/>
    <w:rsid w:val="00CB7B41"/>
    <w:rsid w:val="00CC054D"/>
    <w:rsid w:val="00CC7C11"/>
    <w:rsid w:val="00CD1952"/>
    <w:rsid w:val="00CD3A08"/>
    <w:rsid w:val="00CD42AA"/>
    <w:rsid w:val="00CE18E5"/>
    <w:rsid w:val="00CE482F"/>
    <w:rsid w:val="00CE7CC2"/>
    <w:rsid w:val="00CF4AB6"/>
    <w:rsid w:val="00CF4D29"/>
    <w:rsid w:val="00CF4EEB"/>
    <w:rsid w:val="00D049FE"/>
    <w:rsid w:val="00D0535E"/>
    <w:rsid w:val="00D102E1"/>
    <w:rsid w:val="00D152C5"/>
    <w:rsid w:val="00D1631B"/>
    <w:rsid w:val="00D16BBC"/>
    <w:rsid w:val="00D17EA9"/>
    <w:rsid w:val="00D272AC"/>
    <w:rsid w:val="00D3016B"/>
    <w:rsid w:val="00D30528"/>
    <w:rsid w:val="00D32D41"/>
    <w:rsid w:val="00D36E22"/>
    <w:rsid w:val="00D40D6E"/>
    <w:rsid w:val="00D43440"/>
    <w:rsid w:val="00D44C50"/>
    <w:rsid w:val="00D44F59"/>
    <w:rsid w:val="00D45252"/>
    <w:rsid w:val="00D47363"/>
    <w:rsid w:val="00D602A1"/>
    <w:rsid w:val="00D63FF2"/>
    <w:rsid w:val="00D71B4D"/>
    <w:rsid w:val="00D72D4E"/>
    <w:rsid w:val="00D74AE7"/>
    <w:rsid w:val="00D76CA6"/>
    <w:rsid w:val="00D802F9"/>
    <w:rsid w:val="00D83368"/>
    <w:rsid w:val="00D844B3"/>
    <w:rsid w:val="00D859C5"/>
    <w:rsid w:val="00D930A7"/>
    <w:rsid w:val="00D938E3"/>
    <w:rsid w:val="00D93BCC"/>
    <w:rsid w:val="00D93D55"/>
    <w:rsid w:val="00D93D7E"/>
    <w:rsid w:val="00D93E14"/>
    <w:rsid w:val="00DB09F3"/>
    <w:rsid w:val="00DB1A01"/>
    <w:rsid w:val="00DB394F"/>
    <w:rsid w:val="00DC2B36"/>
    <w:rsid w:val="00DC3D87"/>
    <w:rsid w:val="00DE005B"/>
    <w:rsid w:val="00DE648D"/>
    <w:rsid w:val="00DE7200"/>
    <w:rsid w:val="00DF341D"/>
    <w:rsid w:val="00E05113"/>
    <w:rsid w:val="00E05830"/>
    <w:rsid w:val="00E271B0"/>
    <w:rsid w:val="00E335FE"/>
    <w:rsid w:val="00E33FA7"/>
    <w:rsid w:val="00E35EE8"/>
    <w:rsid w:val="00E41A38"/>
    <w:rsid w:val="00E448CB"/>
    <w:rsid w:val="00E45FD6"/>
    <w:rsid w:val="00E53C0A"/>
    <w:rsid w:val="00E60AAF"/>
    <w:rsid w:val="00E60C64"/>
    <w:rsid w:val="00E6380E"/>
    <w:rsid w:val="00E7177D"/>
    <w:rsid w:val="00E73F94"/>
    <w:rsid w:val="00E754DB"/>
    <w:rsid w:val="00E8102E"/>
    <w:rsid w:val="00E84B25"/>
    <w:rsid w:val="00E95A6E"/>
    <w:rsid w:val="00E96ADE"/>
    <w:rsid w:val="00E9742B"/>
    <w:rsid w:val="00EA06F5"/>
    <w:rsid w:val="00EA75DE"/>
    <w:rsid w:val="00EB0A62"/>
    <w:rsid w:val="00EB0D05"/>
    <w:rsid w:val="00EB449E"/>
    <w:rsid w:val="00EB44A3"/>
    <w:rsid w:val="00EB7312"/>
    <w:rsid w:val="00EB7472"/>
    <w:rsid w:val="00EC0298"/>
    <w:rsid w:val="00EC4937"/>
    <w:rsid w:val="00EC4E49"/>
    <w:rsid w:val="00EC746E"/>
    <w:rsid w:val="00EC7C07"/>
    <w:rsid w:val="00ED1E87"/>
    <w:rsid w:val="00ED2898"/>
    <w:rsid w:val="00ED525F"/>
    <w:rsid w:val="00ED77FB"/>
    <w:rsid w:val="00ED7E09"/>
    <w:rsid w:val="00EE0566"/>
    <w:rsid w:val="00EE45FA"/>
    <w:rsid w:val="00EE7CD8"/>
    <w:rsid w:val="00EF06C5"/>
    <w:rsid w:val="00EF684F"/>
    <w:rsid w:val="00EF6925"/>
    <w:rsid w:val="00EF736E"/>
    <w:rsid w:val="00EF75CC"/>
    <w:rsid w:val="00F0123F"/>
    <w:rsid w:val="00F01A16"/>
    <w:rsid w:val="00F02B8D"/>
    <w:rsid w:val="00F0322A"/>
    <w:rsid w:val="00F0466A"/>
    <w:rsid w:val="00F12FD4"/>
    <w:rsid w:val="00F13214"/>
    <w:rsid w:val="00F1479F"/>
    <w:rsid w:val="00F17777"/>
    <w:rsid w:val="00F264F3"/>
    <w:rsid w:val="00F277BE"/>
    <w:rsid w:val="00F332B2"/>
    <w:rsid w:val="00F34E9A"/>
    <w:rsid w:val="00F37413"/>
    <w:rsid w:val="00F46949"/>
    <w:rsid w:val="00F512F7"/>
    <w:rsid w:val="00F522CA"/>
    <w:rsid w:val="00F53802"/>
    <w:rsid w:val="00F54B81"/>
    <w:rsid w:val="00F55542"/>
    <w:rsid w:val="00F63A34"/>
    <w:rsid w:val="00F66152"/>
    <w:rsid w:val="00F667BC"/>
    <w:rsid w:val="00F72E06"/>
    <w:rsid w:val="00F73639"/>
    <w:rsid w:val="00F74A9F"/>
    <w:rsid w:val="00F753C6"/>
    <w:rsid w:val="00F77970"/>
    <w:rsid w:val="00F83BAB"/>
    <w:rsid w:val="00F84DD7"/>
    <w:rsid w:val="00F86385"/>
    <w:rsid w:val="00F87165"/>
    <w:rsid w:val="00F87B87"/>
    <w:rsid w:val="00F9013D"/>
    <w:rsid w:val="00F91646"/>
    <w:rsid w:val="00F92124"/>
    <w:rsid w:val="00F92C41"/>
    <w:rsid w:val="00F948D6"/>
    <w:rsid w:val="00F95772"/>
    <w:rsid w:val="00F975C5"/>
    <w:rsid w:val="00FB27BC"/>
    <w:rsid w:val="00FC2BB7"/>
    <w:rsid w:val="00FC60DF"/>
    <w:rsid w:val="00FC6D1D"/>
    <w:rsid w:val="00FD05E6"/>
    <w:rsid w:val="00FD1B11"/>
    <w:rsid w:val="00FD3602"/>
    <w:rsid w:val="00FD625B"/>
    <w:rsid w:val="00FE25FA"/>
    <w:rsid w:val="00FE68AB"/>
    <w:rsid w:val="00FF2296"/>
    <w:rsid w:val="00FF246F"/>
    <w:rsid w:val="00FF3AD0"/>
    <w:rsid w:val="00FF5001"/>
    <w:rsid w:val="00FF653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A46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6E2A46"/>
    <w:pPr>
      <w:keepNext/>
      <w:numPr>
        <w:numId w:val="4"/>
      </w:numPr>
      <w:spacing w:before="240" w:after="60"/>
      <w:ind w:left="567" w:hanging="567"/>
      <w:outlineLvl w:val="0"/>
    </w:pPr>
    <w:rPr>
      <w:b/>
      <w:bCs/>
      <w:caps/>
      <w:kern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qFormat/>
    <w:rsid w:val="006E2A46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E2A46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E2A46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55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6E2A46"/>
    <w:pPr>
      <w:ind w:left="5534"/>
    </w:pPr>
    <w:rPr>
      <w:lang w:val="en-US"/>
    </w:rPr>
  </w:style>
  <w:style w:type="paragraph" w:styleId="BodyText">
    <w:name w:val="Body Text"/>
    <w:basedOn w:val="Normal"/>
    <w:rsid w:val="006E2A46"/>
    <w:pPr>
      <w:spacing w:after="220"/>
    </w:pPr>
  </w:style>
  <w:style w:type="paragraph" w:styleId="Caption">
    <w:name w:val="caption"/>
    <w:basedOn w:val="Normal"/>
    <w:next w:val="Normal"/>
    <w:qFormat/>
    <w:rsid w:val="006E2A46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E2A46"/>
    <w:rPr>
      <w:sz w:val="18"/>
    </w:rPr>
  </w:style>
  <w:style w:type="paragraph" w:styleId="EndnoteText">
    <w:name w:val="endnote text"/>
    <w:basedOn w:val="Normal"/>
    <w:semiHidden/>
    <w:rsid w:val="006E2A46"/>
    <w:rPr>
      <w:sz w:val="18"/>
    </w:rPr>
  </w:style>
  <w:style w:type="paragraph" w:styleId="Footer">
    <w:name w:val="footer"/>
    <w:basedOn w:val="Normal"/>
    <w:semiHidden/>
    <w:rsid w:val="006E2A4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E2A46"/>
    <w:rPr>
      <w:sz w:val="18"/>
    </w:rPr>
  </w:style>
  <w:style w:type="paragraph" w:styleId="Header">
    <w:name w:val="header"/>
    <w:basedOn w:val="Normal"/>
    <w:link w:val="HeaderChar"/>
    <w:semiHidden/>
    <w:rsid w:val="006E2A46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E2A46"/>
    <w:pPr>
      <w:numPr>
        <w:numId w:val="1"/>
      </w:numPr>
    </w:pPr>
  </w:style>
  <w:style w:type="paragraph" w:customStyle="1" w:styleId="ONUME">
    <w:name w:val="ONUM E"/>
    <w:basedOn w:val="BodyText"/>
    <w:rsid w:val="006E2A46"/>
    <w:pPr>
      <w:numPr>
        <w:numId w:val="2"/>
      </w:numPr>
    </w:pPr>
  </w:style>
  <w:style w:type="paragraph" w:customStyle="1" w:styleId="ONUMFS">
    <w:name w:val="ONUM FS"/>
    <w:basedOn w:val="BodyText"/>
    <w:rsid w:val="006E2A46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E2A46"/>
  </w:style>
  <w:style w:type="paragraph" w:styleId="Signature">
    <w:name w:val="Signature"/>
    <w:basedOn w:val="Normal"/>
    <w:semiHidden/>
    <w:rsid w:val="006E2A46"/>
    <w:pPr>
      <w:ind w:left="5250"/>
    </w:pPr>
  </w:style>
  <w:style w:type="paragraph" w:styleId="BalloonText">
    <w:name w:val="Balloon Text"/>
    <w:basedOn w:val="Normal"/>
    <w:link w:val="BalloonTextChar"/>
    <w:rsid w:val="00827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F61"/>
    <w:rPr>
      <w:rFonts w:ascii="Tahoma" w:eastAsia="SimSun" w:hAnsi="Tahoma" w:cs="Tahoma"/>
      <w:sz w:val="16"/>
      <w:szCs w:val="16"/>
      <w:lang w:eastAsia="zh-CN"/>
    </w:rPr>
  </w:style>
  <w:style w:type="character" w:customStyle="1" w:styleId="Endofdocument-AnnexChar">
    <w:name w:val="[End of document - Annex] Char"/>
    <w:link w:val="Endofdocument-Annex"/>
    <w:rsid w:val="00827F61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link w:val="FootnoteText"/>
    <w:semiHidden/>
    <w:locked/>
    <w:rsid w:val="000D23C2"/>
    <w:rPr>
      <w:rFonts w:ascii="Arial" w:eastAsia="SimSun" w:hAnsi="Arial" w:cs="Arial"/>
      <w:sz w:val="18"/>
      <w:lang w:val="fr-CH" w:eastAsia="zh-CN"/>
    </w:rPr>
  </w:style>
  <w:style w:type="character" w:customStyle="1" w:styleId="HeaderChar">
    <w:name w:val="Header Char"/>
    <w:link w:val="Header"/>
    <w:semiHidden/>
    <w:locked/>
    <w:rsid w:val="000D23C2"/>
    <w:rPr>
      <w:rFonts w:ascii="Arial" w:eastAsia="SimSun" w:hAnsi="Arial" w:cs="Arial"/>
      <w:sz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rsid w:val="000D23C2"/>
    <w:pPr>
      <w:tabs>
        <w:tab w:val="left" w:pos="851"/>
        <w:tab w:val="right" w:leader="dot" w:pos="9345"/>
      </w:tabs>
      <w:ind w:left="440"/>
    </w:pPr>
  </w:style>
  <w:style w:type="paragraph" w:styleId="TOC1">
    <w:name w:val="toc 1"/>
    <w:basedOn w:val="Normal"/>
    <w:next w:val="Normal"/>
    <w:autoRedefine/>
    <w:uiPriority w:val="39"/>
    <w:rsid w:val="000D23C2"/>
    <w:pPr>
      <w:spacing w:before="120" w:after="1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rsid w:val="000D23C2"/>
    <w:pPr>
      <w:spacing w:before="120" w:after="120"/>
      <w:ind w:left="221"/>
    </w:pPr>
    <w:rPr>
      <w:caps/>
    </w:rPr>
  </w:style>
  <w:style w:type="character" w:styleId="FootnoteReference">
    <w:name w:val="footnote reference"/>
    <w:aliases w:val="callout"/>
    <w:rsid w:val="000D23C2"/>
    <w:rPr>
      <w:rFonts w:cs="Times New Roman"/>
      <w:vertAlign w:val="superscript"/>
    </w:rPr>
  </w:style>
  <w:style w:type="character" w:styleId="Hyperlink">
    <w:name w:val="Hyperlink"/>
    <w:uiPriority w:val="99"/>
    <w:rsid w:val="000D23C2"/>
    <w:rPr>
      <w:color w:val="0000FF"/>
      <w:u w:val="single"/>
    </w:rPr>
  </w:style>
  <w:style w:type="paragraph" w:styleId="BodyText3">
    <w:name w:val="Body Text 3"/>
    <w:basedOn w:val="Normal"/>
    <w:link w:val="BodyText3Char"/>
    <w:rsid w:val="000D23C2"/>
    <w:pPr>
      <w:spacing w:after="120" w:line="260" w:lineRule="atLeast"/>
      <w:ind w:left="1021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D23C2"/>
    <w:rPr>
      <w:rFonts w:ascii="Arial" w:hAnsi="Arial"/>
      <w:sz w:val="16"/>
      <w:szCs w:val="16"/>
      <w:lang w:val="x-none" w:eastAsia="x-none"/>
    </w:rPr>
  </w:style>
  <w:style w:type="paragraph" w:customStyle="1" w:styleId="MediumGrid1-Accent21">
    <w:name w:val="Medium Grid 1 - Accent 21"/>
    <w:basedOn w:val="Normal"/>
    <w:uiPriority w:val="34"/>
    <w:qFormat/>
    <w:rsid w:val="000D23C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CommentReference">
    <w:name w:val="annotation reference"/>
    <w:rsid w:val="000D23C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0D23C2"/>
    <w:rPr>
      <w:rFonts w:cs="Times New Roman"/>
      <w:b/>
      <w:bCs/>
      <w:lang w:val="x-none"/>
    </w:rPr>
  </w:style>
  <w:style w:type="character" w:customStyle="1" w:styleId="CommentTextChar">
    <w:name w:val="Comment Text Char"/>
    <w:basedOn w:val="DefaultParagraphFont"/>
    <w:link w:val="CommentText"/>
    <w:semiHidden/>
    <w:rsid w:val="000D23C2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rsid w:val="000D23C2"/>
    <w:rPr>
      <w:rFonts w:ascii="Arial" w:eastAsia="SimSun" w:hAnsi="Arial" w:cs="Arial"/>
      <w:b/>
      <w:bCs/>
      <w:sz w:val="18"/>
      <w:lang w:val="x-none" w:eastAsia="zh-CN"/>
    </w:rPr>
  </w:style>
  <w:style w:type="table" w:styleId="TableGrid">
    <w:name w:val="Table Grid"/>
    <w:basedOn w:val="TableNormal"/>
    <w:rsid w:val="000D23C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E2A46"/>
    <w:rPr>
      <w:rFonts w:ascii="Arial" w:eastAsia="SimSun" w:hAnsi="Arial" w:cs="Arial"/>
      <w:b/>
      <w:bCs/>
      <w:caps/>
      <w:kern w:val="32"/>
      <w:sz w:val="22"/>
      <w:szCs w:val="32"/>
      <w:lang w:val="fr-FR" w:eastAsia="zh-CN"/>
    </w:rPr>
  </w:style>
  <w:style w:type="character" w:customStyle="1" w:styleId="Heading3Char">
    <w:name w:val="Heading 3 Char"/>
    <w:link w:val="Heading3"/>
    <w:rsid w:val="000D23C2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paragraph" w:styleId="Revision">
    <w:name w:val="Revision"/>
    <w:hidden/>
    <w:uiPriority w:val="99"/>
    <w:semiHidden/>
    <w:rsid w:val="000D23C2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0D23C2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755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6E2A46"/>
    <w:pPr>
      <w:ind w:left="720"/>
      <w:contextualSpacing/>
    </w:pPr>
  </w:style>
  <w:style w:type="character" w:customStyle="1" w:styleId="tagtrans">
    <w:name w:val="tag_trans"/>
    <w:basedOn w:val="DefaultParagraphFont"/>
    <w:rsid w:val="007F4932"/>
  </w:style>
  <w:style w:type="character" w:customStyle="1" w:styleId="st">
    <w:name w:val="st"/>
    <w:basedOn w:val="DefaultParagraphFont"/>
    <w:rsid w:val="008F7BC2"/>
  </w:style>
  <w:style w:type="table" w:customStyle="1" w:styleId="TableGrid1">
    <w:name w:val="Table Grid1"/>
    <w:basedOn w:val="TableNormal"/>
    <w:next w:val="TableGrid"/>
    <w:rsid w:val="0060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7E36E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5A1B98"/>
    <w:rPr>
      <w:rFonts w:ascii="Arial" w:eastAsia="SimSun" w:hAnsi="Arial" w:cs="Arial"/>
      <w:bCs/>
      <w:iCs/>
      <w:caps/>
      <w:sz w:val="22"/>
      <w:szCs w:val="28"/>
      <w:lang w:val="fr-CH" w:eastAsia="zh-CN"/>
    </w:rPr>
  </w:style>
  <w:style w:type="paragraph" w:customStyle="1" w:styleId="Meetingplacedate">
    <w:name w:val="Meeting place &amp; date"/>
    <w:basedOn w:val="Normal"/>
    <w:next w:val="Normal"/>
    <w:rsid w:val="006E2A46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6E2A46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A46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6E2A46"/>
    <w:pPr>
      <w:keepNext/>
      <w:numPr>
        <w:numId w:val="4"/>
      </w:numPr>
      <w:spacing w:before="240" w:after="60"/>
      <w:ind w:left="567" w:hanging="567"/>
      <w:outlineLvl w:val="0"/>
    </w:pPr>
    <w:rPr>
      <w:b/>
      <w:bCs/>
      <w:caps/>
      <w:kern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qFormat/>
    <w:rsid w:val="006E2A46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E2A46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E2A46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55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6E2A46"/>
    <w:pPr>
      <w:ind w:left="5534"/>
    </w:pPr>
    <w:rPr>
      <w:lang w:val="en-US"/>
    </w:rPr>
  </w:style>
  <w:style w:type="paragraph" w:styleId="BodyText">
    <w:name w:val="Body Text"/>
    <w:basedOn w:val="Normal"/>
    <w:rsid w:val="006E2A46"/>
    <w:pPr>
      <w:spacing w:after="220"/>
    </w:pPr>
  </w:style>
  <w:style w:type="paragraph" w:styleId="Caption">
    <w:name w:val="caption"/>
    <w:basedOn w:val="Normal"/>
    <w:next w:val="Normal"/>
    <w:qFormat/>
    <w:rsid w:val="006E2A46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E2A46"/>
    <w:rPr>
      <w:sz w:val="18"/>
    </w:rPr>
  </w:style>
  <w:style w:type="paragraph" w:styleId="EndnoteText">
    <w:name w:val="endnote text"/>
    <w:basedOn w:val="Normal"/>
    <w:semiHidden/>
    <w:rsid w:val="006E2A46"/>
    <w:rPr>
      <w:sz w:val="18"/>
    </w:rPr>
  </w:style>
  <w:style w:type="paragraph" w:styleId="Footer">
    <w:name w:val="footer"/>
    <w:basedOn w:val="Normal"/>
    <w:semiHidden/>
    <w:rsid w:val="006E2A4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E2A46"/>
    <w:rPr>
      <w:sz w:val="18"/>
    </w:rPr>
  </w:style>
  <w:style w:type="paragraph" w:styleId="Header">
    <w:name w:val="header"/>
    <w:basedOn w:val="Normal"/>
    <w:link w:val="HeaderChar"/>
    <w:semiHidden/>
    <w:rsid w:val="006E2A46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E2A46"/>
    <w:pPr>
      <w:numPr>
        <w:numId w:val="1"/>
      </w:numPr>
    </w:pPr>
  </w:style>
  <w:style w:type="paragraph" w:customStyle="1" w:styleId="ONUME">
    <w:name w:val="ONUM E"/>
    <w:basedOn w:val="BodyText"/>
    <w:rsid w:val="006E2A46"/>
    <w:pPr>
      <w:numPr>
        <w:numId w:val="2"/>
      </w:numPr>
    </w:pPr>
  </w:style>
  <w:style w:type="paragraph" w:customStyle="1" w:styleId="ONUMFS">
    <w:name w:val="ONUM FS"/>
    <w:basedOn w:val="BodyText"/>
    <w:rsid w:val="006E2A46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E2A46"/>
  </w:style>
  <w:style w:type="paragraph" w:styleId="Signature">
    <w:name w:val="Signature"/>
    <w:basedOn w:val="Normal"/>
    <w:semiHidden/>
    <w:rsid w:val="006E2A46"/>
    <w:pPr>
      <w:ind w:left="5250"/>
    </w:pPr>
  </w:style>
  <w:style w:type="paragraph" w:styleId="BalloonText">
    <w:name w:val="Balloon Text"/>
    <w:basedOn w:val="Normal"/>
    <w:link w:val="BalloonTextChar"/>
    <w:rsid w:val="00827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F61"/>
    <w:rPr>
      <w:rFonts w:ascii="Tahoma" w:eastAsia="SimSun" w:hAnsi="Tahoma" w:cs="Tahoma"/>
      <w:sz w:val="16"/>
      <w:szCs w:val="16"/>
      <w:lang w:eastAsia="zh-CN"/>
    </w:rPr>
  </w:style>
  <w:style w:type="character" w:customStyle="1" w:styleId="Endofdocument-AnnexChar">
    <w:name w:val="[End of document - Annex] Char"/>
    <w:link w:val="Endofdocument-Annex"/>
    <w:rsid w:val="00827F61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link w:val="FootnoteText"/>
    <w:semiHidden/>
    <w:locked/>
    <w:rsid w:val="000D23C2"/>
    <w:rPr>
      <w:rFonts w:ascii="Arial" w:eastAsia="SimSun" w:hAnsi="Arial" w:cs="Arial"/>
      <w:sz w:val="18"/>
      <w:lang w:val="fr-CH" w:eastAsia="zh-CN"/>
    </w:rPr>
  </w:style>
  <w:style w:type="character" w:customStyle="1" w:styleId="HeaderChar">
    <w:name w:val="Header Char"/>
    <w:link w:val="Header"/>
    <w:semiHidden/>
    <w:locked/>
    <w:rsid w:val="000D23C2"/>
    <w:rPr>
      <w:rFonts w:ascii="Arial" w:eastAsia="SimSun" w:hAnsi="Arial" w:cs="Arial"/>
      <w:sz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rsid w:val="000D23C2"/>
    <w:pPr>
      <w:tabs>
        <w:tab w:val="left" w:pos="851"/>
        <w:tab w:val="right" w:leader="dot" w:pos="9345"/>
      </w:tabs>
      <w:ind w:left="440"/>
    </w:pPr>
  </w:style>
  <w:style w:type="paragraph" w:styleId="TOC1">
    <w:name w:val="toc 1"/>
    <w:basedOn w:val="Normal"/>
    <w:next w:val="Normal"/>
    <w:autoRedefine/>
    <w:uiPriority w:val="39"/>
    <w:rsid w:val="000D23C2"/>
    <w:pPr>
      <w:spacing w:before="120" w:after="1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rsid w:val="000D23C2"/>
    <w:pPr>
      <w:spacing w:before="120" w:after="120"/>
      <w:ind w:left="221"/>
    </w:pPr>
    <w:rPr>
      <w:caps/>
    </w:rPr>
  </w:style>
  <w:style w:type="character" w:styleId="FootnoteReference">
    <w:name w:val="footnote reference"/>
    <w:aliases w:val="callout"/>
    <w:rsid w:val="000D23C2"/>
    <w:rPr>
      <w:rFonts w:cs="Times New Roman"/>
      <w:vertAlign w:val="superscript"/>
    </w:rPr>
  </w:style>
  <w:style w:type="character" w:styleId="Hyperlink">
    <w:name w:val="Hyperlink"/>
    <w:uiPriority w:val="99"/>
    <w:rsid w:val="000D23C2"/>
    <w:rPr>
      <w:color w:val="0000FF"/>
      <w:u w:val="single"/>
    </w:rPr>
  </w:style>
  <w:style w:type="paragraph" w:styleId="BodyText3">
    <w:name w:val="Body Text 3"/>
    <w:basedOn w:val="Normal"/>
    <w:link w:val="BodyText3Char"/>
    <w:rsid w:val="000D23C2"/>
    <w:pPr>
      <w:spacing w:after="120" w:line="260" w:lineRule="atLeast"/>
      <w:ind w:left="1021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D23C2"/>
    <w:rPr>
      <w:rFonts w:ascii="Arial" w:hAnsi="Arial"/>
      <w:sz w:val="16"/>
      <w:szCs w:val="16"/>
      <w:lang w:val="x-none" w:eastAsia="x-none"/>
    </w:rPr>
  </w:style>
  <w:style w:type="paragraph" w:customStyle="1" w:styleId="MediumGrid1-Accent21">
    <w:name w:val="Medium Grid 1 - Accent 21"/>
    <w:basedOn w:val="Normal"/>
    <w:uiPriority w:val="34"/>
    <w:qFormat/>
    <w:rsid w:val="000D23C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CommentReference">
    <w:name w:val="annotation reference"/>
    <w:rsid w:val="000D23C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0D23C2"/>
    <w:rPr>
      <w:rFonts w:cs="Times New Roman"/>
      <w:b/>
      <w:bCs/>
      <w:lang w:val="x-none"/>
    </w:rPr>
  </w:style>
  <w:style w:type="character" w:customStyle="1" w:styleId="CommentTextChar">
    <w:name w:val="Comment Text Char"/>
    <w:basedOn w:val="DefaultParagraphFont"/>
    <w:link w:val="CommentText"/>
    <w:semiHidden/>
    <w:rsid w:val="000D23C2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rsid w:val="000D23C2"/>
    <w:rPr>
      <w:rFonts w:ascii="Arial" w:eastAsia="SimSun" w:hAnsi="Arial" w:cs="Arial"/>
      <w:b/>
      <w:bCs/>
      <w:sz w:val="18"/>
      <w:lang w:val="x-none" w:eastAsia="zh-CN"/>
    </w:rPr>
  </w:style>
  <w:style w:type="table" w:styleId="TableGrid">
    <w:name w:val="Table Grid"/>
    <w:basedOn w:val="TableNormal"/>
    <w:rsid w:val="000D23C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E2A46"/>
    <w:rPr>
      <w:rFonts w:ascii="Arial" w:eastAsia="SimSun" w:hAnsi="Arial" w:cs="Arial"/>
      <w:b/>
      <w:bCs/>
      <w:caps/>
      <w:kern w:val="32"/>
      <w:sz w:val="22"/>
      <w:szCs w:val="32"/>
      <w:lang w:val="fr-FR" w:eastAsia="zh-CN"/>
    </w:rPr>
  </w:style>
  <w:style w:type="character" w:customStyle="1" w:styleId="Heading3Char">
    <w:name w:val="Heading 3 Char"/>
    <w:link w:val="Heading3"/>
    <w:rsid w:val="000D23C2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paragraph" w:styleId="Revision">
    <w:name w:val="Revision"/>
    <w:hidden/>
    <w:uiPriority w:val="99"/>
    <w:semiHidden/>
    <w:rsid w:val="000D23C2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0D23C2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755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6E2A46"/>
    <w:pPr>
      <w:ind w:left="720"/>
      <w:contextualSpacing/>
    </w:pPr>
  </w:style>
  <w:style w:type="character" w:customStyle="1" w:styleId="tagtrans">
    <w:name w:val="tag_trans"/>
    <w:basedOn w:val="DefaultParagraphFont"/>
    <w:rsid w:val="007F4932"/>
  </w:style>
  <w:style w:type="character" w:customStyle="1" w:styleId="st">
    <w:name w:val="st"/>
    <w:basedOn w:val="DefaultParagraphFont"/>
    <w:rsid w:val="008F7BC2"/>
  </w:style>
  <w:style w:type="table" w:customStyle="1" w:styleId="TableGrid1">
    <w:name w:val="Table Grid1"/>
    <w:basedOn w:val="TableNormal"/>
    <w:next w:val="TableGrid"/>
    <w:rsid w:val="0060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7E36E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5A1B98"/>
    <w:rPr>
      <w:rFonts w:ascii="Arial" w:eastAsia="SimSun" w:hAnsi="Arial" w:cs="Arial"/>
      <w:bCs/>
      <w:iCs/>
      <w:caps/>
      <w:sz w:val="22"/>
      <w:szCs w:val="28"/>
      <w:lang w:val="fr-CH" w:eastAsia="zh-CN"/>
    </w:rPr>
  </w:style>
  <w:style w:type="paragraph" w:customStyle="1" w:styleId="Meetingplacedate">
    <w:name w:val="Meeting place &amp; date"/>
    <w:basedOn w:val="Normal"/>
    <w:next w:val="Normal"/>
    <w:rsid w:val="006E2A46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6E2A46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wipo.int/ip-development/fr/agenda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ip-development/fr/agenda/flexibilities/database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1433-0D8F-456B-8890-7D08E9D9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CDIP/16/</vt:lpstr>
    </vt:vector>
  </TitlesOfParts>
  <Company>WIPO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CDIP/16/</dc:title>
  <dc:creator>BRACI Biljana</dc:creator>
  <cp:keywords>LMO/ST/ko</cp:keywords>
  <cp:lastModifiedBy>LIZARZABURU AGUILAR María Daniela</cp:lastModifiedBy>
  <cp:revision>4</cp:revision>
  <cp:lastPrinted>2017-10-24T14:21:00Z</cp:lastPrinted>
  <dcterms:created xsi:type="dcterms:W3CDTF">2017-10-18T09:41:00Z</dcterms:created>
  <dcterms:modified xsi:type="dcterms:W3CDTF">2017-10-24T14:21:00Z</dcterms:modified>
</cp:coreProperties>
</file>