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5365D" w:rsidRPr="00C5365D" w:rsidTr="00A312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55BE" w:rsidRPr="00C5365D" w:rsidRDefault="000855BE" w:rsidP="00A31220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5BE" w:rsidRPr="00C5365D" w:rsidRDefault="000855BE" w:rsidP="00A31220">
            <w:r w:rsidRPr="00C5365D">
              <w:rPr>
                <w:noProof/>
                <w:lang w:val="en-US" w:eastAsia="en-US"/>
              </w:rPr>
              <w:drawing>
                <wp:inline distT="0" distB="0" distL="0" distR="0" wp14:anchorId="4AB4309A" wp14:editId="7DB9502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5BE" w:rsidRPr="00C5365D" w:rsidRDefault="000855BE" w:rsidP="00A31220">
            <w:pPr>
              <w:jc w:val="right"/>
            </w:pPr>
            <w:r w:rsidRPr="00C5365D">
              <w:rPr>
                <w:b/>
                <w:sz w:val="40"/>
                <w:szCs w:val="40"/>
              </w:rPr>
              <w:t>F</w:t>
            </w:r>
          </w:p>
        </w:tc>
      </w:tr>
      <w:tr w:rsidR="00C5365D" w:rsidRPr="00C5365D" w:rsidTr="00A3122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55BE" w:rsidRPr="00C5365D" w:rsidRDefault="000855BE" w:rsidP="00A312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365D">
              <w:rPr>
                <w:rFonts w:ascii="Arial Black" w:hAnsi="Arial Black"/>
                <w:caps/>
                <w:sz w:val="15"/>
              </w:rPr>
              <w:t>CDIP/20/</w:t>
            </w:r>
            <w:bookmarkStart w:id="2" w:name="Code"/>
            <w:bookmarkEnd w:id="2"/>
            <w:r w:rsidRPr="00C5365D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C5365D" w:rsidRPr="00C5365D" w:rsidTr="00A3122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55BE" w:rsidRPr="00C5365D" w:rsidRDefault="000855BE" w:rsidP="00A312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365D">
              <w:rPr>
                <w:rFonts w:ascii="Arial Black" w:hAnsi="Arial Black"/>
                <w:caps/>
                <w:sz w:val="15"/>
              </w:rPr>
              <w:t>ORIGINAL</w:t>
            </w:r>
            <w:r w:rsidR="00002F21" w:rsidRPr="00C5365D">
              <w:rPr>
                <w:rFonts w:ascii="Arial Black" w:hAnsi="Arial Black"/>
                <w:caps/>
                <w:sz w:val="15"/>
              </w:rPr>
              <w:t> :</w:t>
            </w:r>
            <w:r w:rsidRPr="00C5365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Pr="00C5365D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A31220" w:rsidRPr="00C5365D" w:rsidTr="00A3122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55BE" w:rsidRPr="00C5365D" w:rsidRDefault="000855BE" w:rsidP="00E32D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365D">
              <w:rPr>
                <w:rFonts w:ascii="Arial Black" w:hAnsi="Arial Black"/>
                <w:caps/>
                <w:sz w:val="15"/>
              </w:rPr>
              <w:t>DATE</w:t>
            </w:r>
            <w:r w:rsidR="00002F21" w:rsidRPr="00C5365D">
              <w:rPr>
                <w:rFonts w:ascii="Arial Black" w:hAnsi="Arial Black"/>
                <w:caps/>
                <w:sz w:val="15"/>
              </w:rPr>
              <w:t> :</w:t>
            </w:r>
            <w:r w:rsidRPr="00C5365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="00E32DC3" w:rsidRPr="00C5365D">
              <w:rPr>
                <w:rFonts w:ascii="Arial Black" w:hAnsi="Arial Black"/>
                <w:caps/>
                <w:sz w:val="15"/>
              </w:rPr>
              <w:t>1</w:t>
            </w:r>
            <w:r w:rsidR="00002F21" w:rsidRPr="00C5365D">
              <w:rPr>
                <w:rFonts w:ascii="Arial Black" w:hAnsi="Arial Black"/>
                <w:caps/>
                <w:sz w:val="15"/>
              </w:rPr>
              <w:t>6 octobre 20</w:t>
            </w:r>
            <w:r w:rsidR="00E32DC3" w:rsidRPr="00C5365D"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A31220" w:rsidRPr="00C5365D" w:rsidRDefault="00A31220" w:rsidP="000855BE"/>
    <w:p w:rsidR="00A31220" w:rsidRPr="00C5365D" w:rsidRDefault="00A31220" w:rsidP="000855BE"/>
    <w:p w:rsidR="00A31220" w:rsidRPr="00C5365D" w:rsidRDefault="00A31220" w:rsidP="000855BE"/>
    <w:p w:rsidR="00A31220" w:rsidRPr="00C5365D" w:rsidRDefault="00A31220" w:rsidP="000855BE"/>
    <w:p w:rsidR="00A31220" w:rsidRPr="00C5365D" w:rsidRDefault="00A31220" w:rsidP="000855BE"/>
    <w:p w:rsidR="00A31220" w:rsidRPr="00C5365D" w:rsidRDefault="000855BE" w:rsidP="000855BE">
      <w:pPr>
        <w:rPr>
          <w:b/>
          <w:sz w:val="28"/>
          <w:szCs w:val="28"/>
        </w:rPr>
      </w:pPr>
      <w:r w:rsidRPr="00C5365D">
        <w:rPr>
          <w:b/>
          <w:sz w:val="28"/>
          <w:szCs w:val="28"/>
        </w:rPr>
        <w:t>Comité du développement et de la propriété intellectuelle (CDIP)</w:t>
      </w:r>
    </w:p>
    <w:p w:rsidR="00A31220" w:rsidRPr="00C5365D" w:rsidRDefault="00A31220" w:rsidP="000855BE"/>
    <w:p w:rsidR="00A31220" w:rsidRPr="00C5365D" w:rsidRDefault="00A31220" w:rsidP="000855BE"/>
    <w:p w:rsidR="00A31220" w:rsidRPr="00C5365D" w:rsidRDefault="000855BE" w:rsidP="000855BE">
      <w:pPr>
        <w:rPr>
          <w:b/>
          <w:sz w:val="24"/>
          <w:szCs w:val="24"/>
        </w:rPr>
      </w:pPr>
      <w:r w:rsidRPr="00C5365D">
        <w:rPr>
          <w:b/>
          <w:sz w:val="24"/>
          <w:szCs w:val="24"/>
        </w:rPr>
        <w:t>Vingt</w:t>
      </w:r>
      <w:r w:rsidR="00002F21" w:rsidRPr="00C5365D">
        <w:rPr>
          <w:b/>
          <w:sz w:val="24"/>
          <w:szCs w:val="24"/>
        </w:rPr>
        <w:t>ième session</w:t>
      </w:r>
    </w:p>
    <w:p w:rsidR="00A31220" w:rsidRPr="00C5365D" w:rsidRDefault="000855BE" w:rsidP="000855BE">
      <w:pPr>
        <w:rPr>
          <w:b/>
          <w:sz w:val="24"/>
          <w:szCs w:val="24"/>
        </w:rPr>
      </w:pPr>
      <w:r w:rsidRPr="00C5365D">
        <w:rPr>
          <w:b/>
          <w:sz w:val="24"/>
          <w:szCs w:val="24"/>
        </w:rPr>
        <w:t>Genève, 2</w:t>
      </w:r>
      <w:r w:rsidR="00002F21" w:rsidRPr="00C5365D">
        <w:rPr>
          <w:b/>
          <w:sz w:val="24"/>
          <w:szCs w:val="24"/>
        </w:rPr>
        <w:t>7 novembre</w:t>
      </w:r>
      <w:r w:rsidRPr="00C5365D">
        <w:rPr>
          <w:b/>
          <w:sz w:val="24"/>
          <w:szCs w:val="24"/>
        </w:rPr>
        <w:t xml:space="preserve"> </w:t>
      </w:r>
      <w:r w:rsidR="00E32DC3" w:rsidRPr="00C5365D">
        <w:rPr>
          <w:b/>
          <w:sz w:val="24"/>
          <w:szCs w:val="24"/>
        </w:rPr>
        <w:t>–</w:t>
      </w:r>
      <w:r w:rsidR="00002F21" w:rsidRPr="00C5365D">
        <w:rPr>
          <w:b/>
          <w:sz w:val="24"/>
          <w:szCs w:val="24"/>
        </w:rPr>
        <w:t xml:space="preserve"> 1</w:t>
      </w:r>
      <w:r w:rsidR="00002F21" w:rsidRPr="00C5365D">
        <w:rPr>
          <w:b/>
          <w:sz w:val="24"/>
          <w:szCs w:val="24"/>
          <w:vertAlign w:val="superscript"/>
        </w:rPr>
        <w:t>er</w:t>
      </w:r>
      <w:r w:rsidR="00002F21" w:rsidRPr="00C5365D">
        <w:rPr>
          <w:b/>
          <w:sz w:val="24"/>
          <w:szCs w:val="24"/>
        </w:rPr>
        <w:t> décembre 20</w:t>
      </w:r>
      <w:r w:rsidRPr="00C5365D">
        <w:rPr>
          <w:b/>
          <w:sz w:val="24"/>
          <w:szCs w:val="24"/>
        </w:rPr>
        <w:t>17</w:t>
      </w:r>
    </w:p>
    <w:p w:rsidR="00A31220" w:rsidRPr="00C5365D" w:rsidRDefault="00A31220" w:rsidP="000855BE"/>
    <w:p w:rsidR="00A31220" w:rsidRPr="00C5365D" w:rsidRDefault="00A31220" w:rsidP="000855BE"/>
    <w:p w:rsidR="00A31220" w:rsidRPr="00C5365D" w:rsidRDefault="00A31220" w:rsidP="000855BE"/>
    <w:p w:rsidR="00A31220" w:rsidRPr="00C5365D" w:rsidRDefault="00A31220" w:rsidP="00A31220">
      <w:pPr>
        <w:rPr>
          <w:caps/>
          <w:sz w:val="24"/>
        </w:rPr>
      </w:pPr>
      <w:r w:rsidRPr="00C5365D">
        <w:rPr>
          <w:caps/>
          <w:sz w:val="24"/>
        </w:rPr>
        <w:t>Promotion des activités et ressources de l</w:t>
      </w:r>
      <w:r w:rsidR="00002F21" w:rsidRPr="00C5365D">
        <w:rPr>
          <w:caps/>
          <w:sz w:val="24"/>
        </w:rPr>
        <w:t>’</w:t>
      </w:r>
      <w:r w:rsidRPr="00C5365D">
        <w:rPr>
          <w:caps/>
          <w:sz w:val="24"/>
        </w:rPr>
        <w:t>OMPI relatives au</w:t>
      </w:r>
      <w:r w:rsidR="00002F21" w:rsidRPr="00C5365D">
        <w:rPr>
          <w:caps/>
          <w:sz w:val="24"/>
        </w:rPr>
        <w:t> </w:t>
      </w:r>
      <w:r w:rsidRPr="00C5365D">
        <w:rPr>
          <w:caps/>
          <w:sz w:val="24"/>
        </w:rPr>
        <w:t>transfert de technologie</w:t>
      </w:r>
    </w:p>
    <w:p w:rsidR="00A31220" w:rsidRPr="00C5365D" w:rsidRDefault="00A31220" w:rsidP="00F24D6D"/>
    <w:p w:rsidR="00A31220" w:rsidRPr="00C5365D" w:rsidRDefault="00A31220" w:rsidP="00A31220">
      <w:pPr>
        <w:rPr>
          <w:i/>
        </w:rPr>
      </w:pPr>
      <w:bookmarkStart w:id="5" w:name="Prepared"/>
      <w:bookmarkEnd w:id="5"/>
      <w:r w:rsidRPr="00C5365D">
        <w:rPr>
          <w:i/>
        </w:rPr>
        <w:t>Document établi par le Secrétariat</w:t>
      </w:r>
    </w:p>
    <w:p w:rsidR="00A31220" w:rsidRPr="00C5365D" w:rsidRDefault="00A31220" w:rsidP="00F24D6D"/>
    <w:p w:rsidR="00A31220" w:rsidRPr="00C5365D" w:rsidRDefault="00A31220" w:rsidP="00F24D6D"/>
    <w:p w:rsidR="00A31220" w:rsidRPr="00C5365D" w:rsidRDefault="00A31220" w:rsidP="00F24D6D"/>
    <w:p w:rsidR="00A31220" w:rsidRPr="00C5365D" w:rsidRDefault="00A31220" w:rsidP="00F24D6D"/>
    <w:p w:rsidR="00A31220" w:rsidRPr="00C5365D" w:rsidRDefault="00A31220" w:rsidP="00F24D6D"/>
    <w:p w:rsidR="00A31220" w:rsidRPr="00C5365D" w:rsidRDefault="00FB56F7" w:rsidP="003562AD">
      <w:pPr>
        <w:pStyle w:val="ONUMFS"/>
      </w:pPr>
      <w:r w:rsidRPr="00C5365D">
        <w:t>À sa dix</w:t>
      </w:r>
      <w:r w:rsidR="002B6147">
        <w:noBreakHyphen/>
      </w:r>
      <w:r w:rsidRPr="00C5365D">
        <w:t>huit</w:t>
      </w:r>
      <w:r w:rsidR="00002F21" w:rsidRPr="00C5365D">
        <w:t>ième session</w:t>
      </w:r>
      <w:r w:rsidRPr="00C5365D">
        <w:t>, tenue du 31 octobre au 4 novembre 2016, le Comité du développement et de la propriété intellectuelle a demandé au Secrétariat de l</w:t>
      </w:r>
      <w:r w:rsidR="00002F21" w:rsidRPr="00C5365D">
        <w:t>’</w:t>
      </w:r>
      <w:r w:rsidRPr="00C5365D">
        <w:t xml:space="preserve">OMPI </w:t>
      </w:r>
      <w:r w:rsidR="00880ABE" w:rsidRPr="00C5365D">
        <w:t>d</w:t>
      </w:r>
      <w:r w:rsidR="00002F21" w:rsidRPr="00C5365D">
        <w:t>’</w:t>
      </w:r>
      <w:r w:rsidR="0058555E" w:rsidRPr="00C5365D">
        <w:t xml:space="preserve">établir </w:t>
      </w:r>
      <w:r w:rsidR="00BE3FAF" w:rsidRPr="00C5365D">
        <w:t>une feuille de route quant à la manière dont l</w:t>
      </w:r>
      <w:r w:rsidR="00002F21" w:rsidRPr="00C5365D">
        <w:t>’</w:t>
      </w:r>
      <w:r w:rsidR="00BE3FAF" w:rsidRPr="00C5365D">
        <w:t xml:space="preserve">OMPI continuera de faire mieux connaître les ressources dont </w:t>
      </w:r>
      <w:r w:rsidR="0058555E" w:rsidRPr="00C5365D">
        <w:t xml:space="preserve">elle </w:t>
      </w:r>
      <w:r w:rsidR="00BE3FAF" w:rsidRPr="00C5365D">
        <w:t>dispose dans le domaine du transfert de technologie aux responsables de l</w:t>
      </w:r>
      <w:r w:rsidR="00002F21" w:rsidRPr="00C5365D">
        <w:t>’</w:t>
      </w:r>
      <w:r w:rsidR="00BE3FAF" w:rsidRPr="00C5365D">
        <w:t>élaboration des politiques, aux spécialistes et aux instituts de recherche afin d</w:t>
      </w:r>
      <w:r w:rsidR="00002F21" w:rsidRPr="00C5365D">
        <w:t>’</w:t>
      </w:r>
      <w:r w:rsidR="00BE3FAF" w:rsidRPr="00C5365D">
        <w:t>assurer une meilleure compréhension des questions en jeu</w:t>
      </w:r>
      <w:r w:rsidR="0058555E" w:rsidRPr="00C5365D">
        <w:t>.</w:t>
      </w:r>
    </w:p>
    <w:p w:rsidR="00A31220" w:rsidRPr="00C5365D" w:rsidRDefault="00E4260F" w:rsidP="003562AD">
      <w:pPr>
        <w:pStyle w:val="ONUMFS"/>
      </w:pPr>
      <w:r w:rsidRPr="00C5365D">
        <w:rPr>
          <w:szCs w:val="22"/>
          <w:lang w:val="fr-FR"/>
        </w:rPr>
        <w:t>Ainsi, l</w:t>
      </w:r>
      <w:r w:rsidR="00002F21" w:rsidRPr="00C5365D">
        <w:rPr>
          <w:szCs w:val="22"/>
          <w:lang w:val="fr-FR"/>
        </w:rPr>
        <w:t>’</w:t>
      </w:r>
      <w:r w:rsidR="00053176" w:rsidRPr="00C5365D">
        <w:rPr>
          <w:szCs w:val="22"/>
          <w:lang w:val="fr-FR"/>
        </w:rPr>
        <w:t>a</w:t>
      </w:r>
      <w:r w:rsidRPr="00C5365D">
        <w:rPr>
          <w:szCs w:val="22"/>
          <w:lang w:val="fr-FR"/>
        </w:rPr>
        <w:t xml:space="preserve">nnexe </w:t>
      </w:r>
      <w:r w:rsidR="00053176" w:rsidRPr="00C5365D">
        <w:rPr>
          <w:szCs w:val="22"/>
          <w:lang w:val="fr-FR"/>
        </w:rPr>
        <w:t xml:space="preserve">du présent </w:t>
      </w:r>
      <w:r w:rsidRPr="00C5365D">
        <w:rPr>
          <w:szCs w:val="22"/>
          <w:lang w:val="fr-FR"/>
        </w:rPr>
        <w:t xml:space="preserve">document </w:t>
      </w:r>
      <w:r w:rsidR="00053176" w:rsidRPr="00C5365D">
        <w:rPr>
          <w:szCs w:val="22"/>
          <w:lang w:val="fr-FR"/>
        </w:rPr>
        <w:t>offre une vue d</w:t>
      </w:r>
      <w:r w:rsidR="00002F21" w:rsidRPr="00C5365D">
        <w:rPr>
          <w:szCs w:val="22"/>
          <w:lang w:val="fr-FR"/>
        </w:rPr>
        <w:t>’</w:t>
      </w:r>
      <w:r w:rsidR="00053176" w:rsidRPr="00C5365D">
        <w:rPr>
          <w:szCs w:val="22"/>
          <w:lang w:val="fr-FR"/>
        </w:rPr>
        <w:t xml:space="preserve">ensemble des </w:t>
      </w:r>
      <w:r w:rsidRPr="00C5365D">
        <w:rPr>
          <w:szCs w:val="22"/>
          <w:lang w:val="fr-FR"/>
        </w:rPr>
        <w:t xml:space="preserve">moyens </w:t>
      </w:r>
      <w:r w:rsidR="00053176" w:rsidRPr="00C5365D">
        <w:rPr>
          <w:szCs w:val="22"/>
          <w:lang w:val="fr-FR"/>
        </w:rPr>
        <w:t xml:space="preserve">utilisés </w:t>
      </w:r>
      <w:r w:rsidRPr="00C5365D">
        <w:rPr>
          <w:szCs w:val="22"/>
          <w:lang w:val="fr-FR"/>
        </w:rPr>
        <w:t>pour promouvoir la sensibilisation aux activités et aux ressources de l</w:t>
      </w:r>
      <w:r w:rsidR="00002F21" w:rsidRPr="00C5365D">
        <w:rPr>
          <w:szCs w:val="22"/>
          <w:lang w:val="fr-FR"/>
        </w:rPr>
        <w:t>’</w:t>
      </w:r>
      <w:r w:rsidRPr="00C5365D">
        <w:rPr>
          <w:szCs w:val="22"/>
          <w:lang w:val="fr-FR"/>
        </w:rPr>
        <w:t>OMPI dans le domai</w:t>
      </w:r>
      <w:r w:rsidR="00077F61" w:rsidRPr="00C5365D">
        <w:rPr>
          <w:szCs w:val="22"/>
          <w:lang w:val="fr-FR"/>
        </w:rPr>
        <w:t>ne du transfert de technologie.</w:t>
      </w:r>
    </w:p>
    <w:p w:rsidR="00A31220" w:rsidRPr="00C5365D" w:rsidRDefault="00A31220" w:rsidP="003562AD">
      <w:pPr>
        <w:pStyle w:val="ONUMFS"/>
        <w:ind w:left="5533"/>
        <w:rPr>
          <w:i/>
          <w:iCs/>
          <w:szCs w:val="22"/>
        </w:rPr>
      </w:pPr>
      <w:r w:rsidRPr="00C5365D">
        <w:rPr>
          <w:i/>
          <w:szCs w:val="22"/>
        </w:rPr>
        <w:t>Le CDIP est invité à prendre note des informations figurant dans l</w:t>
      </w:r>
      <w:r w:rsidR="00002F21" w:rsidRPr="00C5365D">
        <w:rPr>
          <w:i/>
          <w:szCs w:val="22"/>
        </w:rPr>
        <w:t>’</w:t>
      </w:r>
      <w:r w:rsidRPr="00C5365D">
        <w:rPr>
          <w:i/>
          <w:szCs w:val="22"/>
        </w:rPr>
        <w:t>annexe du présent document.</w:t>
      </w:r>
    </w:p>
    <w:p w:rsidR="00A31220" w:rsidRPr="00C5365D" w:rsidRDefault="00A31220"/>
    <w:p w:rsidR="00A31220" w:rsidRPr="00C5365D" w:rsidRDefault="00A31220"/>
    <w:p w:rsidR="00A31220" w:rsidRPr="00C5365D" w:rsidRDefault="00A31220" w:rsidP="00A31220">
      <w:pPr>
        <w:pStyle w:val="Endofdocument-Annex"/>
        <w:rPr>
          <w:lang w:val="fr-CH"/>
        </w:rPr>
      </w:pPr>
      <w:r w:rsidRPr="00C5365D">
        <w:rPr>
          <w:lang w:val="fr-CH"/>
        </w:rPr>
        <w:t>[L</w:t>
      </w:r>
      <w:r w:rsidR="00002F21" w:rsidRPr="00C5365D">
        <w:rPr>
          <w:lang w:val="fr-CH"/>
        </w:rPr>
        <w:t>’</w:t>
      </w:r>
      <w:r w:rsidRPr="00C5365D">
        <w:rPr>
          <w:lang w:val="fr-CH"/>
        </w:rPr>
        <w:t>annexe suit]</w:t>
      </w:r>
    </w:p>
    <w:p w:rsidR="00A31220" w:rsidRPr="00C5365D" w:rsidRDefault="00A31220"/>
    <w:p w:rsidR="00A31220" w:rsidRPr="00C5365D" w:rsidRDefault="00A31220"/>
    <w:p w:rsidR="00AA5A6C" w:rsidRPr="00C5365D" w:rsidRDefault="00AA5A6C" w:rsidP="0053057A">
      <w:pPr>
        <w:sectPr w:rsidR="00AA5A6C" w:rsidRPr="00C5365D" w:rsidSect="003562AD">
          <w:headerReference w:type="default" r:id="rId10"/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A31220" w:rsidRPr="00C5365D" w:rsidRDefault="003562AD" w:rsidP="003562AD">
      <w:pPr>
        <w:pStyle w:val="Heading2"/>
      </w:pPr>
      <w:r w:rsidRPr="00C5365D">
        <w:lastRenderedPageBreak/>
        <w:t>Introduction, portée et méthodologie</w:t>
      </w:r>
    </w:p>
    <w:p w:rsidR="00A31220" w:rsidRPr="00C5365D" w:rsidRDefault="00A31220" w:rsidP="00F24D6D">
      <w:pPr>
        <w:rPr>
          <w:szCs w:val="22"/>
        </w:rPr>
      </w:pPr>
    </w:p>
    <w:p w:rsidR="00A31220" w:rsidRPr="00C5365D" w:rsidRDefault="00573A45" w:rsidP="003562AD">
      <w:pPr>
        <w:pStyle w:val="ONUMFS"/>
        <w:numPr>
          <w:ilvl w:val="0"/>
          <w:numId w:val="13"/>
        </w:numPr>
        <w:rPr>
          <w:lang w:val="fr-FR"/>
        </w:rPr>
      </w:pPr>
      <w:r w:rsidRPr="00C5365D">
        <w:t>Afin de promouvoir efficacement le</w:t>
      </w:r>
      <w:r w:rsidR="00BC6A9F" w:rsidRPr="00C5365D">
        <w:rPr>
          <w:lang w:val="fr-FR"/>
        </w:rPr>
        <w:t>s activités et ressources de l</w:t>
      </w:r>
      <w:r w:rsidR="00002F21" w:rsidRPr="00C5365D">
        <w:rPr>
          <w:lang w:val="fr-FR"/>
        </w:rPr>
        <w:t>’</w:t>
      </w:r>
      <w:r w:rsidR="00BC6A9F" w:rsidRPr="00C5365D">
        <w:rPr>
          <w:lang w:val="fr-FR"/>
        </w:rPr>
        <w:t xml:space="preserve">OMPI </w:t>
      </w:r>
      <w:r w:rsidR="005F56A3" w:rsidRPr="00C5365D">
        <w:rPr>
          <w:lang w:val="fr-FR"/>
        </w:rPr>
        <w:t xml:space="preserve">relatives au </w:t>
      </w:r>
      <w:r w:rsidRPr="00C5365D">
        <w:rPr>
          <w:lang w:val="fr-FR"/>
        </w:rPr>
        <w:t xml:space="preserve">transfert de technologie, </w:t>
      </w:r>
      <w:r w:rsidR="00322D6E" w:rsidRPr="00C5365D">
        <w:rPr>
          <w:lang w:val="fr-FR"/>
        </w:rPr>
        <w:t xml:space="preserve">il convient </w:t>
      </w:r>
      <w:r w:rsidR="0006006E" w:rsidRPr="00C5365D">
        <w:rPr>
          <w:lang w:val="fr-FR"/>
        </w:rPr>
        <w:t>d</w:t>
      </w:r>
      <w:r w:rsidR="00002F21" w:rsidRPr="00C5365D">
        <w:rPr>
          <w:lang w:val="fr-FR"/>
        </w:rPr>
        <w:t>’</w:t>
      </w:r>
      <w:r w:rsidR="0006006E" w:rsidRPr="00C5365D">
        <w:rPr>
          <w:lang w:val="fr-FR"/>
        </w:rPr>
        <w:t>adopter</w:t>
      </w:r>
      <w:r w:rsidR="00322D6E" w:rsidRPr="00C5365D">
        <w:rPr>
          <w:lang w:val="fr-FR"/>
        </w:rPr>
        <w:t xml:space="preserve"> </w:t>
      </w:r>
      <w:r w:rsidR="00DC3F5B" w:rsidRPr="00C5365D">
        <w:rPr>
          <w:lang w:val="fr-FR"/>
        </w:rPr>
        <w:t>des</w:t>
      </w:r>
      <w:r w:rsidR="00BC6A9F" w:rsidRPr="00C5365D">
        <w:rPr>
          <w:lang w:val="fr-FR"/>
        </w:rPr>
        <w:t xml:space="preserve"> </w:t>
      </w:r>
      <w:r w:rsidR="005F56A3" w:rsidRPr="00C5365D">
        <w:rPr>
          <w:lang w:val="fr-FR"/>
        </w:rPr>
        <w:t xml:space="preserve">approches </w:t>
      </w:r>
      <w:r w:rsidR="00DC3F5B" w:rsidRPr="00C5365D">
        <w:rPr>
          <w:lang w:val="fr-FR"/>
        </w:rPr>
        <w:t xml:space="preserve">différentes </w:t>
      </w:r>
      <w:r w:rsidR="00B91691" w:rsidRPr="00C5365D">
        <w:rPr>
          <w:lang w:val="fr-FR"/>
        </w:rPr>
        <w:t>en fonction de</w:t>
      </w:r>
      <w:r w:rsidR="005F56A3" w:rsidRPr="00C5365D">
        <w:rPr>
          <w:lang w:val="fr-FR"/>
        </w:rPr>
        <w:t xml:space="preserve"> </w:t>
      </w:r>
      <w:r w:rsidR="00BC6A9F" w:rsidRPr="00C5365D">
        <w:rPr>
          <w:lang w:val="fr-FR"/>
        </w:rPr>
        <w:t>la nature de l</w:t>
      </w:r>
      <w:r w:rsidR="00002F21" w:rsidRPr="00C5365D">
        <w:rPr>
          <w:lang w:val="fr-FR"/>
        </w:rPr>
        <w:t>’</w:t>
      </w:r>
      <w:r w:rsidR="00BC6A9F" w:rsidRPr="00C5365D">
        <w:rPr>
          <w:lang w:val="fr-FR"/>
        </w:rPr>
        <w:t>activité ou de la res</w:t>
      </w:r>
      <w:r w:rsidR="00F1107E" w:rsidRPr="00C5365D">
        <w:rPr>
          <w:lang w:val="fr-FR"/>
        </w:rPr>
        <w:t>s</w:t>
      </w:r>
      <w:r w:rsidR="00BC6A9F" w:rsidRPr="00C5365D">
        <w:rPr>
          <w:lang w:val="fr-FR"/>
        </w:rPr>
        <w:t xml:space="preserve">ource à </w:t>
      </w:r>
      <w:r w:rsidRPr="00C5365D">
        <w:rPr>
          <w:lang w:val="fr-FR"/>
        </w:rPr>
        <w:t>promouvoir</w:t>
      </w:r>
      <w:r w:rsidR="00F1107E" w:rsidRPr="00C5365D">
        <w:rPr>
          <w:lang w:val="fr-FR"/>
        </w:rPr>
        <w:t xml:space="preserve"> et du</w:t>
      </w:r>
      <w:r w:rsidR="00322D6E" w:rsidRPr="00C5365D">
        <w:rPr>
          <w:lang w:val="fr-FR"/>
        </w:rPr>
        <w:t xml:space="preserve"> public cib</w:t>
      </w:r>
      <w:r w:rsidR="00EB3E62" w:rsidRPr="00C5365D">
        <w:rPr>
          <w:lang w:val="fr-FR"/>
        </w:rPr>
        <w:t>lé.  La</w:t>
      </w:r>
      <w:r w:rsidR="001F0FCB" w:rsidRPr="00C5365D">
        <w:rPr>
          <w:lang w:val="fr-FR"/>
        </w:rPr>
        <w:t xml:space="preserve"> suite du</w:t>
      </w:r>
      <w:r w:rsidR="00EC1584" w:rsidRPr="00C5365D">
        <w:rPr>
          <w:lang w:val="fr-FR"/>
        </w:rPr>
        <w:t xml:space="preserve"> présent</w:t>
      </w:r>
      <w:r w:rsidR="001F0FCB" w:rsidRPr="00C5365D">
        <w:rPr>
          <w:lang w:val="fr-FR"/>
        </w:rPr>
        <w:t xml:space="preserve"> document donne un aperçu des activités et ressources </w:t>
      </w:r>
      <w:r w:rsidR="0012486D" w:rsidRPr="00C5365D">
        <w:rPr>
          <w:lang w:val="fr-FR"/>
        </w:rPr>
        <w:t>par</w:t>
      </w:r>
      <w:r w:rsidR="008C6CFE" w:rsidRPr="00C5365D">
        <w:rPr>
          <w:lang w:val="fr-FR"/>
        </w:rPr>
        <w:t xml:space="preserve"> type</w:t>
      </w:r>
      <w:r w:rsidR="0012486D" w:rsidRPr="00C5365D">
        <w:rPr>
          <w:lang w:val="fr-FR"/>
        </w:rPr>
        <w:t>s</w:t>
      </w:r>
      <w:r w:rsidR="001F0FCB" w:rsidRPr="00C5365D">
        <w:rPr>
          <w:lang w:val="fr-FR"/>
        </w:rPr>
        <w:t xml:space="preserve"> et des moyens actuels permettant de mieux les faire connaître, </w:t>
      </w:r>
      <w:r w:rsidR="00677CBB" w:rsidRPr="00C5365D">
        <w:rPr>
          <w:lang w:val="fr-FR"/>
        </w:rPr>
        <w:t>ainsi que des exemples représentatifs tirés de</w:t>
      </w:r>
      <w:r w:rsidR="00312E6E" w:rsidRPr="00C5365D">
        <w:rPr>
          <w:lang w:val="fr-FR"/>
        </w:rPr>
        <w:t>s</w:t>
      </w:r>
      <w:r w:rsidR="00677CBB" w:rsidRPr="00C5365D">
        <w:rPr>
          <w:lang w:val="fr-FR"/>
        </w:rPr>
        <w:t xml:space="preserve"> différents programmes mis en œuvre par l</w:t>
      </w:r>
      <w:r w:rsidR="00002F21" w:rsidRPr="00C5365D">
        <w:rPr>
          <w:lang w:val="fr-FR"/>
        </w:rPr>
        <w:t>’</w:t>
      </w:r>
      <w:r w:rsidR="00677CBB" w:rsidRPr="00C5365D">
        <w:rPr>
          <w:lang w:val="fr-FR"/>
        </w:rPr>
        <w:t>O</w:t>
      </w:r>
      <w:r w:rsidR="00EB3E62" w:rsidRPr="00C5365D">
        <w:rPr>
          <w:lang w:val="fr-FR"/>
        </w:rPr>
        <w:t>MPI.  Ce</w:t>
      </w:r>
      <w:r w:rsidR="00831107" w:rsidRPr="00C5365D">
        <w:rPr>
          <w:lang w:val="fr-FR"/>
        </w:rPr>
        <w:t xml:space="preserve">s exemples peuvent </w:t>
      </w:r>
      <w:r w:rsidR="0012486D" w:rsidRPr="00C5365D">
        <w:rPr>
          <w:lang w:val="fr-FR"/>
        </w:rPr>
        <w:t>indiquer</w:t>
      </w:r>
      <w:r w:rsidR="00831107" w:rsidRPr="00C5365D">
        <w:rPr>
          <w:lang w:val="fr-FR"/>
        </w:rPr>
        <w:t xml:space="preserve"> les meilleures pratiques en matière de promotion des activités et ressources de l</w:t>
      </w:r>
      <w:r w:rsidR="00002F21" w:rsidRPr="00C5365D">
        <w:rPr>
          <w:lang w:val="fr-FR"/>
        </w:rPr>
        <w:t>’</w:t>
      </w:r>
      <w:r w:rsidR="00831107" w:rsidRPr="00C5365D">
        <w:rPr>
          <w:lang w:val="fr-FR"/>
        </w:rPr>
        <w:t>OMPI relatives au transfert de technolog</w:t>
      </w:r>
      <w:r w:rsidR="00EB3E62" w:rsidRPr="00C5365D">
        <w:rPr>
          <w:lang w:val="fr-FR"/>
        </w:rPr>
        <w:t>ie.  Un</w:t>
      </w:r>
      <w:r w:rsidR="00831107" w:rsidRPr="00C5365D">
        <w:rPr>
          <w:lang w:val="fr-FR"/>
        </w:rPr>
        <w:t>e compilation des activités et ressources par types est également fournie</w:t>
      </w:r>
      <w:r w:rsidR="00471E6C" w:rsidRPr="00C5365D">
        <w:rPr>
          <w:lang w:val="fr-FR"/>
        </w:rPr>
        <w:t>,</w:t>
      </w:r>
      <w:r w:rsidR="00A2100C" w:rsidRPr="00C5365D">
        <w:rPr>
          <w:lang w:val="fr-FR"/>
        </w:rPr>
        <w:t xml:space="preserve"> comprenant la mention des</w:t>
      </w:r>
      <w:r w:rsidR="00831107" w:rsidRPr="00C5365D">
        <w:rPr>
          <w:lang w:val="fr-FR"/>
        </w:rPr>
        <w:t xml:space="preserve"> public</w:t>
      </w:r>
      <w:r w:rsidR="0012486D" w:rsidRPr="00C5365D">
        <w:rPr>
          <w:lang w:val="fr-FR"/>
        </w:rPr>
        <w:t>s</w:t>
      </w:r>
      <w:r w:rsidR="00831107" w:rsidRPr="00C5365D">
        <w:rPr>
          <w:lang w:val="fr-FR"/>
        </w:rPr>
        <w:t xml:space="preserve"> cible</w:t>
      </w:r>
      <w:r w:rsidR="0012486D" w:rsidRPr="00C5365D">
        <w:rPr>
          <w:lang w:val="fr-FR"/>
        </w:rPr>
        <w:t>s</w:t>
      </w:r>
      <w:r w:rsidR="00BE6623" w:rsidRPr="00C5365D">
        <w:rPr>
          <w:lang w:val="fr-FR"/>
        </w:rPr>
        <w:t xml:space="preserve"> et </w:t>
      </w:r>
      <w:r w:rsidR="00A2100C" w:rsidRPr="00C5365D">
        <w:rPr>
          <w:lang w:val="fr-FR"/>
        </w:rPr>
        <w:t>d</w:t>
      </w:r>
      <w:r w:rsidR="00831107" w:rsidRPr="00C5365D">
        <w:rPr>
          <w:lang w:val="fr-FR"/>
        </w:rPr>
        <w:t>e</w:t>
      </w:r>
      <w:r w:rsidR="0012486D" w:rsidRPr="00C5365D">
        <w:rPr>
          <w:lang w:val="fr-FR"/>
        </w:rPr>
        <w:t>s</w:t>
      </w:r>
      <w:r w:rsidR="00831107" w:rsidRPr="00C5365D">
        <w:rPr>
          <w:lang w:val="fr-FR"/>
        </w:rPr>
        <w:t xml:space="preserve"> programme</w:t>
      </w:r>
      <w:r w:rsidR="0012486D" w:rsidRPr="00C5365D">
        <w:rPr>
          <w:lang w:val="fr-FR"/>
        </w:rPr>
        <w:t>s</w:t>
      </w:r>
      <w:r w:rsidR="00831107" w:rsidRPr="00C5365D">
        <w:rPr>
          <w:lang w:val="fr-FR"/>
        </w:rPr>
        <w:t xml:space="preserve"> de l</w:t>
      </w:r>
      <w:r w:rsidR="00002F21" w:rsidRPr="00C5365D">
        <w:rPr>
          <w:lang w:val="fr-FR"/>
        </w:rPr>
        <w:t>’</w:t>
      </w:r>
      <w:r w:rsidR="00831107" w:rsidRPr="00C5365D">
        <w:rPr>
          <w:lang w:val="fr-FR"/>
        </w:rPr>
        <w:t>OMPI pertinent</w:t>
      </w:r>
      <w:r w:rsidR="0012486D" w:rsidRPr="00C5365D">
        <w:rPr>
          <w:lang w:val="fr-FR"/>
        </w:rPr>
        <w:t>s</w:t>
      </w:r>
      <w:r w:rsidR="00831107" w:rsidRPr="00C5365D">
        <w:rPr>
          <w:lang w:val="fr-FR"/>
        </w:rPr>
        <w:t>.</w:t>
      </w:r>
    </w:p>
    <w:p w:rsidR="00A31220" w:rsidRPr="00C5365D" w:rsidRDefault="003562AD" w:rsidP="003562AD">
      <w:pPr>
        <w:pStyle w:val="Heading2"/>
      </w:pPr>
      <w:r w:rsidRPr="00C5365D">
        <w:t>Promotion des activités de l</w:t>
      </w:r>
      <w:r w:rsidR="00002F21" w:rsidRPr="00C5365D">
        <w:t>’</w:t>
      </w:r>
      <w:r w:rsidRPr="00C5365D">
        <w:t>OMPI relatives au transfert de technologie en général</w:t>
      </w:r>
    </w:p>
    <w:p w:rsidR="00A31220" w:rsidRPr="00C5365D" w:rsidRDefault="00A31220" w:rsidP="00F24D6D">
      <w:pPr>
        <w:rPr>
          <w:szCs w:val="22"/>
        </w:rPr>
      </w:pPr>
    </w:p>
    <w:p w:rsidR="003562AD" w:rsidRPr="00C5365D" w:rsidRDefault="005340C0" w:rsidP="003562AD">
      <w:pPr>
        <w:pStyle w:val="ONUMFS"/>
        <w:rPr>
          <w:lang w:val="fr-FR"/>
        </w:rPr>
      </w:pPr>
      <w:r w:rsidRPr="00C5365D">
        <w:t>L</w:t>
      </w:r>
      <w:r w:rsidR="00002F21" w:rsidRPr="00C5365D">
        <w:t>’</w:t>
      </w:r>
      <w:r w:rsidRPr="00C5365D">
        <w:t>interconnexion existant entre les différents types d</w:t>
      </w:r>
      <w:r w:rsidR="00002F21" w:rsidRPr="00C5365D">
        <w:t>’</w:t>
      </w:r>
      <w:r w:rsidRPr="00C5365D">
        <w:t>activités</w:t>
      </w:r>
      <w:r w:rsidR="00D07F75" w:rsidRPr="00C5365D">
        <w:rPr>
          <w:lang w:val="fr-FR"/>
        </w:rPr>
        <w:t xml:space="preserve"> relatives au transfert de technologie en général </w:t>
      </w:r>
      <w:r w:rsidRPr="00C5365D">
        <w:rPr>
          <w:lang w:val="fr-FR"/>
        </w:rPr>
        <w:t>et les programmes pertinents qui leur sont associés favorise la promotion de ces activités</w:t>
      </w:r>
      <w:r w:rsidR="00B51DAE" w:rsidRPr="00C5365D">
        <w:rPr>
          <w:lang w:val="fr-FR"/>
        </w:rPr>
        <w:t>,</w:t>
      </w:r>
      <w:r w:rsidR="00601045" w:rsidRPr="00C5365D">
        <w:rPr>
          <w:lang w:val="fr-FR"/>
        </w:rPr>
        <w:t xml:space="preserve"> </w:t>
      </w:r>
      <w:r w:rsidR="00B51DAE" w:rsidRPr="00C5365D">
        <w:rPr>
          <w:lang w:val="fr-FR"/>
        </w:rPr>
        <w:t>conformément</w:t>
      </w:r>
      <w:r w:rsidR="00E27E4B" w:rsidRPr="00C5365D">
        <w:rPr>
          <w:lang w:val="fr-FR"/>
        </w:rPr>
        <w:t xml:space="preserve"> au principe fondamental</w:t>
      </w:r>
      <w:r w:rsidR="00A13E6C" w:rsidRPr="00C5365D">
        <w:rPr>
          <w:lang w:val="fr-FR"/>
        </w:rPr>
        <w:t xml:space="preserve"> de l</w:t>
      </w:r>
      <w:r w:rsidR="00002F21" w:rsidRPr="00C5365D">
        <w:rPr>
          <w:lang w:val="fr-FR"/>
        </w:rPr>
        <w:t>’</w:t>
      </w:r>
      <w:r w:rsidR="00A13E6C" w:rsidRPr="00C5365D">
        <w:rPr>
          <w:lang w:val="fr-FR"/>
        </w:rPr>
        <w:t>OMPI</w:t>
      </w:r>
      <w:r w:rsidR="008150BD" w:rsidRPr="00C5365D">
        <w:rPr>
          <w:lang w:val="fr-FR"/>
        </w:rPr>
        <w:t xml:space="preserve"> </w:t>
      </w:r>
      <w:r w:rsidR="00002F21" w:rsidRPr="00C5365D">
        <w:rPr>
          <w:lang w:val="fr-FR"/>
        </w:rPr>
        <w:t>“</w:t>
      </w:r>
      <w:r w:rsidR="008150BD" w:rsidRPr="00C5365D">
        <w:rPr>
          <w:lang w:val="fr-FR"/>
        </w:rPr>
        <w:t>Unis dans l</w:t>
      </w:r>
      <w:r w:rsidR="00002F21" w:rsidRPr="00C5365D">
        <w:rPr>
          <w:lang w:val="fr-FR"/>
        </w:rPr>
        <w:t>’</w:t>
      </w:r>
      <w:r w:rsidR="008150BD" w:rsidRPr="00C5365D">
        <w:rPr>
          <w:lang w:val="fr-FR"/>
        </w:rPr>
        <w:t>action</w:t>
      </w:r>
      <w:r w:rsidR="00002F21" w:rsidRPr="00C5365D">
        <w:rPr>
          <w:lang w:val="fr-FR"/>
        </w:rPr>
        <w:t>”</w:t>
      </w:r>
      <w:r w:rsidR="008150BD" w:rsidRPr="00C5365D">
        <w:rPr>
          <w:lang w:val="fr-FR"/>
        </w:rPr>
        <w:t xml:space="preserve">, </w:t>
      </w:r>
      <w:r w:rsidR="00B51DAE" w:rsidRPr="00C5365D">
        <w:rPr>
          <w:lang w:val="fr-FR"/>
        </w:rPr>
        <w:t>selon lequel l</w:t>
      </w:r>
      <w:r w:rsidR="00002F21" w:rsidRPr="00C5365D">
        <w:rPr>
          <w:lang w:val="fr-FR"/>
        </w:rPr>
        <w:t>’</w:t>
      </w:r>
      <w:r w:rsidR="00B51DAE" w:rsidRPr="00C5365D">
        <w:rPr>
          <w:lang w:val="fr-FR"/>
        </w:rPr>
        <w:t>Organisation travaille</w:t>
      </w:r>
      <w:r w:rsidR="008150BD" w:rsidRPr="00C5365D">
        <w:rPr>
          <w:lang w:val="fr-FR"/>
        </w:rPr>
        <w:t xml:space="preserve"> </w:t>
      </w:r>
      <w:r w:rsidR="00601045" w:rsidRPr="00C5365D">
        <w:rPr>
          <w:lang w:val="fr-FR"/>
        </w:rPr>
        <w:t>en tant qu</w:t>
      </w:r>
      <w:r w:rsidR="00002F21" w:rsidRPr="00C5365D">
        <w:rPr>
          <w:lang w:val="fr-FR"/>
        </w:rPr>
        <w:t>’</w:t>
      </w:r>
      <w:r w:rsidR="008150BD" w:rsidRPr="00C5365D">
        <w:rPr>
          <w:lang w:val="fr-FR"/>
        </w:rPr>
        <w:t>entité intégrée</w:t>
      </w:r>
      <w:r w:rsidR="00D1785E" w:rsidRPr="00C5365D">
        <w:rPr>
          <w:lang w:val="fr-FR"/>
        </w:rPr>
        <w:t>, réceptive</w:t>
      </w:r>
      <w:r w:rsidR="008150BD" w:rsidRPr="00C5365D">
        <w:rPr>
          <w:lang w:val="fr-FR"/>
        </w:rPr>
        <w:t xml:space="preserve"> et </w:t>
      </w:r>
      <w:r w:rsidR="00D1785E" w:rsidRPr="00C5365D">
        <w:rPr>
          <w:lang w:val="fr-FR"/>
        </w:rPr>
        <w:t>efficace, adaptée à sa destination et offrant un bon rapport qualité</w:t>
      </w:r>
      <w:r w:rsidR="002B6147">
        <w:rPr>
          <w:lang w:val="fr-FR"/>
        </w:rPr>
        <w:noBreakHyphen/>
      </w:r>
      <w:r w:rsidR="00D1785E" w:rsidRPr="00C5365D">
        <w:rPr>
          <w:lang w:val="fr-FR"/>
        </w:rPr>
        <w:t>pr</w:t>
      </w:r>
      <w:r w:rsidR="00EB3E62" w:rsidRPr="00C5365D">
        <w:rPr>
          <w:lang w:val="fr-FR"/>
        </w:rPr>
        <w:t>ix.  Le</w:t>
      </w:r>
      <w:r w:rsidR="001643F9" w:rsidRPr="00C5365D">
        <w:rPr>
          <w:lang w:val="fr-FR"/>
        </w:rPr>
        <w:t xml:space="preserve">s activités relatives au transfert de technologie en général sont également rendues </w:t>
      </w:r>
      <w:r w:rsidR="00B425E7" w:rsidRPr="00C5365D">
        <w:rPr>
          <w:lang w:val="fr-FR"/>
        </w:rPr>
        <w:t>publiques</w:t>
      </w:r>
      <w:r w:rsidR="001643F9" w:rsidRPr="00C5365D">
        <w:rPr>
          <w:lang w:val="fr-FR"/>
        </w:rPr>
        <w:t xml:space="preserve"> </w:t>
      </w:r>
      <w:r w:rsidR="00B900CE" w:rsidRPr="00C5365D">
        <w:rPr>
          <w:lang w:val="fr-FR"/>
        </w:rPr>
        <w:t>via une</w:t>
      </w:r>
      <w:r w:rsidR="001643F9" w:rsidRPr="00C5365D">
        <w:rPr>
          <w:lang w:val="fr-FR"/>
        </w:rPr>
        <w:t xml:space="preserve"> </w:t>
      </w:r>
      <w:r w:rsidR="00002F21" w:rsidRPr="00C5365D">
        <w:rPr>
          <w:lang w:val="fr-FR"/>
        </w:rPr>
        <w:t>page W</w:t>
      </w:r>
      <w:r w:rsidR="001643F9" w:rsidRPr="00C5365D">
        <w:rPr>
          <w:lang w:val="fr-FR"/>
        </w:rPr>
        <w:t>eb</w:t>
      </w:r>
      <w:r w:rsidR="00F24D6D" w:rsidRPr="00C5365D">
        <w:rPr>
          <w:lang w:val="fr-FR"/>
        </w:rPr>
        <w:t xml:space="preserve"> </w:t>
      </w:r>
      <w:r w:rsidR="00B900CE" w:rsidRPr="00C5365D">
        <w:rPr>
          <w:lang w:val="fr-FR"/>
        </w:rPr>
        <w:t xml:space="preserve">consacrée à </w:t>
      </w:r>
      <w:r w:rsidR="000A0679" w:rsidRPr="00C5365D">
        <w:rPr>
          <w:lang w:val="fr-FR"/>
        </w:rPr>
        <w:t xml:space="preserve">la </w:t>
      </w:r>
      <w:r w:rsidR="005771BD" w:rsidRPr="00C5365D">
        <w:rPr>
          <w:lang w:val="fr-FR"/>
        </w:rPr>
        <w:t>p</w:t>
      </w:r>
      <w:r w:rsidR="000A0679" w:rsidRPr="00C5365D">
        <w:rPr>
          <w:lang w:val="fr-FR"/>
        </w:rPr>
        <w:t>romotion du</w:t>
      </w:r>
      <w:r w:rsidR="00B900CE" w:rsidRPr="00C5365D">
        <w:rPr>
          <w:lang w:val="fr-FR"/>
        </w:rPr>
        <w:t xml:space="preserve"> transfert de technologie et de connaissances</w:t>
      </w:r>
      <w:r w:rsidR="000A0679" w:rsidRPr="00C5365D">
        <w:rPr>
          <w:lang w:val="fr-FR"/>
        </w:rPr>
        <w:t xml:space="preserve"> sur le site</w:t>
      </w:r>
      <w:r w:rsidR="00AE15F0" w:rsidRPr="00C5365D">
        <w:rPr>
          <w:lang w:val="fr-FR"/>
        </w:rPr>
        <w:t> </w:t>
      </w:r>
      <w:r w:rsidR="000A0679" w:rsidRPr="00C5365D">
        <w:rPr>
          <w:lang w:val="fr-FR"/>
        </w:rPr>
        <w:t>Web de l</w:t>
      </w:r>
      <w:r w:rsidR="00002F21" w:rsidRPr="00C5365D">
        <w:rPr>
          <w:lang w:val="fr-FR"/>
        </w:rPr>
        <w:t>’</w:t>
      </w:r>
      <w:r w:rsidR="000A0679" w:rsidRPr="00C5365D">
        <w:rPr>
          <w:lang w:val="fr-FR"/>
        </w:rPr>
        <w:t>OMPI</w:t>
      </w:r>
      <w:r w:rsidR="00F24D6D" w:rsidRPr="00C5365D">
        <w:rPr>
          <w:lang w:val="fr-FR"/>
        </w:rPr>
        <w:t xml:space="preserve"> (</w:t>
      </w:r>
      <w:hyperlink r:id="rId11" w:history="1">
        <w:r w:rsidR="00611634" w:rsidRPr="00797862">
          <w:rPr>
            <w:rStyle w:val="Hyperlink"/>
          </w:rPr>
          <w:t>http://www.wipo.int/patents/fr/technology/</w:t>
        </w:r>
      </w:hyperlink>
      <w:r w:rsidR="00F24D6D" w:rsidRPr="00C5365D">
        <w:rPr>
          <w:lang w:val="fr-FR"/>
        </w:rPr>
        <w:t>).</w:t>
      </w:r>
      <w:r w:rsidR="006F0AAD" w:rsidRPr="00C5365D">
        <w:rPr>
          <w:lang w:val="fr-FR"/>
        </w:rPr>
        <w:t xml:space="preserve"> </w:t>
      </w:r>
      <w:r w:rsidR="00F24D6D" w:rsidRPr="00C5365D">
        <w:rPr>
          <w:lang w:val="fr-FR"/>
        </w:rPr>
        <w:t xml:space="preserve"> </w:t>
      </w:r>
      <w:r w:rsidR="000A0679" w:rsidRPr="00C5365D">
        <w:rPr>
          <w:lang w:val="fr-FR"/>
        </w:rPr>
        <w:t xml:space="preserve">Cette </w:t>
      </w:r>
      <w:r w:rsidR="00002F21" w:rsidRPr="00C5365D">
        <w:rPr>
          <w:lang w:val="fr-FR"/>
        </w:rPr>
        <w:t>page W</w:t>
      </w:r>
      <w:r w:rsidR="000A0679" w:rsidRPr="00C5365D">
        <w:rPr>
          <w:lang w:val="fr-FR"/>
        </w:rPr>
        <w:t>eb donne un aperçu des activités de l</w:t>
      </w:r>
      <w:r w:rsidR="00002F21" w:rsidRPr="00C5365D">
        <w:rPr>
          <w:lang w:val="fr-FR"/>
        </w:rPr>
        <w:t>’</w:t>
      </w:r>
      <w:r w:rsidR="000A0679" w:rsidRPr="00C5365D">
        <w:rPr>
          <w:lang w:val="fr-FR"/>
        </w:rPr>
        <w:t>OMPI relatives au transfert de technologie ainsi qu</w:t>
      </w:r>
      <w:r w:rsidR="00002F21" w:rsidRPr="00C5365D">
        <w:rPr>
          <w:lang w:val="fr-FR"/>
        </w:rPr>
        <w:t>’</w:t>
      </w:r>
      <w:r w:rsidR="000A0679" w:rsidRPr="00C5365D">
        <w:rPr>
          <w:lang w:val="fr-FR"/>
        </w:rPr>
        <w:t>un ré</w:t>
      </w:r>
      <w:r w:rsidR="00184BDF" w:rsidRPr="00C5365D">
        <w:rPr>
          <w:lang w:val="fr-FR"/>
        </w:rPr>
        <w:t>sumé</w:t>
      </w:r>
      <w:r w:rsidR="00611634" w:rsidRPr="00C5365D">
        <w:rPr>
          <w:lang w:val="fr-FR"/>
        </w:rPr>
        <w:t xml:space="preserve"> de ces activités</w:t>
      </w:r>
      <w:r w:rsidR="00184BDF" w:rsidRPr="00C5365D">
        <w:rPr>
          <w:lang w:val="fr-FR"/>
        </w:rPr>
        <w:t xml:space="preserve"> </w:t>
      </w:r>
      <w:r w:rsidR="00611634" w:rsidRPr="00C5365D">
        <w:rPr>
          <w:lang w:val="fr-FR"/>
        </w:rPr>
        <w:t>et</w:t>
      </w:r>
      <w:r w:rsidR="000A0679" w:rsidRPr="00C5365D">
        <w:rPr>
          <w:lang w:val="fr-FR"/>
        </w:rPr>
        <w:t xml:space="preserve"> des liens vers des </w:t>
      </w:r>
      <w:r w:rsidR="00002F21" w:rsidRPr="00C5365D">
        <w:rPr>
          <w:lang w:val="fr-FR"/>
        </w:rPr>
        <w:t>pages W</w:t>
      </w:r>
      <w:r w:rsidR="000A0679" w:rsidRPr="00C5365D">
        <w:rPr>
          <w:lang w:val="fr-FR"/>
        </w:rPr>
        <w:t>eb plus détaillé</w:t>
      </w:r>
      <w:r w:rsidR="00EB3E62" w:rsidRPr="00C5365D">
        <w:rPr>
          <w:lang w:val="fr-FR"/>
        </w:rPr>
        <w:t>es.  Ce</w:t>
      </w:r>
      <w:r w:rsidR="00AD240A" w:rsidRPr="00C5365D">
        <w:rPr>
          <w:lang w:val="fr-FR"/>
        </w:rPr>
        <w:t xml:space="preserve">s activités sont également </w:t>
      </w:r>
      <w:r w:rsidR="00711C46" w:rsidRPr="00C5365D">
        <w:rPr>
          <w:lang w:val="fr-FR"/>
        </w:rPr>
        <w:t>diffusées</w:t>
      </w:r>
      <w:r w:rsidR="00AD240A" w:rsidRPr="00C5365D">
        <w:rPr>
          <w:lang w:val="fr-FR"/>
        </w:rPr>
        <w:t xml:space="preserve"> </w:t>
      </w:r>
      <w:r w:rsidR="00711C46" w:rsidRPr="00C5365D">
        <w:rPr>
          <w:lang w:val="fr-FR"/>
        </w:rPr>
        <w:t>sur</w:t>
      </w:r>
      <w:r w:rsidR="00611634" w:rsidRPr="00C5365D">
        <w:rPr>
          <w:lang w:val="fr-FR"/>
        </w:rPr>
        <w:t xml:space="preserve"> les réseaux sociaux</w:t>
      </w:r>
      <w:r w:rsidR="00EA076E" w:rsidRPr="00C5365D">
        <w:rPr>
          <w:lang w:val="fr-FR"/>
        </w:rPr>
        <w:t xml:space="preserve"> </w:t>
      </w:r>
      <w:r w:rsidR="00711C46" w:rsidRPr="00C5365D">
        <w:rPr>
          <w:lang w:val="fr-FR"/>
        </w:rPr>
        <w:t>où</w:t>
      </w:r>
      <w:r w:rsidR="00EA076E" w:rsidRPr="00C5365D">
        <w:rPr>
          <w:lang w:val="fr-FR"/>
        </w:rPr>
        <w:t xml:space="preserve"> l</w:t>
      </w:r>
      <w:r w:rsidR="00002F21" w:rsidRPr="00C5365D">
        <w:rPr>
          <w:lang w:val="fr-FR"/>
        </w:rPr>
        <w:t>’</w:t>
      </w:r>
      <w:r w:rsidR="00EA076E" w:rsidRPr="00C5365D">
        <w:rPr>
          <w:lang w:val="fr-FR"/>
        </w:rPr>
        <w:t xml:space="preserve">OMPI </w:t>
      </w:r>
      <w:r w:rsidR="00607A86" w:rsidRPr="00C5365D">
        <w:rPr>
          <w:lang w:val="fr-FR"/>
        </w:rPr>
        <w:t>est présente</w:t>
      </w:r>
      <w:r w:rsidR="00611634" w:rsidRPr="00C5365D">
        <w:rPr>
          <w:lang w:val="fr-FR"/>
        </w:rPr>
        <w:t>, tels que</w:t>
      </w:r>
      <w:r w:rsidR="00EA076E" w:rsidRPr="00C5365D">
        <w:rPr>
          <w:lang w:val="fr-FR"/>
        </w:rPr>
        <w:t xml:space="preserve"> </w:t>
      </w:r>
      <w:r w:rsidR="00FA5453" w:rsidRPr="00C5365D">
        <w:rPr>
          <w:lang w:val="fr-FR"/>
        </w:rPr>
        <w:t>Facebook, LinkedIn</w:t>
      </w:r>
      <w:r w:rsidR="00EA076E" w:rsidRPr="00C5365D">
        <w:rPr>
          <w:lang w:val="fr-FR"/>
        </w:rPr>
        <w:t xml:space="preserve"> et</w:t>
      </w:r>
      <w:r w:rsidR="00FA5453" w:rsidRPr="00C5365D">
        <w:rPr>
          <w:lang w:val="fr-FR"/>
        </w:rPr>
        <w:t xml:space="preserve"> Twitter</w:t>
      </w:r>
      <w:r w:rsidR="00E45776" w:rsidRPr="00C5365D">
        <w:rPr>
          <w:lang w:val="fr-FR"/>
        </w:rPr>
        <w:t>,</w:t>
      </w:r>
      <w:r w:rsidR="00FA5453" w:rsidRPr="00C5365D">
        <w:rPr>
          <w:lang w:val="fr-FR"/>
        </w:rPr>
        <w:t xml:space="preserve"> </w:t>
      </w:r>
      <w:r w:rsidR="00EA076E" w:rsidRPr="00C5365D">
        <w:rPr>
          <w:lang w:val="fr-FR"/>
        </w:rPr>
        <w:t xml:space="preserve">ainsi que par </w:t>
      </w:r>
      <w:r w:rsidR="00607A86" w:rsidRPr="00C5365D">
        <w:rPr>
          <w:lang w:val="fr-FR"/>
        </w:rPr>
        <w:t>l</w:t>
      </w:r>
      <w:r w:rsidR="00002F21" w:rsidRPr="00C5365D">
        <w:rPr>
          <w:lang w:val="fr-FR"/>
        </w:rPr>
        <w:t>’</w:t>
      </w:r>
      <w:r w:rsidR="00607A86" w:rsidRPr="00C5365D">
        <w:rPr>
          <w:lang w:val="fr-FR"/>
        </w:rPr>
        <w:t>intermédiaire d</w:t>
      </w:r>
      <w:r w:rsidR="00002F21" w:rsidRPr="00C5365D">
        <w:rPr>
          <w:lang w:val="fr-FR"/>
        </w:rPr>
        <w:t>’</w:t>
      </w:r>
      <w:r w:rsidR="00611634" w:rsidRPr="00C5365D">
        <w:rPr>
          <w:lang w:val="fr-FR"/>
        </w:rPr>
        <w:t>exposés généraux</w:t>
      </w:r>
      <w:r w:rsidR="00EA076E" w:rsidRPr="00C5365D">
        <w:rPr>
          <w:lang w:val="fr-FR"/>
        </w:rPr>
        <w:t xml:space="preserve"> sur l</w:t>
      </w:r>
      <w:r w:rsidR="00002F21" w:rsidRPr="00C5365D">
        <w:rPr>
          <w:lang w:val="fr-FR"/>
        </w:rPr>
        <w:t>’</w:t>
      </w:r>
      <w:r w:rsidR="00EA076E" w:rsidRPr="00C5365D">
        <w:rPr>
          <w:lang w:val="fr-FR"/>
        </w:rPr>
        <w:t>OMPI et les activités de l</w:t>
      </w:r>
      <w:r w:rsidR="00002F21" w:rsidRPr="00C5365D">
        <w:rPr>
          <w:lang w:val="fr-FR"/>
        </w:rPr>
        <w:t>’</w:t>
      </w:r>
      <w:r w:rsidR="00EA076E" w:rsidRPr="00C5365D">
        <w:rPr>
          <w:lang w:val="fr-FR"/>
        </w:rPr>
        <w:t xml:space="preserve">OMPI qui sont </w:t>
      </w:r>
      <w:r w:rsidR="00611634" w:rsidRPr="00C5365D">
        <w:rPr>
          <w:lang w:val="fr-FR"/>
        </w:rPr>
        <w:t>présentés à l</w:t>
      </w:r>
      <w:r w:rsidR="00002F21" w:rsidRPr="00C5365D">
        <w:rPr>
          <w:lang w:val="fr-FR"/>
        </w:rPr>
        <w:t>’</w:t>
      </w:r>
      <w:r w:rsidR="00611634" w:rsidRPr="00C5365D">
        <w:rPr>
          <w:lang w:val="fr-FR"/>
        </w:rPr>
        <w:t>occasion de certaines manifestations</w:t>
      </w:r>
      <w:r w:rsidR="00EA076E" w:rsidRPr="00C5365D">
        <w:rPr>
          <w:lang w:val="fr-FR"/>
        </w:rPr>
        <w:t>.</w:t>
      </w:r>
    </w:p>
    <w:p w:rsidR="003562AD" w:rsidRPr="00C5365D" w:rsidRDefault="008F34FB" w:rsidP="003562AD">
      <w:pPr>
        <w:pStyle w:val="ONUMFS"/>
        <w:numPr>
          <w:ilvl w:val="0"/>
          <w:numId w:val="0"/>
        </w:numPr>
        <w:rPr>
          <w:lang w:val="fr-FR"/>
        </w:rPr>
      </w:pPr>
      <w:r w:rsidRPr="00C5365D">
        <w:t>Exe</w:t>
      </w:r>
      <w:r w:rsidR="00F24D6D" w:rsidRPr="00C5365D">
        <w:t>mple</w:t>
      </w:r>
      <w:r w:rsidR="00002F21" w:rsidRPr="00C5365D">
        <w:t> :</w:t>
      </w:r>
      <w:r w:rsidR="00EF6408" w:rsidRPr="00C5365D">
        <w:t xml:space="preserve"> Les</w:t>
      </w:r>
      <w:r w:rsidRPr="00C5365D">
        <w:t xml:space="preserve"> services et ressources relatifs au transfert de technologie</w:t>
      </w:r>
      <w:r w:rsidR="0054252E" w:rsidRPr="00C5365D">
        <w:t xml:space="preserve"> </w:t>
      </w:r>
      <w:r w:rsidR="007C6B9B" w:rsidRPr="00C5365D">
        <w:t>fournis</w:t>
      </w:r>
      <w:r w:rsidRPr="00C5365D">
        <w:t xml:space="preserve"> par l</w:t>
      </w:r>
      <w:r w:rsidR="00002F21" w:rsidRPr="00C5365D">
        <w:t>’</w:t>
      </w:r>
      <w:r w:rsidRPr="00C5365D">
        <w:t xml:space="preserve">OMPI et visant de </w:t>
      </w:r>
      <w:r w:rsidR="00EE3FB3" w:rsidRPr="00C5365D">
        <w:t xml:space="preserve">multiples </w:t>
      </w:r>
      <w:r w:rsidRPr="00C5365D">
        <w:t>parties prenantes sont compris dans le</w:t>
      </w:r>
      <w:r w:rsidR="0054252E" w:rsidRPr="00C5365D">
        <w:t xml:space="preserve"> programme de</w:t>
      </w:r>
      <w:r w:rsidR="003D004B" w:rsidRPr="00C5365D">
        <w:t xml:space="preserve"> cours d</w:t>
      </w:r>
      <w:r w:rsidR="00002F21" w:rsidRPr="00C5365D">
        <w:t>’</w:t>
      </w:r>
      <w:r w:rsidR="003D004B" w:rsidRPr="00C5365D">
        <w:t>été de</w:t>
      </w:r>
      <w:r w:rsidRPr="00C5365D">
        <w:t xml:space="preserve"> l</w:t>
      </w:r>
      <w:r w:rsidR="00002F21" w:rsidRPr="00C5365D">
        <w:t>’</w:t>
      </w:r>
      <w:r w:rsidRPr="00C5365D">
        <w:t>Académie de l</w:t>
      </w:r>
      <w:r w:rsidR="00002F21" w:rsidRPr="00C5365D">
        <w:t>’</w:t>
      </w:r>
      <w:r w:rsidRPr="00C5365D">
        <w:t>OMPI.</w:t>
      </w:r>
    </w:p>
    <w:p w:rsidR="003562AD" w:rsidRPr="00C5365D" w:rsidRDefault="003D004B" w:rsidP="003562AD">
      <w:pPr>
        <w:pStyle w:val="ONUMFS"/>
        <w:numPr>
          <w:ilvl w:val="0"/>
          <w:numId w:val="0"/>
        </w:numPr>
        <w:rPr>
          <w:lang w:val="fr-FR"/>
        </w:rPr>
      </w:pPr>
      <w:r w:rsidRPr="00C5365D">
        <w:rPr>
          <w:lang w:val="fr-FR"/>
        </w:rPr>
        <w:t>Exemple</w:t>
      </w:r>
      <w:r w:rsidR="00002F21" w:rsidRPr="00C5365D">
        <w:rPr>
          <w:lang w:val="fr-FR"/>
        </w:rPr>
        <w:t> :</w:t>
      </w:r>
      <w:r w:rsidR="006F0AAD" w:rsidRPr="00C5365D">
        <w:rPr>
          <w:lang w:val="fr-FR"/>
        </w:rPr>
        <w:t xml:space="preserve"> </w:t>
      </w:r>
      <w:r w:rsidRPr="00C5365D">
        <w:rPr>
          <w:lang w:val="fr-FR"/>
        </w:rPr>
        <w:t>Les activités de la Division du droit des brevets</w:t>
      </w:r>
      <w:r w:rsidR="00F24D6D" w:rsidRPr="00C5365D">
        <w:rPr>
          <w:lang w:val="fr-FR"/>
        </w:rPr>
        <w:t xml:space="preserve"> (</w:t>
      </w:r>
      <w:r w:rsidR="00C5365D" w:rsidRPr="00C5365D">
        <w:rPr>
          <w:lang w:val="fr-FR"/>
        </w:rPr>
        <w:t>programme </w:t>
      </w:r>
      <w:r w:rsidR="00F24D6D" w:rsidRPr="00C5365D">
        <w:rPr>
          <w:lang w:val="fr-FR"/>
        </w:rPr>
        <w:t xml:space="preserve">1), </w:t>
      </w:r>
      <w:r w:rsidRPr="00C5365D">
        <w:rPr>
          <w:lang w:val="fr-FR"/>
        </w:rPr>
        <w:t>de la Division de l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accès à l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 xml:space="preserve">information et aux </w:t>
      </w:r>
      <w:r w:rsidR="00587FB5" w:rsidRPr="00C5365D">
        <w:rPr>
          <w:lang w:val="fr-FR"/>
        </w:rPr>
        <w:t>sav</w:t>
      </w:r>
      <w:r w:rsidRPr="00C5365D">
        <w:rPr>
          <w:lang w:val="fr-FR"/>
        </w:rPr>
        <w:t>o</w:t>
      </w:r>
      <w:r w:rsidR="00587FB5" w:rsidRPr="00C5365D">
        <w:rPr>
          <w:lang w:val="fr-FR"/>
        </w:rPr>
        <w:t>i</w:t>
      </w:r>
      <w:r w:rsidRPr="00C5365D">
        <w:rPr>
          <w:lang w:val="fr-FR"/>
        </w:rPr>
        <w:t>rs</w:t>
      </w:r>
      <w:r w:rsidR="00F24D6D" w:rsidRPr="00C5365D">
        <w:rPr>
          <w:lang w:val="fr-FR"/>
        </w:rPr>
        <w:t xml:space="preserve"> (</w:t>
      </w:r>
      <w:r w:rsidR="00C5365D" w:rsidRPr="00C5365D">
        <w:rPr>
          <w:lang w:val="fr-FR"/>
        </w:rPr>
        <w:t>programme </w:t>
      </w:r>
      <w:r w:rsidR="00F24D6D" w:rsidRPr="00C5365D">
        <w:rPr>
          <w:lang w:val="fr-FR"/>
        </w:rPr>
        <w:t xml:space="preserve">14), </w:t>
      </w:r>
      <w:r w:rsidR="00587FB5" w:rsidRPr="00C5365D">
        <w:rPr>
          <w:lang w:val="fr-FR"/>
        </w:rPr>
        <w:t xml:space="preserve">et </w:t>
      </w:r>
      <w:r w:rsidR="00ED1A93" w:rsidRPr="00C5365D">
        <w:rPr>
          <w:lang w:val="fr-FR"/>
        </w:rPr>
        <w:t>de la Division</w:t>
      </w:r>
      <w:r w:rsidR="00002F21" w:rsidRPr="00C5365D">
        <w:rPr>
          <w:lang w:val="fr-FR"/>
        </w:rPr>
        <w:t xml:space="preserve"> des PME</w:t>
      </w:r>
      <w:r w:rsidR="00587FB5" w:rsidRPr="00C5365D">
        <w:rPr>
          <w:lang w:val="fr-FR"/>
        </w:rPr>
        <w:t xml:space="preserve"> et de l</w:t>
      </w:r>
      <w:r w:rsidR="00002F21" w:rsidRPr="00C5365D">
        <w:rPr>
          <w:lang w:val="fr-FR"/>
        </w:rPr>
        <w:t>’</w:t>
      </w:r>
      <w:r w:rsidR="00587FB5" w:rsidRPr="00C5365D">
        <w:rPr>
          <w:lang w:val="fr-FR"/>
        </w:rPr>
        <w:t>appui à la création d</w:t>
      </w:r>
      <w:r w:rsidR="00002F21" w:rsidRPr="00C5365D">
        <w:rPr>
          <w:lang w:val="fr-FR"/>
        </w:rPr>
        <w:t>’</w:t>
      </w:r>
      <w:r w:rsidR="00587FB5" w:rsidRPr="00C5365D">
        <w:rPr>
          <w:lang w:val="fr-FR"/>
        </w:rPr>
        <w:t>entreprise</w:t>
      </w:r>
      <w:r w:rsidR="00F24D6D" w:rsidRPr="00C5365D">
        <w:rPr>
          <w:lang w:val="fr-FR"/>
        </w:rPr>
        <w:t xml:space="preserve"> (</w:t>
      </w:r>
      <w:r w:rsidR="00C5365D" w:rsidRPr="00C5365D">
        <w:rPr>
          <w:lang w:val="fr-FR"/>
        </w:rPr>
        <w:t>programme </w:t>
      </w:r>
      <w:r w:rsidR="00F24D6D" w:rsidRPr="00C5365D">
        <w:rPr>
          <w:lang w:val="fr-FR"/>
        </w:rPr>
        <w:t>30)</w:t>
      </w:r>
      <w:r w:rsidR="008B6165" w:rsidRPr="00C5365D">
        <w:rPr>
          <w:lang w:val="fr-FR"/>
        </w:rPr>
        <w:t>,</w:t>
      </w:r>
      <w:r w:rsidR="00F24D6D" w:rsidRPr="00C5365D">
        <w:rPr>
          <w:lang w:val="fr-FR"/>
        </w:rPr>
        <w:t xml:space="preserve"> </w:t>
      </w:r>
      <w:r w:rsidR="003464D6" w:rsidRPr="00C5365D">
        <w:rPr>
          <w:lang w:val="fr-FR"/>
        </w:rPr>
        <w:t xml:space="preserve">relatives au transfert de technologie et ciblant </w:t>
      </w:r>
      <w:r w:rsidR="003457DF" w:rsidRPr="00C5365D">
        <w:rPr>
          <w:lang w:val="fr-FR"/>
        </w:rPr>
        <w:t>plusieurs</w:t>
      </w:r>
      <w:r w:rsidR="003464D6" w:rsidRPr="00C5365D">
        <w:rPr>
          <w:lang w:val="fr-FR"/>
        </w:rPr>
        <w:t xml:space="preserve"> parties prenantes</w:t>
      </w:r>
      <w:r w:rsidR="008B6165" w:rsidRPr="00C5365D">
        <w:rPr>
          <w:lang w:val="fr-FR"/>
        </w:rPr>
        <w:t>,</w:t>
      </w:r>
      <w:r w:rsidR="003464D6" w:rsidRPr="00C5365D">
        <w:rPr>
          <w:lang w:val="fr-FR"/>
        </w:rPr>
        <w:t xml:space="preserve"> sont régulièrement </w:t>
      </w:r>
      <w:r w:rsidR="00170BCA" w:rsidRPr="00C5365D">
        <w:rPr>
          <w:lang w:val="fr-FR"/>
        </w:rPr>
        <w:t xml:space="preserve">intégrées </w:t>
      </w:r>
      <w:r w:rsidR="003457DF" w:rsidRPr="00C5365D">
        <w:rPr>
          <w:lang w:val="fr-FR"/>
        </w:rPr>
        <w:t>aux</w:t>
      </w:r>
      <w:r w:rsidR="003464D6" w:rsidRPr="00C5365D">
        <w:rPr>
          <w:lang w:val="fr-FR"/>
        </w:rPr>
        <w:t xml:space="preserve"> </w:t>
      </w:r>
      <w:r w:rsidR="00170BCA" w:rsidRPr="00C5365D">
        <w:rPr>
          <w:lang w:val="fr-FR"/>
        </w:rPr>
        <w:t>exposés généraux sur l</w:t>
      </w:r>
      <w:r w:rsidR="00002F21" w:rsidRPr="00C5365D">
        <w:rPr>
          <w:lang w:val="fr-FR"/>
        </w:rPr>
        <w:t>’</w:t>
      </w:r>
      <w:r w:rsidR="00170BCA" w:rsidRPr="00C5365D">
        <w:rPr>
          <w:lang w:val="fr-FR"/>
        </w:rPr>
        <w:t xml:space="preserve">OMPI </w:t>
      </w:r>
      <w:r w:rsidR="008B6165" w:rsidRPr="00C5365D">
        <w:rPr>
          <w:lang w:val="fr-FR"/>
        </w:rPr>
        <w:t>présentés</w:t>
      </w:r>
      <w:r w:rsidR="003464D6" w:rsidRPr="00C5365D">
        <w:rPr>
          <w:lang w:val="fr-FR"/>
        </w:rPr>
        <w:t xml:space="preserve"> par le Bureau régional pour l</w:t>
      </w:r>
      <w:r w:rsidR="00002F21" w:rsidRPr="00C5365D">
        <w:rPr>
          <w:lang w:val="fr-FR"/>
        </w:rPr>
        <w:t>’</w:t>
      </w:r>
      <w:r w:rsidR="003464D6" w:rsidRPr="00C5365D">
        <w:rPr>
          <w:lang w:val="fr-FR"/>
        </w:rPr>
        <w:t>Amérique latine et les Caraïbes.</w:t>
      </w:r>
    </w:p>
    <w:p w:rsidR="00A31220" w:rsidRPr="00C5365D" w:rsidRDefault="003562AD" w:rsidP="003562AD">
      <w:pPr>
        <w:pStyle w:val="Heading2"/>
      </w:pPr>
      <w:r w:rsidRPr="00C5365D">
        <w:t>Promotion des travaux des comités</w:t>
      </w:r>
    </w:p>
    <w:p w:rsidR="00A31220" w:rsidRPr="00C5365D" w:rsidRDefault="00A31220" w:rsidP="00F24D6D">
      <w:pPr>
        <w:rPr>
          <w:szCs w:val="22"/>
        </w:rPr>
      </w:pPr>
    </w:p>
    <w:p w:rsidR="00A31220" w:rsidRPr="00C5365D" w:rsidRDefault="00186505" w:rsidP="003562AD">
      <w:pPr>
        <w:pStyle w:val="ONUMFS"/>
        <w:rPr>
          <w:lang w:val="fr-FR"/>
        </w:rPr>
      </w:pPr>
      <w:r w:rsidRPr="00C5365D">
        <w:rPr>
          <w:lang w:val="fr-FR"/>
        </w:rPr>
        <w:t xml:space="preserve">Le transfert de technologie </w:t>
      </w:r>
      <w:r w:rsidR="00266CB8" w:rsidRPr="00C5365D">
        <w:rPr>
          <w:lang w:val="fr-FR"/>
        </w:rPr>
        <w:t>est l</w:t>
      </w:r>
      <w:r w:rsidR="00002F21" w:rsidRPr="00C5365D">
        <w:rPr>
          <w:lang w:val="fr-FR"/>
        </w:rPr>
        <w:t>’</w:t>
      </w:r>
      <w:r w:rsidR="00266CB8" w:rsidRPr="00C5365D">
        <w:rPr>
          <w:lang w:val="fr-FR"/>
        </w:rPr>
        <w:t>un des</w:t>
      </w:r>
      <w:r w:rsidR="00BF6593" w:rsidRPr="00C5365D">
        <w:rPr>
          <w:lang w:val="fr-FR"/>
        </w:rPr>
        <w:t xml:space="preserve"> points de l</w:t>
      </w:r>
      <w:r w:rsidR="00002F21" w:rsidRPr="00C5365D">
        <w:rPr>
          <w:lang w:val="fr-FR"/>
        </w:rPr>
        <w:t>’</w:t>
      </w:r>
      <w:r w:rsidR="00BF6593" w:rsidRPr="00C5365D">
        <w:rPr>
          <w:lang w:val="fr-FR"/>
        </w:rPr>
        <w:t>ordre du jour abordés régulièrement ou selon la circonstance par les Comités de l</w:t>
      </w:r>
      <w:r w:rsidR="00002F21" w:rsidRPr="00C5365D">
        <w:rPr>
          <w:lang w:val="fr-FR"/>
        </w:rPr>
        <w:t>’</w:t>
      </w:r>
      <w:r w:rsidR="00BF6593" w:rsidRPr="00C5365D">
        <w:rPr>
          <w:lang w:val="fr-FR"/>
        </w:rPr>
        <w:t xml:space="preserve">OMPI comme </w:t>
      </w:r>
      <w:r w:rsidRPr="00C5365D">
        <w:rPr>
          <w:lang w:val="fr-FR"/>
        </w:rPr>
        <w:t>le Comité permanent du droit des brevets (SCP).</w:t>
      </w:r>
      <w:r w:rsidR="00AE15F0" w:rsidRPr="00C5365D">
        <w:rPr>
          <w:lang w:val="fr-FR"/>
        </w:rPr>
        <w:t xml:space="preserve"> </w:t>
      </w:r>
      <w:r w:rsidR="00141E77" w:rsidRPr="00C5365D">
        <w:rPr>
          <w:lang w:val="fr-FR"/>
        </w:rPr>
        <w:t xml:space="preserve"> Les travaux menés par les comités</w:t>
      </w:r>
      <w:r w:rsidR="00F24D6D" w:rsidRPr="00C5365D">
        <w:rPr>
          <w:lang w:val="fr-FR"/>
        </w:rPr>
        <w:t xml:space="preserve"> </w:t>
      </w:r>
      <w:r w:rsidR="00141E77" w:rsidRPr="00C5365D">
        <w:rPr>
          <w:lang w:val="fr-FR"/>
        </w:rPr>
        <w:t xml:space="preserve">sont communiqués au public par </w:t>
      </w:r>
      <w:r w:rsidR="00A7568D" w:rsidRPr="00C5365D">
        <w:rPr>
          <w:lang w:val="fr-FR"/>
        </w:rPr>
        <w:t>les</w:t>
      </w:r>
      <w:r w:rsidR="00141E77" w:rsidRPr="00C5365D">
        <w:rPr>
          <w:lang w:val="fr-FR"/>
        </w:rPr>
        <w:t xml:space="preserve"> documents </w:t>
      </w:r>
      <w:r w:rsidR="00A7568D" w:rsidRPr="00C5365D">
        <w:rPr>
          <w:lang w:val="fr-FR"/>
        </w:rPr>
        <w:t>issus des</w:t>
      </w:r>
      <w:r w:rsidR="00141E77" w:rsidRPr="00C5365D">
        <w:rPr>
          <w:lang w:val="fr-FR"/>
        </w:rPr>
        <w:t xml:space="preserve"> réunion</w:t>
      </w:r>
      <w:r w:rsidR="00A7568D" w:rsidRPr="00C5365D">
        <w:rPr>
          <w:lang w:val="fr-FR"/>
        </w:rPr>
        <w:t>s</w:t>
      </w:r>
      <w:r w:rsidR="00141E77" w:rsidRPr="00C5365D">
        <w:rPr>
          <w:lang w:val="fr-FR"/>
        </w:rPr>
        <w:t xml:space="preserve"> </w:t>
      </w:r>
      <w:r w:rsidR="00A7568D" w:rsidRPr="00C5365D">
        <w:rPr>
          <w:lang w:val="fr-FR"/>
        </w:rPr>
        <w:t xml:space="preserve">qui sont </w:t>
      </w:r>
      <w:r w:rsidR="00141E77" w:rsidRPr="00C5365D">
        <w:rPr>
          <w:lang w:val="fr-FR"/>
        </w:rPr>
        <w:t xml:space="preserve">accessibles </w:t>
      </w:r>
      <w:r w:rsidR="00A7568D" w:rsidRPr="00C5365D">
        <w:rPr>
          <w:lang w:val="fr-FR"/>
        </w:rPr>
        <w:t>sur le site</w:t>
      </w:r>
      <w:r w:rsidR="00AE15F0" w:rsidRPr="00C5365D">
        <w:rPr>
          <w:lang w:val="fr-FR"/>
        </w:rPr>
        <w:t> </w:t>
      </w:r>
      <w:r w:rsidR="00A7568D" w:rsidRPr="00C5365D">
        <w:rPr>
          <w:lang w:val="fr-FR"/>
        </w:rPr>
        <w:t>Web de l</w:t>
      </w:r>
      <w:r w:rsidR="00002F21" w:rsidRPr="00C5365D">
        <w:rPr>
          <w:lang w:val="fr-FR"/>
        </w:rPr>
        <w:t>’</w:t>
      </w:r>
      <w:r w:rsidR="00A7568D" w:rsidRPr="00C5365D">
        <w:rPr>
          <w:lang w:val="fr-FR"/>
        </w:rPr>
        <w:t xml:space="preserve">OMPI, </w:t>
      </w:r>
      <w:r w:rsidR="0019763F" w:rsidRPr="00C5365D">
        <w:rPr>
          <w:lang w:val="fr-FR"/>
        </w:rPr>
        <w:t xml:space="preserve">via </w:t>
      </w:r>
      <w:r w:rsidR="00A7568D" w:rsidRPr="00C5365D">
        <w:rPr>
          <w:lang w:val="fr-FR"/>
        </w:rPr>
        <w:t>une</w:t>
      </w:r>
      <w:r w:rsidR="00141E77" w:rsidRPr="00C5365D">
        <w:rPr>
          <w:lang w:val="fr-FR"/>
        </w:rPr>
        <w:t xml:space="preserve"> base de données </w:t>
      </w:r>
      <w:r w:rsidR="00ED4FA4" w:rsidRPr="00C5365D">
        <w:rPr>
          <w:lang w:val="fr-FR"/>
        </w:rPr>
        <w:t>do</w:t>
      </w:r>
      <w:r w:rsidR="00A7568D" w:rsidRPr="00C5365D">
        <w:rPr>
          <w:lang w:val="fr-FR"/>
        </w:rPr>
        <w:t>tée d</w:t>
      </w:r>
      <w:r w:rsidR="00002F21" w:rsidRPr="00C5365D">
        <w:rPr>
          <w:lang w:val="fr-FR"/>
        </w:rPr>
        <w:t>’</w:t>
      </w:r>
      <w:r w:rsidR="00A7568D" w:rsidRPr="00C5365D">
        <w:rPr>
          <w:lang w:val="fr-FR"/>
        </w:rPr>
        <w:t>un moteur de recherche</w:t>
      </w:r>
      <w:r w:rsidR="00141E77" w:rsidRPr="00C5365D">
        <w:rPr>
          <w:lang w:val="fr-FR"/>
        </w:rPr>
        <w:t xml:space="preserve"> comportant des filtres permettant de rechercher des comités spécifiques</w:t>
      </w:r>
      <w:r w:rsidR="00F24D6D" w:rsidRPr="00C5365D">
        <w:rPr>
          <w:lang w:val="fr-FR"/>
        </w:rPr>
        <w:t xml:space="preserve"> (</w:t>
      </w:r>
      <w:hyperlink r:id="rId12" w:history="1">
        <w:r w:rsidR="00F24D6D" w:rsidRPr="00797862">
          <w:rPr>
            <w:rStyle w:val="Hyperlink"/>
            <w:lang w:val="fr-FR"/>
          </w:rPr>
          <w:t>http://www.wipo.int/meetings/</w:t>
        </w:r>
      </w:hyperlink>
      <w:r w:rsidR="00F24D6D" w:rsidRPr="00C5365D">
        <w:rPr>
          <w:lang w:val="fr-FR"/>
        </w:rPr>
        <w:t xml:space="preserve">). </w:t>
      </w:r>
      <w:r w:rsidR="006F0AAD" w:rsidRPr="00C5365D">
        <w:rPr>
          <w:lang w:val="fr-FR"/>
        </w:rPr>
        <w:t xml:space="preserve"> </w:t>
      </w:r>
      <w:r w:rsidR="00745980" w:rsidRPr="00C5365D">
        <w:rPr>
          <w:lang w:val="fr-FR"/>
        </w:rPr>
        <w:t xml:space="preserve">Ces travaux sont également </w:t>
      </w:r>
      <w:r w:rsidR="00B972AB" w:rsidRPr="00C5365D">
        <w:rPr>
          <w:lang w:val="fr-FR"/>
        </w:rPr>
        <w:t xml:space="preserve">promus dans le cadre de </w:t>
      </w:r>
      <w:r w:rsidR="00FC4F04" w:rsidRPr="00C5365D">
        <w:rPr>
          <w:lang w:val="fr-FR"/>
        </w:rPr>
        <w:t>séances</w:t>
      </w:r>
      <w:r w:rsidR="00B972AB" w:rsidRPr="00C5365D">
        <w:rPr>
          <w:lang w:val="fr-FR"/>
        </w:rPr>
        <w:t xml:space="preserve"> d</w:t>
      </w:r>
      <w:r w:rsidR="00002F21" w:rsidRPr="00C5365D">
        <w:rPr>
          <w:lang w:val="fr-FR"/>
        </w:rPr>
        <w:t>’</w:t>
      </w:r>
      <w:r w:rsidR="00B972AB" w:rsidRPr="00C5365D">
        <w:rPr>
          <w:lang w:val="fr-FR"/>
        </w:rPr>
        <w:t>information à l</w:t>
      </w:r>
      <w:r w:rsidR="00002F21" w:rsidRPr="00C5365D">
        <w:rPr>
          <w:lang w:val="fr-FR"/>
        </w:rPr>
        <w:t>’</w:t>
      </w:r>
      <w:r w:rsidR="00B972AB" w:rsidRPr="00C5365D">
        <w:rPr>
          <w:lang w:val="fr-FR"/>
        </w:rPr>
        <w:t xml:space="preserve">intention des </w:t>
      </w:r>
      <w:r w:rsidR="00EF6408" w:rsidRPr="00C5365D">
        <w:rPr>
          <w:lang w:val="fr-FR"/>
        </w:rPr>
        <w:t>États</w:t>
      </w:r>
      <w:r w:rsidR="00B972AB" w:rsidRPr="00C5365D">
        <w:rPr>
          <w:lang w:val="fr-FR"/>
        </w:rPr>
        <w:t xml:space="preserve"> membr</w:t>
      </w:r>
      <w:r w:rsidR="00EB3E62" w:rsidRPr="00C5365D">
        <w:rPr>
          <w:lang w:val="fr-FR"/>
        </w:rPr>
        <w:t>es.  En</w:t>
      </w:r>
      <w:r w:rsidR="00B972AB" w:rsidRPr="00C5365D">
        <w:rPr>
          <w:lang w:val="fr-FR"/>
        </w:rPr>
        <w:t xml:space="preserve"> outre,</w:t>
      </w:r>
      <w:r w:rsidR="00002F21" w:rsidRPr="00C5365D">
        <w:rPr>
          <w:lang w:val="fr-FR"/>
        </w:rPr>
        <w:t xml:space="preserve"> le SCP</w:t>
      </w:r>
      <w:r w:rsidR="00B972AB" w:rsidRPr="00C5365D">
        <w:rPr>
          <w:lang w:val="fr-FR"/>
        </w:rPr>
        <w:t xml:space="preserve"> </w:t>
      </w:r>
      <w:r w:rsidR="00FC4F04" w:rsidRPr="00C5365D">
        <w:rPr>
          <w:lang w:val="fr-FR"/>
        </w:rPr>
        <w:t>consacre</w:t>
      </w:r>
      <w:r w:rsidR="00B972AB" w:rsidRPr="00C5365D">
        <w:rPr>
          <w:lang w:val="fr-FR"/>
        </w:rPr>
        <w:t xml:space="preserve"> une </w:t>
      </w:r>
      <w:r w:rsidR="00002F21" w:rsidRPr="00C5365D">
        <w:rPr>
          <w:lang w:val="fr-FR"/>
        </w:rPr>
        <w:t>page W</w:t>
      </w:r>
      <w:r w:rsidR="00120487" w:rsidRPr="00C5365D">
        <w:rPr>
          <w:lang w:val="fr-FR"/>
        </w:rPr>
        <w:t xml:space="preserve">eb </w:t>
      </w:r>
      <w:r w:rsidR="00B972AB" w:rsidRPr="00C5365D">
        <w:rPr>
          <w:lang w:val="fr-FR"/>
        </w:rPr>
        <w:t xml:space="preserve">à ses débats relatifs au transfert de technologie </w:t>
      </w:r>
      <w:r w:rsidR="00F24D6D" w:rsidRPr="00C5365D">
        <w:rPr>
          <w:lang w:val="fr-FR"/>
        </w:rPr>
        <w:t>(</w:t>
      </w:r>
      <w:hyperlink r:id="rId13" w:history="1">
        <w:r w:rsidR="00F24D6D" w:rsidRPr="00797862">
          <w:rPr>
            <w:rStyle w:val="Hyperlink"/>
          </w:rPr>
          <w:t>http://www.wipo.int/patents/en/topics/technology_transfer.html</w:t>
        </w:r>
      </w:hyperlink>
      <w:r w:rsidR="00F24D6D" w:rsidRPr="00C5365D">
        <w:rPr>
          <w:lang w:val="fr-FR"/>
        </w:rPr>
        <w:t>).</w:t>
      </w:r>
    </w:p>
    <w:p w:rsidR="00A31220" w:rsidRPr="00C5365D" w:rsidRDefault="001D4002" w:rsidP="003562AD">
      <w:pPr>
        <w:pStyle w:val="ONUMFS"/>
        <w:numPr>
          <w:ilvl w:val="0"/>
          <w:numId w:val="0"/>
        </w:numPr>
        <w:rPr>
          <w:lang w:val="fr-FR"/>
        </w:rPr>
      </w:pPr>
      <w:r w:rsidRPr="00C5365D">
        <w:rPr>
          <w:lang w:val="fr-FR"/>
        </w:rPr>
        <w:t>Exemple</w:t>
      </w:r>
      <w:r w:rsidR="00002F21" w:rsidRPr="00C5365D">
        <w:rPr>
          <w:lang w:val="fr-FR"/>
        </w:rPr>
        <w:t> :</w:t>
      </w:r>
      <w:r w:rsidRPr="00C5365D">
        <w:rPr>
          <w:lang w:val="fr-FR"/>
        </w:rPr>
        <w:t xml:space="preserve"> Les travaux du Comité permanent du droit des brevets (SCP) seront présentés lors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une séance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 xml:space="preserve">information sur les dispositions du droit des brevets </w:t>
      </w:r>
      <w:r w:rsidR="00625E9E" w:rsidRPr="00C5365D">
        <w:rPr>
          <w:lang w:val="fr-FR"/>
        </w:rPr>
        <w:t>ayant</w:t>
      </w:r>
      <w:r w:rsidRPr="00C5365D">
        <w:rPr>
          <w:lang w:val="fr-FR"/>
        </w:rPr>
        <w:t xml:space="preserve"> contribué </w:t>
      </w:r>
      <w:r w:rsidR="0019763F" w:rsidRPr="00C5365D">
        <w:rPr>
          <w:lang w:val="fr-FR"/>
        </w:rPr>
        <w:lastRenderedPageBreak/>
        <w:t>efficacement</w:t>
      </w:r>
      <w:r w:rsidRPr="00C5365D">
        <w:rPr>
          <w:lang w:val="fr-FR"/>
        </w:rPr>
        <w:t xml:space="preserve"> au transfert de technologie, </w:t>
      </w:r>
      <w:r w:rsidR="004753DC" w:rsidRPr="00C5365D">
        <w:rPr>
          <w:lang w:val="fr-FR"/>
        </w:rPr>
        <w:t xml:space="preserve">qui </w:t>
      </w:r>
      <w:r w:rsidR="0019763F" w:rsidRPr="00C5365D">
        <w:rPr>
          <w:lang w:val="fr-FR"/>
        </w:rPr>
        <w:t>aura lieu</w:t>
      </w:r>
      <w:r w:rsidRPr="00C5365D">
        <w:rPr>
          <w:lang w:val="fr-FR"/>
        </w:rPr>
        <w:t xml:space="preserve"> </w:t>
      </w:r>
      <w:r w:rsidR="0019763F" w:rsidRPr="00C5365D">
        <w:rPr>
          <w:lang w:val="fr-FR"/>
        </w:rPr>
        <w:t xml:space="preserve">en </w:t>
      </w:r>
      <w:r w:rsidR="00002F21" w:rsidRPr="00C5365D">
        <w:rPr>
          <w:lang w:val="fr-FR"/>
        </w:rPr>
        <w:t>décembre 20</w:t>
      </w:r>
      <w:r w:rsidR="0019763F" w:rsidRPr="00C5365D">
        <w:rPr>
          <w:lang w:val="fr-FR"/>
        </w:rPr>
        <w:t xml:space="preserve">17 </w:t>
      </w:r>
      <w:r w:rsidRPr="00C5365D">
        <w:rPr>
          <w:lang w:val="fr-FR"/>
        </w:rPr>
        <w:t xml:space="preserve">à la </w:t>
      </w:r>
      <w:r w:rsidR="00C5365D" w:rsidRPr="00C5365D">
        <w:rPr>
          <w:lang w:val="fr-FR"/>
        </w:rPr>
        <w:t>vingt</w:t>
      </w:r>
      <w:r w:rsidR="002B6147">
        <w:rPr>
          <w:lang w:val="fr-FR"/>
        </w:rPr>
        <w:noBreakHyphen/>
      </w:r>
      <w:r w:rsidR="00C5365D" w:rsidRPr="00C5365D">
        <w:rPr>
          <w:lang w:val="fr-FR"/>
        </w:rPr>
        <w:t>septième </w:t>
      </w:r>
      <w:r w:rsidRPr="00C5365D">
        <w:rPr>
          <w:lang w:val="fr-FR"/>
        </w:rPr>
        <w:t>session</w:t>
      </w:r>
      <w:r w:rsidR="00002F21" w:rsidRPr="00C5365D">
        <w:rPr>
          <w:lang w:val="fr-FR"/>
        </w:rPr>
        <w:t xml:space="preserve"> du SCP</w:t>
      </w:r>
      <w:r w:rsidRPr="00C5365D">
        <w:rPr>
          <w:lang w:val="fr-FR"/>
        </w:rPr>
        <w:t>.</w:t>
      </w:r>
    </w:p>
    <w:p w:rsidR="00A31220" w:rsidRPr="00C5365D" w:rsidRDefault="003562AD" w:rsidP="003562AD">
      <w:pPr>
        <w:pStyle w:val="Heading2"/>
      </w:pPr>
      <w:r w:rsidRPr="00C5365D">
        <w:t>Promotion des programmes et activités de sensibilisation et de formation</w:t>
      </w:r>
    </w:p>
    <w:p w:rsidR="00A31220" w:rsidRPr="00C5365D" w:rsidRDefault="00A31220" w:rsidP="00F24D6D">
      <w:pPr>
        <w:rPr>
          <w:szCs w:val="22"/>
        </w:rPr>
      </w:pPr>
    </w:p>
    <w:p w:rsidR="00002F21" w:rsidRPr="00C5365D" w:rsidRDefault="002E26F3" w:rsidP="003562AD">
      <w:pPr>
        <w:pStyle w:val="ONUMFS"/>
        <w:rPr>
          <w:lang w:val="fr-FR"/>
        </w:rPr>
      </w:pPr>
      <w:r w:rsidRPr="00C5365D">
        <w:rPr>
          <w:lang w:val="fr-FR"/>
        </w:rPr>
        <w:t xml:space="preserve">Le transfert de technologie et </w:t>
      </w:r>
      <w:r w:rsidR="009E03E3" w:rsidRPr="00C5365D">
        <w:rPr>
          <w:lang w:val="fr-FR"/>
        </w:rPr>
        <w:t>les questions connexes sont abordés dans le cadre d</w:t>
      </w:r>
      <w:r w:rsidR="00002F21" w:rsidRPr="00C5365D">
        <w:rPr>
          <w:lang w:val="fr-FR"/>
        </w:rPr>
        <w:t>’</w:t>
      </w:r>
      <w:r w:rsidR="009E03E3" w:rsidRPr="00C5365D">
        <w:rPr>
          <w:lang w:val="fr-FR"/>
        </w:rPr>
        <w:t xml:space="preserve">activités de sensibilisation </w:t>
      </w:r>
      <w:r w:rsidR="00041E67" w:rsidRPr="00C5365D">
        <w:rPr>
          <w:lang w:val="fr-FR"/>
        </w:rPr>
        <w:t>telles qu</w:t>
      </w:r>
      <w:r w:rsidR="00002F21" w:rsidRPr="00C5365D">
        <w:rPr>
          <w:lang w:val="fr-FR"/>
        </w:rPr>
        <w:t>’</w:t>
      </w:r>
      <w:r w:rsidR="00041E67" w:rsidRPr="00C5365D">
        <w:rPr>
          <w:lang w:val="fr-FR"/>
        </w:rPr>
        <w:t xml:space="preserve">ateliers et séminaires ainsi que </w:t>
      </w:r>
      <w:r w:rsidR="00491631" w:rsidRPr="00C5365D">
        <w:rPr>
          <w:lang w:val="fr-FR"/>
        </w:rPr>
        <w:t>dans le cadre de programmes</w:t>
      </w:r>
      <w:r w:rsidR="00CC0282" w:rsidRPr="00C5365D">
        <w:rPr>
          <w:lang w:val="fr-FR"/>
        </w:rPr>
        <w:t xml:space="preserve"> de formation et d</w:t>
      </w:r>
      <w:r w:rsidR="00002F21" w:rsidRPr="00C5365D">
        <w:rPr>
          <w:lang w:val="fr-FR"/>
        </w:rPr>
        <w:t>’</w:t>
      </w:r>
      <w:r w:rsidR="00CC0282" w:rsidRPr="00C5365D">
        <w:rPr>
          <w:lang w:val="fr-FR"/>
        </w:rPr>
        <w:t>enseignement sur la propriété intellectuelle organisés par l</w:t>
      </w:r>
      <w:r w:rsidR="00002F21" w:rsidRPr="00C5365D">
        <w:rPr>
          <w:lang w:val="fr-FR"/>
        </w:rPr>
        <w:t>’</w:t>
      </w:r>
      <w:r w:rsidR="00CC0282" w:rsidRPr="00C5365D">
        <w:rPr>
          <w:lang w:val="fr-FR"/>
        </w:rPr>
        <w:t>Académie de l</w:t>
      </w:r>
      <w:r w:rsidR="00002F21" w:rsidRPr="00C5365D">
        <w:rPr>
          <w:lang w:val="fr-FR"/>
        </w:rPr>
        <w:t>’</w:t>
      </w:r>
      <w:r w:rsidR="00CC0282" w:rsidRPr="00C5365D">
        <w:rPr>
          <w:lang w:val="fr-FR"/>
        </w:rPr>
        <w:t xml:space="preserve">OMPI, </w:t>
      </w:r>
      <w:r w:rsidR="004A6FCC" w:rsidRPr="00C5365D">
        <w:rPr>
          <w:lang w:val="fr-FR"/>
        </w:rPr>
        <w:t xml:space="preserve">et </w:t>
      </w:r>
      <w:r w:rsidR="00002F21" w:rsidRPr="00C5365D">
        <w:rPr>
          <w:lang w:val="fr-FR"/>
        </w:rPr>
        <w:t>y compris</w:t>
      </w:r>
      <w:r w:rsidR="00491631" w:rsidRPr="00C5365D">
        <w:rPr>
          <w:lang w:val="fr-FR"/>
        </w:rPr>
        <w:t xml:space="preserve">, </w:t>
      </w:r>
      <w:r w:rsidR="004A6FCC" w:rsidRPr="00C5365D">
        <w:rPr>
          <w:lang w:val="fr-FR"/>
        </w:rPr>
        <w:t>également,</w:t>
      </w:r>
      <w:r w:rsidR="000D132E" w:rsidRPr="00C5365D">
        <w:rPr>
          <w:lang w:val="fr-FR"/>
        </w:rPr>
        <w:t xml:space="preserve"> de</w:t>
      </w:r>
      <w:r w:rsidR="00CC0282" w:rsidRPr="00C5365D">
        <w:rPr>
          <w:lang w:val="fr-FR"/>
        </w:rPr>
        <w:t xml:space="preserve"> programmes </w:t>
      </w:r>
      <w:r w:rsidR="000D132E" w:rsidRPr="00C5365D">
        <w:rPr>
          <w:lang w:val="fr-FR"/>
        </w:rPr>
        <w:t>de Master, de cours à distance, de</w:t>
      </w:r>
      <w:r w:rsidR="00CC0282" w:rsidRPr="00C5365D">
        <w:rPr>
          <w:lang w:val="fr-FR"/>
        </w:rPr>
        <w:t xml:space="preserve"> cours de dé</w:t>
      </w:r>
      <w:r w:rsidR="000D132E" w:rsidRPr="00C5365D">
        <w:rPr>
          <w:lang w:val="fr-FR"/>
        </w:rPr>
        <w:t>veloppement professionnel et de</w:t>
      </w:r>
      <w:r w:rsidR="00CC0282" w:rsidRPr="00C5365D">
        <w:rPr>
          <w:lang w:val="fr-FR"/>
        </w:rPr>
        <w:t xml:space="preserve"> cours d</w:t>
      </w:r>
      <w:r w:rsidR="00002F21" w:rsidRPr="00C5365D">
        <w:rPr>
          <w:lang w:val="fr-FR"/>
        </w:rPr>
        <w:t>’</w:t>
      </w:r>
      <w:r w:rsidR="00CC0282" w:rsidRPr="00C5365D">
        <w:rPr>
          <w:lang w:val="fr-FR"/>
        </w:rPr>
        <w:t>été dispensés par l</w:t>
      </w:r>
      <w:r w:rsidR="00002F21" w:rsidRPr="00C5365D">
        <w:rPr>
          <w:lang w:val="fr-FR"/>
        </w:rPr>
        <w:t>’</w:t>
      </w:r>
      <w:r w:rsidR="00CC0282" w:rsidRPr="00C5365D">
        <w:rPr>
          <w:lang w:val="fr-FR"/>
        </w:rPr>
        <w:t>O</w:t>
      </w:r>
      <w:r w:rsidR="00EB3E62" w:rsidRPr="00C5365D">
        <w:rPr>
          <w:lang w:val="fr-FR"/>
        </w:rPr>
        <w:t>MPI.  Ce</w:t>
      </w:r>
      <w:r w:rsidR="00CC0282" w:rsidRPr="00C5365D">
        <w:rPr>
          <w:lang w:val="fr-FR"/>
        </w:rPr>
        <w:t>s activités sont généralem</w:t>
      </w:r>
      <w:r w:rsidR="0059297C" w:rsidRPr="00C5365D">
        <w:rPr>
          <w:lang w:val="fr-FR"/>
        </w:rPr>
        <w:t xml:space="preserve">ent accessibles au public </w:t>
      </w:r>
      <w:r w:rsidR="00D01EEE" w:rsidRPr="00C5365D">
        <w:rPr>
          <w:lang w:val="fr-FR"/>
        </w:rPr>
        <w:t>sur le site de l</w:t>
      </w:r>
      <w:r w:rsidR="00002F21" w:rsidRPr="00C5365D">
        <w:rPr>
          <w:lang w:val="fr-FR"/>
        </w:rPr>
        <w:t>’</w:t>
      </w:r>
      <w:r w:rsidR="00D01EEE" w:rsidRPr="00C5365D">
        <w:rPr>
          <w:lang w:val="fr-FR"/>
        </w:rPr>
        <w:t xml:space="preserve">OMPI, </w:t>
      </w:r>
      <w:r w:rsidR="0059297C" w:rsidRPr="00C5365D">
        <w:rPr>
          <w:lang w:val="fr-FR"/>
        </w:rPr>
        <w:t xml:space="preserve">par </w:t>
      </w:r>
      <w:r w:rsidR="00CC2555" w:rsidRPr="00C5365D">
        <w:rPr>
          <w:lang w:val="fr-FR"/>
        </w:rPr>
        <w:t>l</w:t>
      </w:r>
      <w:r w:rsidR="00002F21" w:rsidRPr="00C5365D">
        <w:rPr>
          <w:lang w:val="fr-FR"/>
        </w:rPr>
        <w:t>’</w:t>
      </w:r>
      <w:r w:rsidR="00CC2555" w:rsidRPr="00C5365D">
        <w:rPr>
          <w:lang w:val="fr-FR"/>
        </w:rPr>
        <w:t>intermédiaire d</w:t>
      </w:r>
      <w:r w:rsidR="00002F21" w:rsidRPr="00C5365D">
        <w:rPr>
          <w:lang w:val="fr-FR"/>
        </w:rPr>
        <w:t>’</w:t>
      </w:r>
      <w:r w:rsidR="0059297C" w:rsidRPr="00C5365D">
        <w:rPr>
          <w:lang w:val="fr-FR"/>
        </w:rPr>
        <w:t>une</w:t>
      </w:r>
      <w:r w:rsidR="00CC0282" w:rsidRPr="00C5365D">
        <w:rPr>
          <w:lang w:val="fr-FR"/>
        </w:rPr>
        <w:t xml:space="preserve"> base de données</w:t>
      </w:r>
      <w:r w:rsidR="00CC2555" w:rsidRPr="00C5365D">
        <w:rPr>
          <w:lang w:val="fr-FR"/>
        </w:rPr>
        <w:t xml:space="preserve"> dotée d</w:t>
      </w:r>
      <w:r w:rsidR="00002F21" w:rsidRPr="00C5365D">
        <w:rPr>
          <w:lang w:val="fr-FR"/>
        </w:rPr>
        <w:t>’</w:t>
      </w:r>
      <w:r w:rsidR="00CC2555" w:rsidRPr="00C5365D">
        <w:rPr>
          <w:lang w:val="fr-FR"/>
        </w:rPr>
        <w:t>un moteur de recherche des</w:t>
      </w:r>
      <w:r w:rsidR="00CC0282" w:rsidRPr="00C5365D">
        <w:rPr>
          <w:lang w:val="fr-FR"/>
        </w:rPr>
        <w:t xml:space="preserve"> réunions</w:t>
      </w:r>
      <w:r w:rsidR="00995E44" w:rsidRPr="00C5365D">
        <w:rPr>
          <w:lang w:val="fr-FR"/>
        </w:rPr>
        <w:t>,</w:t>
      </w:r>
      <w:r w:rsidR="003E68CE" w:rsidRPr="00C5365D">
        <w:rPr>
          <w:lang w:val="fr-FR"/>
        </w:rPr>
        <w:t xml:space="preserve"> </w:t>
      </w:r>
      <w:r w:rsidR="0059297C" w:rsidRPr="00C5365D">
        <w:rPr>
          <w:lang w:val="fr-FR"/>
        </w:rPr>
        <w:t xml:space="preserve">de filtres </w:t>
      </w:r>
      <w:r w:rsidR="00CC2555" w:rsidRPr="00C5365D">
        <w:rPr>
          <w:lang w:val="fr-FR"/>
        </w:rPr>
        <w:t>permettant de sélectionner un</w:t>
      </w:r>
      <w:r w:rsidR="0059297C" w:rsidRPr="00C5365D">
        <w:rPr>
          <w:lang w:val="fr-FR"/>
        </w:rPr>
        <w:t xml:space="preserve"> thème, </w:t>
      </w:r>
      <w:r w:rsidR="005103FF" w:rsidRPr="00C5365D">
        <w:rPr>
          <w:lang w:val="fr-FR"/>
        </w:rPr>
        <w:t>dont</w:t>
      </w:r>
      <w:r w:rsidR="00033DAA" w:rsidRPr="00C5365D">
        <w:rPr>
          <w:lang w:val="fr-FR"/>
        </w:rPr>
        <w:t xml:space="preserve"> les thèmes </w:t>
      </w:r>
      <w:r w:rsidR="00002F21" w:rsidRPr="00C5365D">
        <w:rPr>
          <w:lang w:val="fr-FR"/>
        </w:rPr>
        <w:t>“</w:t>
      </w:r>
      <w:r w:rsidR="0059297C" w:rsidRPr="00C5365D">
        <w:rPr>
          <w:lang w:val="fr-FR"/>
        </w:rPr>
        <w:t>Innovations</w:t>
      </w:r>
      <w:r w:rsidR="00002F21" w:rsidRPr="00C5365D">
        <w:rPr>
          <w:lang w:val="fr-FR"/>
        </w:rPr>
        <w:t>”</w:t>
      </w:r>
      <w:r w:rsidR="0059297C" w:rsidRPr="00C5365D">
        <w:rPr>
          <w:lang w:val="fr-FR"/>
        </w:rPr>
        <w:t xml:space="preserve"> et </w:t>
      </w:r>
      <w:r w:rsidR="00002F21" w:rsidRPr="00C5365D">
        <w:rPr>
          <w:lang w:val="fr-FR"/>
        </w:rPr>
        <w:t>“</w:t>
      </w:r>
      <w:r w:rsidR="0059297C" w:rsidRPr="00C5365D">
        <w:rPr>
          <w:lang w:val="fr-FR"/>
        </w:rPr>
        <w:t>Brevets</w:t>
      </w:r>
      <w:r w:rsidR="00002F21" w:rsidRPr="00C5365D">
        <w:rPr>
          <w:lang w:val="fr-FR"/>
        </w:rPr>
        <w:t>”</w:t>
      </w:r>
      <w:r w:rsidR="003E68CE" w:rsidRPr="00C5365D">
        <w:rPr>
          <w:lang w:val="fr-FR"/>
        </w:rPr>
        <w:t xml:space="preserve"> (</w:t>
      </w:r>
      <w:hyperlink r:id="rId14" w:history="1">
        <w:r w:rsidR="003E68CE" w:rsidRPr="00797862">
          <w:rPr>
            <w:rStyle w:val="Hyperlink"/>
          </w:rPr>
          <w:t>http://www.wipo.int/meetings/</w:t>
        </w:r>
      </w:hyperlink>
      <w:r w:rsidR="003E68CE" w:rsidRPr="00C5365D">
        <w:rPr>
          <w:lang w:val="fr-FR"/>
        </w:rPr>
        <w:t xml:space="preserve">). </w:t>
      </w:r>
      <w:r w:rsidR="00C42F3A" w:rsidRPr="00C5365D">
        <w:rPr>
          <w:lang w:val="fr-FR"/>
        </w:rPr>
        <w:t xml:space="preserve"> </w:t>
      </w:r>
      <w:r w:rsidR="008424AE" w:rsidRPr="00C5365D">
        <w:rPr>
          <w:lang w:val="fr-FR"/>
        </w:rPr>
        <w:t>Les activités d</w:t>
      </w:r>
      <w:r w:rsidR="00002F21" w:rsidRPr="00C5365D">
        <w:rPr>
          <w:lang w:val="fr-FR"/>
        </w:rPr>
        <w:t>’</w:t>
      </w:r>
      <w:r w:rsidR="008424AE" w:rsidRPr="00C5365D">
        <w:rPr>
          <w:lang w:val="fr-FR"/>
        </w:rPr>
        <w:t>enseignement et de formation en matière de propriété intellectuelle organisées par l</w:t>
      </w:r>
      <w:r w:rsidR="00002F21" w:rsidRPr="00C5365D">
        <w:rPr>
          <w:lang w:val="fr-FR"/>
        </w:rPr>
        <w:t>’</w:t>
      </w:r>
      <w:r w:rsidR="008424AE" w:rsidRPr="00C5365D">
        <w:rPr>
          <w:lang w:val="fr-FR"/>
        </w:rPr>
        <w:t>Académie de l</w:t>
      </w:r>
      <w:r w:rsidR="00002F21" w:rsidRPr="00C5365D">
        <w:rPr>
          <w:lang w:val="fr-FR"/>
        </w:rPr>
        <w:t>’</w:t>
      </w:r>
      <w:r w:rsidR="008424AE" w:rsidRPr="00C5365D">
        <w:rPr>
          <w:lang w:val="fr-FR"/>
        </w:rPr>
        <w:t xml:space="preserve">OMPI sont </w:t>
      </w:r>
      <w:r w:rsidR="0096698F" w:rsidRPr="00C5365D">
        <w:rPr>
          <w:lang w:val="fr-FR"/>
        </w:rPr>
        <w:t>annoncées</w:t>
      </w:r>
      <w:r w:rsidR="008424AE" w:rsidRPr="00C5365D">
        <w:rPr>
          <w:lang w:val="fr-FR"/>
        </w:rPr>
        <w:t xml:space="preserve"> </w:t>
      </w:r>
      <w:r w:rsidR="004558CC" w:rsidRPr="00C5365D">
        <w:rPr>
          <w:lang w:val="fr-FR"/>
        </w:rPr>
        <w:t xml:space="preserve">à part </w:t>
      </w:r>
      <w:r w:rsidR="008424AE" w:rsidRPr="00C5365D">
        <w:rPr>
          <w:lang w:val="fr-FR"/>
        </w:rPr>
        <w:t xml:space="preserve">sur une </w:t>
      </w:r>
      <w:r w:rsidR="00002F21" w:rsidRPr="00C5365D">
        <w:rPr>
          <w:lang w:val="fr-FR"/>
        </w:rPr>
        <w:t>page W</w:t>
      </w:r>
      <w:r w:rsidR="008424AE" w:rsidRPr="00C5365D">
        <w:rPr>
          <w:lang w:val="fr-FR"/>
        </w:rPr>
        <w:t>eb</w:t>
      </w:r>
      <w:r w:rsidR="000D132E" w:rsidRPr="00C5365D">
        <w:rPr>
          <w:lang w:val="fr-FR"/>
        </w:rPr>
        <w:t xml:space="preserve"> </w:t>
      </w:r>
      <w:r w:rsidR="004558CC" w:rsidRPr="00C5365D">
        <w:rPr>
          <w:lang w:val="fr-FR"/>
        </w:rPr>
        <w:t>d</w:t>
      </w:r>
      <w:r w:rsidR="000D132E" w:rsidRPr="00C5365D">
        <w:rPr>
          <w:lang w:val="fr-FR"/>
        </w:rPr>
        <w:t>u site de l</w:t>
      </w:r>
      <w:r w:rsidR="00002F21" w:rsidRPr="00C5365D">
        <w:rPr>
          <w:lang w:val="fr-FR"/>
        </w:rPr>
        <w:t>’</w:t>
      </w:r>
      <w:r w:rsidR="000D132E" w:rsidRPr="00C5365D">
        <w:rPr>
          <w:lang w:val="fr-FR"/>
        </w:rPr>
        <w:t>OMPI</w:t>
      </w:r>
      <w:r w:rsidR="008424AE" w:rsidRPr="00C5365D">
        <w:rPr>
          <w:lang w:val="fr-FR"/>
        </w:rPr>
        <w:t xml:space="preserve"> </w:t>
      </w:r>
      <w:r w:rsidR="003E68CE" w:rsidRPr="00C5365D">
        <w:rPr>
          <w:lang w:val="fr-FR"/>
        </w:rPr>
        <w:t>(</w:t>
      </w:r>
      <w:hyperlink r:id="rId15" w:history="1">
        <w:r w:rsidR="00137377" w:rsidRPr="00797862">
          <w:rPr>
            <w:rStyle w:val="Hyperlink"/>
          </w:rPr>
          <w:t>http://www.wipo.int/academy/fr/</w:t>
        </w:r>
      </w:hyperlink>
      <w:r w:rsidR="003E68CE" w:rsidRPr="00C5365D">
        <w:rPr>
          <w:lang w:val="fr-FR"/>
        </w:rPr>
        <w:t>)</w:t>
      </w:r>
      <w:r w:rsidR="00137377" w:rsidRPr="00C5365D">
        <w:rPr>
          <w:lang w:val="fr-FR"/>
        </w:rPr>
        <w:t xml:space="preserve"> et </w:t>
      </w:r>
      <w:r w:rsidR="0096698F" w:rsidRPr="00C5365D">
        <w:rPr>
          <w:lang w:val="fr-FR"/>
        </w:rPr>
        <w:t>dans</w:t>
      </w:r>
      <w:r w:rsidR="00137377" w:rsidRPr="00C5365D">
        <w:rPr>
          <w:lang w:val="fr-FR"/>
        </w:rPr>
        <w:t xml:space="preserve"> le catalogue annuel des cours de l</w:t>
      </w:r>
      <w:r w:rsidR="00002F21" w:rsidRPr="00C5365D">
        <w:rPr>
          <w:lang w:val="fr-FR"/>
        </w:rPr>
        <w:t>’</w:t>
      </w:r>
      <w:r w:rsidR="00137377" w:rsidRPr="00C5365D">
        <w:rPr>
          <w:lang w:val="fr-FR"/>
        </w:rPr>
        <w:t>O</w:t>
      </w:r>
      <w:r w:rsidR="00EB3E62" w:rsidRPr="00C5365D">
        <w:rPr>
          <w:lang w:val="fr-FR"/>
        </w:rPr>
        <w:t>MPI.  Le</w:t>
      </w:r>
      <w:r w:rsidR="0096698F" w:rsidRPr="00C5365D">
        <w:rPr>
          <w:lang w:val="fr-FR"/>
        </w:rPr>
        <w:t>s programmes de sensib</w:t>
      </w:r>
      <w:r w:rsidR="004558CC" w:rsidRPr="00C5365D">
        <w:rPr>
          <w:lang w:val="fr-FR"/>
        </w:rPr>
        <w:t>ilisation et de formation dans d</w:t>
      </w:r>
      <w:r w:rsidR="0096698F" w:rsidRPr="00C5365D">
        <w:rPr>
          <w:lang w:val="fr-FR"/>
        </w:rPr>
        <w:t>es domaines spécifiques relatifs à la propriété intellectuelle sont également portés à l</w:t>
      </w:r>
      <w:r w:rsidR="00002F21" w:rsidRPr="00C5365D">
        <w:rPr>
          <w:lang w:val="fr-FR"/>
        </w:rPr>
        <w:t>’</w:t>
      </w:r>
      <w:r w:rsidR="0096698F" w:rsidRPr="00C5365D">
        <w:rPr>
          <w:lang w:val="fr-FR"/>
        </w:rPr>
        <w:t>attention du public par l</w:t>
      </w:r>
      <w:r w:rsidR="00002F21" w:rsidRPr="00C5365D">
        <w:rPr>
          <w:lang w:val="fr-FR"/>
        </w:rPr>
        <w:t>’</w:t>
      </w:r>
      <w:r w:rsidR="0096698F" w:rsidRPr="00C5365D">
        <w:rPr>
          <w:lang w:val="fr-FR"/>
        </w:rPr>
        <w:t xml:space="preserve">intermédiaire de </w:t>
      </w:r>
      <w:r w:rsidR="00002F21" w:rsidRPr="00C5365D">
        <w:rPr>
          <w:lang w:val="fr-FR"/>
        </w:rPr>
        <w:t>pages W</w:t>
      </w:r>
      <w:r w:rsidR="0096698F" w:rsidRPr="00C5365D">
        <w:rPr>
          <w:lang w:val="fr-FR"/>
        </w:rPr>
        <w:t xml:space="preserve">eb </w:t>
      </w:r>
      <w:r w:rsidR="00184BE9" w:rsidRPr="00C5365D">
        <w:rPr>
          <w:lang w:val="fr-FR"/>
        </w:rPr>
        <w:t>dédiées</w:t>
      </w:r>
      <w:r w:rsidR="007A197C" w:rsidRPr="00C5365D">
        <w:rPr>
          <w:lang w:val="fr-FR"/>
        </w:rPr>
        <w:t xml:space="preserve"> à ce sujet</w:t>
      </w:r>
      <w:r w:rsidR="0096698F" w:rsidRPr="00C5365D">
        <w:rPr>
          <w:lang w:val="fr-FR"/>
        </w:rPr>
        <w:t>.</w:t>
      </w:r>
    </w:p>
    <w:p w:rsidR="00A31220" w:rsidRPr="00C5365D" w:rsidRDefault="00BA6289" w:rsidP="003562AD">
      <w:pPr>
        <w:pStyle w:val="ONUMFS"/>
        <w:numPr>
          <w:ilvl w:val="0"/>
          <w:numId w:val="0"/>
        </w:numPr>
      </w:pPr>
      <w:r w:rsidRPr="00C5365D">
        <w:t>Exe</w:t>
      </w:r>
      <w:r w:rsidR="00405A1B" w:rsidRPr="00C5365D">
        <w:t>mple</w:t>
      </w:r>
      <w:r w:rsidR="00AE15F0" w:rsidRPr="00C5365D">
        <w:t> :</w:t>
      </w:r>
      <w:r w:rsidR="00E31E51" w:rsidRPr="00C5365D">
        <w:t xml:space="preserve"> </w:t>
      </w:r>
      <w:r w:rsidRPr="00C5365D">
        <w:t>Les ateliers de formation du Centre d</w:t>
      </w:r>
      <w:r w:rsidR="00002F21" w:rsidRPr="00C5365D">
        <w:t>’</w:t>
      </w:r>
      <w:r w:rsidRPr="00C5365D">
        <w:t>arbitrage et de médiation de l</w:t>
      </w:r>
      <w:r w:rsidR="00002F21" w:rsidRPr="00C5365D">
        <w:t>’</w:t>
      </w:r>
      <w:r w:rsidRPr="00C5365D">
        <w:t xml:space="preserve">OMPI </w:t>
      </w:r>
      <w:r w:rsidR="00DB2C0E" w:rsidRPr="00C5365D">
        <w:t>sur les mécanismes de règlement extrajudiciaire des litiges en matière de</w:t>
      </w:r>
      <w:r w:rsidR="00913453" w:rsidRPr="00C5365D">
        <w:t xml:space="preserve"> recherche</w:t>
      </w:r>
      <w:r w:rsidR="002B6147">
        <w:noBreakHyphen/>
      </w:r>
      <w:r w:rsidR="00913453" w:rsidRPr="00C5365D">
        <w:t xml:space="preserve">développement/transfert de technologie, </w:t>
      </w:r>
      <w:r w:rsidR="00BA4B75" w:rsidRPr="00C5365D">
        <w:t>ciblant les</w:t>
      </w:r>
      <w:r w:rsidR="00913453" w:rsidRPr="00C5365D">
        <w:t xml:space="preserve"> établissements universitaires, </w:t>
      </w:r>
      <w:r w:rsidR="00BA4B75" w:rsidRPr="00C5365D">
        <w:t>les</w:t>
      </w:r>
      <w:r w:rsidR="00913453" w:rsidRPr="00C5365D">
        <w:t xml:space="preserve"> </w:t>
      </w:r>
      <w:r w:rsidR="00BA4B75" w:rsidRPr="00C5365D">
        <w:t>instituts de recherche, les entreprises, les</w:t>
      </w:r>
      <w:r w:rsidR="00323390" w:rsidRPr="00C5365D">
        <w:t xml:space="preserve"> associations, </w:t>
      </w:r>
      <w:r w:rsidR="00BA4B75" w:rsidRPr="00C5365D">
        <w:t>les</w:t>
      </w:r>
      <w:r w:rsidR="00323390" w:rsidRPr="00C5365D">
        <w:t xml:space="preserve"> offices de propriété intellectuelle, </w:t>
      </w:r>
      <w:r w:rsidR="00BA4B75" w:rsidRPr="00C5365D">
        <w:t>les</w:t>
      </w:r>
      <w:r w:rsidR="00323390" w:rsidRPr="00C5365D">
        <w:t xml:space="preserve"> conseils en brevets et marques, les juristes, les </w:t>
      </w:r>
      <w:r w:rsidR="00882376" w:rsidRPr="00C5365D">
        <w:t>spécialistes du</w:t>
      </w:r>
      <w:r w:rsidR="00323390" w:rsidRPr="00C5365D">
        <w:t xml:space="preserve"> transfert de technologie, les </w:t>
      </w:r>
      <w:r w:rsidR="00BA4B75" w:rsidRPr="00C5365D">
        <w:t>experts</w:t>
      </w:r>
      <w:r w:rsidR="002E6D4B" w:rsidRPr="00C5365D">
        <w:t xml:space="preserve"> en matière de règlement des litiges, sont présentés sur une page consacrée</w:t>
      </w:r>
      <w:r w:rsidR="00451D71" w:rsidRPr="00C5365D">
        <w:t xml:space="preserve"> aux activités</w:t>
      </w:r>
      <w:r w:rsidR="002E6D4B" w:rsidRPr="00C5365D">
        <w:t xml:space="preserve"> sur le site</w:t>
      </w:r>
      <w:r w:rsidR="00AE15F0" w:rsidRPr="00C5365D">
        <w:t> </w:t>
      </w:r>
      <w:r w:rsidR="002E6D4B" w:rsidRPr="00C5365D">
        <w:t>Web du Centre d</w:t>
      </w:r>
      <w:r w:rsidR="00002F21" w:rsidRPr="00C5365D">
        <w:t>’</w:t>
      </w:r>
      <w:r w:rsidR="002E6D4B" w:rsidRPr="00C5365D">
        <w:t>arbitrage et de médiation</w:t>
      </w:r>
      <w:r w:rsidR="00405A1B" w:rsidRPr="00C5365D">
        <w:t xml:space="preserve"> (</w:t>
      </w:r>
      <w:hyperlink r:id="rId16" w:history="1">
        <w:r w:rsidR="00451D71" w:rsidRPr="00797862">
          <w:rPr>
            <w:rStyle w:val="Hyperlink"/>
          </w:rPr>
          <w:t>http://www.wipo.int/amc/fr/events/</w:t>
        </w:r>
      </w:hyperlink>
      <w:r w:rsidR="00405A1B" w:rsidRPr="00C5365D">
        <w:t>).</w:t>
      </w:r>
    </w:p>
    <w:p w:rsidR="00002F21" w:rsidRPr="00C5365D" w:rsidRDefault="003562AD" w:rsidP="003562AD">
      <w:pPr>
        <w:pStyle w:val="ONUMFS"/>
        <w:rPr>
          <w:lang w:val="fr-FR"/>
        </w:rPr>
      </w:pPr>
      <w:r w:rsidRPr="00C5365D">
        <w:t>À</w:t>
      </w:r>
      <w:r w:rsidR="00BA4B75" w:rsidRPr="00C5365D">
        <w:t xml:space="preserve"> ce propos</w:t>
      </w:r>
      <w:r w:rsidR="00B42638" w:rsidRPr="00C5365D">
        <w:rPr>
          <w:lang w:val="fr-FR"/>
        </w:rPr>
        <w:t xml:space="preserve">, les programmes de sensibilisation et de formation peuvent également être </w:t>
      </w:r>
      <w:r w:rsidR="00DD44A9" w:rsidRPr="00C5365D">
        <w:rPr>
          <w:lang w:val="fr-FR"/>
        </w:rPr>
        <w:t>diffusés</w:t>
      </w:r>
      <w:r w:rsidR="00B42638" w:rsidRPr="00C5365D">
        <w:rPr>
          <w:lang w:val="fr-FR"/>
        </w:rPr>
        <w:t xml:space="preserve"> </w:t>
      </w:r>
      <w:r w:rsidR="00E6507F" w:rsidRPr="00C5365D">
        <w:rPr>
          <w:lang w:val="fr-FR"/>
        </w:rPr>
        <w:t xml:space="preserve">par </w:t>
      </w:r>
      <w:r w:rsidR="000C4846" w:rsidRPr="00C5365D">
        <w:rPr>
          <w:lang w:val="fr-FR"/>
        </w:rPr>
        <w:t>des</w:t>
      </w:r>
      <w:r w:rsidR="00B42638" w:rsidRPr="00C5365D">
        <w:rPr>
          <w:lang w:val="fr-FR"/>
        </w:rPr>
        <w:t xml:space="preserve"> publications, </w:t>
      </w:r>
      <w:r w:rsidR="00002F21" w:rsidRPr="00C5365D">
        <w:rPr>
          <w:lang w:val="fr-FR"/>
        </w:rPr>
        <w:t>y compris</w:t>
      </w:r>
      <w:r w:rsidR="00B42638" w:rsidRPr="00C5365D">
        <w:rPr>
          <w:lang w:val="fr-FR"/>
        </w:rPr>
        <w:t xml:space="preserve"> de</w:t>
      </w:r>
      <w:r w:rsidR="000C4846" w:rsidRPr="00C5365D">
        <w:rPr>
          <w:lang w:val="fr-FR"/>
        </w:rPr>
        <w:t>s</w:t>
      </w:r>
      <w:r w:rsidR="00B42638" w:rsidRPr="00C5365D">
        <w:rPr>
          <w:lang w:val="fr-FR"/>
        </w:rPr>
        <w:t xml:space="preserve"> dépliants et de</w:t>
      </w:r>
      <w:r w:rsidR="000C4846" w:rsidRPr="00C5365D">
        <w:rPr>
          <w:lang w:val="fr-FR"/>
        </w:rPr>
        <w:t>s</w:t>
      </w:r>
      <w:r w:rsidR="00B42638" w:rsidRPr="00C5365D">
        <w:rPr>
          <w:lang w:val="fr-FR"/>
        </w:rPr>
        <w:t xml:space="preserve"> rappor</w:t>
      </w:r>
      <w:r w:rsidR="00EB3E62" w:rsidRPr="00C5365D">
        <w:rPr>
          <w:lang w:val="fr-FR"/>
        </w:rPr>
        <w:t>ts.  So</w:t>
      </w:r>
      <w:r w:rsidR="002B6E9D" w:rsidRPr="00C5365D">
        <w:rPr>
          <w:lang w:val="fr-FR"/>
        </w:rPr>
        <w:t>uvent, l</w:t>
      </w:r>
      <w:r w:rsidR="00943256" w:rsidRPr="00C5365D">
        <w:rPr>
          <w:lang w:val="fr-FR"/>
        </w:rPr>
        <w:t xml:space="preserve">es activités sont </w:t>
      </w:r>
      <w:r w:rsidR="002B6E9D" w:rsidRPr="00C5365D">
        <w:rPr>
          <w:lang w:val="fr-FR"/>
        </w:rPr>
        <w:t>portées à la connaissance du public</w:t>
      </w:r>
      <w:r w:rsidR="00943256" w:rsidRPr="00C5365D">
        <w:rPr>
          <w:lang w:val="fr-FR"/>
        </w:rPr>
        <w:t xml:space="preserve"> en collaboration avec les partenaires qui ont contribué</w:t>
      </w:r>
      <w:r w:rsidR="00247F2B" w:rsidRPr="00C5365D">
        <w:rPr>
          <w:lang w:val="fr-FR"/>
        </w:rPr>
        <w:t xml:space="preserve"> à leur organisation, </w:t>
      </w:r>
      <w:r w:rsidR="00943256" w:rsidRPr="00C5365D">
        <w:rPr>
          <w:lang w:val="fr-FR"/>
        </w:rPr>
        <w:t>notamment les offices de propriété intellectuelle, les ministères et organismes gouvernementa</w:t>
      </w:r>
      <w:r w:rsidR="00EB3E62" w:rsidRPr="00C5365D">
        <w:rPr>
          <w:lang w:val="fr-FR"/>
        </w:rPr>
        <w:t>ux.  De</w:t>
      </w:r>
      <w:r w:rsidR="00943256" w:rsidRPr="00C5365D">
        <w:rPr>
          <w:lang w:val="fr-FR"/>
        </w:rPr>
        <w:t xml:space="preserve">s cours à distance sont </w:t>
      </w:r>
      <w:r w:rsidR="00862366" w:rsidRPr="00C5365D">
        <w:rPr>
          <w:lang w:val="fr-FR"/>
        </w:rPr>
        <w:t>également encouragés par l</w:t>
      </w:r>
      <w:r w:rsidR="00002F21" w:rsidRPr="00C5365D">
        <w:rPr>
          <w:lang w:val="fr-FR"/>
        </w:rPr>
        <w:t>’</w:t>
      </w:r>
      <w:r w:rsidR="00862366" w:rsidRPr="00C5365D">
        <w:rPr>
          <w:lang w:val="fr-FR"/>
        </w:rPr>
        <w:t>octroi de bourses aux offices de propriété intellectuelle et aux Centres d</w:t>
      </w:r>
      <w:r w:rsidR="00002F21" w:rsidRPr="00C5365D">
        <w:rPr>
          <w:lang w:val="fr-FR"/>
        </w:rPr>
        <w:t>’</w:t>
      </w:r>
      <w:r w:rsidR="00862366" w:rsidRPr="00C5365D">
        <w:rPr>
          <w:lang w:val="fr-FR"/>
        </w:rPr>
        <w:t>appui à la technologie et à l</w:t>
      </w:r>
      <w:r w:rsidR="00002F21" w:rsidRPr="00C5365D">
        <w:rPr>
          <w:lang w:val="fr-FR"/>
        </w:rPr>
        <w:t>’</w:t>
      </w:r>
      <w:r w:rsidR="00862366" w:rsidRPr="00C5365D">
        <w:rPr>
          <w:lang w:val="fr-FR"/>
        </w:rPr>
        <w:t>innovation (CATI)</w:t>
      </w:r>
      <w:r w:rsidR="00F24D6D" w:rsidRPr="00C5365D">
        <w:rPr>
          <w:lang w:val="fr-FR"/>
        </w:rPr>
        <w:t>.</w:t>
      </w:r>
    </w:p>
    <w:p w:rsidR="00A31220" w:rsidRPr="00C5365D" w:rsidRDefault="00862366" w:rsidP="003562AD">
      <w:pPr>
        <w:pStyle w:val="ONUMFS"/>
        <w:numPr>
          <w:ilvl w:val="0"/>
          <w:numId w:val="0"/>
        </w:numPr>
        <w:rPr>
          <w:lang w:val="fr-FR"/>
        </w:rPr>
      </w:pPr>
      <w:r w:rsidRPr="00C5365D">
        <w:t>Exe</w:t>
      </w:r>
      <w:r w:rsidR="00E23E28" w:rsidRPr="00C5365D">
        <w:t>mple</w:t>
      </w:r>
      <w:r w:rsidR="00AE15F0" w:rsidRPr="00C5365D">
        <w:rPr>
          <w:lang w:val="fr-FR"/>
        </w:rPr>
        <w:t> :</w:t>
      </w:r>
      <w:r w:rsidR="00E31E51" w:rsidRPr="00C5365D">
        <w:rPr>
          <w:lang w:val="fr-FR"/>
        </w:rPr>
        <w:t xml:space="preserve"> </w:t>
      </w:r>
      <w:r w:rsidR="00585A1D" w:rsidRPr="00C5365D">
        <w:rPr>
          <w:lang w:val="fr-FR"/>
        </w:rPr>
        <w:t>L</w:t>
      </w:r>
      <w:r w:rsidR="00002F21" w:rsidRPr="00C5365D">
        <w:rPr>
          <w:lang w:val="fr-FR"/>
        </w:rPr>
        <w:t>’</w:t>
      </w:r>
      <w:r w:rsidR="00585A1D" w:rsidRPr="00C5365D">
        <w:rPr>
          <w:lang w:val="fr-FR"/>
        </w:rPr>
        <w:t>attribution de</w:t>
      </w:r>
      <w:r w:rsidR="00836D74" w:rsidRPr="00C5365D">
        <w:rPr>
          <w:lang w:val="fr-FR"/>
        </w:rPr>
        <w:t xml:space="preserve"> </w:t>
      </w:r>
      <w:r w:rsidR="00585A1D" w:rsidRPr="00C5365D">
        <w:rPr>
          <w:lang w:val="fr-FR"/>
        </w:rPr>
        <w:t xml:space="preserve">bourses </w:t>
      </w:r>
      <w:r w:rsidR="007F579B" w:rsidRPr="00C5365D">
        <w:rPr>
          <w:lang w:val="fr-FR"/>
        </w:rPr>
        <w:t xml:space="preserve">de recherche </w:t>
      </w:r>
      <w:r w:rsidR="006C6520" w:rsidRPr="00C5365D">
        <w:rPr>
          <w:lang w:val="fr-FR"/>
        </w:rPr>
        <w:t xml:space="preserve">pour les </w:t>
      </w:r>
      <w:r w:rsidR="007F579B" w:rsidRPr="00C5365D">
        <w:rPr>
          <w:lang w:val="fr-FR"/>
        </w:rPr>
        <w:t>scientifiques</w:t>
      </w:r>
      <w:r w:rsidR="006C6520" w:rsidRPr="00C5365D">
        <w:rPr>
          <w:lang w:val="fr-FR"/>
        </w:rPr>
        <w:t xml:space="preserve"> des pays en développement </w:t>
      </w:r>
      <w:r w:rsidR="00B7537D" w:rsidRPr="00C5365D">
        <w:rPr>
          <w:lang w:val="fr-FR"/>
        </w:rPr>
        <w:t>octroyées</w:t>
      </w:r>
      <w:r w:rsidR="006C6520" w:rsidRPr="00C5365D">
        <w:rPr>
          <w:lang w:val="fr-FR"/>
        </w:rPr>
        <w:t xml:space="preserve"> pour une durée de </w:t>
      </w:r>
      <w:r w:rsidR="00C5365D" w:rsidRPr="00C5365D">
        <w:rPr>
          <w:lang w:val="fr-FR"/>
        </w:rPr>
        <w:t>3</w:t>
      </w:r>
      <w:r w:rsidR="00AE15F0" w:rsidRPr="00C5365D">
        <w:rPr>
          <w:lang w:val="fr-FR"/>
        </w:rPr>
        <w:t> </w:t>
      </w:r>
      <w:r w:rsidR="006C6520" w:rsidRPr="00C5365D">
        <w:rPr>
          <w:lang w:val="fr-FR"/>
        </w:rPr>
        <w:t xml:space="preserve">à </w:t>
      </w:r>
      <w:r w:rsidR="00AE15F0" w:rsidRPr="00C5365D">
        <w:rPr>
          <w:lang w:val="fr-FR"/>
        </w:rPr>
        <w:t>12 </w:t>
      </w:r>
      <w:r w:rsidR="006C6520" w:rsidRPr="00C5365D">
        <w:rPr>
          <w:lang w:val="fr-FR"/>
        </w:rPr>
        <w:t xml:space="preserve">mois dans le cadre du </w:t>
      </w:r>
      <w:r w:rsidR="00261D86" w:rsidRPr="00C5365D">
        <w:rPr>
          <w:lang w:val="fr-FR"/>
        </w:rPr>
        <w:t>programme</w:t>
      </w:r>
      <w:r w:rsidR="00E83E9D" w:rsidRPr="00C5365D">
        <w:rPr>
          <w:lang w:val="fr-FR"/>
        </w:rPr>
        <w:t xml:space="preserve"> WIPO </w:t>
      </w:r>
      <w:proofErr w:type="spellStart"/>
      <w:r w:rsidR="00E83E9D" w:rsidRPr="00C5365D">
        <w:rPr>
          <w:lang w:val="fr-FR"/>
        </w:rPr>
        <w:t>Re:Search</w:t>
      </w:r>
      <w:proofErr w:type="spellEnd"/>
      <w:r w:rsidR="00F87134" w:rsidRPr="00C5365D">
        <w:rPr>
          <w:lang w:val="fr-FR"/>
        </w:rPr>
        <w:t>,</w:t>
      </w:r>
      <w:r w:rsidR="00E83E9D" w:rsidRPr="00C5365D">
        <w:rPr>
          <w:lang w:val="fr-FR"/>
        </w:rPr>
        <w:t xml:space="preserve"> </w:t>
      </w:r>
      <w:r w:rsidR="006C6520" w:rsidRPr="00C5365D">
        <w:rPr>
          <w:lang w:val="fr-FR"/>
        </w:rPr>
        <w:t>avec le soutien</w:t>
      </w:r>
      <w:r w:rsidR="00F61E38" w:rsidRPr="00C5365D">
        <w:rPr>
          <w:lang w:val="fr-FR"/>
        </w:rPr>
        <w:t xml:space="preserve"> de fonds fiduciaires du </w:t>
      </w:r>
      <w:r w:rsidR="00AE15F0" w:rsidRPr="00C5365D">
        <w:rPr>
          <w:lang w:val="fr-FR"/>
        </w:rPr>
        <w:t>Gouvernement</w:t>
      </w:r>
      <w:r w:rsidR="00F61E38" w:rsidRPr="00C5365D">
        <w:rPr>
          <w:lang w:val="fr-FR"/>
        </w:rPr>
        <w:t xml:space="preserve"> australien, </w:t>
      </w:r>
      <w:r w:rsidR="00585A1D" w:rsidRPr="00C5365D">
        <w:rPr>
          <w:lang w:val="fr-FR"/>
        </w:rPr>
        <w:t>a</w:t>
      </w:r>
      <w:r w:rsidR="00836D74" w:rsidRPr="00C5365D">
        <w:rPr>
          <w:lang w:val="fr-FR"/>
        </w:rPr>
        <w:t xml:space="preserve"> </w:t>
      </w:r>
      <w:r w:rsidR="00585A1D" w:rsidRPr="00C5365D">
        <w:rPr>
          <w:lang w:val="fr-FR"/>
        </w:rPr>
        <w:t>été annoncée</w:t>
      </w:r>
      <w:r w:rsidR="00836D74" w:rsidRPr="00C5365D">
        <w:rPr>
          <w:lang w:val="fr-FR"/>
        </w:rPr>
        <w:t xml:space="preserve"> </w:t>
      </w:r>
      <w:r w:rsidR="00AC402D" w:rsidRPr="00C5365D">
        <w:rPr>
          <w:lang w:val="fr-FR"/>
        </w:rPr>
        <w:t>dans</w:t>
      </w:r>
      <w:r w:rsidR="00836D74" w:rsidRPr="00C5365D">
        <w:rPr>
          <w:lang w:val="fr-FR"/>
        </w:rPr>
        <w:t xml:space="preserve"> un rapport paru </w:t>
      </w:r>
      <w:r w:rsidR="00AC402D" w:rsidRPr="00C5365D">
        <w:rPr>
          <w:lang w:val="fr-FR"/>
        </w:rPr>
        <w:t>sous l</w:t>
      </w:r>
      <w:r w:rsidR="00002F21" w:rsidRPr="00C5365D">
        <w:rPr>
          <w:lang w:val="fr-FR"/>
        </w:rPr>
        <w:t>’</w:t>
      </w:r>
      <w:r w:rsidR="00AC402D" w:rsidRPr="00C5365D">
        <w:rPr>
          <w:lang w:val="fr-FR"/>
        </w:rPr>
        <w:t>en</w:t>
      </w:r>
      <w:r w:rsidR="002B6147">
        <w:rPr>
          <w:lang w:val="fr-FR"/>
        </w:rPr>
        <w:noBreakHyphen/>
      </w:r>
      <w:r w:rsidR="00AC402D" w:rsidRPr="00C5365D">
        <w:rPr>
          <w:lang w:val="fr-FR"/>
        </w:rPr>
        <w:t>tête</w:t>
      </w:r>
      <w:r w:rsidR="00836D74" w:rsidRPr="00C5365D">
        <w:rPr>
          <w:lang w:val="fr-FR"/>
        </w:rPr>
        <w:t xml:space="preserve"> de l</w:t>
      </w:r>
      <w:r w:rsidR="00002F21" w:rsidRPr="00C5365D">
        <w:rPr>
          <w:lang w:val="fr-FR"/>
        </w:rPr>
        <w:t>’</w:t>
      </w:r>
      <w:r w:rsidR="00836D74" w:rsidRPr="00C5365D">
        <w:rPr>
          <w:lang w:val="fr-FR"/>
        </w:rPr>
        <w:t xml:space="preserve">OMPI dans </w:t>
      </w:r>
      <w:r w:rsidR="00334F5B" w:rsidRPr="00C5365D">
        <w:rPr>
          <w:lang w:val="fr-FR"/>
        </w:rPr>
        <w:t>le cadre d</w:t>
      </w:r>
      <w:r w:rsidR="00002F21" w:rsidRPr="00C5365D">
        <w:rPr>
          <w:lang w:val="fr-FR"/>
        </w:rPr>
        <w:t>’</w:t>
      </w:r>
      <w:r w:rsidR="00836D74" w:rsidRPr="00C5365D">
        <w:rPr>
          <w:lang w:val="fr-FR"/>
        </w:rPr>
        <w:t xml:space="preserve">une série de rapports sur les défis mondiaux intitulée </w:t>
      </w:r>
      <w:r w:rsidR="00002F21" w:rsidRPr="00C5365D">
        <w:rPr>
          <w:lang w:val="fr-FR"/>
        </w:rPr>
        <w:t>“</w:t>
      </w:r>
      <w:r w:rsidR="00836D74" w:rsidRPr="00C5365D">
        <w:rPr>
          <w:lang w:val="fr-FR"/>
        </w:rPr>
        <w:t>Partage</w:t>
      </w:r>
      <w:r w:rsidR="00585A1D" w:rsidRPr="00C5365D">
        <w:rPr>
          <w:lang w:val="fr-FR"/>
        </w:rPr>
        <w:t>r</w:t>
      </w:r>
      <w:r w:rsidR="00836D74" w:rsidRPr="00C5365D">
        <w:rPr>
          <w:lang w:val="fr-FR"/>
        </w:rPr>
        <w:t xml:space="preserve"> l</w:t>
      </w:r>
      <w:r w:rsidR="00002F21" w:rsidRPr="00C5365D">
        <w:rPr>
          <w:lang w:val="fr-FR"/>
        </w:rPr>
        <w:t>’</w:t>
      </w:r>
      <w:r w:rsidR="00836D74" w:rsidRPr="00C5365D">
        <w:rPr>
          <w:lang w:val="fr-FR"/>
        </w:rPr>
        <w:t>innovation et renforcer les capacités de lutte contre les maladies tropicales négligées</w:t>
      </w:r>
      <w:r w:rsidR="00002F21" w:rsidRPr="00C5365D">
        <w:rPr>
          <w:lang w:val="fr-FR"/>
        </w:rPr>
        <w:t> :</w:t>
      </w:r>
      <w:r w:rsidR="00836D74" w:rsidRPr="00C5365D">
        <w:rPr>
          <w:lang w:val="fr-FR"/>
        </w:rPr>
        <w:t xml:space="preserve"> sélection de récits des scientifiques titulaires d</w:t>
      </w:r>
      <w:r w:rsidR="00002F21" w:rsidRPr="00C5365D">
        <w:rPr>
          <w:lang w:val="fr-FR"/>
        </w:rPr>
        <w:t>’</w:t>
      </w:r>
      <w:r w:rsidR="00836D74" w:rsidRPr="00C5365D">
        <w:rPr>
          <w:lang w:val="fr-FR"/>
        </w:rPr>
        <w:t xml:space="preserve">une bourse de recherche dans le cadre du programme </w:t>
      </w:r>
      <w:r w:rsidR="00E83E9D" w:rsidRPr="00C5365D">
        <w:rPr>
          <w:lang w:val="fr-FR"/>
        </w:rPr>
        <w:t xml:space="preserve">WIPO </w:t>
      </w:r>
      <w:proofErr w:type="spellStart"/>
      <w:r w:rsidR="00E83E9D" w:rsidRPr="00C5365D">
        <w:rPr>
          <w:lang w:val="fr-FR"/>
        </w:rPr>
        <w:t>Re:Search</w:t>
      </w:r>
      <w:proofErr w:type="spellEnd"/>
      <w:r w:rsidR="00002F21" w:rsidRPr="00C5365D">
        <w:rPr>
          <w:lang w:val="fr-FR"/>
        </w:rPr>
        <w:t>”</w:t>
      </w:r>
      <w:r w:rsidR="00836D74" w:rsidRPr="00C5365D">
        <w:rPr>
          <w:lang w:val="fr-FR"/>
        </w:rPr>
        <w:t>.</w:t>
      </w:r>
    </w:p>
    <w:p w:rsidR="00A31220" w:rsidRPr="00C5365D" w:rsidRDefault="003562AD" w:rsidP="003562AD">
      <w:pPr>
        <w:pStyle w:val="Heading2"/>
      </w:pPr>
      <w:r w:rsidRPr="00C5365D">
        <w:t>Promotion des partenariats</w:t>
      </w:r>
    </w:p>
    <w:p w:rsidR="00A31220" w:rsidRPr="00C5365D" w:rsidRDefault="00A31220" w:rsidP="00F24D6D">
      <w:pPr>
        <w:rPr>
          <w:szCs w:val="22"/>
        </w:rPr>
      </w:pPr>
    </w:p>
    <w:p w:rsidR="00002F21" w:rsidRPr="00C5365D" w:rsidRDefault="00106B40" w:rsidP="003562AD">
      <w:pPr>
        <w:pStyle w:val="ONUMFS"/>
        <w:rPr>
          <w:lang w:val="fr-FR"/>
        </w:rPr>
      </w:pPr>
      <w:r w:rsidRPr="00C5365D">
        <w:rPr>
          <w:lang w:val="fr-FR"/>
        </w:rPr>
        <w:t xml:space="preserve">Le transfert de technologie est </w:t>
      </w:r>
      <w:r w:rsidR="00681295" w:rsidRPr="00C5365D">
        <w:rPr>
          <w:lang w:val="fr-FR"/>
        </w:rPr>
        <w:t>encouragé</w:t>
      </w:r>
      <w:r w:rsidR="00054764" w:rsidRPr="00C5365D">
        <w:rPr>
          <w:lang w:val="fr-FR"/>
        </w:rPr>
        <w:t xml:space="preserve"> par divers </w:t>
      </w:r>
      <w:r w:rsidRPr="00C5365D">
        <w:rPr>
          <w:lang w:val="fr-FR"/>
        </w:rPr>
        <w:t>partenariats entre l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OMPI et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 xml:space="preserve">autres organismes des </w:t>
      </w:r>
      <w:r w:rsidR="00002F21" w:rsidRPr="00C5365D">
        <w:rPr>
          <w:lang w:val="fr-FR"/>
        </w:rPr>
        <w:t>Nations Unies</w:t>
      </w:r>
      <w:r w:rsidRPr="00C5365D">
        <w:rPr>
          <w:lang w:val="fr-FR"/>
        </w:rPr>
        <w:t>,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organisat</w:t>
      </w:r>
      <w:r w:rsidR="008428C0" w:rsidRPr="00C5365D">
        <w:rPr>
          <w:lang w:val="fr-FR"/>
        </w:rPr>
        <w:t>ions intergouvernementales et d</w:t>
      </w:r>
      <w:r w:rsidR="00002F21" w:rsidRPr="00C5365D">
        <w:rPr>
          <w:lang w:val="fr-FR"/>
        </w:rPr>
        <w:t>’</w:t>
      </w:r>
      <w:r w:rsidR="008428C0" w:rsidRPr="00C5365D">
        <w:rPr>
          <w:lang w:val="fr-FR"/>
        </w:rPr>
        <w:t>organisations non gouvernemental</w:t>
      </w:r>
      <w:r w:rsidR="00EB3E62" w:rsidRPr="00C5365D">
        <w:rPr>
          <w:lang w:val="fr-FR"/>
        </w:rPr>
        <w:t>es.  Le</w:t>
      </w:r>
      <w:r w:rsidR="008428C0" w:rsidRPr="00C5365D">
        <w:rPr>
          <w:lang w:val="fr-FR"/>
        </w:rPr>
        <w:t xml:space="preserve">s partenariats sont </w:t>
      </w:r>
      <w:r w:rsidR="00D45BBB" w:rsidRPr="00C5365D">
        <w:rPr>
          <w:lang w:val="fr-FR"/>
        </w:rPr>
        <w:t>diffusés auprès</w:t>
      </w:r>
      <w:r w:rsidR="00054764" w:rsidRPr="00C5365D">
        <w:rPr>
          <w:lang w:val="fr-FR"/>
        </w:rPr>
        <w:t xml:space="preserve"> du public</w:t>
      </w:r>
      <w:r w:rsidR="00681295" w:rsidRPr="00C5365D">
        <w:rPr>
          <w:lang w:val="fr-FR"/>
        </w:rPr>
        <w:t xml:space="preserve"> </w:t>
      </w:r>
      <w:r w:rsidR="00D05DCE" w:rsidRPr="00C5365D">
        <w:rPr>
          <w:lang w:val="fr-FR"/>
        </w:rPr>
        <w:t>par l</w:t>
      </w:r>
      <w:r w:rsidR="00002F21" w:rsidRPr="00C5365D">
        <w:rPr>
          <w:lang w:val="fr-FR"/>
        </w:rPr>
        <w:t>’</w:t>
      </w:r>
      <w:r w:rsidR="00D05DCE" w:rsidRPr="00C5365D">
        <w:rPr>
          <w:lang w:val="fr-FR"/>
        </w:rPr>
        <w:t>intermédiaire de</w:t>
      </w:r>
      <w:r w:rsidR="00054764" w:rsidRPr="00C5365D">
        <w:rPr>
          <w:lang w:val="fr-FR"/>
        </w:rPr>
        <w:t xml:space="preserve"> </w:t>
      </w:r>
      <w:r w:rsidR="00002F21" w:rsidRPr="00C5365D">
        <w:rPr>
          <w:lang w:val="fr-FR"/>
        </w:rPr>
        <w:t>pages W</w:t>
      </w:r>
      <w:r w:rsidR="00054764" w:rsidRPr="00C5365D">
        <w:rPr>
          <w:lang w:val="fr-FR"/>
        </w:rPr>
        <w:t xml:space="preserve">eb </w:t>
      </w:r>
      <w:r w:rsidR="00D45BBB" w:rsidRPr="00C5365D">
        <w:rPr>
          <w:lang w:val="fr-FR"/>
        </w:rPr>
        <w:t xml:space="preserve">qui </w:t>
      </w:r>
      <w:r w:rsidR="00054764" w:rsidRPr="00C5365D">
        <w:rPr>
          <w:lang w:val="fr-FR"/>
        </w:rPr>
        <w:t xml:space="preserve">leur </w:t>
      </w:r>
      <w:r w:rsidR="00D45BBB" w:rsidRPr="00C5365D">
        <w:rPr>
          <w:lang w:val="fr-FR"/>
        </w:rPr>
        <w:t>sont</w:t>
      </w:r>
      <w:r w:rsidR="00054764" w:rsidRPr="00C5365D">
        <w:rPr>
          <w:lang w:val="fr-FR"/>
        </w:rPr>
        <w:t xml:space="preserve"> </w:t>
      </w:r>
      <w:r w:rsidR="00D05DCE" w:rsidRPr="00C5365D">
        <w:rPr>
          <w:lang w:val="fr-FR"/>
        </w:rPr>
        <w:t>consacrées</w:t>
      </w:r>
      <w:r w:rsidR="00F24D6D" w:rsidRPr="00C5365D">
        <w:rPr>
          <w:lang w:val="fr-FR"/>
        </w:rPr>
        <w:t xml:space="preserve"> </w:t>
      </w:r>
      <w:r w:rsidR="00C767EE" w:rsidRPr="00C5365D">
        <w:rPr>
          <w:lang w:val="fr-FR"/>
        </w:rPr>
        <w:t>sur le site de l</w:t>
      </w:r>
      <w:r w:rsidR="00002F21" w:rsidRPr="00C5365D">
        <w:rPr>
          <w:lang w:val="fr-FR"/>
        </w:rPr>
        <w:t>’</w:t>
      </w:r>
      <w:r w:rsidR="00C767EE" w:rsidRPr="00C5365D">
        <w:rPr>
          <w:lang w:val="fr-FR"/>
        </w:rPr>
        <w:t>OMPI et</w:t>
      </w:r>
      <w:r w:rsidR="00D05DCE" w:rsidRPr="00C5365D">
        <w:rPr>
          <w:lang w:val="fr-FR"/>
        </w:rPr>
        <w:t xml:space="preserve"> sur</w:t>
      </w:r>
      <w:r w:rsidR="00C767EE" w:rsidRPr="00C5365D">
        <w:rPr>
          <w:lang w:val="fr-FR"/>
        </w:rPr>
        <w:t xml:space="preserve"> les sites d</w:t>
      </w:r>
      <w:r w:rsidR="00002F21" w:rsidRPr="00C5365D">
        <w:rPr>
          <w:lang w:val="fr-FR"/>
        </w:rPr>
        <w:t>’</w:t>
      </w:r>
      <w:r w:rsidR="00C767EE" w:rsidRPr="00C5365D">
        <w:rPr>
          <w:lang w:val="fr-FR"/>
        </w:rPr>
        <w:t>organisations partenaires,</w:t>
      </w:r>
      <w:r w:rsidR="00681295" w:rsidRPr="00C5365D">
        <w:rPr>
          <w:lang w:val="fr-FR"/>
        </w:rPr>
        <w:t xml:space="preserve"> par</w:t>
      </w:r>
      <w:r w:rsidR="00C767EE" w:rsidRPr="00C5365D">
        <w:rPr>
          <w:lang w:val="fr-FR"/>
        </w:rPr>
        <w:t xml:space="preserve"> des vidéos et des publications telles que brochures, affiches et rapports à </w:t>
      </w:r>
      <w:r w:rsidR="00C767EE" w:rsidRPr="00C5365D">
        <w:rPr>
          <w:lang w:val="fr-FR"/>
        </w:rPr>
        <w:lastRenderedPageBreak/>
        <w:t>distribuer à l</w:t>
      </w:r>
      <w:r w:rsidR="00002F21" w:rsidRPr="00C5365D">
        <w:rPr>
          <w:lang w:val="fr-FR"/>
        </w:rPr>
        <w:t>’</w:t>
      </w:r>
      <w:r w:rsidR="00681295" w:rsidRPr="00C5365D">
        <w:rPr>
          <w:lang w:val="fr-FR"/>
        </w:rPr>
        <w:t xml:space="preserve">occasion </w:t>
      </w:r>
      <w:r w:rsidR="00D05DCE" w:rsidRPr="00C5365D">
        <w:rPr>
          <w:lang w:val="fr-FR"/>
        </w:rPr>
        <w:t>de certaines manifestations</w:t>
      </w:r>
      <w:r w:rsidR="00681295" w:rsidRPr="00C5365D">
        <w:rPr>
          <w:lang w:val="fr-FR"/>
        </w:rPr>
        <w:t xml:space="preserve"> auxquel</w:t>
      </w:r>
      <w:r w:rsidR="00D05DCE" w:rsidRPr="00C5365D">
        <w:rPr>
          <w:lang w:val="fr-FR"/>
        </w:rPr>
        <w:t>le</w:t>
      </w:r>
      <w:r w:rsidR="00681295" w:rsidRPr="00C5365D">
        <w:rPr>
          <w:lang w:val="fr-FR"/>
        </w:rPr>
        <w:t xml:space="preserve">s </w:t>
      </w:r>
      <w:r w:rsidR="00D05DCE" w:rsidRPr="00C5365D">
        <w:rPr>
          <w:lang w:val="fr-FR"/>
        </w:rPr>
        <w:t xml:space="preserve">assistent </w:t>
      </w:r>
      <w:r w:rsidR="00681295" w:rsidRPr="00C5365D">
        <w:rPr>
          <w:lang w:val="fr-FR"/>
        </w:rPr>
        <w:t>des membres des publics cibles.</w:t>
      </w:r>
    </w:p>
    <w:p w:rsidR="00A31220" w:rsidRPr="00C5365D" w:rsidRDefault="005D373C" w:rsidP="003562AD">
      <w:pPr>
        <w:pStyle w:val="ONUMFS"/>
        <w:numPr>
          <w:ilvl w:val="0"/>
          <w:numId w:val="0"/>
        </w:numPr>
      </w:pPr>
      <w:r w:rsidRPr="00C5365D">
        <w:t>Exe</w:t>
      </w:r>
      <w:r w:rsidR="003A359A" w:rsidRPr="00C5365D">
        <w:t>mple</w:t>
      </w:r>
      <w:r w:rsidR="00002F21" w:rsidRPr="00C5365D">
        <w:t> :</w:t>
      </w:r>
      <w:r w:rsidR="00FF0598" w:rsidRPr="00C5365D">
        <w:t xml:space="preserve"> </w:t>
      </w:r>
      <w:r w:rsidR="000216D4" w:rsidRPr="00C5365D">
        <w:t>Le programme d</w:t>
      </w:r>
      <w:r w:rsidR="00002F21" w:rsidRPr="00C5365D">
        <w:t>’</w:t>
      </w:r>
      <w:r w:rsidR="000216D4" w:rsidRPr="00C5365D">
        <w:t xml:space="preserve">accès à la </w:t>
      </w:r>
      <w:r w:rsidR="004D1B38" w:rsidRPr="00C5365D">
        <w:t>recherche</w:t>
      </w:r>
      <w:r w:rsidR="000216D4" w:rsidRPr="00C5365D">
        <w:t xml:space="preserve"> pour le développement et l</w:t>
      </w:r>
      <w:r w:rsidR="00002F21" w:rsidRPr="00C5365D">
        <w:t>’</w:t>
      </w:r>
      <w:r w:rsidR="000216D4" w:rsidRPr="00C5365D">
        <w:t>innovation (ARDI), qui s</w:t>
      </w:r>
      <w:r w:rsidR="00002F21" w:rsidRPr="00C5365D">
        <w:t>’</w:t>
      </w:r>
      <w:r w:rsidR="000216D4" w:rsidRPr="00C5365D">
        <w:t>adresse aux ministères et aux organism</w:t>
      </w:r>
      <w:r w:rsidR="004D1B38" w:rsidRPr="00C5365D">
        <w:t>e</w:t>
      </w:r>
      <w:r w:rsidR="000216D4" w:rsidRPr="00C5365D">
        <w:t xml:space="preserve">s </w:t>
      </w:r>
      <w:r w:rsidR="004D1B38" w:rsidRPr="00C5365D">
        <w:t>gouverneme</w:t>
      </w:r>
      <w:r w:rsidR="000216D4" w:rsidRPr="00C5365D">
        <w:t>ntaux ainsi qu</w:t>
      </w:r>
      <w:r w:rsidR="00002F21" w:rsidRPr="00C5365D">
        <w:t>’</w:t>
      </w:r>
      <w:r w:rsidR="000216D4" w:rsidRPr="00C5365D">
        <w:t>aux établissements universitaires et</w:t>
      </w:r>
      <w:r w:rsidR="00CB3C55" w:rsidRPr="00C5365D">
        <w:t xml:space="preserve"> aux</w:t>
      </w:r>
      <w:r w:rsidR="000216D4" w:rsidRPr="00C5365D">
        <w:t xml:space="preserve"> instituts de </w:t>
      </w:r>
      <w:r w:rsidR="004D1B38" w:rsidRPr="00C5365D">
        <w:t xml:space="preserve">recherche, est </w:t>
      </w:r>
      <w:r w:rsidR="005467AC" w:rsidRPr="00C5365D">
        <w:t>diffusé auprès du</w:t>
      </w:r>
      <w:r w:rsidR="00CB3C55" w:rsidRPr="00C5365D">
        <w:t xml:space="preserve"> public</w:t>
      </w:r>
      <w:r w:rsidR="004D1B38" w:rsidRPr="00C5365D">
        <w:t xml:space="preserve"> </w:t>
      </w:r>
      <w:r w:rsidR="005467AC" w:rsidRPr="00C5365D">
        <w:t xml:space="preserve">grâce à </w:t>
      </w:r>
      <w:r w:rsidR="001452B3" w:rsidRPr="00C5365D">
        <w:t>diverses</w:t>
      </w:r>
      <w:r w:rsidR="004D1B38" w:rsidRPr="00C5365D">
        <w:t xml:space="preserve"> publications</w:t>
      </w:r>
      <w:r w:rsidR="00316109" w:rsidRPr="00C5365D">
        <w:t xml:space="preserve"> élaborées et </w:t>
      </w:r>
      <w:r w:rsidR="00B571D5" w:rsidRPr="00C5365D">
        <w:t>distribuées</w:t>
      </w:r>
      <w:r w:rsidR="00F40042" w:rsidRPr="00C5365D">
        <w:t xml:space="preserve"> en coopération avec l</w:t>
      </w:r>
      <w:r w:rsidR="00316109" w:rsidRPr="00C5365D">
        <w:t>es partenaires du programme tels que l</w:t>
      </w:r>
      <w:r w:rsidR="00002F21" w:rsidRPr="00C5365D">
        <w:t>’</w:t>
      </w:r>
      <w:r w:rsidR="00316109" w:rsidRPr="00C5365D">
        <w:t xml:space="preserve">Organisation des </w:t>
      </w:r>
      <w:r w:rsidR="00002F21" w:rsidRPr="00C5365D">
        <w:t>Nations Unies</w:t>
      </w:r>
      <w:r w:rsidR="00316109" w:rsidRPr="00C5365D">
        <w:t xml:space="preserve"> pour l</w:t>
      </w:r>
      <w:r w:rsidR="00002F21" w:rsidRPr="00C5365D">
        <w:t>’</w:t>
      </w:r>
      <w:r w:rsidR="00316109" w:rsidRPr="00C5365D">
        <w:t>alimentation et l</w:t>
      </w:r>
      <w:r w:rsidR="00002F21" w:rsidRPr="00C5365D">
        <w:t>’</w:t>
      </w:r>
      <w:r w:rsidR="00316109" w:rsidRPr="00C5365D">
        <w:t xml:space="preserve">agriculture (FAO), le Programme des </w:t>
      </w:r>
      <w:r w:rsidR="00002F21" w:rsidRPr="00C5365D">
        <w:t>Nations Unies</w:t>
      </w:r>
      <w:r w:rsidR="00316109" w:rsidRPr="00C5365D">
        <w:t xml:space="preserve"> pour l</w:t>
      </w:r>
      <w:r w:rsidR="00002F21" w:rsidRPr="00C5365D">
        <w:t>’</w:t>
      </w:r>
      <w:r w:rsidR="00316109" w:rsidRPr="00C5365D">
        <w:t>environnement et l</w:t>
      </w:r>
      <w:r w:rsidR="00002F21" w:rsidRPr="00C5365D">
        <w:t>’</w:t>
      </w:r>
      <w:r w:rsidR="00316109" w:rsidRPr="00C5365D">
        <w:t xml:space="preserve">Organisation mondiale de la </w:t>
      </w:r>
      <w:r w:rsidR="00AE15F0" w:rsidRPr="00C5365D">
        <w:t>Santé</w:t>
      </w:r>
      <w:r w:rsidR="00316109" w:rsidRPr="00C5365D">
        <w:t>, ainsi que</w:t>
      </w:r>
      <w:r w:rsidR="00A761C0" w:rsidRPr="00C5365D">
        <w:t xml:space="preserve"> des éditeurs tels E</w:t>
      </w:r>
      <w:r w:rsidR="00E23E28" w:rsidRPr="00C5365D">
        <w:t>lsevier</w:t>
      </w:r>
      <w:r w:rsidR="000D75B0" w:rsidRPr="00C5365D">
        <w:t xml:space="preserve">, Springer </w:t>
      </w:r>
      <w:proofErr w:type="spellStart"/>
      <w:r w:rsidR="000D75B0" w:rsidRPr="00C5365D">
        <w:t>Science+Business</w:t>
      </w:r>
      <w:proofErr w:type="spellEnd"/>
      <w:r w:rsidR="000D75B0" w:rsidRPr="00C5365D">
        <w:t xml:space="preserve"> Media</w:t>
      </w:r>
      <w:r w:rsidR="00A761C0" w:rsidRPr="00C5365D">
        <w:t xml:space="preserve"> et</w:t>
      </w:r>
      <w:r w:rsidR="000D75B0" w:rsidRPr="00C5365D">
        <w:t xml:space="preserve"> </w:t>
      </w:r>
      <w:proofErr w:type="spellStart"/>
      <w:r w:rsidR="000D75B0" w:rsidRPr="00C5365D">
        <w:t>Wiley</w:t>
      </w:r>
      <w:r w:rsidR="002B6147">
        <w:noBreakHyphen/>
      </w:r>
      <w:r w:rsidR="000D75B0" w:rsidRPr="00C5365D">
        <w:t>Blackwell</w:t>
      </w:r>
      <w:proofErr w:type="spellEnd"/>
      <w:r w:rsidR="000D75B0" w:rsidRPr="00C5365D">
        <w:t xml:space="preserve">, </w:t>
      </w:r>
      <w:r w:rsidR="00F40042" w:rsidRPr="00C5365D">
        <w:t xml:space="preserve">et </w:t>
      </w:r>
      <w:r w:rsidR="00A8438E" w:rsidRPr="00C5365D">
        <w:t xml:space="preserve">il y </w:t>
      </w:r>
      <w:r w:rsidR="00F40042" w:rsidRPr="00C5365D">
        <w:t>est également</w:t>
      </w:r>
      <w:r w:rsidR="00A8438E" w:rsidRPr="00C5365D">
        <w:t xml:space="preserve"> fait référence</w:t>
      </w:r>
      <w:r w:rsidR="00F40042" w:rsidRPr="00C5365D">
        <w:t xml:space="preserve"> dans</w:t>
      </w:r>
      <w:r w:rsidR="00A761C0" w:rsidRPr="00C5365D">
        <w:t xml:space="preserve"> le rapport intitulé </w:t>
      </w:r>
      <w:r w:rsidR="00002F21" w:rsidRPr="00C5365D">
        <w:t>“</w:t>
      </w:r>
      <w:proofErr w:type="spellStart"/>
      <w:r w:rsidR="000D75B0" w:rsidRPr="00C5365D">
        <w:t>Unsung</w:t>
      </w:r>
      <w:proofErr w:type="spellEnd"/>
      <w:r w:rsidR="000D75B0" w:rsidRPr="00C5365D">
        <w:t xml:space="preserve"> Heroes</w:t>
      </w:r>
      <w:r w:rsidR="00AE15F0" w:rsidRPr="00C5365D">
        <w:t> :</w:t>
      </w:r>
      <w:r w:rsidR="00FF0598" w:rsidRPr="00C5365D">
        <w:t xml:space="preserve"> </w:t>
      </w:r>
      <w:r w:rsidR="000D75B0" w:rsidRPr="00C5365D">
        <w:t xml:space="preserve">Stories </w:t>
      </w:r>
      <w:proofErr w:type="spellStart"/>
      <w:r w:rsidR="000D75B0" w:rsidRPr="00C5365D">
        <w:t>from</w:t>
      </w:r>
      <w:proofErr w:type="spellEnd"/>
      <w:r w:rsidR="000D75B0" w:rsidRPr="00C5365D">
        <w:t xml:space="preserve"> the Library</w:t>
      </w:r>
      <w:r w:rsidR="00AE15F0" w:rsidRPr="00C5365D">
        <w:t> :</w:t>
      </w:r>
      <w:r w:rsidR="00FF0598" w:rsidRPr="00C5365D">
        <w:t xml:space="preserve"> </w:t>
      </w:r>
      <w:r w:rsidR="000D75B0" w:rsidRPr="00C5365D">
        <w:t xml:space="preserve">How Access to Scientific </w:t>
      </w:r>
      <w:proofErr w:type="spellStart"/>
      <w:r w:rsidR="000D75B0" w:rsidRPr="00C5365D">
        <w:t>Literature</w:t>
      </w:r>
      <w:proofErr w:type="spellEnd"/>
      <w:r w:rsidR="000D75B0" w:rsidRPr="00C5365D">
        <w:t xml:space="preserve"> </w:t>
      </w:r>
      <w:proofErr w:type="spellStart"/>
      <w:r w:rsidR="000D75B0" w:rsidRPr="00C5365D">
        <w:t>is</w:t>
      </w:r>
      <w:proofErr w:type="spellEnd"/>
      <w:r w:rsidR="000D75B0" w:rsidRPr="00C5365D">
        <w:t xml:space="preserve"> Building</w:t>
      </w:r>
      <w:r w:rsidR="0061411A" w:rsidRPr="00C5365D">
        <w:t xml:space="preserve"> the Global </w:t>
      </w:r>
      <w:proofErr w:type="spellStart"/>
      <w:r w:rsidR="0061411A" w:rsidRPr="00C5365D">
        <w:t>Research</w:t>
      </w:r>
      <w:proofErr w:type="spellEnd"/>
      <w:r w:rsidR="0061411A" w:rsidRPr="00C5365D">
        <w:t xml:space="preserve"> </w:t>
      </w:r>
      <w:proofErr w:type="spellStart"/>
      <w:r w:rsidR="0061411A" w:rsidRPr="00C5365D">
        <w:t>Community</w:t>
      </w:r>
      <w:proofErr w:type="spellEnd"/>
      <w:r w:rsidR="0061411A" w:rsidRPr="00C5365D">
        <w:t>.</w:t>
      </w:r>
      <w:r w:rsidR="00002F21" w:rsidRPr="00C5365D">
        <w:t>”</w:t>
      </w:r>
    </w:p>
    <w:p w:rsidR="00A31220" w:rsidRPr="00C5365D" w:rsidRDefault="002E4998" w:rsidP="003562AD">
      <w:pPr>
        <w:pStyle w:val="ONUMFS"/>
        <w:numPr>
          <w:ilvl w:val="0"/>
          <w:numId w:val="0"/>
        </w:numPr>
      </w:pPr>
      <w:r w:rsidRPr="00C5365D">
        <w:t>Exe</w:t>
      </w:r>
      <w:r w:rsidR="00E83E9D" w:rsidRPr="00C5365D">
        <w:t>mple</w:t>
      </w:r>
      <w:r w:rsidR="00002F21" w:rsidRPr="00C5365D">
        <w:t> :</w:t>
      </w:r>
      <w:r w:rsidR="00E83E9D" w:rsidRPr="00C5365D">
        <w:t xml:space="preserve"> </w:t>
      </w:r>
      <w:r w:rsidR="009A344F" w:rsidRPr="00C5365D">
        <w:t>L</w:t>
      </w:r>
      <w:r w:rsidR="00FC0879" w:rsidRPr="00C5365D">
        <w:t xml:space="preserve">e programme </w:t>
      </w:r>
      <w:r w:rsidR="00E83E9D" w:rsidRPr="00C5365D">
        <w:t xml:space="preserve">WIPO </w:t>
      </w:r>
      <w:proofErr w:type="spellStart"/>
      <w:r w:rsidR="00E83E9D" w:rsidRPr="00C5365D">
        <w:t>Re:Search</w:t>
      </w:r>
      <w:proofErr w:type="spellEnd"/>
      <w:r w:rsidR="00E83E9D" w:rsidRPr="00C5365D">
        <w:t xml:space="preserve">, consortium </w:t>
      </w:r>
      <w:r w:rsidRPr="00C5365D">
        <w:t>de plus de 115</w:t>
      </w:r>
      <w:r w:rsidR="00C5365D" w:rsidRPr="00C5365D">
        <w:t> </w:t>
      </w:r>
      <w:r w:rsidRPr="00C5365D">
        <w:t>organisations membres des secteurs public et privé visant à faciliter la recherche sur les maladies tropicales négligée</w:t>
      </w:r>
      <w:r w:rsidR="00575C68" w:rsidRPr="00C5365D">
        <w:t>s</w:t>
      </w:r>
      <w:r w:rsidRPr="00C5365D">
        <w:t>, le paludisme et la tuberculose</w:t>
      </w:r>
      <w:r w:rsidR="009A344F" w:rsidRPr="00C5365D">
        <w:t xml:space="preserve"> est porté à la connaissance du public grâce à une vidéo promotionnelle</w:t>
      </w:r>
      <w:r w:rsidR="00370610" w:rsidRPr="00C5365D">
        <w:t xml:space="preserve"> hébergée sur le site de l</w:t>
      </w:r>
      <w:r w:rsidR="00002F21" w:rsidRPr="00C5365D">
        <w:t>’</w:t>
      </w:r>
      <w:r w:rsidR="00370610" w:rsidRPr="00C5365D">
        <w:t>OMPI</w:t>
      </w:r>
      <w:r w:rsidR="009A344F" w:rsidRPr="00C5365D">
        <w:t xml:space="preserve"> </w:t>
      </w:r>
      <w:r w:rsidR="00370610" w:rsidRPr="00C5365D">
        <w:t>comprenant des entretiens avec des parties prenantes et d</w:t>
      </w:r>
      <w:r w:rsidR="009A344F" w:rsidRPr="00C5365D">
        <w:t>es experts</w:t>
      </w:r>
      <w:r w:rsidR="00E83E9D" w:rsidRPr="00C5365D">
        <w:t>.</w:t>
      </w:r>
    </w:p>
    <w:p w:rsidR="00A31220" w:rsidRPr="00C5365D" w:rsidRDefault="003562AD" w:rsidP="003562AD">
      <w:pPr>
        <w:pStyle w:val="Heading2"/>
      </w:pPr>
      <w:r w:rsidRPr="00C5365D">
        <w:t>Promotion des publications</w:t>
      </w:r>
    </w:p>
    <w:p w:rsidR="00A31220" w:rsidRPr="00C5365D" w:rsidRDefault="00A31220" w:rsidP="00F24D6D">
      <w:pPr>
        <w:rPr>
          <w:szCs w:val="22"/>
        </w:rPr>
      </w:pPr>
    </w:p>
    <w:p w:rsidR="00002F21" w:rsidRPr="00C5365D" w:rsidRDefault="00D70392" w:rsidP="003562AD">
      <w:pPr>
        <w:pStyle w:val="ONUMFS"/>
      </w:pPr>
      <w:r w:rsidRPr="00C5365D">
        <w:t xml:space="preserve">Le transfert de technologie est le sujet principal ou secondaire de nombreuses publications, notamment de guides, rapports, compilations et </w:t>
      </w:r>
      <w:r w:rsidR="00002F21" w:rsidRPr="00C5365D">
        <w:t>pages W</w:t>
      </w:r>
      <w:r w:rsidRPr="00C5365D">
        <w:t>eb informativ</w:t>
      </w:r>
      <w:r w:rsidR="00EB3E62" w:rsidRPr="00C5365D">
        <w:t>es.  Ce</w:t>
      </w:r>
      <w:r w:rsidR="00A32236" w:rsidRPr="00C5365D">
        <w:t>s publications sont accessibles</w:t>
      </w:r>
      <w:r w:rsidR="00B84F5C" w:rsidRPr="00C5365D">
        <w:t xml:space="preserve"> au public </w:t>
      </w:r>
      <w:r w:rsidR="00A32236" w:rsidRPr="00C5365D">
        <w:t>sur le site de l</w:t>
      </w:r>
      <w:r w:rsidR="00002F21" w:rsidRPr="00C5365D">
        <w:t>’</w:t>
      </w:r>
      <w:r w:rsidR="00A32236" w:rsidRPr="00C5365D">
        <w:t>OMPI via une base de données</w:t>
      </w:r>
      <w:r w:rsidR="00B84F5C" w:rsidRPr="00C5365D">
        <w:t xml:space="preserve"> </w:t>
      </w:r>
      <w:r w:rsidR="000C59E1" w:rsidRPr="00C5365D">
        <w:t>dotée</w:t>
      </w:r>
      <w:r w:rsidR="00B84F5C" w:rsidRPr="00C5365D">
        <w:t xml:space="preserve"> d</w:t>
      </w:r>
      <w:r w:rsidR="00002F21" w:rsidRPr="00C5365D">
        <w:t>’</w:t>
      </w:r>
      <w:r w:rsidR="00B84F5C" w:rsidRPr="00C5365D">
        <w:t>un moteur de recherche</w:t>
      </w:r>
      <w:r w:rsidR="00A32236" w:rsidRPr="00C5365D">
        <w:t xml:space="preserve"> comprenant des filtres permettant de sélectionner un thème, </w:t>
      </w:r>
      <w:r w:rsidR="00002F21" w:rsidRPr="00C5365D">
        <w:t>y compris</w:t>
      </w:r>
      <w:r w:rsidR="00A32236" w:rsidRPr="00C5365D">
        <w:t xml:space="preserve"> le</w:t>
      </w:r>
      <w:r w:rsidR="007D3AA9" w:rsidRPr="00C5365D">
        <w:t>s</w:t>
      </w:r>
      <w:r w:rsidR="00A32236" w:rsidRPr="00C5365D">
        <w:t xml:space="preserve"> thème</w:t>
      </w:r>
      <w:r w:rsidR="007D3AA9" w:rsidRPr="00C5365D">
        <w:t>s</w:t>
      </w:r>
      <w:r w:rsidR="00A32236" w:rsidRPr="00C5365D">
        <w:t xml:space="preserve"> </w:t>
      </w:r>
      <w:r w:rsidR="00002F21" w:rsidRPr="00C5365D">
        <w:t>“</w:t>
      </w:r>
      <w:r w:rsidR="00A32236" w:rsidRPr="00C5365D">
        <w:t>Brevets</w:t>
      </w:r>
      <w:r w:rsidR="00002F21" w:rsidRPr="00C5365D">
        <w:t>”</w:t>
      </w:r>
      <w:r w:rsidR="00A32236" w:rsidRPr="00C5365D">
        <w:t xml:space="preserve"> et </w:t>
      </w:r>
      <w:r w:rsidR="00002F21" w:rsidRPr="00C5365D">
        <w:t>“</w:t>
      </w:r>
      <w:r w:rsidR="00A32236" w:rsidRPr="00C5365D">
        <w:t>Modèles d</w:t>
      </w:r>
      <w:r w:rsidR="00002F21" w:rsidRPr="00C5365D">
        <w:t>’</w:t>
      </w:r>
      <w:r w:rsidR="00A32236" w:rsidRPr="00C5365D">
        <w:t>utilité</w:t>
      </w:r>
      <w:r w:rsidR="00002F21" w:rsidRPr="00C5365D">
        <w:t>”</w:t>
      </w:r>
      <w:r w:rsidR="00F24D6D" w:rsidRPr="00C5365D">
        <w:t xml:space="preserve"> (</w:t>
      </w:r>
      <w:hyperlink r:id="rId17" w:history="1">
        <w:r w:rsidR="00F24D6D" w:rsidRPr="00797862">
          <w:rPr>
            <w:rStyle w:val="Hyperlink"/>
          </w:rPr>
          <w:t>http://www.wipo.int/publications</w:t>
        </w:r>
      </w:hyperlink>
      <w:r w:rsidR="00FA5453" w:rsidRPr="00C5365D">
        <w:t>)</w:t>
      </w:r>
      <w:r w:rsidR="007A2F1E" w:rsidRPr="00C5365D">
        <w:t xml:space="preserve">, </w:t>
      </w:r>
      <w:r w:rsidR="007D3AA9" w:rsidRPr="00C5365D">
        <w:t>ainsi que via le catalogue électronique de la bibliothèque de l</w:t>
      </w:r>
      <w:r w:rsidR="00002F21" w:rsidRPr="00C5365D">
        <w:t>’</w:t>
      </w:r>
      <w:r w:rsidR="007D3AA9" w:rsidRPr="00C5365D">
        <w:t>OMPI</w:t>
      </w:r>
      <w:r w:rsidR="00FA5453" w:rsidRPr="00C5365D">
        <w:t xml:space="preserve"> </w:t>
      </w:r>
      <w:r w:rsidR="007D3AA9" w:rsidRPr="00C5365D">
        <w:t>(</w:t>
      </w:r>
      <w:r w:rsidR="00FA5453" w:rsidRPr="00C5365D">
        <w:t xml:space="preserve">Library </w:t>
      </w:r>
      <w:proofErr w:type="spellStart"/>
      <w:r w:rsidR="00FA5453" w:rsidRPr="00C5365D">
        <w:t>eCatalog</w:t>
      </w:r>
      <w:proofErr w:type="spellEnd"/>
      <w:r w:rsidR="007D3AA9" w:rsidRPr="00C5365D">
        <w:t>), qui permet</w:t>
      </w:r>
      <w:r w:rsidR="00545624" w:rsidRPr="00C5365D">
        <w:t xml:space="preserve"> de procéder à</w:t>
      </w:r>
      <w:r w:rsidR="007D3AA9" w:rsidRPr="00C5365D">
        <w:t xml:space="preserve"> une recherche par mots clés de termes </w:t>
      </w:r>
      <w:r w:rsidR="000C59E1" w:rsidRPr="00C5365D">
        <w:t>relatifs au</w:t>
      </w:r>
      <w:r w:rsidR="007D3AA9" w:rsidRPr="00C5365D">
        <w:t xml:space="preserve"> transfert de technologie</w:t>
      </w:r>
      <w:r w:rsidR="00FA5453" w:rsidRPr="00C5365D">
        <w:t xml:space="preserve"> (</w:t>
      </w:r>
      <w:hyperlink r:id="rId18" w:history="1">
        <w:r w:rsidR="00FA5453" w:rsidRPr="00797862">
          <w:rPr>
            <w:rStyle w:val="Hyperlink"/>
          </w:rPr>
          <w:t>http://koha.wipo.org</w:t>
        </w:r>
      </w:hyperlink>
      <w:r w:rsidR="00FA5453" w:rsidRPr="00C5365D">
        <w:t xml:space="preserve">). </w:t>
      </w:r>
      <w:r w:rsidR="00AE15F0" w:rsidRPr="00C5365D">
        <w:t xml:space="preserve"> </w:t>
      </w:r>
      <w:r w:rsidR="00794FAD" w:rsidRPr="00C5365D">
        <w:rPr>
          <w:lang w:val="fr-FR"/>
        </w:rPr>
        <w:t>Elles</w:t>
      </w:r>
      <w:r w:rsidR="00501ECD" w:rsidRPr="00C5365D">
        <w:rPr>
          <w:lang w:val="fr-FR"/>
        </w:rPr>
        <w:t xml:space="preserve"> sont également </w:t>
      </w:r>
      <w:r w:rsidR="006E23EA" w:rsidRPr="00C5365D">
        <w:rPr>
          <w:lang w:val="fr-FR"/>
        </w:rPr>
        <w:t>diffusées</w:t>
      </w:r>
      <w:r w:rsidR="00501ECD" w:rsidRPr="00C5365D">
        <w:rPr>
          <w:lang w:val="fr-FR"/>
        </w:rPr>
        <w:t xml:space="preserve"> dans des cas particuliers par </w:t>
      </w:r>
      <w:r w:rsidR="00956051" w:rsidRPr="00C5365D">
        <w:rPr>
          <w:lang w:val="fr-FR"/>
        </w:rPr>
        <w:t>des</w:t>
      </w:r>
      <w:r w:rsidR="00501ECD" w:rsidRPr="00C5365D">
        <w:rPr>
          <w:lang w:val="fr-FR"/>
        </w:rPr>
        <w:t xml:space="preserve"> communiqués de presse </w:t>
      </w:r>
      <w:r w:rsidR="00956051" w:rsidRPr="00C5365D">
        <w:rPr>
          <w:lang w:val="fr-FR"/>
        </w:rPr>
        <w:t>sur le site de l</w:t>
      </w:r>
      <w:r w:rsidR="00002F21" w:rsidRPr="00C5365D">
        <w:rPr>
          <w:lang w:val="fr-FR"/>
        </w:rPr>
        <w:t>’</w:t>
      </w:r>
      <w:r w:rsidR="00956051" w:rsidRPr="00C5365D">
        <w:rPr>
          <w:lang w:val="fr-FR"/>
        </w:rPr>
        <w:t>OMPI et</w:t>
      </w:r>
      <w:r w:rsidR="0070021E" w:rsidRPr="00C5365D">
        <w:rPr>
          <w:lang w:val="fr-FR"/>
        </w:rPr>
        <w:t xml:space="preserve"> </w:t>
      </w:r>
      <w:r w:rsidR="00545624" w:rsidRPr="00C5365D">
        <w:rPr>
          <w:lang w:val="fr-FR"/>
        </w:rPr>
        <w:t xml:space="preserve">certains </w:t>
      </w:r>
      <w:r w:rsidR="00956051" w:rsidRPr="00C5365D">
        <w:rPr>
          <w:lang w:val="fr-FR"/>
        </w:rPr>
        <w:t xml:space="preserve">médias, des </w:t>
      </w:r>
      <w:r w:rsidR="0070021E" w:rsidRPr="00C5365D">
        <w:rPr>
          <w:lang w:val="fr-FR"/>
        </w:rPr>
        <w:t>activités de lancement, manifestations</w:t>
      </w:r>
      <w:r w:rsidR="00F83B00" w:rsidRPr="00C5365D">
        <w:rPr>
          <w:lang w:val="fr-FR"/>
        </w:rPr>
        <w:t xml:space="preserve"> parallèles</w:t>
      </w:r>
      <w:r w:rsidR="00956051" w:rsidRPr="00C5365D">
        <w:rPr>
          <w:lang w:val="fr-FR"/>
        </w:rPr>
        <w:t xml:space="preserve">, </w:t>
      </w:r>
      <w:r w:rsidR="0070021E" w:rsidRPr="00C5365D">
        <w:rPr>
          <w:lang w:val="fr-FR"/>
        </w:rPr>
        <w:t xml:space="preserve">activités de sensibilisation et de formation </w:t>
      </w:r>
      <w:r w:rsidR="00F83B00" w:rsidRPr="00C5365D">
        <w:rPr>
          <w:lang w:val="fr-FR"/>
        </w:rPr>
        <w:t xml:space="preserve">et </w:t>
      </w:r>
      <w:r w:rsidR="0038528E" w:rsidRPr="00C5365D">
        <w:rPr>
          <w:lang w:val="fr-FR"/>
        </w:rPr>
        <w:t>exposés présentés par des experts</w:t>
      </w:r>
      <w:r w:rsidR="00F83B00" w:rsidRPr="00C5365D">
        <w:rPr>
          <w:lang w:val="fr-FR"/>
        </w:rPr>
        <w:t>.</w:t>
      </w:r>
    </w:p>
    <w:p w:rsidR="00A31220" w:rsidRPr="00C5365D" w:rsidRDefault="00B74AA9" w:rsidP="003562AD">
      <w:pPr>
        <w:pStyle w:val="ONUMFS"/>
        <w:numPr>
          <w:ilvl w:val="0"/>
          <w:numId w:val="0"/>
        </w:numPr>
        <w:rPr>
          <w:lang w:val="fr-FR"/>
        </w:rPr>
      </w:pPr>
      <w:r w:rsidRPr="00C5365D">
        <w:rPr>
          <w:lang w:val="fr-FR"/>
        </w:rPr>
        <w:t>Exe</w:t>
      </w:r>
      <w:r w:rsidR="00687050" w:rsidRPr="00C5365D">
        <w:rPr>
          <w:lang w:val="fr-FR"/>
        </w:rPr>
        <w:t>mple</w:t>
      </w:r>
      <w:r w:rsidR="00002F21" w:rsidRPr="00C5365D">
        <w:rPr>
          <w:lang w:val="fr-FR"/>
        </w:rPr>
        <w:t> :</w:t>
      </w:r>
      <w:r w:rsidR="00002E68" w:rsidRPr="00C5365D">
        <w:rPr>
          <w:lang w:val="fr-FR"/>
        </w:rPr>
        <w:t xml:space="preserve"> </w:t>
      </w:r>
      <w:r w:rsidR="00FC0879" w:rsidRPr="00C5365D">
        <w:rPr>
          <w:lang w:val="fr-FR"/>
        </w:rPr>
        <w:t>Le modèle de politique de l</w:t>
      </w:r>
      <w:r w:rsidR="00002F21" w:rsidRPr="00C5365D">
        <w:rPr>
          <w:lang w:val="fr-FR"/>
        </w:rPr>
        <w:t>’</w:t>
      </w:r>
      <w:r w:rsidR="00FC0879" w:rsidRPr="00C5365D">
        <w:rPr>
          <w:lang w:val="fr-FR"/>
        </w:rPr>
        <w:t xml:space="preserve">OMPI en matière de propriété intellectuelle pour les universités et les instituts de recherche et les directives concernant la personnalisation </w:t>
      </w:r>
      <w:r w:rsidR="00DF227B" w:rsidRPr="00C5365D">
        <w:rPr>
          <w:lang w:val="fr-FR"/>
        </w:rPr>
        <w:t>de ce</w:t>
      </w:r>
      <w:r w:rsidR="00FC0879" w:rsidRPr="00C5365D">
        <w:rPr>
          <w:lang w:val="fr-FR"/>
        </w:rPr>
        <w:t xml:space="preserve"> modèle, </w:t>
      </w:r>
      <w:r w:rsidR="00C9566D" w:rsidRPr="00C5365D">
        <w:rPr>
          <w:lang w:val="fr-FR"/>
        </w:rPr>
        <w:t>qui s</w:t>
      </w:r>
      <w:r w:rsidR="00002F21" w:rsidRPr="00C5365D">
        <w:rPr>
          <w:lang w:val="fr-FR"/>
        </w:rPr>
        <w:t>’</w:t>
      </w:r>
      <w:r w:rsidR="00C9566D" w:rsidRPr="00C5365D">
        <w:rPr>
          <w:lang w:val="fr-FR"/>
        </w:rPr>
        <w:t xml:space="preserve">adresse </w:t>
      </w:r>
      <w:r w:rsidR="00FC0879" w:rsidRPr="00C5365D">
        <w:rPr>
          <w:lang w:val="fr-FR"/>
        </w:rPr>
        <w:t xml:space="preserve">aux établissements universitaires et aux instituts de recherche, </w:t>
      </w:r>
      <w:r w:rsidR="00E34A68" w:rsidRPr="00C5365D">
        <w:rPr>
          <w:lang w:val="fr-FR"/>
        </w:rPr>
        <w:t xml:space="preserve">a été </w:t>
      </w:r>
      <w:r w:rsidR="0094410A" w:rsidRPr="00C5365D">
        <w:rPr>
          <w:lang w:val="fr-FR"/>
        </w:rPr>
        <w:t>porté à la connaissance du public</w:t>
      </w:r>
      <w:r w:rsidR="00E34A68" w:rsidRPr="00C5365D">
        <w:rPr>
          <w:lang w:val="fr-FR"/>
        </w:rPr>
        <w:t xml:space="preserve"> </w:t>
      </w:r>
      <w:r w:rsidR="00C9566D" w:rsidRPr="00C5365D">
        <w:rPr>
          <w:lang w:val="fr-FR"/>
        </w:rPr>
        <w:t>lors</w:t>
      </w:r>
      <w:r w:rsidR="00E34A68" w:rsidRPr="00C5365D">
        <w:rPr>
          <w:lang w:val="fr-FR"/>
        </w:rPr>
        <w:t xml:space="preserve"> d</w:t>
      </w:r>
      <w:r w:rsidR="00002F21" w:rsidRPr="00C5365D">
        <w:rPr>
          <w:lang w:val="fr-FR"/>
        </w:rPr>
        <w:t>’</w:t>
      </w:r>
      <w:r w:rsidR="00E34A68" w:rsidRPr="00C5365D">
        <w:rPr>
          <w:lang w:val="fr-FR"/>
        </w:rPr>
        <w:t>une réunion d</w:t>
      </w:r>
      <w:r w:rsidR="00002F21" w:rsidRPr="00C5365D">
        <w:rPr>
          <w:lang w:val="fr-FR"/>
        </w:rPr>
        <w:t>’</w:t>
      </w:r>
      <w:r w:rsidR="00E34A68" w:rsidRPr="00C5365D">
        <w:rPr>
          <w:lang w:val="fr-FR"/>
        </w:rPr>
        <w:t>experts qui s</w:t>
      </w:r>
      <w:r w:rsidR="00002F21" w:rsidRPr="00C5365D">
        <w:rPr>
          <w:lang w:val="fr-FR"/>
        </w:rPr>
        <w:t>’</w:t>
      </w:r>
      <w:r w:rsidR="00E34A68" w:rsidRPr="00C5365D">
        <w:rPr>
          <w:lang w:val="fr-FR"/>
        </w:rPr>
        <w:t xml:space="preserve">est tenue à Genève en </w:t>
      </w:r>
      <w:r w:rsidR="00002F21" w:rsidRPr="00C5365D">
        <w:rPr>
          <w:lang w:val="fr-FR"/>
        </w:rPr>
        <w:t>mai 20</w:t>
      </w:r>
      <w:r w:rsidR="00E34A68" w:rsidRPr="00C5365D">
        <w:rPr>
          <w:lang w:val="fr-FR"/>
        </w:rPr>
        <w:t>17</w:t>
      </w:r>
      <w:r w:rsidR="008C1E9D" w:rsidRPr="00C5365D">
        <w:rPr>
          <w:lang w:val="fr-FR"/>
        </w:rPr>
        <w:t xml:space="preserve">, </w:t>
      </w:r>
      <w:r w:rsidR="00D90EAD" w:rsidRPr="00C5365D">
        <w:rPr>
          <w:lang w:val="fr-FR"/>
        </w:rPr>
        <w:t>et d</w:t>
      </w:r>
      <w:r w:rsidR="00002F21" w:rsidRPr="00C5365D">
        <w:rPr>
          <w:lang w:val="fr-FR"/>
        </w:rPr>
        <w:t>’</w:t>
      </w:r>
      <w:r w:rsidR="00D90EAD" w:rsidRPr="00C5365D">
        <w:rPr>
          <w:lang w:val="fr-FR"/>
        </w:rPr>
        <w:t>une manifestation promotionnelle parallèle</w:t>
      </w:r>
      <w:r w:rsidR="00FC0879" w:rsidRPr="00C5365D">
        <w:rPr>
          <w:lang w:val="fr-FR"/>
        </w:rPr>
        <w:t xml:space="preserve"> </w:t>
      </w:r>
      <w:r w:rsidR="00431C28" w:rsidRPr="00C5365D">
        <w:rPr>
          <w:lang w:val="fr-FR"/>
        </w:rPr>
        <w:t>à l</w:t>
      </w:r>
      <w:r w:rsidR="00002F21" w:rsidRPr="00C5365D">
        <w:rPr>
          <w:lang w:val="fr-FR"/>
        </w:rPr>
        <w:t>’</w:t>
      </w:r>
      <w:r w:rsidR="00431C28" w:rsidRPr="00C5365D">
        <w:rPr>
          <w:lang w:val="fr-FR"/>
        </w:rPr>
        <w:t>occasion des assemblées de l</w:t>
      </w:r>
      <w:r w:rsidR="00002F21" w:rsidRPr="00C5365D">
        <w:rPr>
          <w:lang w:val="fr-FR"/>
        </w:rPr>
        <w:t>’</w:t>
      </w:r>
      <w:r w:rsidR="00431C28" w:rsidRPr="00C5365D">
        <w:rPr>
          <w:lang w:val="fr-FR"/>
        </w:rPr>
        <w:t xml:space="preserve">OMPI en </w:t>
      </w:r>
      <w:r w:rsidR="00002F21" w:rsidRPr="00C5365D">
        <w:rPr>
          <w:lang w:val="fr-FR"/>
        </w:rPr>
        <w:t>octobre 20</w:t>
      </w:r>
      <w:r w:rsidR="00431C28" w:rsidRPr="00C5365D">
        <w:rPr>
          <w:lang w:val="fr-FR"/>
        </w:rPr>
        <w:t xml:space="preserve">17. </w:t>
      </w:r>
      <w:r w:rsidR="00AE15F0" w:rsidRPr="00C5365D">
        <w:rPr>
          <w:lang w:val="fr-FR"/>
        </w:rPr>
        <w:t xml:space="preserve"> </w:t>
      </w:r>
      <w:r w:rsidR="00431C28" w:rsidRPr="00C5365D">
        <w:rPr>
          <w:lang w:val="fr-FR"/>
        </w:rPr>
        <w:t xml:space="preserve">Il est également prévu que ce modèle soit présenté </w:t>
      </w:r>
      <w:r w:rsidR="007C0EE5" w:rsidRPr="00C5365D">
        <w:rPr>
          <w:lang w:val="fr-FR"/>
        </w:rPr>
        <w:t>au cours</w:t>
      </w:r>
      <w:r w:rsidR="00431C28" w:rsidRPr="00C5365D">
        <w:rPr>
          <w:lang w:val="fr-FR"/>
        </w:rPr>
        <w:t xml:space="preserve"> de réunions </w:t>
      </w:r>
      <w:r w:rsidR="008A427D" w:rsidRPr="00C5365D">
        <w:rPr>
          <w:lang w:val="fr-FR"/>
        </w:rPr>
        <w:t>rassemblant</w:t>
      </w:r>
      <w:r w:rsidR="00431C28" w:rsidRPr="00C5365D">
        <w:rPr>
          <w:lang w:val="fr-FR"/>
        </w:rPr>
        <w:t xml:space="preserve"> les </w:t>
      </w:r>
      <w:r w:rsidR="00EF6408" w:rsidRPr="00C5365D">
        <w:rPr>
          <w:lang w:val="fr-FR"/>
        </w:rPr>
        <w:t>États</w:t>
      </w:r>
      <w:r w:rsidR="00431C28" w:rsidRPr="00C5365D">
        <w:rPr>
          <w:lang w:val="fr-FR"/>
        </w:rPr>
        <w:t xml:space="preserve"> membres et les universités suisses.</w:t>
      </w:r>
    </w:p>
    <w:p w:rsidR="00002F21" w:rsidRPr="00C5365D" w:rsidRDefault="00787683" w:rsidP="003562AD">
      <w:pPr>
        <w:pStyle w:val="ONUMFS"/>
        <w:numPr>
          <w:ilvl w:val="0"/>
          <w:numId w:val="0"/>
        </w:numPr>
      </w:pPr>
      <w:r w:rsidRPr="00C5365D">
        <w:t>Exemple</w:t>
      </w:r>
      <w:r w:rsidR="00002F21" w:rsidRPr="00C5365D">
        <w:t> :</w:t>
      </w:r>
      <w:r w:rsidR="00002E68" w:rsidRPr="00C5365D">
        <w:t xml:space="preserve"> </w:t>
      </w:r>
      <w:r w:rsidRPr="00C5365D">
        <w:t>La base de données des accords</w:t>
      </w:r>
      <w:r w:rsidR="002E3865" w:rsidRPr="00C5365D">
        <w:t xml:space="preserve"> d</w:t>
      </w:r>
      <w:r w:rsidR="00002F21" w:rsidRPr="00C5365D">
        <w:t>’</w:t>
      </w:r>
      <w:r w:rsidR="002E3865" w:rsidRPr="00C5365D">
        <w:t>accès et de partage des avantages en ma</w:t>
      </w:r>
      <w:r w:rsidR="00095B55" w:rsidRPr="00C5365D">
        <w:t xml:space="preserve">tière de biodiversité, </w:t>
      </w:r>
      <w:r w:rsidR="00C9566D" w:rsidRPr="00C5365D">
        <w:t>s</w:t>
      </w:r>
      <w:r w:rsidR="00002F21" w:rsidRPr="00C5365D">
        <w:t>’</w:t>
      </w:r>
      <w:r w:rsidR="00C9566D" w:rsidRPr="00C5365D">
        <w:t>adressant</w:t>
      </w:r>
      <w:r w:rsidR="002E3865" w:rsidRPr="00C5365D">
        <w:t xml:space="preserve"> aux fournisseurs et aux utilisateurs de ressources génétiques, </w:t>
      </w:r>
      <w:r w:rsidR="00002F21" w:rsidRPr="00C5365D">
        <w:t>y compris</w:t>
      </w:r>
      <w:r w:rsidR="002E3865" w:rsidRPr="00C5365D">
        <w:t xml:space="preserve"> </w:t>
      </w:r>
      <w:r w:rsidR="00003789" w:rsidRPr="00C5365D">
        <w:t>aux peuples</w:t>
      </w:r>
      <w:r w:rsidR="00095B55" w:rsidRPr="00C5365D">
        <w:t xml:space="preserve"> autochtones et aux</w:t>
      </w:r>
      <w:r w:rsidR="002E3865" w:rsidRPr="00C5365D">
        <w:t xml:space="preserve"> communautés locales, </w:t>
      </w:r>
      <w:r w:rsidR="00AF2C07" w:rsidRPr="00C5365D">
        <w:t xml:space="preserve">aux </w:t>
      </w:r>
      <w:r w:rsidR="002E3865" w:rsidRPr="00C5365D">
        <w:t xml:space="preserve">entreprises de biotechnologie, </w:t>
      </w:r>
      <w:r w:rsidR="00AF2C07" w:rsidRPr="00C5365D">
        <w:t xml:space="preserve">aux </w:t>
      </w:r>
      <w:r w:rsidR="00095B55" w:rsidRPr="00C5365D">
        <w:t>scientifiques</w:t>
      </w:r>
      <w:r w:rsidR="002E3865" w:rsidRPr="00C5365D">
        <w:t xml:space="preserve">, </w:t>
      </w:r>
      <w:r w:rsidR="00AF2C07" w:rsidRPr="00C5365D">
        <w:t xml:space="preserve">aux </w:t>
      </w:r>
      <w:r w:rsidR="007A0DFD" w:rsidRPr="00C5365D">
        <w:t xml:space="preserve">obtenteurs de variétés végétales, </w:t>
      </w:r>
      <w:r w:rsidR="00AF2C07" w:rsidRPr="00C5365D">
        <w:t xml:space="preserve">aux </w:t>
      </w:r>
      <w:r w:rsidR="007A0DFD" w:rsidRPr="00C5365D">
        <w:t xml:space="preserve">agriculteurs et instituts publics de recherche, </w:t>
      </w:r>
      <w:r w:rsidR="00A0344F" w:rsidRPr="00C5365D">
        <w:t xml:space="preserve">est </w:t>
      </w:r>
      <w:r w:rsidR="00095B55" w:rsidRPr="00C5365D">
        <w:t>diffusée</w:t>
      </w:r>
      <w:r w:rsidR="00A0344F" w:rsidRPr="00C5365D">
        <w:t xml:space="preserve"> grâce à </w:t>
      </w:r>
      <w:r w:rsidR="007A0DFD" w:rsidRPr="00C5365D">
        <w:t xml:space="preserve">des activités de formation </w:t>
      </w:r>
      <w:r w:rsidR="00A0344F" w:rsidRPr="00C5365D">
        <w:t>à l</w:t>
      </w:r>
      <w:r w:rsidR="00002F21" w:rsidRPr="00C5365D">
        <w:t>’</w:t>
      </w:r>
      <w:r w:rsidR="00A0344F" w:rsidRPr="00C5365D">
        <w:t xml:space="preserve">intention de ces parties prenantes </w:t>
      </w:r>
      <w:r w:rsidR="00E03C79" w:rsidRPr="00C5365D">
        <w:t>sur les</w:t>
      </w:r>
      <w:r w:rsidR="00ED6A30" w:rsidRPr="00C5365D">
        <w:t xml:space="preserve"> moyens de l</w:t>
      </w:r>
      <w:r w:rsidR="00002F21" w:rsidRPr="00C5365D">
        <w:t>’</w:t>
      </w:r>
      <w:r w:rsidR="007A0DFD" w:rsidRPr="00C5365D">
        <w:t>utiliser</w:t>
      </w:r>
      <w:r w:rsidR="00E03C79" w:rsidRPr="00C5365D">
        <w:t xml:space="preserve">, </w:t>
      </w:r>
      <w:r w:rsidR="00857C6F" w:rsidRPr="00C5365D">
        <w:t xml:space="preserve">sur </w:t>
      </w:r>
      <w:r w:rsidR="00E03C79" w:rsidRPr="00C5365D">
        <w:t>l</w:t>
      </w:r>
      <w:r w:rsidR="00002F21" w:rsidRPr="00C5365D">
        <w:t>’</w:t>
      </w:r>
      <w:r w:rsidR="00E03C79" w:rsidRPr="00C5365D">
        <w:t>accès et le partage des avantages et</w:t>
      </w:r>
      <w:r w:rsidR="00857C6F" w:rsidRPr="00C5365D">
        <w:t xml:space="preserve"> sur</w:t>
      </w:r>
      <w:r w:rsidR="00E03C79" w:rsidRPr="00C5365D">
        <w:t xml:space="preserve"> </w:t>
      </w:r>
      <w:r w:rsidR="007A0DFD" w:rsidRPr="00C5365D">
        <w:t>la gestion de la propriété intellectuelle.</w:t>
      </w:r>
    </w:p>
    <w:p w:rsidR="00A31220" w:rsidRPr="00C5365D" w:rsidRDefault="00862AF3" w:rsidP="003562AD">
      <w:pPr>
        <w:pStyle w:val="ONUMFS"/>
        <w:numPr>
          <w:ilvl w:val="0"/>
          <w:numId w:val="0"/>
        </w:numPr>
      </w:pPr>
      <w:r w:rsidRPr="00C5365D">
        <w:t>Exemple</w:t>
      </w:r>
      <w:r w:rsidR="00002F21" w:rsidRPr="00C5365D">
        <w:t> :</w:t>
      </w:r>
      <w:r w:rsidR="00002E68" w:rsidRPr="00C5365D">
        <w:t xml:space="preserve"> </w:t>
      </w:r>
      <w:r w:rsidR="004E05A0" w:rsidRPr="00C5365D">
        <w:t>La base de données sur les politiques en matière de propriété intellectuelle pour les</w:t>
      </w:r>
      <w:r w:rsidR="002B78E7" w:rsidRPr="00C5365D">
        <w:t xml:space="preserve"> universités et l</w:t>
      </w:r>
      <w:r w:rsidR="004E05A0" w:rsidRPr="00C5365D">
        <w:t>es instituts de recherche</w:t>
      </w:r>
      <w:r w:rsidR="002B78E7" w:rsidRPr="00C5365D">
        <w:t xml:space="preserve"> ainsi que</w:t>
      </w:r>
      <w:r w:rsidR="004E05A0" w:rsidRPr="00C5365D">
        <w:t xml:space="preserve"> la </w:t>
      </w:r>
      <w:r w:rsidR="00002F21" w:rsidRPr="00C5365D">
        <w:t>page W</w:t>
      </w:r>
      <w:r w:rsidR="004E05A0" w:rsidRPr="00C5365D">
        <w:t xml:space="preserve">eb correspondante, </w:t>
      </w:r>
      <w:r w:rsidR="00722F14" w:rsidRPr="00C5365D">
        <w:t>s</w:t>
      </w:r>
      <w:r w:rsidR="00002F21" w:rsidRPr="00C5365D">
        <w:t>’</w:t>
      </w:r>
      <w:r w:rsidR="00722F14" w:rsidRPr="00C5365D">
        <w:t>adressant aux</w:t>
      </w:r>
      <w:r w:rsidR="004E05A0" w:rsidRPr="00C5365D">
        <w:t xml:space="preserve"> étab</w:t>
      </w:r>
      <w:r w:rsidR="00722F14" w:rsidRPr="00C5365D">
        <w:t>lissements universitaires et aux</w:t>
      </w:r>
      <w:r w:rsidR="004E05A0" w:rsidRPr="00C5365D">
        <w:t xml:space="preserve"> instituts de recherche, a été </w:t>
      </w:r>
      <w:r w:rsidR="00722F14" w:rsidRPr="00C5365D">
        <w:t>diffusée</w:t>
      </w:r>
      <w:r w:rsidR="004E05A0" w:rsidRPr="00C5365D">
        <w:t xml:space="preserve"> grâce à une lettre</w:t>
      </w:r>
      <w:r w:rsidR="002B78E7" w:rsidRPr="00C5365D">
        <w:t xml:space="preserve"> circulaire envoyée</w:t>
      </w:r>
      <w:r w:rsidR="004E05A0" w:rsidRPr="00C5365D">
        <w:t xml:space="preserve"> aux offices de propriété intellectuelle, </w:t>
      </w:r>
      <w:r w:rsidR="00646FF4" w:rsidRPr="00C5365D">
        <w:t xml:space="preserve">à </w:t>
      </w:r>
      <w:r w:rsidR="004E05A0" w:rsidRPr="00C5365D">
        <w:t xml:space="preserve">un dépliant distribué aux </w:t>
      </w:r>
      <w:r w:rsidR="00EF6408" w:rsidRPr="00C5365D">
        <w:t>États</w:t>
      </w:r>
      <w:r w:rsidR="004E05A0" w:rsidRPr="00C5365D">
        <w:t xml:space="preserve"> membres, aux universités et aux instituts de recherche, et dans le cadre d</w:t>
      </w:r>
      <w:r w:rsidR="00002F21" w:rsidRPr="00C5365D">
        <w:t>’</w:t>
      </w:r>
      <w:r w:rsidR="004E05A0" w:rsidRPr="00C5365D">
        <w:t xml:space="preserve">exposés présentés au cours de séminaires à </w:t>
      </w:r>
      <w:r w:rsidR="00FA5E7F" w:rsidRPr="00C5365D">
        <w:t>l</w:t>
      </w:r>
      <w:r w:rsidR="00002F21" w:rsidRPr="00C5365D">
        <w:t>’</w:t>
      </w:r>
      <w:r w:rsidR="004E05A0" w:rsidRPr="00C5365D">
        <w:t>intention des universités et des instit</w:t>
      </w:r>
      <w:r w:rsidR="002B78E7" w:rsidRPr="00C5365D">
        <w:t>uts de recherche</w:t>
      </w:r>
      <w:r w:rsidR="00F24D6D" w:rsidRPr="00C5365D">
        <w:t>.</w:t>
      </w:r>
    </w:p>
    <w:p w:rsidR="00002F21" w:rsidRPr="00C5365D" w:rsidRDefault="00FA22A9" w:rsidP="003562AD">
      <w:pPr>
        <w:pStyle w:val="ONUMFS"/>
        <w:numPr>
          <w:ilvl w:val="0"/>
          <w:numId w:val="0"/>
        </w:numPr>
      </w:pPr>
      <w:r w:rsidRPr="00C5365D">
        <w:lastRenderedPageBreak/>
        <w:t>D</w:t>
      </w:r>
      <w:r w:rsidR="00002F21" w:rsidRPr="00C5365D">
        <w:t>’</w:t>
      </w:r>
      <w:r w:rsidRPr="00C5365D">
        <w:t>une manière générale</w:t>
      </w:r>
      <w:r w:rsidR="00FA5453" w:rsidRPr="00C5365D">
        <w:t>,</w:t>
      </w:r>
      <w:r w:rsidR="00795945" w:rsidRPr="00C5365D">
        <w:t xml:space="preserve"> </w:t>
      </w:r>
      <w:r w:rsidR="00C83FFE" w:rsidRPr="00C5365D">
        <w:t>l</w:t>
      </w:r>
      <w:r w:rsidR="00002F21" w:rsidRPr="00C5365D">
        <w:t>’</w:t>
      </w:r>
      <w:r w:rsidR="00C83FFE" w:rsidRPr="00C5365D">
        <w:t>attachement</w:t>
      </w:r>
      <w:r w:rsidR="00795945" w:rsidRPr="00C5365D">
        <w:t xml:space="preserve"> de l</w:t>
      </w:r>
      <w:r w:rsidR="00002F21" w:rsidRPr="00C5365D">
        <w:t>’</w:t>
      </w:r>
      <w:r w:rsidR="00795945" w:rsidRPr="00C5365D">
        <w:t xml:space="preserve">OMPI </w:t>
      </w:r>
      <w:r w:rsidR="007140FF" w:rsidRPr="00C5365D">
        <w:t>à la</w:t>
      </w:r>
      <w:r w:rsidR="00C83FFE" w:rsidRPr="00C5365D">
        <w:t xml:space="preserve"> publication</w:t>
      </w:r>
      <w:r w:rsidR="00F0659A" w:rsidRPr="00C5365D">
        <w:t xml:space="preserve"> en libre accès et la disponibilité générale </w:t>
      </w:r>
      <w:r w:rsidR="00C83FFE" w:rsidRPr="00C5365D">
        <w:t>de ses</w:t>
      </w:r>
      <w:r w:rsidR="00F0659A" w:rsidRPr="00C5365D">
        <w:t xml:space="preserve"> publications en format électronique contribuent à la diffusion de celles</w:t>
      </w:r>
      <w:r w:rsidR="002B6147">
        <w:noBreakHyphen/>
      </w:r>
      <w:r w:rsidR="00F0659A" w:rsidRPr="00C5365D">
        <w:t>ci</w:t>
      </w:r>
      <w:r w:rsidR="007140FF" w:rsidRPr="00C5365D">
        <w:t xml:space="preserve"> auprès des publics cible</w:t>
      </w:r>
      <w:r w:rsidR="00F0659A" w:rsidRPr="00C5365D">
        <w:t>s.</w:t>
      </w:r>
    </w:p>
    <w:p w:rsidR="00A31220" w:rsidRPr="00C5365D" w:rsidRDefault="003562AD" w:rsidP="003562AD">
      <w:pPr>
        <w:pStyle w:val="Heading2"/>
      </w:pPr>
      <w:r w:rsidRPr="00C5365D">
        <w:t>Promotion des ressources spécialisées</w:t>
      </w:r>
    </w:p>
    <w:p w:rsidR="00A31220" w:rsidRPr="00C5365D" w:rsidRDefault="00A31220" w:rsidP="00F24D6D">
      <w:pPr>
        <w:rPr>
          <w:szCs w:val="22"/>
        </w:rPr>
      </w:pPr>
    </w:p>
    <w:p w:rsidR="00A31220" w:rsidRPr="00C5365D" w:rsidRDefault="00BD2EE1" w:rsidP="003562AD">
      <w:pPr>
        <w:pStyle w:val="ONUMFS"/>
        <w:rPr>
          <w:lang w:val="fr-FR"/>
        </w:rPr>
      </w:pPr>
      <w:r w:rsidRPr="00C5365D">
        <w:rPr>
          <w:lang w:val="fr-FR"/>
        </w:rPr>
        <w:t xml:space="preserve">Le transfert de technologie est facilité </w:t>
      </w:r>
      <w:r w:rsidR="00B739BA" w:rsidRPr="00C5365D">
        <w:rPr>
          <w:lang w:val="fr-FR"/>
        </w:rPr>
        <w:t>par</w:t>
      </w:r>
      <w:r w:rsidRPr="00C5365D">
        <w:rPr>
          <w:lang w:val="fr-FR"/>
        </w:rPr>
        <w:t xml:space="preserve"> des ressources spécialisées, notamment des plateformes multipartites </w:t>
      </w:r>
      <w:r w:rsidR="001F5651" w:rsidRPr="00C5365D">
        <w:rPr>
          <w:lang w:val="fr-FR"/>
        </w:rPr>
        <w:t xml:space="preserve">et des bases de données </w:t>
      </w:r>
      <w:r w:rsidRPr="00C5365D">
        <w:rPr>
          <w:lang w:val="fr-FR"/>
        </w:rPr>
        <w:t xml:space="preserve">comme </w:t>
      </w:r>
      <w:r w:rsidR="00F24D6D" w:rsidRPr="00C5365D">
        <w:rPr>
          <w:lang w:val="fr-FR"/>
        </w:rPr>
        <w:t xml:space="preserve">WIPO </w:t>
      </w:r>
      <w:r w:rsidR="00C5365D" w:rsidRPr="00C5365D">
        <w:rPr>
          <w:lang w:val="fr-FR"/>
        </w:rPr>
        <w:t xml:space="preserve">GREEN </w:t>
      </w:r>
      <w:r w:rsidRPr="00C5365D">
        <w:rPr>
          <w:lang w:val="fr-FR"/>
        </w:rPr>
        <w:t>et</w:t>
      </w:r>
      <w:r w:rsidR="00F24D6D" w:rsidRPr="00C5365D">
        <w:rPr>
          <w:lang w:val="fr-FR"/>
        </w:rPr>
        <w:t xml:space="preserve"> WIPO </w:t>
      </w:r>
      <w:proofErr w:type="spellStart"/>
      <w:r w:rsidR="00F24D6D" w:rsidRPr="00C5365D">
        <w:rPr>
          <w:lang w:val="fr-FR"/>
        </w:rPr>
        <w:t>Re:Sear</w:t>
      </w:r>
      <w:r w:rsidR="00EB3E62" w:rsidRPr="00C5365D">
        <w:rPr>
          <w:lang w:val="fr-FR"/>
        </w:rPr>
        <w:t>ch</w:t>
      </w:r>
      <w:proofErr w:type="spellEnd"/>
      <w:r w:rsidR="00EB3E62" w:rsidRPr="00C5365D">
        <w:rPr>
          <w:lang w:val="fr-FR"/>
        </w:rPr>
        <w:t>.  Ce</w:t>
      </w:r>
      <w:r w:rsidR="00B739BA" w:rsidRPr="00C5365D">
        <w:rPr>
          <w:lang w:val="fr-FR"/>
        </w:rPr>
        <w:t>s ressources sont communiquées au public par l</w:t>
      </w:r>
      <w:r w:rsidR="00002F21" w:rsidRPr="00C5365D">
        <w:rPr>
          <w:lang w:val="fr-FR"/>
        </w:rPr>
        <w:t>’</w:t>
      </w:r>
      <w:r w:rsidR="00B739BA" w:rsidRPr="00C5365D">
        <w:rPr>
          <w:lang w:val="fr-FR"/>
        </w:rPr>
        <w:t>intermédiaire de sites</w:t>
      </w:r>
      <w:r w:rsidR="00AE15F0" w:rsidRPr="00C5365D">
        <w:rPr>
          <w:lang w:val="fr-FR"/>
        </w:rPr>
        <w:t> </w:t>
      </w:r>
      <w:r w:rsidR="00B739BA" w:rsidRPr="00C5365D">
        <w:rPr>
          <w:lang w:val="fr-FR"/>
        </w:rPr>
        <w:t xml:space="preserve">Web </w:t>
      </w:r>
      <w:r w:rsidR="000C7349" w:rsidRPr="00C5365D">
        <w:rPr>
          <w:lang w:val="fr-FR"/>
        </w:rPr>
        <w:t>spécialisés et</w:t>
      </w:r>
      <w:r w:rsidR="00B739BA" w:rsidRPr="00C5365D">
        <w:rPr>
          <w:lang w:val="fr-FR"/>
        </w:rPr>
        <w:t xml:space="preserve"> de listes de diffusion électroniq</w:t>
      </w:r>
      <w:r w:rsidR="00EB3E62" w:rsidRPr="00C5365D">
        <w:rPr>
          <w:lang w:val="fr-FR"/>
        </w:rPr>
        <w:t>ue.  El</w:t>
      </w:r>
      <w:r w:rsidR="00B739BA" w:rsidRPr="00C5365D">
        <w:rPr>
          <w:lang w:val="fr-FR"/>
        </w:rPr>
        <w:t xml:space="preserve">les sont également </w:t>
      </w:r>
      <w:r w:rsidR="00CE7525" w:rsidRPr="00C5365D">
        <w:rPr>
          <w:lang w:val="fr-FR"/>
        </w:rPr>
        <w:t>diffusées auprès</w:t>
      </w:r>
      <w:r w:rsidR="00B739BA" w:rsidRPr="00C5365D">
        <w:rPr>
          <w:lang w:val="fr-FR"/>
        </w:rPr>
        <w:t xml:space="preserve"> des publics cibles </w:t>
      </w:r>
      <w:r w:rsidR="000B554E" w:rsidRPr="00C5365D">
        <w:rPr>
          <w:lang w:val="fr-FR"/>
        </w:rPr>
        <w:t>dans le cadre de</w:t>
      </w:r>
      <w:r w:rsidR="00B739BA" w:rsidRPr="00C5365D">
        <w:rPr>
          <w:lang w:val="fr-FR"/>
        </w:rPr>
        <w:t xml:space="preserve"> manifestations promotionnelles</w:t>
      </w:r>
      <w:r w:rsidR="00D318E1" w:rsidRPr="00C5365D">
        <w:rPr>
          <w:lang w:val="fr-FR"/>
        </w:rPr>
        <w:t xml:space="preserve"> et de</w:t>
      </w:r>
      <w:r w:rsidR="00B739BA" w:rsidRPr="00C5365D">
        <w:rPr>
          <w:lang w:val="fr-FR"/>
        </w:rPr>
        <w:t xml:space="preserve"> présentations </w:t>
      </w:r>
      <w:r w:rsidR="00D318E1" w:rsidRPr="00C5365D">
        <w:rPr>
          <w:lang w:val="fr-FR"/>
        </w:rPr>
        <w:t>à l</w:t>
      </w:r>
      <w:r w:rsidR="00002F21" w:rsidRPr="00C5365D">
        <w:rPr>
          <w:lang w:val="fr-FR"/>
        </w:rPr>
        <w:t>’</w:t>
      </w:r>
      <w:r w:rsidR="00D318E1" w:rsidRPr="00C5365D">
        <w:rPr>
          <w:lang w:val="fr-FR"/>
        </w:rPr>
        <w:t>occasion</w:t>
      </w:r>
      <w:r w:rsidR="00B739BA" w:rsidRPr="00C5365D">
        <w:rPr>
          <w:lang w:val="fr-FR"/>
        </w:rPr>
        <w:t xml:space="preserve"> </w:t>
      </w:r>
      <w:r w:rsidR="00EE64C4" w:rsidRPr="00C5365D">
        <w:rPr>
          <w:lang w:val="fr-FR"/>
        </w:rPr>
        <w:t>de certains</w:t>
      </w:r>
      <w:r w:rsidR="0014789C" w:rsidRPr="00C5365D">
        <w:rPr>
          <w:lang w:val="fr-FR"/>
        </w:rPr>
        <w:t xml:space="preserve"> </w:t>
      </w:r>
      <w:r w:rsidR="00EE64C4" w:rsidRPr="00C5365D">
        <w:rPr>
          <w:lang w:val="fr-FR"/>
        </w:rPr>
        <w:t>événements</w:t>
      </w:r>
      <w:r w:rsidR="00B739BA" w:rsidRPr="00C5365D">
        <w:rPr>
          <w:lang w:val="fr-FR"/>
        </w:rPr>
        <w:t xml:space="preserve"> auxquels </w:t>
      </w:r>
      <w:r w:rsidR="00D76323" w:rsidRPr="00C5365D">
        <w:rPr>
          <w:lang w:val="fr-FR"/>
        </w:rPr>
        <w:t>ces publics</w:t>
      </w:r>
      <w:r w:rsidR="00D318E1" w:rsidRPr="00C5365D">
        <w:rPr>
          <w:lang w:val="fr-FR"/>
        </w:rPr>
        <w:t xml:space="preserve"> </w:t>
      </w:r>
      <w:r w:rsidR="00B739BA" w:rsidRPr="00C5365D">
        <w:rPr>
          <w:lang w:val="fr-FR"/>
        </w:rPr>
        <w:t>assistent.</w:t>
      </w:r>
    </w:p>
    <w:p w:rsidR="00002F21" w:rsidRPr="00C5365D" w:rsidRDefault="004B3941" w:rsidP="003562AD">
      <w:pPr>
        <w:pStyle w:val="ONUMFS"/>
        <w:numPr>
          <w:ilvl w:val="0"/>
          <w:numId w:val="0"/>
        </w:numPr>
      </w:pPr>
      <w:r w:rsidRPr="00C5365D">
        <w:rPr>
          <w:lang w:val="fr-FR"/>
        </w:rPr>
        <w:t>Exe</w:t>
      </w:r>
      <w:r w:rsidR="00552CEC" w:rsidRPr="00C5365D">
        <w:rPr>
          <w:lang w:val="fr-FR"/>
        </w:rPr>
        <w:t>mple</w:t>
      </w:r>
      <w:r w:rsidR="00002F21" w:rsidRPr="00C5365D">
        <w:rPr>
          <w:lang w:val="fr-FR"/>
        </w:rPr>
        <w:t> :</w:t>
      </w:r>
      <w:r w:rsidR="00552CEC" w:rsidRPr="00C5365D">
        <w:rPr>
          <w:lang w:val="fr-FR"/>
        </w:rPr>
        <w:t xml:space="preserve"> </w:t>
      </w:r>
      <w:r w:rsidR="00452214" w:rsidRPr="00C5365D">
        <w:rPr>
          <w:lang w:val="fr-FR"/>
        </w:rPr>
        <w:t xml:space="preserve">La plateforme </w:t>
      </w:r>
      <w:r w:rsidR="00552CEC" w:rsidRPr="00C5365D">
        <w:rPr>
          <w:lang w:val="fr-FR"/>
        </w:rPr>
        <w:t xml:space="preserve">WIPO GREEN, </w:t>
      </w:r>
      <w:r w:rsidR="00452214" w:rsidRPr="00C5365D">
        <w:rPr>
          <w:lang w:val="fr-FR"/>
        </w:rPr>
        <w:t>qui s</w:t>
      </w:r>
      <w:r w:rsidR="00002F21" w:rsidRPr="00C5365D">
        <w:rPr>
          <w:lang w:val="fr-FR"/>
        </w:rPr>
        <w:t>’</w:t>
      </w:r>
      <w:r w:rsidR="00C0596D" w:rsidRPr="00C5365D">
        <w:rPr>
          <w:lang w:val="fr-FR"/>
        </w:rPr>
        <w:t>adresse au monde scientifique</w:t>
      </w:r>
      <w:r w:rsidR="00452214" w:rsidRPr="00C5365D">
        <w:rPr>
          <w:lang w:val="fr-FR"/>
        </w:rPr>
        <w:t xml:space="preserve">, à la société civile, aux représentants gouvernementaux, au secteur industriel, aux organisations intergouvernementales, aux instituts de recherche, aux universités, au grand public, a été présentée en </w:t>
      </w:r>
      <w:r w:rsidR="00002F21" w:rsidRPr="00C5365D">
        <w:rPr>
          <w:lang w:val="fr-FR"/>
        </w:rPr>
        <w:t>septembre 20</w:t>
      </w:r>
      <w:r w:rsidR="00452214" w:rsidRPr="00C5365D">
        <w:rPr>
          <w:lang w:val="fr-FR"/>
        </w:rPr>
        <w:t>17 à l</w:t>
      </w:r>
      <w:r w:rsidR="00002F21" w:rsidRPr="00C5365D">
        <w:rPr>
          <w:lang w:val="fr-FR"/>
        </w:rPr>
        <w:t>’</w:t>
      </w:r>
      <w:r w:rsidR="00452214" w:rsidRPr="00C5365D">
        <w:rPr>
          <w:lang w:val="fr-FR"/>
        </w:rPr>
        <w:t>occasion d</w:t>
      </w:r>
      <w:r w:rsidR="00002F21" w:rsidRPr="00C5365D">
        <w:rPr>
          <w:lang w:val="fr-FR"/>
        </w:rPr>
        <w:t>’</w:t>
      </w:r>
      <w:r w:rsidR="00452214" w:rsidRPr="00C5365D">
        <w:rPr>
          <w:lang w:val="fr-FR"/>
        </w:rPr>
        <w:t>une manifestation portant sur la technologie verte et la délivrance de brevets, organisée par l</w:t>
      </w:r>
      <w:r w:rsidR="00002F21" w:rsidRPr="00C5365D">
        <w:rPr>
          <w:lang w:val="fr-FR"/>
        </w:rPr>
        <w:t>’</w:t>
      </w:r>
      <w:r w:rsidR="00452214" w:rsidRPr="00C5365D">
        <w:rPr>
          <w:lang w:val="fr-FR"/>
        </w:rPr>
        <w:t>Office norvégien des breve</w:t>
      </w:r>
      <w:r w:rsidR="00EB3E62" w:rsidRPr="00C5365D">
        <w:rPr>
          <w:lang w:val="fr-FR"/>
        </w:rPr>
        <w:t xml:space="preserve">ts.  </w:t>
      </w:r>
      <w:r w:rsidR="00EB3E62" w:rsidRPr="00C5365D">
        <w:t>En</w:t>
      </w:r>
      <w:r w:rsidR="00C47673" w:rsidRPr="00C5365D">
        <w:t xml:space="preserve"> outre, ont assisté à cette manifestation des entreprises et des organisations </w:t>
      </w:r>
      <w:r w:rsidR="00575734" w:rsidRPr="00C5365D">
        <w:t>spécialisées</w:t>
      </w:r>
      <w:r w:rsidR="00C47673" w:rsidRPr="00C5365D">
        <w:t xml:space="preserve"> dans </w:t>
      </w:r>
      <w:r w:rsidR="001604BC" w:rsidRPr="00C5365D">
        <w:t>le</w:t>
      </w:r>
      <w:r w:rsidR="00C47673" w:rsidRPr="00C5365D">
        <w:t xml:space="preserve"> développemen</w:t>
      </w:r>
      <w:r w:rsidR="001604BC" w:rsidRPr="00C5365D">
        <w:t>t des énergies renouvelables, le</w:t>
      </w:r>
      <w:r w:rsidR="00C47673" w:rsidRPr="00C5365D">
        <w:t xml:space="preserve"> recyclage</w:t>
      </w:r>
      <w:r w:rsidR="001F490B" w:rsidRPr="00C5365D">
        <w:t>,</w:t>
      </w:r>
      <w:r w:rsidR="00C47673" w:rsidRPr="00C5365D">
        <w:t xml:space="preserve"> et </w:t>
      </w:r>
      <w:r w:rsidR="00451DA3" w:rsidRPr="00C5365D">
        <w:t>œuvrant</w:t>
      </w:r>
      <w:r w:rsidR="001604BC" w:rsidRPr="00C5365D">
        <w:t xml:space="preserve"> </w:t>
      </w:r>
      <w:r w:rsidR="001F490B" w:rsidRPr="00C5365D">
        <w:t xml:space="preserve">en faveur </w:t>
      </w:r>
      <w:r w:rsidR="00C47673" w:rsidRPr="00C5365D">
        <w:t>d</w:t>
      </w:r>
      <w:r w:rsidR="00002F21" w:rsidRPr="00C5365D">
        <w:t>’</w:t>
      </w:r>
      <w:r w:rsidR="00C47673" w:rsidRPr="00C5365D">
        <w:t>un environnement plus écologique.</w:t>
      </w:r>
    </w:p>
    <w:p w:rsidR="00A31220" w:rsidRPr="00C5365D" w:rsidRDefault="003562AD" w:rsidP="003562AD">
      <w:pPr>
        <w:pStyle w:val="Heading2"/>
      </w:pPr>
      <w:r w:rsidRPr="00C5365D">
        <w:t>Promotion des activités d</w:t>
      </w:r>
      <w:r w:rsidR="00002F21" w:rsidRPr="00C5365D">
        <w:t>’</w:t>
      </w:r>
      <w:r w:rsidRPr="00C5365D">
        <w:t>assistance technique</w:t>
      </w:r>
    </w:p>
    <w:p w:rsidR="00A31220" w:rsidRPr="00C5365D" w:rsidRDefault="00A31220" w:rsidP="001C7D2F">
      <w:pPr>
        <w:rPr>
          <w:szCs w:val="22"/>
        </w:rPr>
      </w:pPr>
    </w:p>
    <w:p w:rsidR="00A31220" w:rsidRPr="00C5365D" w:rsidRDefault="00AB140D" w:rsidP="003562AD">
      <w:pPr>
        <w:pStyle w:val="ONUMFS"/>
        <w:rPr>
          <w:lang w:val="fr-FR"/>
        </w:rPr>
      </w:pPr>
      <w:r w:rsidRPr="00C5365D">
        <w:rPr>
          <w:lang w:val="fr-FR"/>
        </w:rPr>
        <w:t>Les activités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assistance technique</w:t>
      </w:r>
      <w:r w:rsidR="00563E28" w:rsidRPr="00C5365D">
        <w:rPr>
          <w:lang w:val="fr-FR"/>
        </w:rPr>
        <w:t xml:space="preserve"> </w:t>
      </w:r>
      <w:r w:rsidR="005224B3" w:rsidRPr="00C5365D">
        <w:rPr>
          <w:lang w:val="fr-FR"/>
        </w:rPr>
        <w:t>relatives</w:t>
      </w:r>
      <w:r w:rsidR="00563E28" w:rsidRPr="00C5365D">
        <w:rPr>
          <w:lang w:val="fr-FR"/>
        </w:rPr>
        <w:t xml:space="preserve"> au transfert de technologie</w:t>
      </w:r>
      <w:r w:rsidRPr="00C5365D">
        <w:rPr>
          <w:lang w:val="fr-FR"/>
        </w:rPr>
        <w:t xml:space="preserve"> </w:t>
      </w:r>
      <w:r w:rsidR="005224B3" w:rsidRPr="00C5365D">
        <w:rPr>
          <w:lang w:val="fr-FR"/>
        </w:rPr>
        <w:t>comprennent d</w:t>
      </w:r>
      <w:r w:rsidR="00E03937" w:rsidRPr="00C5365D">
        <w:rPr>
          <w:lang w:val="fr-FR"/>
        </w:rPr>
        <w:t>es ser</w:t>
      </w:r>
      <w:r w:rsidR="005224B3" w:rsidRPr="00C5365D">
        <w:rPr>
          <w:lang w:val="fr-FR"/>
        </w:rPr>
        <w:t>vices de conseil, c</w:t>
      </w:r>
      <w:r w:rsidR="00002F21" w:rsidRPr="00C5365D">
        <w:rPr>
          <w:lang w:val="fr-FR"/>
        </w:rPr>
        <w:t>’</w:t>
      </w:r>
      <w:r w:rsidR="005224B3" w:rsidRPr="00C5365D">
        <w:rPr>
          <w:lang w:val="fr-FR"/>
        </w:rPr>
        <w:t>est</w:t>
      </w:r>
      <w:r w:rsidR="002B6147">
        <w:rPr>
          <w:lang w:val="fr-FR"/>
        </w:rPr>
        <w:noBreakHyphen/>
      </w:r>
      <w:r w:rsidR="005224B3" w:rsidRPr="00C5365D">
        <w:rPr>
          <w:lang w:val="fr-FR"/>
        </w:rPr>
        <w:t>à</w:t>
      </w:r>
      <w:r w:rsidR="002B6147">
        <w:rPr>
          <w:lang w:val="fr-FR"/>
        </w:rPr>
        <w:noBreakHyphen/>
      </w:r>
      <w:r w:rsidR="005224B3" w:rsidRPr="00C5365D">
        <w:rPr>
          <w:lang w:val="fr-FR"/>
        </w:rPr>
        <w:t>dire d</w:t>
      </w:r>
      <w:r w:rsidR="00E03937" w:rsidRPr="00C5365D">
        <w:rPr>
          <w:lang w:val="fr-FR"/>
        </w:rPr>
        <w:t>es services fournis dans le cadre de missions d</w:t>
      </w:r>
      <w:r w:rsidR="00002F21" w:rsidRPr="00C5365D">
        <w:rPr>
          <w:lang w:val="fr-FR"/>
        </w:rPr>
        <w:t>’</w:t>
      </w:r>
      <w:r w:rsidR="00E03937" w:rsidRPr="00C5365D">
        <w:rPr>
          <w:lang w:val="fr-FR"/>
        </w:rPr>
        <w:t>exper</w:t>
      </w:r>
      <w:r w:rsidR="00EB3E62" w:rsidRPr="00C5365D">
        <w:rPr>
          <w:lang w:val="fr-FR"/>
        </w:rPr>
        <w:t>ts.  Le</w:t>
      </w:r>
      <w:r w:rsidR="00E03937" w:rsidRPr="00C5365D">
        <w:rPr>
          <w:lang w:val="fr-FR"/>
        </w:rPr>
        <w:t>s activités d</w:t>
      </w:r>
      <w:r w:rsidR="00002F21" w:rsidRPr="00C5365D">
        <w:rPr>
          <w:lang w:val="fr-FR"/>
        </w:rPr>
        <w:t>’</w:t>
      </w:r>
      <w:r w:rsidR="00E03937" w:rsidRPr="00C5365D">
        <w:rPr>
          <w:lang w:val="fr-FR"/>
        </w:rPr>
        <w:t>assistance technique sont portées à l</w:t>
      </w:r>
      <w:r w:rsidR="00002F21" w:rsidRPr="00C5365D">
        <w:rPr>
          <w:lang w:val="fr-FR"/>
        </w:rPr>
        <w:t>’</w:t>
      </w:r>
      <w:r w:rsidR="00E03937" w:rsidRPr="00C5365D">
        <w:rPr>
          <w:lang w:val="fr-FR"/>
        </w:rPr>
        <w:t xml:space="preserve">attention des publics cibles </w:t>
      </w:r>
      <w:r w:rsidR="00F74A36" w:rsidRPr="00C5365D">
        <w:rPr>
          <w:lang w:val="fr-FR"/>
        </w:rPr>
        <w:t>dans le cadre</w:t>
      </w:r>
      <w:r w:rsidR="00E03937" w:rsidRPr="00C5365D">
        <w:rPr>
          <w:lang w:val="fr-FR"/>
        </w:rPr>
        <w:t xml:space="preserve"> de consultations avec les parties prenantes, qui sont fréquemment </w:t>
      </w:r>
      <w:r w:rsidR="00345109" w:rsidRPr="00C5365D">
        <w:rPr>
          <w:lang w:val="fr-FR"/>
        </w:rPr>
        <w:t>organisées en coopération avec l</w:t>
      </w:r>
      <w:r w:rsidR="00E03937" w:rsidRPr="00C5365D">
        <w:rPr>
          <w:lang w:val="fr-FR"/>
        </w:rPr>
        <w:t xml:space="preserve">es partenaires, </w:t>
      </w:r>
      <w:r w:rsidR="00002F21" w:rsidRPr="00C5365D">
        <w:rPr>
          <w:lang w:val="fr-FR"/>
        </w:rPr>
        <w:t>y compris</w:t>
      </w:r>
      <w:r w:rsidR="00E03937" w:rsidRPr="00C5365D">
        <w:rPr>
          <w:lang w:val="fr-FR"/>
        </w:rPr>
        <w:t xml:space="preserve"> les offices de propriété intellectuelle, les ministères et organismes gouvernementaux.</w:t>
      </w:r>
    </w:p>
    <w:p w:rsidR="00A31220" w:rsidRPr="00C5365D" w:rsidRDefault="003562AD" w:rsidP="003562AD">
      <w:pPr>
        <w:pStyle w:val="Heading2"/>
      </w:pPr>
      <w:r w:rsidRPr="00C5365D">
        <w:t>Promotion des projets</w:t>
      </w:r>
    </w:p>
    <w:p w:rsidR="00A31220" w:rsidRPr="00C5365D" w:rsidRDefault="00A31220" w:rsidP="00F24D6D">
      <w:pPr>
        <w:rPr>
          <w:szCs w:val="22"/>
        </w:rPr>
      </w:pPr>
    </w:p>
    <w:p w:rsidR="00002F21" w:rsidRPr="00C5365D" w:rsidRDefault="006124B9" w:rsidP="003562AD">
      <w:pPr>
        <w:pStyle w:val="ONUMFS"/>
      </w:pPr>
      <w:r w:rsidRPr="00C5365D">
        <w:t>Le transfert de technologie est renforcé par des projets comprenant un éventail d</w:t>
      </w:r>
      <w:r w:rsidR="00002F21" w:rsidRPr="00C5365D">
        <w:t>’</w:t>
      </w:r>
      <w:r w:rsidRPr="00C5365D">
        <w:t>activit</w:t>
      </w:r>
      <w:r w:rsidR="00EB3E62" w:rsidRPr="00C5365D">
        <w:t>és.  Ce</w:t>
      </w:r>
      <w:r w:rsidRPr="00C5365D">
        <w:t xml:space="preserve">s projets sont portés à la connaissance du public </w:t>
      </w:r>
      <w:r w:rsidR="00474B3D" w:rsidRPr="00C5365D">
        <w:t>dans le cadre de</w:t>
      </w:r>
      <w:r w:rsidRPr="00C5365D">
        <w:t xml:space="preserve"> consultations avec les parties prenantes, organisées en coopération avec les coordonnateurs de projet, </w:t>
      </w:r>
      <w:r w:rsidR="00002F21" w:rsidRPr="00C5365D">
        <w:t>y compris</w:t>
      </w:r>
      <w:r w:rsidRPr="00C5365D">
        <w:t xml:space="preserve"> les offices de propriété intellectuelle ainsi que les ministères et organismes gouvernementa</w:t>
      </w:r>
      <w:r w:rsidR="00EB3E62" w:rsidRPr="00C5365D">
        <w:t>ux.  Le</w:t>
      </w:r>
      <w:r w:rsidR="009E49CA" w:rsidRPr="00C5365D">
        <w:t xml:space="preserve">s projets sont en outre approuvés </w:t>
      </w:r>
      <w:r w:rsidR="00946EC2" w:rsidRPr="00C5365D">
        <w:t>par la diffusion de</w:t>
      </w:r>
      <w:r w:rsidR="009E49CA" w:rsidRPr="00C5365D">
        <w:t xml:space="preserve"> rapports finaux </w:t>
      </w:r>
      <w:r w:rsidR="00946EC2" w:rsidRPr="00C5365D">
        <w:t>auprès des</w:t>
      </w:r>
      <w:r w:rsidR="009E49CA" w:rsidRPr="00C5365D">
        <w:t xml:space="preserve"> parties prenantes.</w:t>
      </w:r>
    </w:p>
    <w:p w:rsidR="00002F21" w:rsidRPr="00C5365D" w:rsidRDefault="00613010" w:rsidP="003562AD">
      <w:pPr>
        <w:pStyle w:val="ONUMFS"/>
        <w:numPr>
          <w:ilvl w:val="0"/>
          <w:numId w:val="0"/>
        </w:numPr>
      </w:pPr>
      <w:r w:rsidRPr="00C5365D">
        <w:t>Exe</w:t>
      </w:r>
      <w:r w:rsidR="00F24D6D" w:rsidRPr="00C5365D">
        <w:t>mple</w:t>
      </w:r>
      <w:r w:rsidR="00002F21" w:rsidRPr="00C5365D">
        <w:t> :</w:t>
      </w:r>
      <w:r w:rsidR="00450230" w:rsidRPr="00C5365D">
        <w:t xml:space="preserve"> </w:t>
      </w:r>
      <w:r w:rsidR="009C1305" w:rsidRPr="00C5365D">
        <w:rPr>
          <w:lang w:val="fr-FR"/>
        </w:rPr>
        <w:t>Le</w:t>
      </w:r>
      <w:r w:rsidRPr="00C5365D">
        <w:rPr>
          <w:lang w:val="fr-FR"/>
        </w:rPr>
        <w:t xml:space="preserve"> projet </w:t>
      </w:r>
      <w:r w:rsidR="00474B3D" w:rsidRPr="00C5365D">
        <w:rPr>
          <w:lang w:val="fr-FR"/>
        </w:rPr>
        <w:t>de</w:t>
      </w:r>
      <w:r w:rsidRPr="00C5365D">
        <w:rPr>
          <w:lang w:val="fr-FR"/>
        </w:rPr>
        <w:t xml:space="preserve"> mise en place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un environnement propice à la propriété intellectuelle, ciblant un certain nombre de parties prenantes (</w:t>
      </w:r>
      <w:r w:rsidR="00002F21" w:rsidRPr="00C5365D">
        <w:rPr>
          <w:lang w:val="fr-FR"/>
        </w:rPr>
        <w:t>y compris</w:t>
      </w:r>
      <w:r w:rsidRPr="00C5365D">
        <w:rPr>
          <w:lang w:val="fr-FR"/>
        </w:rPr>
        <w:t xml:space="preserve"> les offices nationaux de propriété intellectuelle et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autres organismes gouvernement</w:t>
      </w:r>
      <w:r w:rsidR="00383591" w:rsidRPr="00C5365D">
        <w:rPr>
          <w:lang w:val="fr-FR"/>
        </w:rPr>
        <w:t>aux dont le mandat et le</w:t>
      </w:r>
      <w:r w:rsidR="00286B1C" w:rsidRPr="00C5365D">
        <w:rPr>
          <w:lang w:val="fr-FR"/>
        </w:rPr>
        <w:t>s ressources leur permettent d</w:t>
      </w:r>
      <w:r w:rsidR="00002F21" w:rsidRPr="00C5365D">
        <w:rPr>
          <w:lang w:val="fr-FR"/>
        </w:rPr>
        <w:t>’</w:t>
      </w:r>
      <w:r w:rsidR="00286B1C" w:rsidRPr="00C5365D">
        <w:rPr>
          <w:lang w:val="fr-FR"/>
        </w:rPr>
        <w:t xml:space="preserve">aider les industries et les entreprises </w:t>
      </w:r>
      <w:r w:rsidR="007E6E26" w:rsidRPr="00C5365D">
        <w:rPr>
          <w:lang w:val="fr-FR"/>
        </w:rPr>
        <w:t>à développer, gérer et commercialiser</w:t>
      </w:r>
      <w:r w:rsidR="00286B1C" w:rsidRPr="00C5365D">
        <w:rPr>
          <w:lang w:val="fr-FR"/>
        </w:rPr>
        <w:t xml:space="preserve"> la technologie</w:t>
      </w:r>
      <w:r w:rsidR="00F80C65" w:rsidRPr="00C5365D">
        <w:t>,</w:t>
      </w:r>
      <w:r w:rsidR="004876E4" w:rsidRPr="00C5365D">
        <w:t xml:space="preserve"> les universités et autres entités </w:t>
      </w:r>
      <w:r w:rsidR="006A6C93" w:rsidRPr="00C5365D">
        <w:t>ainsi que</w:t>
      </w:r>
      <w:r w:rsidR="00002F21" w:rsidRPr="00C5365D">
        <w:t xml:space="preserve"> les CAT</w:t>
      </w:r>
      <w:r w:rsidR="004876E4" w:rsidRPr="00C5365D">
        <w:t xml:space="preserve">I, les entreprises privées et les fournisseurs de services impliqués dans la chaîne de </w:t>
      </w:r>
      <w:r w:rsidR="009C1305" w:rsidRPr="00C5365D">
        <w:t>valeur de l</w:t>
      </w:r>
      <w:r w:rsidR="00002F21" w:rsidRPr="00C5365D">
        <w:t>’</w:t>
      </w:r>
      <w:r w:rsidR="009C1305" w:rsidRPr="00C5365D">
        <w:t>innovation</w:t>
      </w:r>
      <w:r w:rsidR="004876E4" w:rsidRPr="00C5365D">
        <w:t>, et les partenaires de développement actifs dans les pays bénéficiaires),</w:t>
      </w:r>
      <w:r w:rsidR="00F80C65" w:rsidRPr="00C5365D">
        <w:t xml:space="preserve"> </w:t>
      </w:r>
      <w:r w:rsidR="00705E86" w:rsidRPr="00C5365D">
        <w:t>est</w:t>
      </w:r>
      <w:r w:rsidR="009C1305" w:rsidRPr="00C5365D">
        <w:t xml:space="preserve"> </w:t>
      </w:r>
      <w:r w:rsidR="00AC3D4D" w:rsidRPr="00C5365D">
        <w:t>promu</w:t>
      </w:r>
      <w:r w:rsidR="00705E86" w:rsidRPr="00C5365D">
        <w:t xml:space="preserve"> </w:t>
      </w:r>
      <w:r w:rsidR="009C1305" w:rsidRPr="00C5365D">
        <w:t>par</w:t>
      </w:r>
      <w:r w:rsidR="00705E86" w:rsidRPr="00C5365D">
        <w:t xml:space="preserve"> l</w:t>
      </w:r>
      <w:r w:rsidR="00002F21" w:rsidRPr="00C5365D">
        <w:t>’</w:t>
      </w:r>
      <w:r w:rsidR="00705E86" w:rsidRPr="00C5365D">
        <w:t>organisation d</w:t>
      </w:r>
      <w:r w:rsidR="00002F21" w:rsidRPr="00C5365D">
        <w:t>’</w:t>
      </w:r>
      <w:r w:rsidR="009C1305" w:rsidRPr="00C5365D">
        <w:t>ateliers à l</w:t>
      </w:r>
      <w:r w:rsidR="00002F21" w:rsidRPr="00C5365D">
        <w:t>’</w:t>
      </w:r>
      <w:r w:rsidR="009C1305" w:rsidRPr="00C5365D">
        <w:t>éch</w:t>
      </w:r>
      <w:r w:rsidR="00705E86" w:rsidRPr="00C5365D">
        <w:t>elle régionale et nationale, de séances d</w:t>
      </w:r>
      <w:r w:rsidR="00002F21" w:rsidRPr="00C5365D">
        <w:t>’</w:t>
      </w:r>
      <w:r w:rsidR="00705E86" w:rsidRPr="00C5365D">
        <w:t>orientation, de tables rondes et d</w:t>
      </w:r>
      <w:r w:rsidR="00002F21" w:rsidRPr="00C5365D">
        <w:t>’</w:t>
      </w:r>
      <w:r w:rsidR="009C1305" w:rsidRPr="00C5365D">
        <w:t>entretiens avec les parties prenantes dans le domaine du</w:t>
      </w:r>
      <w:r w:rsidR="00AC3D4D" w:rsidRPr="00C5365D">
        <w:t xml:space="preserve"> transfert de technologie dans l</w:t>
      </w:r>
      <w:r w:rsidR="009C1305" w:rsidRPr="00C5365D">
        <w:t xml:space="preserve">es pays </w:t>
      </w:r>
      <w:r w:rsidR="00AC3D4D" w:rsidRPr="00C5365D">
        <w:t>concernés</w:t>
      </w:r>
      <w:r w:rsidR="009C1305" w:rsidRPr="00C5365D">
        <w:t>.</w:t>
      </w:r>
    </w:p>
    <w:p w:rsidR="00A31220" w:rsidRPr="00C5365D" w:rsidRDefault="003562AD" w:rsidP="003562AD">
      <w:pPr>
        <w:pStyle w:val="Heading2"/>
      </w:pPr>
      <w:r w:rsidRPr="00C5365D">
        <w:lastRenderedPageBreak/>
        <w:t>Feuille de route pour la promotion</w:t>
      </w:r>
    </w:p>
    <w:p w:rsidR="00A31220" w:rsidRPr="00C5365D" w:rsidRDefault="00A31220" w:rsidP="00E23E28">
      <w:pPr>
        <w:rPr>
          <w:szCs w:val="22"/>
        </w:rPr>
      </w:pPr>
    </w:p>
    <w:p w:rsidR="00002F21" w:rsidRDefault="00884B80" w:rsidP="003562AD">
      <w:pPr>
        <w:pStyle w:val="ONUMFS"/>
        <w:rPr>
          <w:lang w:val="fr-FR"/>
        </w:rPr>
      </w:pPr>
      <w:r w:rsidRPr="00C5365D">
        <w:rPr>
          <w:lang w:val="fr-FR"/>
        </w:rPr>
        <w:t>L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OMPI continuera de renforce</w:t>
      </w:r>
      <w:r w:rsidR="00DC3519" w:rsidRPr="00C5365D">
        <w:rPr>
          <w:lang w:val="fr-FR"/>
        </w:rPr>
        <w:t>r</w:t>
      </w:r>
      <w:r w:rsidRPr="00C5365D">
        <w:rPr>
          <w:lang w:val="fr-FR"/>
        </w:rPr>
        <w:t xml:space="preserve"> la sensibilisation à ses activités actuelles </w:t>
      </w:r>
      <w:r w:rsidR="00DC3519" w:rsidRPr="00C5365D">
        <w:rPr>
          <w:lang w:val="fr-FR"/>
        </w:rPr>
        <w:t>ainsi que</w:t>
      </w:r>
      <w:r w:rsidRPr="00C5365D">
        <w:rPr>
          <w:lang w:val="fr-FR"/>
        </w:rPr>
        <w:t xml:space="preserve"> les ressources</w:t>
      </w:r>
      <w:r w:rsidR="002F5E28" w:rsidRPr="00C5365D">
        <w:rPr>
          <w:lang w:val="fr-FR"/>
        </w:rPr>
        <w:t xml:space="preserve"> dont elle dispose</w:t>
      </w:r>
      <w:r w:rsidRPr="00C5365D">
        <w:rPr>
          <w:lang w:val="fr-FR"/>
        </w:rPr>
        <w:t xml:space="preserve"> dans le domaine du transfert de technologie, notamment les travaux des comités, les programmes de sensibilisation et de formation, les manifestations, les partenariats, les publications, les ressources spécialisées, les activités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>assistance technique et les projets dans le but d</w:t>
      </w:r>
      <w:r w:rsidR="00002F21" w:rsidRPr="00C5365D">
        <w:rPr>
          <w:lang w:val="fr-FR"/>
        </w:rPr>
        <w:t>’</w:t>
      </w:r>
      <w:r w:rsidRPr="00C5365D">
        <w:rPr>
          <w:lang w:val="fr-FR"/>
        </w:rPr>
        <w:t xml:space="preserve">assurer une </w:t>
      </w:r>
      <w:r w:rsidR="00055784" w:rsidRPr="00C5365D">
        <w:rPr>
          <w:lang w:val="fr-FR"/>
        </w:rPr>
        <w:t>meilleure compréhension des questions en j</w:t>
      </w:r>
      <w:r w:rsidR="00EB3E62" w:rsidRPr="00C5365D">
        <w:rPr>
          <w:lang w:val="fr-FR"/>
        </w:rPr>
        <w:t>eu.  El</w:t>
      </w:r>
      <w:r w:rsidR="00DC3519" w:rsidRPr="00C5365D">
        <w:rPr>
          <w:lang w:val="fr-FR"/>
        </w:rPr>
        <w:t>le continuera de recourir à une variété de canaux pour toucher les différents publics cibles</w:t>
      </w:r>
      <w:r w:rsidR="0095757D" w:rsidRPr="00C5365D">
        <w:rPr>
          <w:lang w:val="fr-FR"/>
        </w:rPr>
        <w:t>, en s</w:t>
      </w:r>
      <w:r w:rsidR="00002F21" w:rsidRPr="00C5365D">
        <w:rPr>
          <w:lang w:val="fr-FR"/>
        </w:rPr>
        <w:t>’</w:t>
      </w:r>
      <w:r w:rsidR="0095757D" w:rsidRPr="00C5365D">
        <w:rPr>
          <w:lang w:val="fr-FR"/>
        </w:rPr>
        <w:t>appuyant sur la collaboration entre les différents programmes de l</w:t>
      </w:r>
      <w:r w:rsidR="00002F21" w:rsidRPr="00C5365D">
        <w:rPr>
          <w:lang w:val="fr-FR"/>
        </w:rPr>
        <w:t>’</w:t>
      </w:r>
      <w:r w:rsidR="0095757D" w:rsidRPr="00C5365D">
        <w:rPr>
          <w:lang w:val="fr-FR"/>
        </w:rPr>
        <w:t xml:space="preserve">OMPI et les partenaires </w:t>
      </w:r>
      <w:r w:rsidR="00A96249" w:rsidRPr="00C5365D">
        <w:rPr>
          <w:lang w:val="fr-FR"/>
        </w:rPr>
        <w:t>extérieurs</w:t>
      </w:r>
      <w:r w:rsidR="0095757D" w:rsidRPr="00C5365D">
        <w:rPr>
          <w:lang w:val="fr-FR"/>
        </w:rPr>
        <w:t xml:space="preserve"> afin d</w:t>
      </w:r>
      <w:r w:rsidR="00002F21" w:rsidRPr="00C5365D">
        <w:rPr>
          <w:lang w:val="fr-FR"/>
        </w:rPr>
        <w:t>’</w:t>
      </w:r>
      <w:r w:rsidR="0095757D" w:rsidRPr="00C5365D">
        <w:rPr>
          <w:lang w:val="fr-FR"/>
        </w:rPr>
        <w:t xml:space="preserve">assurer </w:t>
      </w:r>
      <w:r w:rsidR="00184525" w:rsidRPr="00C5365D">
        <w:rPr>
          <w:lang w:val="fr-FR"/>
        </w:rPr>
        <w:t xml:space="preserve">efficacement </w:t>
      </w:r>
      <w:r w:rsidR="0095757D" w:rsidRPr="00C5365D">
        <w:rPr>
          <w:lang w:val="fr-FR"/>
        </w:rPr>
        <w:t>la promotion des activités et des ressources de l</w:t>
      </w:r>
      <w:r w:rsidR="00002F21" w:rsidRPr="00C5365D">
        <w:rPr>
          <w:lang w:val="fr-FR"/>
        </w:rPr>
        <w:t>’</w:t>
      </w:r>
      <w:r w:rsidR="0095757D" w:rsidRPr="00C5365D">
        <w:rPr>
          <w:lang w:val="fr-FR"/>
        </w:rPr>
        <w:t>OMPI en matière de transfert de technologie.</w:t>
      </w:r>
    </w:p>
    <w:p w:rsidR="002B6147" w:rsidRDefault="002B6147" w:rsidP="002B6147">
      <w:pPr>
        <w:rPr>
          <w:lang w:val="fr-FR"/>
        </w:rPr>
      </w:pPr>
    </w:p>
    <w:p w:rsidR="002B6147" w:rsidRDefault="002B6147" w:rsidP="002B6147">
      <w:pPr>
        <w:rPr>
          <w:lang w:val="fr-FR"/>
        </w:rPr>
        <w:sectPr w:rsidR="002B6147" w:rsidSect="003562AD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2B6147" w:rsidRPr="002B6147" w:rsidRDefault="002B6147" w:rsidP="002B6147">
      <w:pPr>
        <w:pStyle w:val="Heading2"/>
        <w:rPr>
          <w:lang w:val="fr-FR"/>
        </w:rPr>
      </w:pPr>
      <w:r w:rsidRPr="002B6147">
        <w:rPr>
          <w:lang w:val="fr-FR"/>
        </w:rPr>
        <w:lastRenderedPageBreak/>
        <w:t>Activités et ressources de l’OMPI par type</w:t>
      </w:r>
    </w:p>
    <w:p w:rsidR="002B6147" w:rsidRPr="001736FD" w:rsidRDefault="002B6147" w:rsidP="002B6147">
      <w:pPr>
        <w:rPr>
          <w:b/>
          <w:szCs w:val="22"/>
          <w:lang w:val="fr-FR"/>
        </w:rPr>
      </w:pPr>
    </w:p>
    <w:p w:rsidR="002B6147" w:rsidRPr="001736FD" w:rsidRDefault="002B6147" w:rsidP="002B6147">
      <w:pPr>
        <w:rPr>
          <w:b/>
          <w:szCs w:val="22"/>
          <w:lang w:val="fr-FR"/>
        </w:rPr>
      </w:pPr>
      <w:r w:rsidRPr="001736FD">
        <w:rPr>
          <w:b/>
          <w:szCs w:val="22"/>
          <w:lang w:val="fr-FR"/>
        </w:rPr>
        <w:t>Comités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Comité permanent du droit des brevets (SCP)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</w:p>
        </w:tc>
      </w:tr>
    </w:tbl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  <w:r w:rsidRPr="001736FD">
        <w:rPr>
          <w:b/>
          <w:szCs w:val="22"/>
          <w:lang w:val="fr-FR"/>
        </w:rPr>
        <w:t>Programmes et manifestations de sensibilisation et de formation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Formations </w:t>
            </w:r>
            <w:r w:rsidRPr="001736FD">
              <w:rPr>
                <w:lang w:val="fr-FR"/>
              </w:rPr>
              <w:t xml:space="preserve">à </w:t>
            </w:r>
            <w:r w:rsidRPr="001736FD">
              <w:rPr>
                <w:rFonts w:hint="eastAsia"/>
                <w:lang w:val="fr-FR"/>
              </w:rPr>
              <w:t>la 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daction des demandes de brevet</w:t>
            </w:r>
            <w:r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centrées sur le renforcement des compétences</w:t>
            </w:r>
            <w:r w:rsidRPr="001736FD">
              <w:rPr>
                <w:rFonts w:hint="eastAsia"/>
                <w:lang w:val="fr-FR"/>
              </w:rPr>
              <w:t xml:space="preserve"> et des techniques en </w:t>
            </w:r>
            <w:r w:rsidRPr="001736FD">
              <w:rPr>
                <w:lang w:val="fr-FR"/>
              </w:rPr>
              <w:t>matière de rédaction</w:t>
            </w:r>
            <w:r w:rsidRPr="001736FD">
              <w:rPr>
                <w:rFonts w:hint="eastAsia"/>
                <w:lang w:val="fr-FR"/>
              </w:rPr>
              <w:t xml:space="preserve"> des demandes de brevet afin de favoriser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utilisation du </w:t>
            </w:r>
            <w:r w:rsidRPr="001736FD">
              <w:rPr>
                <w:lang w:val="fr-FR"/>
              </w:rPr>
              <w:t>système</w:t>
            </w:r>
            <w:r w:rsidRPr="001736FD">
              <w:rPr>
                <w:rFonts w:hint="eastAsia"/>
                <w:lang w:val="fr-FR"/>
              </w:rPr>
              <w:t xml:space="preserve"> des brevets</w:t>
            </w:r>
            <w:r w:rsidRPr="001736FD">
              <w:rPr>
                <w:lang w:val="fr-FR"/>
              </w:rPr>
              <w:t xml:space="preserve"> et de conseiller efficacement les inventeurs locaux </w:t>
            </w:r>
            <w:r w:rsidRPr="001736FD">
              <w:rPr>
                <w:rFonts w:hint="eastAsia"/>
                <w:lang w:val="fr-FR"/>
              </w:rPr>
              <w:t xml:space="preserve">sur les moyens de </w:t>
            </w:r>
            <w:r w:rsidRPr="001736FD">
              <w:rPr>
                <w:lang w:val="fr-FR"/>
              </w:rPr>
              <w:t>protéger</w:t>
            </w:r>
            <w:r w:rsidRPr="001736FD">
              <w:rPr>
                <w:rFonts w:hint="eastAsia"/>
                <w:lang w:val="fr-FR"/>
              </w:rPr>
              <w:t xml:space="preserve"> leurs inventions</w:t>
            </w:r>
            <w:r w:rsidRPr="001736FD"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Bureaux de transfert de technologie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Agents des offices de transfert de technologie et</w:t>
            </w:r>
            <w:r w:rsidRPr="003F2171">
              <w:rPr>
                <w:lang w:val="fr-FR"/>
              </w:rPr>
              <w:t xml:space="preserve"> des CAT</w:t>
            </w:r>
            <w:r w:rsidRPr="001736FD">
              <w:rPr>
                <w:lang w:val="fr-FR"/>
              </w:rPr>
              <w:t>I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directeurs techniques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spécialistes de la propriété intellectuelle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Pays en développement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Cours de formation de niveau </w:t>
            </w:r>
            <w:r w:rsidRPr="001736FD">
              <w:rPr>
                <w:lang w:val="fr-FR"/>
              </w:rPr>
              <w:t>avancé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sur les ressources génétiques et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(avec </w:t>
            </w:r>
            <w:r w:rsidRPr="001736FD">
              <w:rPr>
                <w:rFonts w:hint="eastAsia"/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Office des brevets et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enregistrement de la</w:t>
            </w:r>
            <w:r w:rsidRPr="001736FD">
              <w:rPr>
                <w:lang w:val="fr-FR"/>
              </w:rPr>
              <w:t xml:space="preserve"> Suède)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secteur privé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paysannes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Décideurs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Séminaires de formation et ateliers du 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rè</w:t>
            </w:r>
            <w:r w:rsidRPr="001736FD">
              <w:rPr>
                <w:rFonts w:hint="eastAsia"/>
                <w:lang w:val="fr-FR"/>
              </w:rPr>
              <w:t>glement extrajudiciaire des</w:t>
            </w:r>
            <w:r w:rsidRPr="001736FD">
              <w:rPr>
                <w:lang w:val="fr-FR"/>
              </w:rPr>
              <w:t xml:space="preserve"> litiges en matière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 et de transfert des technologies (en collaboration avec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Association of </w:t>
            </w:r>
            <w:proofErr w:type="spellStart"/>
            <w:r w:rsidRPr="001736FD">
              <w:rPr>
                <w:lang w:val="fr-FR"/>
              </w:rPr>
              <w:t>European</w:t>
            </w:r>
            <w:proofErr w:type="spellEnd"/>
            <w:r w:rsidRPr="001736FD">
              <w:rPr>
                <w:lang w:val="fr-FR"/>
              </w:rPr>
              <w:t xml:space="preserve"> Science and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Transfer </w:t>
            </w:r>
            <w:proofErr w:type="spellStart"/>
            <w:r w:rsidRPr="001736FD">
              <w:rPr>
                <w:lang w:val="fr-FR"/>
              </w:rPr>
              <w:t>Professionals</w:t>
            </w:r>
            <w:proofErr w:type="spellEnd"/>
            <w:r w:rsidRPr="001736FD">
              <w:rPr>
                <w:lang w:val="fr-FR"/>
              </w:rPr>
              <w:t xml:space="preserve"> (ASTP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Proton)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Association of </w:t>
            </w:r>
            <w:proofErr w:type="spellStart"/>
            <w:r w:rsidRPr="001736FD">
              <w:rPr>
                <w:lang w:val="fr-FR"/>
              </w:rPr>
              <w:t>University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Managers (AUTM)</w:t>
            </w:r>
            <w:r>
              <w:rPr>
                <w:lang w:val="fr-FR"/>
              </w:rPr>
              <w:t>;  l’</w:t>
            </w:r>
            <w:proofErr w:type="spellStart"/>
            <w:r w:rsidRPr="001736FD">
              <w:rPr>
                <w:lang w:val="fr-FR"/>
              </w:rPr>
              <w:t>European</w:t>
            </w:r>
            <w:proofErr w:type="spellEnd"/>
            <w:r w:rsidRPr="001736FD">
              <w:rPr>
                <w:lang w:val="fr-FR"/>
              </w:rPr>
              <w:t xml:space="preserve"> Association of </w:t>
            </w:r>
            <w:proofErr w:type="spellStart"/>
            <w:r w:rsidRPr="001736FD">
              <w:rPr>
                <w:lang w:val="fr-FR"/>
              </w:rPr>
              <w:t>Research</w:t>
            </w:r>
            <w:proofErr w:type="spellEnd"/>
            <w:r w:rsidRPr="001736FD">
              <w:rPr>
                <w:lang w:val="fr-FR"/>
              </w:rPr>
              <w:t xml:space="preserve"> and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Organisations (EARTO)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Association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européenne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administration de la recherche industrielle (EIRMA)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Office européen</w:t>
            </w:r>
            <w:r w:rsidRPr="001736FD">
              <w:rPr>
                <w:rFonts w:hint="eastAsia"/>
                <w:lang w:val="fr-FR"/>
              </w:rPr>
              <w:t xml:space="preserve"> de liaison des organisations de recherche allemandes</w:t>
            </w:r>
            <w:r w:rsidRPr="001736FD">
              <w:rPr>
                <w:lang w:val="fr-FR"/>
              </w:rPr>
              <w:t xml:space="preserve"> (KOWI)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 xml:space="preserve">la </w:t>
            </w:r>
            <w:proofErr w:type="spellStart"/>
            <w:r w:rsidRPr="001736FD">
              <w:rPr>
                <w:lang w:val="fr-FR"/>
              </w:rPr>
              <w:t>Licensing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Executives</w:t>
            </w:r>
            <w:proofErr w:type="spellEnd"/>
            <w:r w:rsidRPr="001736FD">
              <w:rPr>
                <w:lang w:val="fr-FR"/>
              </w:rPr>
              <w:t xml:space="preserve"> Society (LES)</w:t>
            </w:r>
            <w:r>
              <w:rPr>
                <w:lang w:val="fr-FR"/>
              </w:rPr>
              <w:t>)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http://www.wipo.int/amc/en/events/</w:t>
            </w:r>
            <w:r w:rsidRPr="001736FD">
              <w:rPr>
                <w:lang w:val="fr-FR"/>
              </w:rPr>
              <w:br/>
              <w:t>http://www.wipo.int/amc/en/center/specific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sectors/rd/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Formation et ateliers du 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rè</w:t>
            </w:r>
            <w:r w:rsidRPr="001736FD">
              <w:rPr>
                <w:rFonts w:hint="eastAsia"/>
                <w:lang w:val="fr-FR"/>
              </w:rPr>
              <w:t>glement extrajudiciaire des</w:t>
            </w:r>
            <w:r w:rsidRPr="001736FD">
              <w:rPr>
                <w:lang w:val="fr-FR"/>
              </w:rPr>
              <w:t xml:space="preserve"> litiges en matière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 et de transfert des technologies avec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Association of </w:t>
            </w:r>
            <w:proofErr w:type="spellStart"/>
            <w:r w:rsidRPr="001736FD">
              <w:rPr>
                <w:lang w:val="fr-FR"/>
              </w:rPr>
              <w:t>European</w:t>
            </w:r>
            <w:proofErr w:type="spellEnd"/>
            <w:r w:rsidRPr="001736FD">
              <w:rPr>
                <w:lang w:val="fr-FR"/>
              </w:rPr>
              <w:t xml:space="preserve"> Science and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Transfer </w:t>
            </w:r>
            <w:proofErr w:type="spellStart"/>
            <w:r w:rsidRPr="001736FD">
              <w:rPr>
                <w:lang w:val="fr-FR"/>
              </w:rPr>
              <w:t>Professionals</w:t>
            </w:r>
            <w:proofErr w:type="spellEnd"/>
            <w:r w:rsidRPr="001736FD">
              <w:rPr>
                <w:lang w:val="fr-FR"/>
              </w:rPr>
              <w:t xml:space="preserve"> (ASTP)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Proton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Association of </w:t>
            </w:r>
            <w:proofErr w:type="spellStart"/>
            <w:r w:rsidRPr="001736FD">
              <w:rPr>
                <w:lang w:val="fr-FR"/>
              </w:rPr>
              <w:t>University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Managers (AUTM)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proofErr w:type="spellStart"/>
            <w:r w:rsidRPr="001736FD">
              <w:rPr>
                <w:lang w:val="fr-FR"/>
              </w:rPr>
              <w:t>European</w:t>
            </w:r>
            <w:proofErr w:type="spellEnd"/>
            <w:r w:rsidRPr="001736FD">
              <w:rPr>
                <w:lang w:val="fr-FR"/>
              </w:rPr>
              <w:t xml:space="preserve"> Association of </w:t>
            </w:r>
            <w:proofErr w:type="spellStart"/>
            <w:r w:rsidRPr="001736FD">
              <w:rPr>
                <w:lang w:val="fr-FR"/>
              </w:rPr>
              <w:t>Research</w:t>
            </w:r>
            <w:proofErr w:type="spellEnd"/>
            <w:r w:rsidRPr="001736FD">
              <w:rPr>
                <w:lang w:val="fr-FR"/>
              </w:rPr>
              <w:t xml:space="preserve"> and </w:t>
            </w:r>
            <w:proofErr w:type="spellStart"/>
            <w:r w:rsidRPr="001736FD">
              <w:rPr>
                <w:lang w:val="fr-FR"/>
              </w:rPr>
              <w:t>Technology</w:t>
            </w:r>
            <w:proofErr w:type="spellEnd"/>
            <w:r w:rsidRPr="001736FD">
              <w:rPr>
                <w:lang w:val="fr-FR"/>
              </w:rPr>
              <w:t xml:space="preserve"> Organisations (EARTO)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Association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européenne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administration de la recherche industrielle (EIRMA)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Office européen</w:t>
            </w:r>
            <w:r w:rsidRPr="001736FD">
              <w:rPr>
                <w:rFonts w:hint="eastAsia"/>
                <w:lang w:val="fr-FR"/>
              </w:rPr>
              <w:t xml:space="preserve"> de liaison des organisations de recherche allemandes</w:t>
            </w:r>
            <w:r w:rsidRPr="001736FD">
              <w:rPr>
                <w:lang w:val="fr-FR"/>
              </w:rPr>
              <w:t xml:space="preserve"> (KOWI)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 xml:space="preserve">la </w:t>
            </w:r>
            <w:proofErr w:type="spellStart"/>
            <w:r w:rsidRPr="001736FD">
              <w:rPr>
                <w:lang w:val="fr-FR"/>
              </w:rPr>
              <w:t>Licensing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Executives</w:t>
            </w:r>
            <w:proofErr w:type="spellEnd"/>
            <w:r w:rsidRPr="001736FD">
              <w:rPr>
                <w:lang w:val="fr-FR"/>
              </w:rPr>
              <w:t xml:space="preserve"> Society (LES)</w:t>
            </w:r>
            <w:r w:rsidRPr="001736FD">
              <w:rPr>
                <w:lang w:val="fr-FR"/>
              </w:rPr>
              <w:br/>
              <w:t>http://www.wipo.int/amc/en/events/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Quatrième</w:t>
            </w:r>
            <w:r w:rsidRPr="001736FD">
              <w:rPr>
                <w:lang w:val="fr-FR"/>
              </w:rPr>
              <w:t xml:space="preserve"> Atelier régional sur la propriété industrielle et le transfert de technologie, El Salvador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</w:t>
            </w:r>
            <w:r w:rsidRPr="001736FD">
              <w:rPr>
                <w:rFonts w:hint="eastAsia"/>
                <w:lang w:val="fr-FR"/>
              </w:rPr>
              <w:t>tourn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es vers la technologie</w:t>
            </w:r>
            <w:r w:rsidRPr="001736FD">
              <w:rPr>
                <w:lang w:val="fr-FR"/>
              </w:rPr>
              <w:t>)</w:t>
            </w:r>
            <w:r w:rsidRPr="001736FD">
              <w:rPr>
                <w:lang w:val="fr-FR"/>
              </w:rPr>
              <w:br/>
              <w:t>Fonctionnaires nationaux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directeurs techniques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spécialistes de la propriété intellectuelle</w:t>
            </w:r>
            <w:r w:rsidRPr="001736FD">
              <w:rPr>
                <w:lang w:val="fr-FR"/>
              </w:rPr>
              <w:br/>
              <w:t>Brésil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Colombie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Costa</w:t>
            </w:r>
            <w:r>
              <w:rPr>
                <w:lang w:val="fr-FR"/>
              </w:rPr>
              <w:t> </w:t>
            </w:r>
            <w:r w:rsidRPr="001736FD">
              <w:rPr>
                <w:lang w:val="fr-FR"/>
              </w:rPr>
              <w:t>Rica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République dominicaine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Équateur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El Salvador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Guatemala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Mexique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Nicaragua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Propriété industrielle et stratégie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innovation, Chili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sur les accords de transfert de technologie, Mexique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(Institut de technologie du Mexique)</w:t>
            </w:r>
            <w:r>
              <w:rPr>
                <w:lang w:val="fr-FR"/>
              </w:rPr>
              <w:t>;  c</w:t>
            </w:r>
            <w:r w:rsidRPr="001736FD">
              <w:rPr>
                <w:lang w:val="fr-FR"/>
              </w:rPr>
              <w:t>hercheurs et étudiants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sur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et les </w:t>
            </w:r>
            <w:r w:rsidRPr="001736FD">
              <w:rPr>
                <w:rFonts w:hint="eastAsia"/>
                <w:lang w:val="fr-FR"/>
              </w:rPr>
              <w:t>politiques publiques relatives</w:t>
            </w:r>
            <w:r w:rsidRPr="001736FD">
              <w:rPr>
                <w:lang w:val="fr-FR"/>
              </w:rPr>
              <w:t xml:space="preserve"> à</w:t>
            </w:r>
            <w:r w:rsidRPr="001736FD">
              <w:rPr>
                <w:rFonts w:hint="eastAsia"/>
                <w:lang w:val="fr-FR"/>
              </w:rPr>
              <w:t xml:space="preserve">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innovation</w:t>
            </w:r>
            <w:r w:rsidRPr="001736FD">
              <w:rPr>
                <w:lang w:val="fr-FR"/>
              </w:rPr>
              <w:t xml:space="preserve"> et au transfert de technologie, Pérou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régional sur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et le transfert de technologie, Costa Rica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régional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outils de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</w:t>
            </w:r>
            <w:r w:rsidRPr="001736FD">
              <w:rPr>
                <w:rFonts w:hint="eastAsia"/>
                <w:lang w:val="fr-FR"/>
              </w:rPr>
              <w:t>relatifs</w:t>
            </w:r>
            <w:r w:rsidRPr="001736FD">
              <w:rPr>
                <w:lang w:val="fr-FR"/>
              </w:rPr>
              <w:t xml:space="preserve"> au transfert de technologie, Costa Rica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Programme de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équipes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de la BID sur la commercialisation de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et le transfert de technologie, Trinité</w:t>
            </w:r>
            <w:r>
              <w:rPr>
                <w:lang w:val="fr-FR"/>
              </w:rPr>
              <w:noBreakHyphen/>
            </w:r>
            <w:r w:rsidRPr="001736FD">
              <w:rPr>
                <w:rFonts w:hint="eastAsia"/>
                <w:lang w:val="fr-FR"/>
              </w:rPr>
              <w:t>et</w:t>
            </w:r>
            <w:r>
              <w:rPr>
                <w:lang w:val="fr-FR"/>
              </w:rPr>
              <w:noBreakHyphen/>
            </w:r>
            <w:r w:rsidRPr="001736FD">
              <w:rPr>
                <w:rFonts w:hint="eastAsia"/>
                <w:lang w:val="fr-FR"/>
              </w:rPr>
              <w:t>Tobago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Bureaux de transfert de technologie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Cours de formation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de la BID sur la commercialisation de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et le transfert de technologie, Barbade, Jamaïque, Trinité</w:t>
            </w:r>
            <w:r>
              <w:rPr>
                <w:lang w:val="fr-FR"/>
              </w:rPr>
              <w:noBreakHyphen/>
            </w:r>
            <w:r w:rsidRPr="001736FD">
              <w:rPr>
                <w:rFonts w:hint="eastAsia"/>
                <w:lang w:val="fr-FR"/>
              </w:rPr>
              <w:t>et</w:t>
            </w:r>
            <w:r>
              <w:rPr>
                <w:lang w:val="fr-FR"/>
              </w:rPr>
              <w:noBreakHyphen/>
            </w:r>
            <w:r w:rsidRPr="001736FD">
              <w:rPr>
                <w:rFonts w:hint="eastAsia"/>
                <w:lang w:val="fr-FR"/>
              </w:rPr>
              <w:t>Tobago</w:t>
            </w:r>
            <w:r w:rsidRPr="001736FD">
              <w:rPr>
                <w:lang w:val="fr-FR"/>
              </w:rPr>
              <w:t xml:space="preserve"> (2016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Bureaux de transfert de technologie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le transfert de technologie, Chili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outils aux fins du transfert de technologie, Pérou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Septième</w:t>
            </w:r>
            <w:r w:rsidRPr="001736FD">
              <w:rPr>
                <w:lang w:val="fr-FR"/>
              </w:rPr>
              <w:t xml:space="preserve"> Conférence annuelle sur la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intitulée </w:t>
            </w:r>
            <w:r>
              <w:rPr>
                <w:lang w:val="fr-FR"/>
              </w:rPr>
              <w:t>“</w:t>
            </w:r>
            <w:r w:rsidRPr="001736FD">
              <w:rPr>
                <w:rFonts w:hint="eastAsia"/>
                <w:lang w:val="fr-FR"/>
              </w:rPr>
              <w:t xml:space="preserve">Exemples de </w:t>
            </w:r>
            <w:r w:rsidRPr="001736FD">
              <w:rPr>
                <w:lang w:val="fr-FR"/>
              </w:rPr>
              <w:t>réussite du marché au labo</w:t>
            </w:r>
            <w:r>
              <w:rPr>
                <w:lang w:val="fr-FR"/>
              </w:rPr>
              <w:t>”</w:t>
            </w:r>
            <w:r w:rsidRPr="001736FD">
              <w:rPr>
                <w:lang w:val="fr-FR"/>
              </w:rPr>
              <w:t>, Turquie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Consultations et atelier régional sur les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recherche, Ukraine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sur la propriété intellectuelle dans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économie novatrice, Kirghizistan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Séminaire régional sur les politiques de propriété intellectuelle dans les universités et les instituts de recherche, </w:t>
            </w:r>
            <w:r w:rsidRPr="001736FD">
              <w:rPr>
                <w:rFonts w:hint="eastAsia"/>
                <w:lang w:val="fr-FR"/>
              </w:rPr>
              <w:t>Azerbaïdjan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Table ronde sur les brevets et leur incidence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innovation, Uruguay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  <w:r w:rsidRPr="001736FD">
              <w:rPr>
                <w:lang w:val="fr-FR"/>
              </w:rPr>
              <w:br/>
              <w:t>Personnel chargé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aider les inventeurs ou de fournir des services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systè</w:t>
            </w:r>
            <w:r w:rsidRPr="001736FD">
              <w:rPr>
                <w:rFonts w:hint="eastAsia"/>
                <w:lang w:val="fr-FR"/>
              </w:rPr>
              <w:t>me</w:t>
            </w:r>
            <w:r w:rsidRPr="001736FD">
              <w:rPr>
                <w:lang w:val="fr-FR"/>
              </w:rPr>
              <w:t xml:space="preserve"> de brevets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Visite </w:t>
            </w:r>
            <w:r w:rsidRPr="001736FD">
              <w:rPr>
                <w:lang w:val="fr-FR"/>
              </w:rPr>
              <w:t>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étude des représentants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Arménie et de la Fédération de Russie sur les questions relatives aux activités innovantes, Israël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universitaires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Visite </w:t>
            </w:r>
            <w:r w:rsidRPr="001736FD">
              <w:rPr>
                <w:lang w:val="fr-FR"/>
              </w:rPr>
              <w:t>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étude sur les pratiques recommandées en matière de gestion de la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fonctionnaires nationaux de la Bosnie</w:t>
            </w:r>
            <w:r>
              <w:rPr>
                <w:rFonts w:hAnsi="Monaco" w:cs="Monaco"/>
                <w:lang w:val="fr-FR"/>
              </w:rPr>
              <w:noBreakHyphen/>
            </w:r>
            <w:r w:rsidRPr="001736FD">
              <w:rPr>
                <w:lang w:val="fr-FR"/>
              </w:rPr>
              <w:t>Herzégovine, de la Fédération de Russie et de la Pologne, Singapour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Séminaire national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les brevets et leur incidence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innovation, Paraguay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  <w:r w:rsidRPr="001736FD">
              <w:rPr>
                <w:lang w:val="fr-FR"/>
              </w:rPr>
              <w:br/>
              <w:t>Personnel chargé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aider les inventeurs ou de fournir des services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systè</w:t>
            </w:r>
            <w:r w:rsidRPr="001736FD">
              <w:rPr>
                <w:rFonts w:hint="eastAsia"/>
                <w:lang w:val="fr-FR"/>
              </w:rPr>
              <w:t>me</w:t>
            </w:r>
            <w:r w:rsidRPr="001736FD">
              <w:rPr>
                <w:lang w:val="fr-FR"/>
              </w:rPr>
              <w:t xml:space="preserve"> de brevets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Atelier </w:t>
            </w:r>
            <w:r>
              <w:rPr>
                <w:lang w:val="fr-FR"/>
              </w:rPr>
              <w:t xml:space="preserve">de l’OMPI sur les </w:t>
            </w:r>
            <w:r w:rsidRPr="00E26574">
              <w:rPr>
                <w:lang w:val="fr-FR"/>
              </w:rPr>
              <w:t>brevets</w:t>
            </w:r>
            <w:r>
              <w:rPr>
                <w:lang w:val="fr-FR"/>
              </w:rPr>
              <w:t xml:space="preserve"> portant sur les aspects pratiques des</w:t>
            </w:r>
            <w:r w:rsidRPr="001736FD">
              <w:rPr>
                <w:lang w:val="fr-FR"/>
              </w:rPr>
              <w:t xml:space="preserve"> </w:t>
            </w:r>
            <w:r w:rsidRPr="00E51BAE">
              <w:rPr>
                <w:lang w:val="fr-FR"/>
              </w:rPr>
              <w:t xml:space="preserve">demandes de brevet </w:t>
            </w:r>
            <w:r>
              <w:rPr>
                <w:lang w:val="fr-FR"/>
              </w:rPr>
              <w:t>à l’intention du secteur industriel</w:t>
            </w:r>
            <w:r w:rsidRPr="001736FD">
              <w:rPr>
                <w:lang w:val="fr-FR"/>
              </w:rPr>
              <w:t xml:space="preserve">, </w:t>
            </w:r>
            <w:r>
              <w:rPr>
                <w:lang w:val="fr-FR"/>
              </w:rPr>
              <w:t>des chercheurs universitaires et des</w:t>
            </w:r>
            <w:r w:rsidRPr="001736FD">
              <w:rPr>
                <w:lang w:val="fr-FR"/>
              </w:rPr>
              <w:t xml:space="preserve"> </w:t>
            </w:r>
            <w:r w:rsidRPr="00E26574">
              <w:rPr>
                <w:lang w:val="fr-FR"/>
              </w:rPr>
              <w:t>agents de brevets</w:t>
            </w:r>
            <w:r w:rsidRPr="001736FD">
              <w:rPr>
                <w:lang w:val="fr-FR"/>
              </w:rPr>
              <w:t>, Paraguay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  <w:r w:rsidRPr="001736FD">
              <w:rPr>
                <w:lang w:val="fr-FR"/>
              </w:rPr>
              <w:br/>
              <w:t>Personnel chargé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aider les inventeurs ou de fournir des services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systè</w:t>
            </w:r>
            <w:r w:rsidRPr="001736FD">
              <w:rPr>
                <w:rFonts w:hint="eastAsia"/>
                <w:lang w:val="fr-FR"/>
              </w:rPr>
              <w:t>me</w:t>
            </w:r>
            <w:r w:rsidRPr="001736FD">
              <w:rPr>
                <w:lang w:val="fr-FR"/>
              </w:rPr>
              <w:t xml:space="preserve"> de brevets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OMPI</w:t>
            </w:r>
            <w:r w:rsidRPr="001736FD">
              <w:rPr>
                <w:lang w:val="fr-FR"/>
              </w:rPr>
              <w:t>/OEPM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Atelier </w:t>
            </w:r>
            <w:r>
              <w:rPr>
                <w:lang w:val="fr-FR"/>
              </w:rPr>
              <w:t>r</w:t>
            </w:r>
            <w:r w:rsidRPr="001736FD">
              <w:rPr>
                <w:lang w:val="fr-FR"/>
              </w:rPr>
              <w:t xml:space="preserve">égional </w:t>
            </w:r>
            <w:r>
              <w:rPr>
                <w:lang w:val="fr-FR"/>
              </w:rPr>
              <w:t>de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f</w:t>
            </w:r>
            <w:r w:rsidRPr="001736FD">
              <w:rPr>
                <w:lang w:val="fr-FR"/>
              </w:rPr>
              <w:t>ormation des formateurs à la rédaction de brevets, Colombie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Formateurs </w:t>
            </w:r>
            <w:r w:rsidRPr="001736FD">
              <w:rPr>
                <w:lang w:val="fr-FR"/>
              </w:rPr>
              <w:t>en matière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de</w:t>
            </w:r>
            <w:r w:rsidRPr="001736FD">
              <w:rPr>
                <w:rFonts w:hint="eastAsia"/>
                <w:lang w:val="fr-FR"/>
              </w:rPr>
              <w:t xml:space="preserve"> 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daction de brevets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L’OMPI et l’</w:t>
            </w:r>
            <w:r w:rsidRPr="001736FD">
              <w:rPr>
                <w:lang w:val="fr-FR"/>
              </w:rPr>
              <w:t xml:space="preserve">OEPM </w:t>
            </w:r>
            <w:r>
              <w:rPr>
                <w:lang w:val="fr-FR"/>
              </w:rPr>
              <w:t>e</w:t>
            </w:r>
            <w:r w:rsidRPr="001736FD">
              <w:rPr>
                <w:lang w:val="fr-FR"/>
              </w:rPr>
              <w:t xml:space="preserve">n collaboration </w:t>
            </w:r>
            <w:r>
              <w:rPr>
                <w:lang w:val="fr-FR"/>
              </w:rPr>
              <w:t>avec</w:t>
            </w:r>
            <w:r w:rsidRPr="003F2171">
              <w:rPr>
                <w:lang w:val="fr-FR"/>
              </w:rPr>
              <w:t xml:space="preserve"> le MIE</w:t>
            </w:r>
            <w:r w:rsidRPr="001736FD">
              <w:rPr>
                <w:lang w:val="fr-FR"/>
              </w:rPr>
              <w:t>M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deuxième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a</w:t>
            </w:r>
            <w:r w:rsidRPr="001736FD">
              <w:rPr>
                <w:lang w:val="fr-FR"/>
              </w:rPr>
              <w:t>telier</w:t>
            </w:r>
            <w:r>
              <w:rPr>
                <w:lang w:val="fr-FR"/>
              </w:rPr>
              <w:t xml:space="preserve"> r</w:t>
            </w:r>
            <w:r w:rsidRPr="001736FD">
              <w:rPr>
                <w:lang w:val="fr-FR"/>
              </w:rPr>
              <w:t xml:space="preserve">égional </w:t>
            </w:r>
            <w:r>
              <w:rPr>
                <w:lang w:val="fr-FR"/>
              </w:rPr>
              <w:t>de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f</w:t>
            </w:r>
            <w:r w:rsidRPr="001736FD">
              <w:rPr>
                <w:lang w:val="fr-FR"/>
              </w:rPr>
              <w:t>ormation des formateurs en matière de rédaction de brevets, Uruguay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Formateurs en matière de rédaction de brevets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OMPI</w:t>
            </w:r>
            <w:r w:rsidRPr="001736FD">
              <w:rPr>
                <w:lang w:val="fr-FR"/>
              </w:rPr>
              <w:t>/OEPM/OEPM/AECID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Atelier </w:t>
            </w:r>
            <w:r>
              <w:rPr>
                <w:lang w:val="fr-FR"/>
              </w:rPr>
              <w:t>r</w:t>
            </w:r>
            <w:r w:rsidRPr="001736FD">
              <w:rPr>
                <w:lang w:val="fr-FR"/>
              </w:rPr>
              <w:t xml:space="preserve">égional </w:t>
            </w:r>
            <w:r>
              <w:rPr>
                <w:lang w:val="fr-FR"/>
              </w:rPr>
              <w:t>de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f</w:t>
            </w:r>
            <w:r w:rsidRPr="001736FD">
              <w:rPr>
                <w:lang w:val="fr-FR"/>
              </w:rPr>
              <w:t xml:space="preserve">ormation des formateurs </w:t>
            </w:r>
            <w:r>
              <w:rPr>
                <w:lang w:val="fr-FR"/>
              </w:rPr>
              <w:t>en matière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propriété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industrielle et de rédaction des demandes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de </w:t>
            </w:r>
            <w:r w:rsidRPr="001124D1">
              <w:rPr>
                <w:lang w:val="fr-FR"/>
              </w:rPr>
              <w:t>brevet</w:t>
            </w:r>
            <w:r w:rsidRPr="001736FD">
              <w:rPr>
                <w:lang w:val="fr-FR"/>
              </w:rPr>
              <w:t xml:space="preserve">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</w:t>
            </w:r>
            <w:r w:rsidRPr="001736FD">
              <w:rPr>
                <w:lang w:val="fr-FR"/>
              </w:rPr>
              <w:br/>
              <w:t>Pays latino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américains</w:t>
            </w:r>
            <w:r w:rsidRPr="001736FD">
              <w:rPr>
                <w:lang w:val="fr-FR"/>
              </w:rPr>
              <w:br/>
              <w:t>Personnel chargé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aider les inventeurs ou de fournir des services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systè</w:t>
            </w:r>
            <w:r w:rsidRPr="001736FD">
              <w:rPr>
                <w:rFonts w:hint="eastAsia"/>
                <w:lang w:val="fr-FR"/>
              </w:rPr>
              <w:t>me</w:t>
            </w:r>
            <w:r w:rsidRPr="001736FD">
              <w:rPr>
                <w:lang w:val="fr-FR"/>
              </w:rPr>
              <w:t xml:space="preserve"> de brevets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Cours d’enseignement à distance sur les</w:t>
            </w:r>
            <w:r w:rsidRPr="001736FD">
              <w:rPr>
                <w:lang w:val="fr-FR"/>
              </w:rPr>
              <w:t xml:space="preserve"> </w:t>
            </w:r>
            <w:r w:rsidRPr="00AC7DDC">
              <w:rPr>
                <w:rFonts w:hint="eastAsia"/>
                <w:lang w:val="fr-FR"/>
              </w:rPr>
              <w:t xml:space="preserve">principes applicables </w:t>
            </w:r>
            <w:r>
              <w:rPr>
                <w:lang w:val="fr-FR"/>
              </w:rPr>
              <w:t>à</w:t>
            </w:r>
            <w:r w:rsidRPr="00AC7DDC">
              <w:rPr>
                <w:rFonts w:hint="eastAsia"/>
                <w:lang w:val="fr-FR"/>
              </w:rPr>
              <w:t xml:space="preserve"> la </w:t>
            </w:r>
            <w:r>
              <w:rPr>
                <w:lang w:val="fr-FR"/>
              </w:rPr>
              <w:t xml:space="preserve">rédaction des brevets </w:t>
            </w:r>
            <w:r w:rsidRPr="001736FD">
              <w:rPr>
                <w:lang w:val="fr-FR"/>
              </w:rPr>
              <w:t>(DL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 xml:space="preserve">320) en anglais, arabe, espagnol, français, portugais et russe 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Bureaux de transfert de technologie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 xml:space="preserve">Cours d’enseignement à distance sur les </w:t>
            </w:r>
            <w:r>
              <w:rPr>
                <w:rFonts w:hint="eastAsia"/>
                <w:lang w:val="fr-FR"/>
              </w:rPr>
              <w:t>recherches d</w:t>
            </w:r>
            <w:r>
              <w:rPr>
                <w:lang w:val="fr-FR"/>
              </w:rPr>
              <w:t>’</w:t>
            </w:r>
            <w:r w:rsidRPr="00AC7DDC">
              <w:rPr>
                <w:rFonts w:hint="eastAsia"/>
                <w:lang w:val="fr-FR"/>
              </w:rPr>
              <w:t xml:space="preserve">informations en </w:t>
            </w:r>
            <w:r w:rsidRPr="00AC7DDC">
              <w:rPr>
                <w:lang w:val="fr-FR"/>
              </w:rPr>
              <w:t>matière</w:t>
            </w:r>
            <w:r w:rsidRPr="00AC7DDC">
              <w:rPr>
                <w:rFonts w:hint="eastAsia"/>
                <w:lang w:val="fr-FR"/>
              </w:rPr>
              <w:t xml:space="preserve"> de brevets</w:t>
            </w:r>
            <w:r w:rsidRPr="001736FD">
              <w:rPr>
                <w:lang w:val="fr-FR"/>
              </w:rPr>
              <w:t xml:space="preserve"> (DL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318) en anglais, espagnol et français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Bureaux de transfert de technologie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E954CA">
              <w:rPr>
                <w:lang w:val="fr-FR"/>
              </w:rPr>
              <w:t xml:space="preserve">Programmes communs de master de </w:t>
            </w:r>
            <w:r>
              <w:rPr>
                <w:lang w:val="fr-FR"/>
              </w:rPr>
              <w:t>l’OMPI</w:t>
            </w:r>
            <w:r w:rsidRPr="001736FD">
              <w:rPr>
                <w:lang w:val="fr-FR"/>
              </w:rPr>
              <w:br/>
            </w:r>
            <w:r>
              <w:rPr>
                <w:lang w:val="fr-FR"/>
              </w:rPr>
              <w:t>Comprend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des conférences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et des</w:t>
            </w:r>
            <w:r w:rsidRPr="001736FD">
              <w:rPr>
                <w:lang w:val="fr-FR"/>
              </w:rPr>
              <w:t xml:space="preserve"> exercices relati</w:t>
            </w:r>
            <w:r>
              <w:rPr>
                <w:lang w:val="fr-FR"/>
              </w:rPr>
              <w:t xml:space="preserve">fs au </w:t>
            </w:r>
            <w:r w:rsidRPr="001736FD">
              <w:rPr>
                <w:lang w:val="fr-FR"/>
              </w:rPr>
              <w:t>transfer</w:t>
            </w:r>
            <w:r>
              <w:rPr>
                <w:lang w:val="fr-FR"/>
              </w:rPr>
              <w:t>t de</w:t>
            </w:r>
            <w:r w:rsidRPr="001736FD">
              <w:rPr>
                <w:lang w:val="fr-FR"/>
              </w:rPr>
              <w:t xml:space="preserve"> technologie.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 w:rsidRPr="001736FD">
              <w:rPr>
                <w:lang w:val="fr-FR"/>
              </w:rPr>
              <w:br/>
              <w:t>Fonctionnaires nationaux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jeunes cadres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étudiants du premier cycle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9C5EAA">
              <w:rPr>
                <w:lang w:val="fr-FR"/>
              </w:rPr>
              <w:lastRenderedPageBreak/>
              <w:t xml:space="preserve">Programme des cours </w:t>
            </w:r>
            <w:r>
              <w:rPr>
                <w:lang w:val="fr-FR"/>
              </w:rPr>
              <w:t>d’été de l’OMPI</w:t>
            </w:r>
            <w:r w:rsidRPr="001736FD">
              <w:rPr>
                <w:lang w:val="fr-FR"/>
              </w:rPr>
              <w:br/>
            </w:r>
            <w:r>
              <w:rPr>
                <w:lang w:val="fr-FR"/>
              </w:rPr>
              <w:t>Comprend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des </w:t>
            </w:r>
            <w:r w:rsidRPr="001736FD">
              <w:rPr>
                <w:lang w:val="fr-FR"/>
              </w:rPr>
              <w:t xml:space="preserve">sessions </w:t>
            </w:r>
            <w:r>
              <w:rPr>
                <w:lang w:val="fr-FR"/>
              </w:rPr>
              <w:t>sur les</w:t>
            </w:r>
            <w:r w:rsidRPr="001736FD">
              <w:rPr>
                <w:lang w:val="fr-FR"/>
              </w:rPr>
              <w:t xml:space="preserve"> activités </w:t>
            </w:r>
            <w:r>
              <w:rPr>
                <w:lang w:val="fr-FR"/>
              </w:rPr>
              <w:t>de</w:t>
            </w:r>
            <w:r w:rsidRPr="001736FD">
              <w:rPr>
                <w:lang w:val="fr-FR"/>
              </w:rPr>
              <w:t xml:space="preserve"> transfer</w:t>
            </w:r>
            <w:r>
              <w:rPr>
                <w:lang w:val="fr-FR"/>
              </w:rPr>
              <w:t>t de</w:t>
            </w:r>
            <w:r w:rsidRPr="001736FD">
              <w:rPr>
                <w:lang w:val="fr-FR"/>
              </w:rPr>
              <w:t xml:space="preserve"> technologie </w:t>
            </w:r>
            <w:r>
              <w:rPr>
                <w:lang w:val="fr-FR"/>
              </w:rPr>
              <w:t>et de</w:t>
            </w:r>
            <w:r w:rsidRPr="001736FD">
              <w:rPr>
                <w:lang w:val="fr-FR"/>
              </w:rPr>
              <w:t xml:space="preserve"> </w:t>
            </w:r>
            <w:r w:rsidRPr="00BB27F4">
              <w:rPr>
                <w:lang w:val="fr-FR"/>
              </w:rPr>
              <w:t>concession des licences de technologie</w:t>
            </w:r>
            <w:r>
              <w:rPr>
                <w:lang w:val="fr-FR"/>
              </w:rPr>
              <w:t>.  Le </w:t>
            </w:r>
            <w:r w:rsidRPr="00BB27F4">
              <w:rPr>
                <w:rFonts w:hint="eastAsia"/>
                <w:lang w:val="fr-FR"/>
              </w:rPr>
              <w:t xml:space="preserve">Cours </w:t>
            </w:r>
            <w:r>
              <w:rPr>
                <w:lang w:val="fr-FR"/>
              </w:rPr>
              <w:t>d’</w:t>
            </w:r>
            <w:r w:rsidRPr="00BB27F4">
              <w:rPr>
                <w:lang w:val="fr-FR"/>
              </w:rPr>
              <w:t>été avancé</w:t>
            </w:r>
            <w:r w:rsidRPr="00BB27F4">
              <w:rPr>
                <w:rFonts w:hint="eastAsia"/>
                <w:lang w:val="fr-FR"/>
              </w:rPr>
              <w:t xml:space="preserve"> OMPI</w:t>
            </w:r>
            <w:r>
              <w:rPr>
                <w:rFonts w:hint="eastAsia"/>
                <w:lang w:val="fr-FR"/>
              </w:rPr>
              <w:noBreakHyphen/>
            </w:r>
            <w:r w:rsidRPr="00BB27F4">
              <w:rPr>
                <w:rFonts w:hint="eastAsia"/>
                <w:lang w:val="fr-FR"/>
              </w:rPr>
              <w:t xml:space="preserve">Afrique du Sud </w:t>
            </w:r>
            <w:r>
              <w:rPr>
                <w:lang w:val="fr-FR"/>
              </w:rPr>
              <w:t>est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spécifiquement axé sur la</w:t>
            </w:r>
            <w:r w:rsidRPr="001736FD">
              <w:rPr>
                <w:lang w:val="fr-FR"/>
              </w:rPr>
              <w:t xml:space="preserve"> </w:t>
            </w:r>
            <w:r w:rsidRPr="004F0764">
              <w:rPr>
                <w:lang w:val="fr-FR"/>
              </w:rPr>
              <w:t>propriété</w:t>
            </w:r>
            <w:r w:rsidRPr="004F0764">
              <w:rPr>
                <w:rFonts w:hint="eastAsia"/>
                <w:lang w:val="fr-FR"/>
              </w:rPr>
              <w:t xml:space="preserve"> intellectuelle et le transfert de technologie</w:t>
            </w:r>
            <w:r w:rsidRPr="001736FD"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 w:rsidRPr="001736FD">
              <w:rPr>
                <w:lang w:val="fr-FR"/>
              </w:rPr>
              <w:br/>
              <w:t>Fonctionnaires nationaux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jeunes cadres du secteur privé</w:t>
            </w:r>
            <w:r>
              <w:rPr>
                <w:lang w:val="fr-FR"/>
              </w:rPr>
              <w:t xml:space="preserve">;  </w:t>
            </w:r>
            <w:r w:rsidRPr="001736FD">
              <w:rPr>
                <w:rFonts w:hint="eastAsia"/>
                <w:lang w:val="fr-FR"/>
              </w:rPr>
              <w:t>juristes d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butants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 xml:space="preserve">étudiants </w:t>
            </w:r>
            <w:r w:rsidRPr="001736FD">
              <w:rPr>
                <w:rFonts w:hint="eastAsia"/>
                <w:lang w:val="fr-FR"/>
              </w:rPr>
              <w:t>de troisi</w:t>
            </w:r>
            <w:r w:rsidRPr="001736FD">
              <w:rPr>
                <w:lang w:val="fr-FR"/>
              </w:rPr>
              <w:t>è</w:t>
            </w:r>
            <w:r w:rsidRPr="001736FD">
              <w:rPr>
                <w:rFonts w:hint="eastAsia"/>
                <w:lang w:val="fr-FR"/>
              </w:rPr>
              <w:t>me cycle</w:t>
            </w:r>
            <w:r w:rsidRPr="001736FD">
              <w:rPr>
                <w:lang w:val="fr-FR"/>
              </w:rPr>
              <w:t xml:space="preserve"> connaissent bien la </w:t>
            </w:r>
            <w:r w:rsidRPr="001736FD">
              <w:rPr>
                <w:rFonts w:hint="eastAsia"/>
                <w:lang w:val="fr-FR"/>
              </w:rPr>
              <w:t>propri</w:t>
            </w:r>
            <w:r w:rsidRPr="001736FD">
              <w:rPr>
                <w:lang w:val="fr-FR"/>
              </w:rPr>
              <w:t>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012420">
              <w:rPr>
                <w:lang w:val="fr-FR"/>
              </w:rPr>
              <w:t>Cours de perfectionnement sur la propriété intellectuelle, le transfert des technologies et la concession de licences organisé par l</w:t>
            </w:r>
            <w:r>
              <w:rPr>
                <w:lang w:val="fr-FR"/>
              </w:rPr>
              <w:t>’OMPI et le CEIPI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 w:rsidRPr="001736FD">
              <w:rPr>
                <w:lang w:val="fr-FR"/>
              </w:rPr>
              <w:br/>
              <w:t>Directeurs techniques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scientifiques</w:t>
            </w:r>
            <w:r w:rsidRPr="001736FD">
              <w:rPr>
                <w:lang w:val="fr-FR"/>
              </w:rPr>
              <w:br/>
              <w:t>Pays en développement et pays en transition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Création de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c</w:t>
            </w:r>
            <w:r w:rsidRPr="001736FD">
              <w:rPr>
                <w:lang w:val="fr-FR"/>
              </w:rPr>
              <w:t>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 (CATI) </w:t>
            </w:r>
            <w:r>
              <w:rPr>
                <w:lang w:val="fr-FR"/>
              </w:rPr>
              <w:t>dans les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u</w:t>
            </w:r>
            <w:r w:rsidRPr="001736FD">
              <w:rPr>
                <w:lang w:val="fr-FR"/>
              </w:rPr>
              <w:t>niversités</w:t>
            </w:r>
            <w:r>
              <w:rPr>
                <w:lang w:val="fr-FR"/>
              </w:rPr>
              <w:t xml:space="preserve"> ougandaises</w:t>
            </w:r>
            <w:r w:rsidRPr="001736FD">
              <w:rPr>
                <w:lang w:val="fr-FR"/>
              </w:rPr>
              <w:t>, Ouganda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D87948">
              <w:rPr>
                <w:rFonts w:hint="eastAsia"/>
                <w:lang w:val="fr-FR"/>
              </w:rPr>
              <w:t>Évaluation</w:t>
            </w:r>
            <w:r w:rsidRPr="00D87948">
              <w:rPr>
                <w:lang w:val="fr-FR"/>
              </w:rPr>
              <w:t xml:space="preserve"> </w:t>
            </w:r>
            <w:r>
              <w:rPr>
                <w:lang w:val="fr-FR"/>
              </w:rPr>
              <w:t>et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mise au point du projet national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centre</w:t>
            </w:r>
            <w:r w:rsidRPr="001736FD">
              <w:rPr>
                <w:lang w:val="fr-FR"/>
              </w:rPr>
              <w:t xml:space="preserve">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 (CATI) </w:t>
            </w:r>
            <w:r>
              <w:rPr>
                <w:lang w:val="fr-FR"/>
              </w:rPr>
              <w:t>en</w:t>
            </w:r>
            <w:r w:rsidRPr="001736FD">
              <w:rPr>
                <w:lang w:val="fr-FR"/>
              </w:rPr>
              <w:t xml:space="preserve"> </w:t>
            </w:r>
            <w:r w:rsidRPr="001736FD">
              <w:rPr>
                <w:rFonts w:hint="eastAsia"/>
                <w:lang w:val="fr-FR"/>
              </w:rPr>
              <w:t>Égypte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Guatemala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Djibouti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Djibouti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Cuba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Mauritanie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Nicaragua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Panama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Argentine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Cameroun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 (CATI), République </w:t>
            </w:r>
            <w:r w:rsidRPr="001736FD">
              <w:rPr>
                <w:rFonts w:hint="eastAsia"/>
                <w:lang w:val="fr-FR"/>
              </w:rPr>
              <w:t>centrafricaine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République dominicaine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Guinée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Mali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Sénégal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Pérou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 et la valeur ajoutée fondée sur les informations technologiques et </w:t>
            </w:r>
            <w:r>
              <w:rPr>
                <w:lang w:val="fr-FR"/>
              </w:rPr>
              <w:t xml:space="preserve">les </w:t>
            </w:r>
            <w:r w:rsidRPr="002A470F">
              <w:rPr>
                <w:lang w:val="fr-FR"/>
              </w:rPr>
              <w:t xml:space="preserve">informations sur la concurrence </w:t>
            </w:r>
            <w:r w:rsidRPr="001736FD">
              <w:rPr>
                <w:lang w:val="fr-FR"/>
              </w:rPr>
              <w:t>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du personnel</w:t>
            </w:r>
            <w:r w:rsidRPr="003F2171">
              <w:rPr>
                <w:lang w:val="fr-FR"/>
              </w:rPr>
              <w:t xml:space="preserve"> des CAT</w:t>
            </w:r>
            <w:r w:rsidRPr="001736FD">
              <w:rPr>
                <w:lang w:val="fr-FR"/>
              </w:rPr>
              <w:t>I, des universités et des centres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D, Colombie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personnel</w:t>
            </w:r>
            <w:r w:rsidRPr="003F2171">
              <w:rPr>
                <w:lang w:val="fr-FR"/>
              </w:rPr>
              <w:t xml:space="preserve"> des CAT</w:t>
            </w:r>
            <w:r w:rsidRPr="001736FD">
              <w:rPr>
                <w:lang w:val="fr-FR"/>
              </w:rPr>
              <w:t>I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autres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sur les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et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d</w:t>
            </w:r>
            <w:r>
              <w:rPr>
                <w:lang w:val="fr-FR"/>
              </w:rPr>
              <w:t>’</w:t>
            </w:r>
            <w:r w:rsidRPr="002A470F">
              <w:rPr>
                <w:lang w:val="fr-FR"/>
              </w:rPr>
              <w:t>informations</w:t>
            </w:r>
            <w:r>
              <w:rPr>
                <w:lang w:val="fr-FR"/>
              </w:rPr>
              <w:t xml:space="preserve"> en matière de brevets</w:t>
            </w:r>
            <w:r w:rsidRPr="001736FD">
              <w:rPr>
                <w:lang w:val="fr-FR"/>
              </w:rPr>
              <w:t>, Algérie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Atelier </w:t>
            </w:r>
            <w:r>
              <w:rPr>
                <w:lang w:val="fr-FR"/>
              </w:rPr>
              <w:t>sous</w:t>
            </w:r>
            <w:r>
              <w:rPr>
                <w:lang w:val="fr-FR"/>
              </w:rPr>
              <w:noBreakHyphen/>
              <w:t>régional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propriété i</w:t>
            </w:r>
            <w:r w:rsidRPr="001736FD">
              <w:rPr>
                <w:lang w:val="fr-FR"/>
              </w:rPr>
              <w:t>ntellectuel</w:t>
            </w:r>
            <w:r>
              <w:rPr>
                <w:lang w:val="fr-FR"/>
              </w:rPr>
              <w:t>le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à l’intention des jeunes innovateurs :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l’idée au marché</w:t>
            </w:r>
            <w:r w:rsidRPr="001736FD">
              <w:rPr>
                <w:lang w:val="fr-FR"/>
              </w:rPr>
              <w:t>, Botswana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de formation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sur la recherche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en matière de</w:t>
            </w:r>
            <w:r w:rsidRPr="001736FD">
              <w:rPr>
                <w:rFonts w:hint="eastAsia"/>
                <w:lang w:val="fr-FR"/>
              </w:rPr>
              <w:t xml:space="preserve"> brevets</w:t>
            </w:r>
            <w:r w:rsidRPr="001736FD">
              <w:rPr>
                <w:lang w:val="fr-FR"/>
              </w:rPr>
              <w:t>, Mongolie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Séminaire de formation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sur la recherche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en matière de</w:t>
            </w:r>
            <w:r w:rsidRPr="001736FD">
              <w:rPr>
                <w:rFonts w:hint="eastAsia"/>
                <w:lang w:val="fr-FR"/>
              </w:rPr>
              <w:t xml:space="preserve"> brevets</w:t>
            </w:r>
            <w:r w:rsidRPr="001736FD">
              <w:rPr>
                <w:lang w:val="fr-FR"/>
              </w:rPr>
              <w:t>, Thaïlande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de formation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sur la recherche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en matière de</w:t>
            </w:r>
            <w:r w:rsidRPr="001736FD">
              <w:rPr>
                <w:rFonts w:hint="eastAsia"/>
                <w:lang w:val="fr-FR"/>
              </w:rPr>
              <w:t xml:space="preserve"> brevets</w:t>
            </w:r>
            <w:r w:rsidRPr="001736FD">
              <w:rPr>
                <w:lang w:val="fr-FR"/>
              </w:rPr>
              <w:t>, Myanmar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utilisation efficace des informations techniques et scientifiques, Malawi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Atelier de formation des formateurs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utilisation efficace des informations techniques et scientifiques, </w:t>
            </w:r>
            <w:r>
              <w:rPr>
                <w:lang w:val="fr-FR"/>
              </w:rPr>
              <w:t>Nigéria</w:t>
            </w:r>
            <w:r w:rsidRPr="001736FD">
              <w:rPr>
                <w:lang w:val="fr-FR"/>
              </w:rPr>
              <w:t xml:space="preserve">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Atelier de formation des formateurs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utilisation efficace des informations techniques et scientifiques, </w:t>
            </w:r>
            <w:r w:rsidRPr="002B6147">
              <w:rPr>
                <w:lang w:val="fr-FR"/>
              </w:rPr>
              <w:t>République</w:t>
            </w:r>
            <w:r w:rsidRPr="002B6147">
              <w:rPr>
                <w:lang w:val="fr-FR"/>
              </w:rPr>
              <w:noBreakHyphen/>
              <w:t>Unie de Tanzanie</w:t>
            </w:r>
            <w:r w:rsidRPr="001736FD">
              <w:rPr>
                <w:lang w:val="fr-FR"/>
              </w:rPr>
              <w:t xml:space="preserve">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efficacité du réseau national, </w:t>
            </w:r>
            <w:r>
              <w:rPr>
                <w:lang w:val="fr-FR"/>
              </w:rPr>
              <w:t>Nigéria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de formation des formateurs sur les</w:t>
            </w:r>
            <w:r w:rsidRPr="001736FD">
              <w:rPr>
                <w:rFonts w:hint="eastAsia"/>
                <w:lang w:val="fr-FR"/>
              </w:rPr>
              <w:t xml:space="preserve"> recherches dans des bases de donn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es de brevets</w:t>
            </w:r>
            <w:r w:rsidRPr="001736FD">
              <w:rPr>
                <w:lang w:val="fr-FR"/>
              </w:rPr>
              <w:t xml:space="preserve"> et la création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Sri</w:t>
            </w:r>
            <w:r>
              <w:rPr>
                <w:lang w:val="fr-FR"/>
              </w:rPr>
              <w:t> </w:t>
            </w:r>
            <w:r w:rsidRPr="001736FD">
              <w:rPr>
                <w:lang w:val="fr-FR"/>
              </w:rPr>
              <w:t>Lanka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fondamentale de brevets au moyen des principes directeurs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élaboration de rapports panoramiques sur les brevets et du manuel sur les outils libres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des brevets, Brésil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fondamentale de brevets au moyen des principes directeurs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élaboration de rapports panoramiques sur les brevets et du manuel sur les outils libres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des brevets, Afrique du Sud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Atelier national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fondamentale de brevets au moyen des principes directeurs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élaboration de rapports panoramiques sur les brevets et du manuel sur les outils libres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des brevets, Afrique du Sud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fondamentale de brevets, Colombie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Visite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étude régionale du projet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organisée par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pays membres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ASACR, Philippines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CATI, Oman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 (CATI) dans la </w:t>
            </w:r>
            <w:r w:rsidRPr="001736FD">
              <w:rPr>
                <w:rFonts w:hint="eastAsia"/>
                <w:lang w:val="fr-FR"/>
              </w:rPr>
              <w:t>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publique islamique d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Iran</w:t>
            </w:r>
            <w:r w:rsidRPr="001736FD">
              <w:rPr>
                <w:lang w:val="fr-FR"/>
              </w:rPr>
              <w:t xml:space="preserve">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en Indonésie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en Jamaïque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au Pakistan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9;</w:t>
            </w:r>
            <w:r>
              <w:rPr>
                <w:lang w:val="fr-FR"/>
              </w:rPr>
              <w:t xml:space="preserve">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à la technologie aux fins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et de la 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Jordanie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Atelier sur les stratégies de propriété intellectuelle, </w:t>
            </w:r>
            <w:r w:rsidRPr="001736FD">
              <w:rPr>
                <w:rFonts w:hint="eastAsia"/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information en mati</w:t>
            </w:r>
            <w:r w:rsidRPr="001736FD">
              <w:rPr>
                <w:lang w:val="fr-FR"/>
              </w:rPr>
              <w:t>è</w:t>
            </w:r>
            <w:r w:rsidRPr="001736FD">
              <w:rPr>
                <w:rFonts w:hint="eastAsia"/>
                <w:lang w:val="fr-FR"/>
              </w:rPr>
              <w:t>re de brevets</w:t>
            </w:r>
            <w:r w:rsidRPr="001736FD">
              <w:rPr>
                <w:lang w:val="fr-FR"/>
              </w:rPr>
              <w:t xml:space="preserve"> et les solutions techniques, Colombie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 (COLCIENCIAS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  <w:t>Décideurs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employés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 xml:space="preserve">Atelier sur des exercices de recherche dans des bases de données </w:t>
            </w:r>
            <w:r w:rsidRPr="001736FD">
              <w:rPr>
                <w:rFonts w:hint="eastAsia"/>
                <w:lang w:val="fr-FR"/>
              </w:rPr>
              <w:t>sur les brevets</w:t>
            </w:r>
            <w:r w:rsidRPr="001736FD">
              <w:rPr>
                <w:lang w:val="fr-FR"/>
              </w:rPr>
              <w:t>, Philippines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Atelier sur les </w:t>
            </w:r>
            <w:r>
              <w:rPr>
                <w:lang w:val="fr-FR"/>
              </w:rPr>
              <w:t>s</w:t>
            </w:r>
            <w:r w:rsidRPr="001736FD">
              <w:rPr>
                <w:lang w:val="fr-FR"/>
              </w:rPr>
              <w:t>tratégies et les techniques de recherche en matière de brevets et sur la création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au Botswana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le réseau de CATI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 certains pays arabes, Jordanie (2017) (prévu)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 w:rsidRPr="001736FD">
              <w:rPr>
                <w:lang w:val="fr-FR"/>
              </w:rPr>
              <w:br/>
              <w:t>Pays arabes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(CATI), Ouzbékistan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national sur le transfert et la valorisation de la technologie, et le règlement de litiges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du personnel</w:t>
            </w:r>
            <w:r w:rsidRPr="003F2171">
              <w:rPr>
                <w:lang w:val="fr-FR"/>
              </w:rPr>
              <w:t xml:space="preserve"> des CAT</w:t>
            </w:r>
            <w:r w:rsidRPr="001736FD">
              <w:rPr>
                <w:lang w:val="fr-FR"/>
              </w:rPr>
              <w:t>I et des centres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D, Colombie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 w:rsidRPr="001736FD">
              <w:rPr>
                <w:lang w:val="fr-FR"/>
              </w:rPr>
              <w:br/>
              <w:t>Colombie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Atelier de formation sur la recherche dans les bases de données </w:t>
            </w:r>
            <w:r w:rsidRPr="001736FD">
              <w:rPr>
                <w:rFonts w:hint="eastAsia"/>
                <w:lang w:val="fr-FR"/>
              </w:rPr>
              <w:t>sur les brevets</w:t>
            </w:r>
            <w:r w:rsidRPr="001736FD">
              <w:rPr>
                <w:lang w:val="fr-FR"/>
              </w:rPr>
              <w:t xml:space="preserve"> et la création de 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(CATI) dans la République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Azerbaïdjan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régional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analyse fondamentale de brevets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intention des </w:t>
            </w:r>
            <w:r w:rsidRPr="001736FD">
              <w:rPr>
                <w:rFonts w:hint="eastAsia"/>
                <w:lang w:val="fr-FR"/>
              </w:rPr>
              <w:t>États membres</w:t>
            </w:r>
            <w:r w:rsidRPr="001736FD">
              <w:rPr>
                <w:lang w:val="fr-FR"/>
              </w:rPr>
              <w:t xml:space="preserve">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Organisation eurasienne des brevets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à la technologie </w:t>
            </w:r>
            <w:r w:rsidRPr="001736FD">
              <w:rPr>
                <w:rFonts w:hint="eastAsia"/>
                <w:lang w:val="fr-FR"/>
              </w:rPr>
              <w:t>au service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innovation et sur la </w:t>
            </w:r>
            <w:r w:rsidRPr="001736FD">
              <w:rPr>
                <w:lang w:val="fr-FR"/>
              </w:rPr>
              <w:t>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</w:t>
            </w:r>
            <w:r w:rsidRPr="001736FD">
              <w:rPr>
                <w:rFonts w:hint="eastAsia"/>
                <w:lang w:val="fr-FR"/>
              </w:rPr>
              <w:t xml:space="preserve"> de </w:t>
            </w: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</w:t>
            </w:r>
            <w:r w:rsidRPr="001736FD">
              <w:rPr>
                <w:rFonts w:hint="eastAsia"/>
                <w:lang w:val="fr-FR"/>
              </w:rPr>
              <w:t>CATI</w:t>
            </w:r>
            <w:r w:rsidRPr="001736FD">
              <w:rPr>
                <w:lang w:val="fr-FR"/>
              </w:rPr>
              <w:t>) en Arménie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à la technologie </w:t>
            </w:r>
            <w:r w:rsidRPr="001736FD">
              <w:rPr>
                <w:rFonts w:hint="eastAsia"/>
                <w:lang w:val="fr-FR"/>
              </w:rPr>
              <w:t>au service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innovation et sur la </w:t>
            </w:r>
            <w:r w:rsidRPr="001736FD">
              <w:rPr>
                <w:lang w:val="fr-FR"/>
              </w:rPr>
              <w:t>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</w:t>
            </w:r>
            <w:r w:rsidRPr="001736FD">
              <w:rPr>
                <w:rFonts w:hint="eastAsia"/>
                <w:lang w:val="fr-FR"/>
              </w:rPr>
              <w:t xml:space="preserve"> de </w:t>
            </w: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</w:t>
            </w:r>
            <w:r w:rsidRPr="001736FD">
              <w:rPr>
                <w:rFonts w:hint="eastAsia"/>
                <w:lang w:val="fr-FR"/>
              </w:rPr>
              <w:t>CATI</w:t>
            </w:r>
            <w:r w:rsidRPr="001736FD">
              <w:rPr>
                <w:lang w:val="fr-FR"/>
              </w:rPr>
              <w:t>) dans la République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Azerbaïdjan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à la technologie </w:t>
            </w:r>
            <w:r w:rsidRPr="001736FD">
              <w:rPr>
                <w:rFonts w:hint="eastAsia"/>
                <w:lang w:val="fr-FR"/>
              </w:rPr>
              <w:t>au service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innovation et sur la </w:t>
            </w:r>
            <w:r w:rsidRPr="001736FD">
              <w:rPr>
                <w:lang w:val="fr-FR"/>
              </w:rPr>
              <w:t>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</w:t>
            </w:r>
            <w:r w:rsidRPr="001736FD">
              <w:rPr>
                <w:rFonts w:hint="eastAsia"/>
                <w:lang w:val="fr-FR"/>
              </w:rPr>
              <w:t xml:space="preserve"> de </w:t>
            </w: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</w:t>
            </w:r>
            <w:r w:rsidRPr="001736FD">
              <w:rPr>
                <w:rFonts w:hint="eastAsia"/>
                <w:lang w:val="fr-FR"/>
              </w:rPr>
              <w:t>CATI</w:t>
            </w:r>
            <w:r w:rsidRPr="001736FD">
              <w:rPr>
                <w:lang w:val="fr-FR"/>
              </w:rPr>
              <w:t>) au</w:t>
            </w:r>
            <w:r w:rsidRPr="001736FD">
              <w:rPr>
                <w:rFonts w:hint="eastAsia"/>
                <w:lang w:val="fr-FR"/>
              </w:rPr>
              <w:t xml:space="preserve"> B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larus</w:t>
            </w:r>
            <w:r w:rsidRPr="001736FD">
              <w:rPr>
                <w:lang w:val="fr-FR"/>
              </w:rPr>
              <w:t xml:space="preserve">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Atelier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à la technologie </w:t>
            </w:r>
            <w:r w:rsidRPr="001736FD">
              <w:rPr>
                <w:rFonts w:hint="eastAsia"/>
                <w:lang w:val="fr-FR"/>
              </w:rPr>
              <w:t>au service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innovation et sur la </w:t>
            </w:r>
            <w:r w:rsidRPr="001736FD">
              <w:rPr>
                <w:lang w:val="fr-FR"/>
              </w:rPr>
              <w:t>création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 réseau</w:t>
            </w:r>
            <w:r w:rsidRPr="001736FD">
              <w:rPr>
                <w:rFonts w:hint="eastAsia"/>
                <w:lang w:val="fr-FR"/>
              </w:rPr>
              <w:t xml:space="preserve"> de </w:t>
            </w:r>
            <w:r w:rsidRPr="001736FD">
              <w:rPr>
                <w:lang w:val="fr-FR"/>
              </w:rPr>
              <w:t>centres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appui à la technologie et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innovation (</w:t>
            </w:r>
            <w:r w:rsidRPr="001736FD">
              <w:rPr>
                <w:rFonts w:hint="eastAsia"/>
                <w:lang w:val="fr-FR"/>
              </w:rPr>
              <w:t>CATI</w:t>
            </w:r>
            <w:r w:rsidRPr="001736FD">
              <w:rPr>
                <w:lang w:val="fr-FR"/>
              </w:rPr>
              <w:t>) dans la République kirghize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Atelier</w:t>
            </w:r>
            <w:r w:rsidRPr="001736FD">
              <w:rPr>
                <w:lang w:val="fr-FR"/>
              </w:rPr>
              <w:t xml:space="preserve"> avancé sur la réussite</w:t>
            </w:r>
            <w:r w:rsidRPr="001736FD">
              <w:rPr>
                <w:rFonts w:hint="eastAsia"/>
                <w:lang w:val="fr-FR"/>
              </w:rPr>
              <w:t xml:space="preserve"> de la concession de technologies</w:t>
            </w:r>
            <w:r w:rsidRPr="001736FD">
              <w:rPr>
                <w:lang w:val="fr-FR"/>
              </w:rPr>
              <w:t xml:space="preserve">, </w:t>
            </w:r>
            <w:r>
              <w:rPr>
                <w:lang w:val="fr-FR"/>
              </w:rPr>
              <w:t>Viet Nam</w:t>
            </w:r>
            <w:r w:rsidRPr="001736FD">
              <w:rPr>
                <w:lang w:val="fr-FR"/>
              </w:rPr>
              <w:t xml:space="preserve">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Combler le foss</w:t>
            </w:r>
            <w:r w:rsidRPr="001736FD">
              <w:rPr>
                <w:lang w:val="fr-FR"/>
              </w:rPr>
              <w:t xml:space="preserve">é </w:t>
            </w:r>
            <w:r>
              <w:rPr>
                <w:lang w:val="fr-FR"/>
              </w:rPr>
              <w:t>séparant</w:t>
            </w:r>
            <w:r w:rsidRPr="001736FD">
              <w:rPr>
                <w:lang w:val="fr-FR"/>
              </w:rPr>
              <w:t xml:space="preserve"> les universités et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industrie, programme de formation commun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</w:t>
            </w:r>
            <w:r w:rsidRPr="003F2171">
              <w:rPr>
                <w:lang w:val="fr-FR"/>
              </w:rPr>
              <w:t xml:space="preserve"> des PME</w:t>
            </w:r>
            <w:r w:rsidRPr="001736FD">
              <w:rPr>
                <w:lang w:val="fr-FR"/>
              </w:rPr>
              <w:t>, Philippines, Malaisie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Concession de licences et évaluation </w:t>
            </w:r>
            <w:r w:rsidRPr="001736FD">
              <w:rPr>
                <w:rFonts w:hint="eastAsia"/>
                <w:lang w:val="fr-FR"/>
              </w:rPr>
              <w:t>des actifs de propri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>, Iran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PME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Projets nationaux sur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intention des universités et des instituts de recherche, au Botswana, en Colombie et </w:t>
            </w:r>
            <w:r>
              <w:rPr>
                <w:lang w:val="fr-FR"/>
              </w:rPr>
              <w:t>à</w:t>
            </w:r>
            <w:r w:rsidRPr="001736FD">
              <w:rPr>
                <w:lang w:val="fr-FR"/>
              </w:rPr>
              <w:t xml:space="preserve"> Sri Lanka (2016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Séminaires nationaux sur les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intention des universités et des instituts de recherche en Islande, en Italie, au Mozambique, au Soudan, au Maroc et aux </w:t>
            </w:r>
            <w:r w:rsidRPr="001736FD">
              <w:rPr>
                <w:rFonts w:hint="eastAsia"/>
                <w:lang w:val="fr-FR"/>
              </w:rPr>
              <w:t>Émirats</w:t>
            </w:r>
            <w:r w:rsidRPr="001736FD">
              <w:rPr>
                <w:lang w:val="fr-FR"/>
              </w:rPr>
              <w:t xml:space="preserve"> arabes unis (2016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Conférence régionale sur les résultats du projet national de bureaux de transfert de technologie en Tunisie, P</w:t>
            </w:r>
            <w:r w:rsidRPr="001736FD">
              <w:rPr>
                <w:rFonts w:hint="eastAsia"/>
                <w:lang w:val="fr-FR"/>
              </w:rPr>
              <w:t>artager les savoirs et les enseignements tir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s</w:t>
            </w:r>
            <w:r w:rsidRPr="001736FD">
              <w:rPr>
                <w:lang w:val="fr-FR"/>
              </w:rPr>
              <w:t>, Tunisie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Réunion régionale sur la mise au point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une politique et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une stratégie de propriété intellectuelle dans les universités et les instituts de recherche pour faciliter le transfert de technologie vers le secteur industriel, Maroc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Réunion régionale des bureaux de transfert de technologie (travailler ensemble)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Internet et la recherche, Croatie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Réunion 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régionale sur la création et la gestion de nouvelles entreprises, Serbie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 xml:space="preserve">Séminaires </w:t>
            </w:r>
            <w:proofErr w:type="spellStart"/>
            <w:r w:rsidRPr="001736FD">
              <w:rPr>
                <w:lang w:val="fr-FR"/>
              </w:rPr>
              <w:t>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régionaux</w:t>
            </w:r>
            <w:proofErr w:type="spellEnd"/>
            <w:r w:rsidRPr="001736FD">
              <w:rPr>
                <w:lang w:val="fr-FR"/>
              </w:rPr>
              <w:t xml:space="preserve"> sur les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universités, Ukraine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Formation vidéo sur le transfert des connaissances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 la Faculté de droit, Université de Singapour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Programme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du Fonds fiduciaire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Australie sur la commercialisation et la valorisation de la propriété intellectuelle, Jakarta (Indonésie)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Programme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du Fonds fiduciaire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Australie sur </w:t>
            </w:r>
            <w:proofErr w:type="spellStart"/>
            <w:r w:rsidRPr="001736FD">
              <w:rPr>
                <w:lang w:val="fr-FR"/>
              </w:rPr>
              <w:t>la</w:t>
            </w:r>
            <w:proofErr w:type="spellEnd"/>
            <w:r w:rsidRPr="001736FD">
              <w:rPr>
                <w:lang w:val="fr-FR"/>
              </w:rPr>
              <w:t xml:space="preserve"> le rapprochement entre les établissements universitaires et le secteur industriel, Philippines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Séance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encadrement sur la commercialisation de la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bureaux de transfert de technologie en Tunisie, Projet pilote sur les bureaux de transfert de technologie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échelle nationale, Tunisie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Programme de formation nationale sur la commercialisation et la valorisation de la propriété intellectuelle, Chili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(PME)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régional sur les résultats du Projet pilote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les bureaux de transfert de technologie en Tunisie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</w:t>
            </w:r>
            <w:r w:rsidRPr="001736FD">
              <w:rPr>
                <w:lang w:val="fr-FR"/>
              </w:rPr>
              <w:br/>
              <w:t>Pays arabes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régional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élaboration de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recherche, Colombie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 w:rsidRPr="001736FD">
              <w:rPr>
                <w:lang w:val="fr-FR"/>
              </w:rPr>
              <w:br/>
              <w:t>Décideurs dans les domaines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innovation, du transfert de technologie et de la propriété </w:t>
            </w:r>
            <w:r w:rsidRPr="001736FD">
              <w:rPr>
                <w:rFonts w:hint="eastAsia"/>
                <w:lang w:val="fr-FR"/>
              </w:rPr>
              <w:t>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Atelier sur la réussite</w:t>
            </w:r>
            <w:r w:rsidRPr="001736FD">
              <w:rPr>
                <w:rFonts w:hint="eastAsia"/>
                <w:lang w:val="fr-FR"/>
              </w:rPr>
              <w:t xml:space="preserve"> de la concession de technologies</w:t>
            </w:r>
            <w:r w:rsidRPr="001736FD">
              <w:rPr>
                <w:lang w:val="fr-FR"/>
              </w:rPr>
              <w:t xml:space="preserve"> dans le cadre de la mise en œuvre du Projet sur les bureaux de transfert de technologie, Tunisie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rFonts w:eastAsia="Times New Roman"/>
                <w:color w:val="000000"/>
                <w:lang w:val="fr-FR" w:eastAsia="en-US"/>
              </w:rPr>
            </w:pPr>
            <w:r w:rsidRPr="001736FD">
              <w:rPr>
                <w:rFonts w:eastAsia="Times New Roman"/>
                <w:color w:val="000000"/>
                <w:lang w:val="fr-FR" w:eastAsia="en-US"/>
              </w:rPr>
              <w:t>9</w:t>
            </w:r>
            <w:r>
              <w:rPr>
                <w:rFonts w:eastAsia="Times New Roman"/>
                <w:color w:val="000000"/>
                <w:lang w:val="fr-FR" w:eastAsia="en-US"/>
              </w:rPr>
              <w:t xml:space="preserve">;  </w:t>
            </w:r>
            <w:r w:rsidRPr="001736FD">
              <w:rPr>
                <w:rFonts w:eastAsia="Times New Roman"/>
                <w:color w:val="000000"/>
                <w:lang w:val="fr-FR" w:eastAsia="en-US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Commercialisation et valorisation de la propriété intellectuelle, Training Program, Projet </w:t>
            </w:r>
            <w:r>
              <w:rPr>
                <w:lang w:val="fr-FR"/>
              </w:rPr>
              <w:t>des</w:t>
            </w:r>
            <w:r w:rsidRPr="001736FD">
              <w:rPr>
                <w:lang w:val="fr-FR"/>
              </w:rPr>
              <w:t xml:space="preserve"> </w:t>
            </w:r>
            <w:r w:rsidRPr="001736FD">
              <w:rPr>
                <w:rFonts w:hint="eastAsia"/>
                <w:lang w:val="fr-FR"/>
              </w:rPr>
              <w:t>États</w:t>
            </w:r>
            <w:r w:rsidRPr="001736FD">
              <w:rPr>
                <w:lang w:val="fr-FR"/>
              </w:rPr>
              <w:t xml:space="preserve"> baltes, Lituanie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Stratégie de gestion des actifs de propriété intellectuelle, Projet pour les </w:t>
            </w:r>
            <w:r w:rsidRPr="001736FD">
              <w:rPr>
                <w:rFonts w:hint="eastAsia"/>
                <w:lang w:val="fr-FR"/>
              </w:rPr>
              <w:t>États</w:t>
            </w:r>
            <w:r w:rsidRPr="001736FD">
              <w:rPr>
                <w:lang w:val="fr-FR"/>
              </w:rPr>
              <w:t xml:space="preserve"> baltes, Estonie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Table ronde relative au transfert des connaissances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 la délégation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inventeurs roumains, Suisse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Séminaire national sur la propriété intellectuelle et les innovations, Ouzbékistan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Séminaires </w:t>
            </w:r>
            <w:proofErr w:type="spellStart"/>
            <w:r w:rsidRPr="001736FD">
              <w:rPr>
                <w:lang w:val="fr-FR"/>
              </w:rPr>
              <w:t>sous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régionaux</w:t>
            </w:r>
            <w:proofErr w:type="spellEnd"/>
            <w:r w:rsidRPr="001736FD">
              <w:rPr>
                <w:lang w:val="fr-FR"/>
              </w:rPr>
              <w:t xml:space="preserve"> sur les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recherche, Bosnie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Herzégovine, Géorgie, Hongrie, Liban et République tchèque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Conférence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sur la politique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intention des pays du groupe de </w:t>
            </w:r>
            <w:proofErr w:type="spellStart"/>
            <w:r w:rsidRPr="001736FD">
              <w:rPr>
                <w:lang w:val="fr-FR"/>
              </w:rPr>
              <w:t>Visegrad</w:t>
            </w:r>
            <w:proofErr w:type="spellEnd"/>
            <w:r w:rsidRPr="001736FD">
              <w:rPr>
                <w:lang w:val="fr-FR"/>
              </w:rPr>
              <w:t>, Suisse (2017)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Réunion interrégionale</w:t>
            </w:r>
            <w:r w:rsidRPr="001736FD">
              <w:rPr>
                <w:rFonts w:hint="eastAsia"/>
                <w:lang w:val="fr-FR"/>
              </w:rPr>
              <w:t xml:space="preserve"> des bureaux de transfert de technologie de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OMPI </w:t>
            </w:r>
            <w:r w:rsidRPr="001736FD">
              <w:rPr>
                <w:lang w:val="fr-FR"/>
              </w:rPr>
              <w:t>intitulée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“</w:t>
            </w:r>
            <w:r w:rsidRPr="001736FD">
              <w:rPr>
                <w:rFonts w:hint="eastAsia"/>
                <w:lang w:val="fr-FR"/>
              </w:rPr>
              <w:t xml:space="preserve">Travailler ensemble pour commercialiser la </w:t>
            </w:r>
            <w:r w:rsidRPr="001736FD">
              <w:rPr>
                <w:lang w:val="fr-FR"/>
              </w:rPr>
              <w:t>propriété i</w:t>
            </w:r>
            <w:r w:rsidRPr="001736FD">
              <w:rPr>
                <w:rFonts w:hint="eastAsia"/>
                <w:lang w:val="fr-FR"/>
              </w:rPr>
              <w:t>ntellectuelle dans le milieu acad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mique dans la 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gion</w:t>
            </w:r>
            <w:r w:rsidRPr="001736FD">
              <w:rPr>
                <w:lang w:val="fr-FR"/>
              </w:rPr>
              <w:t>”, République tchèque (2016)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</w:tbl>
    <w:p w:rsidR="002B6147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  <w:r w:rsidRPr="001736FD">
        <w:rPr>
          <w:b/>
          <w:szCs w:val="22"/>
          <w:lang w:val="fr-FR"/>
        </w:rPr>
        <w:t>Publications</w:t>
      </w:r>
    </w:p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b/>
          <w:i/>
          <w:szCs w:val="22"/>
          <w:lang w:val="fr-FR"/>
        </w:rPr>
      </w:pPr>
      <w:r w:rsidRPr="001736FD">
        <w:rPr>
          <w:b/>
          <w:i/>
          <w:szCs w:val="22"/>
          <w:lang w:val="fr-FR"/>
        </w:rPr>
        <w:t>Guides et rapports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12"/>
        <w:gridCol w:w="6578"/>
        <w:gridCol w:w="1580"/>
      </w:tblGrid>
      <w:tr w:rsidR="002B6147" w:rsidRPr="002B6147" w:rsidTr="002B6147">
        <w:trPr>
          <w:cantSplit/>
          <w:tblHeader/>
        </w:trPr>
        <w:tc>
          <w:tcPr>
            <w:tcW w:w="6912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578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580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Guide sur les questions de propriété i</w:t>
            </w:r>
            <w:r w:rsidRPr="001736FD">
              <w:rPr>
                <w:rFonts w:hint="eastAsia"/>
                <w:lang w:val="fr-FR"/>
              </w:rPr>
              <w:t>ntellectuelle dans les accords d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>acc</w:t>
            </w:r>
            <w:r w:rsidRPr="001736FD">
              <w:rPr>
                <w:lang w:val="fr-FR"/>
              </w:rPr>
              <w:t>è</w:t>
            </w:r>
            <w:r w:rsidRPr="001736FD">
              <w:rPr>
                <w:rFonts w:hint="eastAsia"/>
                <w:lang w:val="fr-FR"/>
              </w:rPr>
              <w:t>s et de partage des avantages</w:t>
            </w:r>
            <w:r w:rsidRPr="001736FD">
              <w:rPr>
                <w:lang w:val="fr-FR"/>
              </w:rPr>
              <w:t xml:space="preserve"> (en cours)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 pour objectif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aider les fournisseurs et les utilisateurs des ressources génétiques à négocier, élaborer et rédiger des clauses de propriété i</w:t>
            </w:r>
            <w:r w:rsidRPr="001736FD">
              <w:rPr>
                <w:rFonts w:hint="eastAsia"/>
                <w:lang w:val="fr-FR"/>
              </w:rPr>
              <w:t>ntellectuelle selon des modalit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s mutuellement convenues</w:t>
            </w:r>
            <w:r w:rsidRPr="001736FD">
              <w:rPr>
                <w:lang w:val="fr-FR"/>
              </w:rPr>
              <w:t xml:space="preserve">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et le </w:t>
            </w:r>
            <w:r w:rsidRPr="001736FD">
              <w:rPr>
                <w:rFonts w:hint="eastAsia"/>
                <w:lang w:val="fr-FR"/>
              </w:rPr>
              <w:t>partage des avantages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Fournisseurs de ressources g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n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tiques</w:t>
            </w:r>
            <w:r w:rsidRPr="001736FD">
              <w:rPr>
                <w:lang w:val="fr-FR"/>
              </w:rPr>
              <w:t xml:space="preserve"> et de leurs savoirs traditionnels connexes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organismes publics, </w:t>
            </w:r>
            <w:r w:rsidRPr="001736FD">
              <w:rPr>
                <w:rFonts w:hint="eastAsia"/>
                <w:lang w:val="fr-FR"/>
              </w:rPr>
              <w:t>propri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taires fonciers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banques de gènes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 xml:space="preserve">collections </w:t>
            </w:r>
            <w:r w:rsidRPr="00A040D7">
              <w:rPr>
                <w:i/>
                <w:lang w:val="fr-FR"/>
              </w:rPr>
              <w:t>ex situ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peuples autochtones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communautés locales, etc.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 xml:space="preserve">utilisateurs </w:t>
            </w:r>
            <w:r w:rsidRPr="001736FD">
              <w:rPr>
                <w:rFonts w:hint="eastAsia"/>
                <w:lang w:val="fr-FR"/>
              </w:rPr>
              <w:t>de ressources g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n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tiques</w:t>
            </w:r>
            <w:r w:rsidRPr="001736FD">
              <w:rPr>
                <w:lang w:val="fr-FR"/>
              </w:rPr>
              <w:t xml:space="preserve"> et de leurs savoirs traditionnels connexes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entreprises, etc.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4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Publications du 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sur le règlement des litiges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 et de transfert de technologie dont</w:t>
            </w:r>
            <w:r>
              <w:rPr>
                <w:lang w:val="fr-FR"/>
              </w:rPr>
              <w:t> :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Enqu</w:t>
            </w:r>
            <w:r w:rsidRPr="001736FD">
              <w:rPr>
                <w:lang w:val="fr-FR"/>
              </w:rPr>
              <w:t>ê</w:t>
            </w:r>
            <w:r w:rsidRPr="001736FD">
              <w:rPr>
                <w:rFonts w:hint="eastAsia"/>
                <w:lang w:val="fr-FR"/>
              </w:rPr>
              <w:t>te internationale sur le r</w:t>
            </w:r>
            <w:r w:rsidRPr="001736FD">
              <w:rPr>
                <w:lang w:val="fr-FR"/>
              </w:rPr>
              <w:t>è</w:t>
            </w:r>
            <w:r w:rsidRPr="001736FD">
              <w:rPr>
                <w:rFonts w:hint="eastAsia"/>
                <w:lang w:val="fr-FR"/>
              </w:rPr>
              <w:t>glement des litiges dans les transactions en mati</w:t>
            </w:r>
            <w:r w:rsidRPr="001736FD">
              <w:rPr>
                <w:lang w:val="fr-FR"/>
              </w:rPr>
              <w:t>è</w:t>
            </w:r>
            <w:r w:rsidRPr="001736FD">
              <w:rPr>
                <w:rFonts w:hint="eastAsia"/>
                <w:lang w:val="fr-FR"/>
              </w:rPr>
              <w:t>re de technologie</w:t>
            </w:r>
            <w:r w:rsidRPr="001736FD">
              <w:rPr>
                <w:lang w:val="fr-FR"/>
              </w:rPr>
              <w:br/>
              <w:t>Note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information – Rè</w:t>
            </w:r>
            <w:r w:rsidRPr="001736FD">
              <w:rPr>
                <w:rFonts w:hint="eastAsia"/>
                <w:lang w:val="fr-FR"/>
              </w:rPr>
              <w:t>glement</w:t>
            </w:r>
            <w:r w:rsidRPr="001736FD">
              <w:rPr>
                <w:lang w:val="fr-FR"/>
              </w:rPr>
              <w:t xml:space="preserve"> efficace</w:t>
            </w:r>
            <w:r w:rsidRPr="001736FD">
              <w:rPr>
                <w:rFonts w:hint="eastAsia"/>
                <w:lang w:val="fr-FR"/>
              </w:rPr>
              <w:t xml:space="preserve"> des litiges </w:t>
            </w:r>
            <w:r w:rsidRPr="001736FD">
              <w:rPr>
                <w:lang w:val="fr-FR"/>
              </w:rPr>
              <w:t>en ce qui concerne les collaborations en matière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D, la concession de licences et les autres transferts de technologie</w:t>
            </w:r>
            <w:r w:rsidRPr="001736FD">
              <w:rPr>
                <w:lang w:val="fr-FR"/>
              </w:rPr>
              <w:br/>
              <w:t>http://www.wipo.int/amc/fr/center/specific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sectors/rd/index.html</w:t>
            </w:r>
            <w:r w:rsidRPr="001736FD">
              <w:rPr>
                <w:lang w:val="fr-FR"/>
              </w:rPr>
              <w:br/>
              <w:t>http://www.wipo.int/amc/fr/center/bibliography/general.html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Rapports</w:t>
            </w:r>
            <w:r w:rsidRPr="002F0A72">
              <w:rPr>
                <w:rFonts w:hint="eastAsia"/>
                <w:lang w:val="fr-FR"/>
              </w:rPr>
              <w:t xml:space="preserve"> sur les enjeux mondiaux</w:t>
            </w:r>
            <w:r>
              <w:rPr>
                <w:lang w:val="fr-FR"/>
              </w:rPr>
              <w:t xml:space="preserve"> et</w:t>
            </w:r>
            <w:r>
              <w:rPr>
                <w:rFonts w:hint="eastAsia"/>
              </w:rPr>
              <w:t xml:space="preserve"> </w:t>
            </w:r>
            <w:r w:rsidRPr="002F0A72">
              <w:rPr>
                <w:rFonts w:hint="eastAsia"/>
                <w:lang w:val="fr-FR"/>
              </w:rPr>
              <w:t>notes sur les enjeux mondiaux</w:t>
            </w:r>
            <w:r w:rsidRPr="001736FD">
              <w:rPr>
                <w:lang w:val="fr-FR"/>
              </w:rPr>
              <w:br/>
              <w:t>http://www.wipo.int/policy/fr/climate_change/index.html</w:t>
            </w:r>
            <w:r w:rsidRPr="001736FD">
              <w:rPr>
                <w:lang w:val="fr-FR"/>
              </w:rPr>
              <w:br/>
              <w:t>http://www.wipo.int/policy/fr/global_health/documents.html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grand public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18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affaire équilibrée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la négociation des contrats de licence de technologie (Publication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906E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  <w:t>http://www.wipo.int/edocs/pubdocs/fr/licensing/906/wipo_pub_906.pdf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IP </w:t>
            </w:r>
            <w:proofErr w:type="spellStart"/>
            <w:r w:rsidRPr="001736FD">
              <w:rPr>
                <w:lang w:val="fr-FR"/>
              </w:rPr>
              <w:t>Asset</w:t>
            </w:r>
            <w:proofErr w:type="spellEnd"/>
            <w:r w:rsidRPr="001736FD">
              <w:rPr>
                <w:lang w:val="fr-FR"/>
              </w:rPr>
              <w:t xml:space="preserve"> Development and Management</w:t>
            </w:r>
            <w:proofErr w:type="gramStart"/>
            <w:r w:rsidRPr="001736FD">
              <w:rPr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A</w:t>
            </w:r>
            <w:proofErr w:type="spellEnd"/>
            <w:proofErr w:type="gramEnd"/>
            <w:r w:rsidRPr="001736FD">
              <w:rPr>
                <w:lang w:val="fr-FR"/>
              </w:rPr>
              <w:t xml:space="preserve"> Key </w:t>
            </w:r>
            <w:proofErr w:type="spellStart"/>
            <w:r w:rsidRPr="001736FD">
              <w:rPr>
                <w:lang w:val="fr-FR"/>
              </w:rPr>
              <w:t>Strategy</w:t>
            </w:r>
            <w:proofErr w:type="spellEnd"/>
            <w:r w:rsidRPr="001736FD">
              <w:rPr>
                <w:lang w:val="fr-FR"/>
              </w:rPr>
              <w:t xml:space="preserve"> for </w:t>
            </w:r>
            <w:proofErr w:type="spellStart"/>
            <w:r w:rsidRPr="001736FD">
              <w:rPr>
                <w:lang w:val="fr-FR"/>
              </w:rPr>
              <w:t>Economic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Growth</w:t>
            </w:r>
            <w:proofErr w:type="spellEnd"/>
            <w:r w:rsidRPr="001736FD">
              <w:rPr>
                <w:lang w:val="fr-FR"/>
              </w:rPr>
              <w:t xml:space="preserve"> (Publication n° 896</w:t>
            </w:r>
            <w:r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OMPI)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présentant</w:t>
            </w:r>
            <w:r w:rsidRPr="001736FD">
              <w:rPr>
                <w:rFonts w:hint="eastAsia"/>
                <w:lang w:val="fr-FR"/>
              </w:rPr>
              <w:t xml:space="preserve"> les </w:t>
            </w:r>
            <w:r w:rsidRPr="001736FD">
              <w:rPr>
                <w:lang w:val="fr-FR"/>
              </w:rPr>
              <w:t>éléments</w:t>
            </w:r>
            <w:r w:rsidRPr="001736FD">
              <w:rPr>
                <w:rFonts w:hint="eastAsia"/>
                <w:lang w:val="fr-FR"/>
              </w:rPr>
              <w:t xml:space="preserve"> essentiels de la gestion des droits de </w:t>
            </w:r>
            <w:r w:rsidRPr="001736FD">
              <w:rPr>
                <w:lang w:val="fr-FR"/>
              </w:rPr>
              <w:t>propriété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>http://www.wipo.int/edocs/pubdocs/en/intproperty/896/wipo_pub_896.pdf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IP Audit </w:t>
            </w:r>
            <w:proofErr w:type="spellStart"/>
            <w:r w:rsidRPr="001736FD">
              <w:rPr>
                <w:lang w:val="fr-FR"/>
              </w:rPr>
              <w:t>Tool</w:t>
            </w:r>
            <w:proofErr w:type="spellEnd"/>
            <w:r w:rsidRPr="001736FD">
              <w:rPr>
                <w:lang w:val="fr-FR"/>
              </w:rPr>
              <w:t xml:space="preserve"> (Publication n° 927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  <w:t>http://www.wipo.int/edocs/pubdocs/en/intproperty/927/wipo_pub_927.pdf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Ensemble de formation pour la valorisation de la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établissements universitaires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Guide pratique sur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valuation des actifs intangibles dans les organismes de recherche</w:t>
            </w:r>
            <w:r>
              <w:rPr>
                <w:lang w:val="fr-FR"/>
              </w:rPr>
              <w:noBreakHyphen/>
            </w:r>
            <w:r w:rsidRPr="001736FD">
              <w:rPr>
                <w:rFonts w:hint="eastAsia"/>
                <w:lang w:val="fr-FR"/>
              </w:rPr>
              <w:t>d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veloppement</w:t>
            </w:r>
            <w:r w:rsidRPr="001736FD">
              <w:rPr>
                <w:lang w:val="fr-FR"/>
              </w:rPr>
              <w:t xml:space="preserve"> (CDIP/17/INF/2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  <w:t>http://www.wipo.int/meetings/en/doc_details.jsp?doc_id=331542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 xml:space="preserve">Matériel de formation relatif à la </w:t>
            </w:r>
            <w:r w:rsidRPr="001736FD">
              <w:rPr>
                <w:rFonts w:hint="eastAsia"/>
                <w:lang w:val="fr-FR"/>
              </w:rPr>
              <w:t>concession de licences de technologie r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ussie</w:t>
            </w:r>
            <w:r w:rsidRPr="001736FD">
              <w:rPr>
                <w:lang w:val="fr-FR"/>
              </w:rPr>
              <w:br/>
              <w:t>http://www.wipo.int/edocs/pubdocs/en/licensing/903/wipo_pub_903.pdf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(PME)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R</w:t>
            </w:r>
            <w:r w:rsidRPr="001736FD">
              <w:rPr>
                <w:rFonts w:hint="eastAsia"/>
                <w:lang w:val="fr-FR"/>
              </w:rPr>
              <w:t xml:space="preserve">apport </w:t>
            </w:r>
            <w:r w:rsidRPr="001736FD">
              <w:rPr>
                <w:lang w:val="fr-FR"/>
              </w:rPr>
              <w:t>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du Fonds fiduciaire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Australie</w:t>
            </w:r>
            <w:r w:rsidRPr="001736FD">
              <w:rPr>
                <w:rFonts w:hint="eastAsia"/>
                <w:lang w:val="fr-FR"/>
              </w:rPr>
              <w:t xml:space="preserve"> sur la question de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égalité</w:t>
            </w:r>
            <w:r w:rsidRPr="001736FD">
              <w:rPr>
                <w:rFonts w:hint="eastAsia"/>
                <w:lang w:val="fr-FR"/>
              </w:rPr>
              <w:t xml:space="preserve"> des sexes</w:t>
            </w:r>
            <w:r w:rsidRPr="001736FD">
              <w:rPr>
                <w:lang w:val="fr-FR"/>
              </w:rPr>
              <w:t xml:space="preserve"> en rapport avec la question des femmes et la commercialisation de la propriété intellectuelle aux Philippines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Introduction à la valorisation de la propriété intellectuelle – Document conjoint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de LESI (en cours)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912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Modèle de politique de propriété intellectuelle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 et lignes directrices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adaptation du modèle de politique de propriété intellectuelle</w:t>
            </w:r>
          </w:p>
        </w:tc>
        <w:tc>
          <w:tcPr>
            <w:tcW w:w="6578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580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</w:tbl>
    <w:p w:rsidR="002B6147" w:rsidRDefault="002B6147" w:rsidP="002B6147">
      <w:pPr>
        <w:rPr>
          <w:i/>
          <w:szCs w:val="22"/>
          <w:lang w:val="fr-FR"/>
        </w:rPr>
      </w:pPr>
    </w:p>
    <w:p w:rsidR="002B6147" w:rsidRPr="001736FD" w:rsidRDefault="002B6147" w:rsidP="002B6147">
      <w:pPr>
        <w:rPr>
          <w:i/>
          <w:szCs w:val="22"/>
          <w:lang w:val="fr-FR"/>
        </w:rPr>
      </w:pPr>
    </w:p>
    <w:p w:rsidR="002B6147" w:rsidRPr="001736FD" w:rsidRDefault="002B6147" w:rsidP="002B6147">
      <w:pPr>
        <w:rPr>
          <w:i/>
          <w:szCs w:val="22"/>
          <w:lang w:val="fr-FR"/>
        </w:rPr>
      </w:pPr>
      <w:r w:rsidRPr="001736FD">
        <w:rPr>
          <w:b/>
          <w:i/>
          <w:szCs w:val="22"/>
          <w:lang w:val="fr-FR"/>
        </w:rPr>
        <w:t>Compilations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Base de </w:t>
            </w:r>
            <w:r w:rsidRPr="001736FD">
              <w:rPr>
                <w:lang w:val="fr-FR"/>
              </w:rPr>
              <w:t>données des accords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accès et de partage des avantages en matière de biodiversité</w:t>
            </w:r>
            <w:r w:rsidRPr="001736FD">
              <w:rPr>
                <w:lang w:val="fr-FR"/>
              </w:rPr>
              <w:br/>
              <w:t>http://www.wipo.int/tk/en/databases/contracts/</w:t>
            </w:r>
            <w:r w:rsidRPr="001736FD">
              <w:rPr>
                <w:lang w:val="fr-FR"/>
              </w:rPr>
              <w:br/>
              <w:t>Elle contient des accords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accès et de partage des avantages en matière de biodiversité types et effectifs, </w:t>
            </w:r>
            <w:r w:rsidRPr="001736FD">
              <w:rPr>
                <w:rFonts w:hint="eastAsia"/>
                <w:lang w:val="fr-FR"/>
              </w:rPr>
              <w:t>en mettant 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accent sur les aspects de </w:t>
            </w:r>
            <w:r w:rsidRPr="001736FD">
              <w:rPr>
                <w:lang w:val="fr-FR"/>
              </w:rPr>
              <w:t>propriété</w:t>
            </w:r>
            <w:r w:rsidRPr="001736FD">
              <w:rPr>
                <w:rFonts w:hint="eastAsia"/>
                <w:lang w:val="fr-FR"/>
              </w:rPr>
              <w:t xml:space="preserve"> intellectuelle de </w:t>
            </w:r>
            <w:r w:rsidRPr="001736FD">
              <w:rPr>
                <w:lang w:val="fr-FR"/>
              </w:rPr>
              <w:t>ces</w:t>
            </w:r>
            <w:r w:rsidRPr="001736FD">
              <w:rPr>
                <w:rFonts w:hint="eastAsia"/>
                <w:lang w:val="fr-FR"/>
              </w:rPr>
              <w:t xml:space="preserve"> accords</w:t>
            </w:r>
            <w:r w:rsidRPr="001736FD"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Fournisseurs </w:t>
            </w:r>
            <w:r w:rsidRPr="001736FD">
              <w:rPr>
                <w:lang w:val="fr-FR"/>
              </w:rPr>
              <w:t xml:space="preserve">et utilisateurs </w:t>
            </w:r>
            <w:r w:rsidRPr="001736FD">
              <w:rPr>
                <w:rFonts w:hint="eastAsia"/>
                <w:lang w:val="fr-FR"/>
              </w:rPr>
              <w:t>de ressources g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n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tiques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peuples autochtones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communautés locales, entreprises [biotechnologie]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chercheurs</w:t>
            </w:r>
            <w:r>
              <w:rPr>
                <w:lang w:val="fr-FR"/>
              </w:rPr>
              <w:t xml:space="preserve">;  </w:t>
            </w:r>
            <w:r w:rsidRPr="001736FD">
              <w:rPr>
                <w:rFonts w:hint="eastAsia"/>
                <w:lang w:val="fr-FR"/>
              </w:rPr>
              <w:t>obtenteurs de vari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s v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g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agriculteurs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 publics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etc.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Bibliographie relative à </w:t>
            </w:r>
            <w:r w:rsidRPr="001736FD">
              <w:rPr>
                <w:rFonts w:hint="eastAsia"/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rFonts w:hint="eastAsia"/>
                <w:lang w:val="fr-FR"/>
              </w:rPr>
              <w:t xml:space="preserve">arbitrage et de la </w:t>
            </w:r>
            <w:r w:rsidRPr="001736FD">
              <w:rPr>
                <w:lang w:val="fr-FR"/>
              </w:rPr>
              <w:t>médiation en matière de propriété</w:t>
            </w:r>
            <w:r w:rsidRPr="001736FD">
              <w:rPr>
                <w:rFonts w:hint="eastAsia"/>
                <w:lang w:val="fr-FR"/>
              </w:rPr>
              <w:t xml:space="preserve"> intellectuelle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clauses relatives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arbitrage, la médiation et la procédure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expertise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http://www.wipo.int/amc/fr/clauses/index.html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associations;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lastRenderedPageBreak/>
              <w:t>Base de données des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</w:t>
            </w:r>
            <w:r w:rsidRPr="001736FD">
              <w:rPr>
                <w:lang w:val="fr-FR"/>
              </w:rPr>
              <w:br/>
              <w:t>http://www.wipo.int/policy/en/university_ip_policies/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Base de données des politiques nationales de transfert de technologie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OMPI et Fonds fiduciaire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Australie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boîte à outils</w:t>
            </w:r>
            <w:r>
              <w:rPr>
                <w:lang w:val="fr-FR"/>
              </w:rPr>
              <w:t>/</w:t>
            </w:r>
            <w:r w:rsidRPr="001736FD">
              <w:rPr>
                <w:lang w:val="fr-FR"/>
              </w:rPr>
              <w:t>modèles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accords et de lignes directrices de commercialisation des actifs de propriété intellectuelle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Base de </w:t>
            </w:r>
            <w:r w:rsidRPr="001736FD">
              <w:rPr>
                <w:lang w:val="fr-FR"/>
              </w:rPr>
              <w:t>données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OMPI de cadres nationaux concernant les questions </w:t>
            </w:r>
            <w:r w:rsidRPr="001736FD">
              <w:rPr>
                <w:rFonts w:hint="eastAsia"/>
                <w:lang w:val="fr-FR"/>
              </w:rPr>
              <w:t xml:space="preserve">relatives </w:t>
            </w:r>
            <w:r w:rsidRPr="001736FD">
              <w:rPr>
                <w:lang w:val="fr-FR"/>
              </w:rPr>
              <w:t>à la titularité en matière de recherche universitaire et de commercialisation des innovations réalisées dans les universités et les instituts de recherche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</w:tbl>
    <w:p w:rsidR="002B6147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  <w:r w:rsidRPr="001736FD">
        <w:rPr>
          <w:b/>
          <w:i/>
          <w:szCs w:val="22"/>
          <w:lang w:val="fr-FR"/>
        </w:rPr>
        <w:t>Pages</w:t>
      </w:r>
      <w:r>
        <w:rPr>
          <w:b/>
          <w:i/>
          <w:szCs w:val="22"/>
          <w:lang w:val="fr-FR"/>
        </w:rPr>
        <w:t> </w:t>
      </w:r>
      <w:r w:rsidRPr="001736FD">
        <w:rPr>
          <w:b/>
          <w:i/>
          <w:szCs w:val="22"/>
          <w:lang w:val="fr-FR"/>
        </w:rPr>
        <w:t>Web d</w:t>
      </w:r>
      <w:r>
        <w:rPr>
          <w:b/>
          <w:i/>
          <w:szCs w:val="22"/>
          <w:lang w:val="fr-FR"/>
        </w:rPr>
        <w:t>’</w:t>
      </w:r>
      <w:r w:rsidRPr="001736FD">
        <w:rPr>
          <w:b/>
          <w:i/>
          <w:szCs w:val="22"/>
          <w:lang w:val="fr-FR"/>
        </w:rPr>
        <w:t>information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Services de </w:t>
            </w:r>
            <w:r w:rsidRPr="001736FD">
              <w:rPr>
                <w:lang w:val="fr-FR"/>
              </w:rPr>
              <w:t>procédures ADR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pour le secteur de la recherche et du développement</w:t>
            </w:r>
            <w:r w:rsidRPr="001736FD">
              <w:rPr>
                <w:rFonts w:hint="eastAsia"/>
                <w:lang w:val="fr-FR"/>
              </w:rPr>
              <w:t xml:space="preserve"> et du transfert de technologies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http://www.wipo.int/amc/fr/center/specific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sectors/rd/index.html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offices de propriété intellectuelle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Page</w:t>
            </w:r>
            <w:r>
              <w:rPr>
                <w:lang w:val="fr-FR"/>
              </w:rPr>
              <w:t> </w:t>
            </w:r>
            <w:r w:rsidRPr="001736FD">
              <w:rPr>
                <w:lang w:val="fr-FR"/>
              </w:rPr>
              <w:t>Web des politiques de propriété intellectuelle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intention des universités et des instituts de recherche</w:t>
            </w:r>
            <w:r w:rsidRPr="001736FD">
              <w:rPr>
                <w:lang w:val="fr-FR"/>
              </w:rPr>
              <w:br/>
              <w:t>http://www.wipo.int/policy/en/university_ip_policies/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Page</w:t>
            </w:r>
            <w:r>
              <w:rPr>
                <w:lang w:val="fr-FR"/>
              </w:rPr>
              <w:t> </w:t>
            </w:r>
            <w:r w:rsidRPr="001736FD">
              <w:rPr>
                <w:lang w:val="fr-FR"/>
              </w:rPr>
              <w:t>Web relative au transfert de technologie et de connaissances</w:t>
            </w:r>
            <w:r w:rsidRPr="001736FD">
              <w:rPr>
                <w:lang w:val="fr-FR"/>
              </w:rPr>
              <w:br/>
              <w:t>http://www.wipo.int/patents/fr/technology/index.html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</w:tbl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</w:p>
    <w:p w:rsidR="002B6147" w:rsidRPr="001736FD" w:rsidRDefault="002B6147" w:rsidP="002B6147">
      <w:pPr>
        <w:rPr>
          <w:szCs w:val="22"/>
          <w:lang w:val="fr-FR"/>
        </w:rPr>
      </w:pPr>
      <w:r w:rsidRPr="001736FD">
        <w:rPr>
          <w:szCs w:val="22"/>
          <w:lang w:val="fr-FR"/>
        </w:rPr>
        <w:br w:type="page"/>
      </w:r>
      <w:r w:rsidRPr="001736FD">
        <w:rPr>
          <w:b/>
          <w:szCs w:val="22"/>
          <w:lang w:val="fr-FR"/>
        </w:rPr>
        <w:lastRenderedPageBreak/>
        <w:t>Ressources spécialisées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Base de </w:t>
            </w:r>
            <w:r w:rsidRPr="001736FD">
              <w:rPr>
                <w:lang w:val="fr-FR"/>
              </w:rPr>
              <w:t>données</w:t>
            </w:r>
            <w:r w:rsidRPr="001736FD">
              <w:rPr>
                <w:rFonts w:hint="eastAsia"/>
                <w:lang w:val="fr-FR"/>
              </w:rPr>
              <w:t xml:space="preserve"> WIPO GREEN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grand public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18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 xml:space="preserve">Base de </w:t>
            </w:r>
            <w:r w:rsidRPr="001736FD">
              <w:rPr>
                <w:lang w:val="fr-FR"/>
              </w:rPr>
              <w:t>données</w:t>
            </w:r>
            <w:r w:rsidRPr="001736FD">
              <w:rPr>
                <w:rFonts w:hint="eastAsia"/>
                <w:lang w:val="fr-FR"/>
              </w:rPr>
              <w:t xml:space="preserve"> </w:t>
            </w:r>
            <w:r w:rsidRPr="001736FD">
              <w:rPr>
                <w:lang w:val="fr-FR"/>
              </w:rPr>
              <w:t xml:space="preserve">WIPO </w:t>
            </w:r>
            <w:proofErr w:type="spellStart"/>
            <w:r w:rsidRPr="001736FD">
              <w:rPr>
                <w:lang w:val="fr-FR"/>
              </w:rPr>
              <w:t>Re:Search</w:t>
            </w:r>
            <w:proofErr w:type="spellEnd"/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(pharmaceutiques)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grand public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18</w:t>
            </w:r>
          </w:p>
        </w:tc>
      </w:tr>
    </w:tbl>
    <w:p w:rsidR="002B6147" w:rsidRPr="001736FD" w:rsidRDefault="002B6147" w:rsidP="002B6147">
      <w:pPr>
        <w:rPr>
          <w:lang w:val="fr-FR"/>
        </w:rPr>
      </w:pPr>
    </w:p>
    <w:p w:rsidR="002B6147" w:rsidRPr="001736FD" w:rsidRDefault="002B6147" w:rsidP="002B6147">
      <w:pPr>
        <w:rPr>
          <w:lang w:val="fr-FR"/>
        </w:rPr>
      </w:pPr>
    </w:p>
    <w:p w:rsidR="002B6147" w:rsidRPr="001736FD" w:rsidRDefault="002B6147" w:rsidP="002B6147">
      <w:pPr>
        <w:rPr>
          <w:b/>
          <w:szCs w:val="22"/>
          <w:lang w:val="fr-FR"/>
        </w:rPr>
      </w:pPr>
      <w:r w:rsidRPr="001736FD">
        <w:rPr>
          <w:b/>
          <w:szCs w:val="22"/>
          <w:lang w:val="fr-FR"/>
        </w:rPr>
        <w:t>Partenariats</w:t>
      </w:r>
    </w:p>
    <w:p w:rsidR="002B6147" w:rsidRPr="001736FD" w:rsidRDefault="002B6147" w:rsidP="002B6147">
      <w:pPr>
        <w:rPr>
          <w:b/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ind w:left="567" w:hanging="567"/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Collaboration du 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avec les fournisseurs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accords types en matière de R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D et de transfert de technologie concernant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inclusion des clauses de rè</w:t>
            </w:r>
            <w:r w:rsidRPr="001736FD">
              <w:rPr>
                <w:rFonts w:hint="eastAsia"/>
                <w:lang w:val="fr-FR"/>
              </w:rPr>
              <w:t>glement extrajudiciaire des</w:t>
            </w:r>
            <w:r w:rsidRPr="001736FD">
              <w:rPr>
                <w:lang w:val="fr-FR"/>
              </w:rPr>
              <w:t xml:space="preserve"> litiges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</w:t>
            </w:r>
            <w:r>
              <w:rPr>
                <w:lang w:val="fr-FR"/>
              </w:rPr>
              <w:t> :</w:t>
            </w:r>
            <w:r w:rsidRPr="001736FD">
              <w:rPr>
                <w:lang w:val="fr-FR"/>
              </w:rPr>
              <w:t xml:space="preserve"> </w:t>
            </w:r>
            <w:r w:rsidRPr="00B938D0">
              <w:rPr>
                <w:lang w:val="fr-FR"/>
              </w:rPr>
              <w:t xml:space="preserve">accord type de consortium </w:t>
            </w:r>
            <w:r w:rsidRPr="001736FD">
              <w:rPr>
                <w:lang w:val="fr-FR"/>
              </w:rPr>
              <w:t xml:space="preserve">DESCA 2020 (Development of a </w:t>
            </w:r>
            <w:proofErr w:type="spellStart"/>
            <w:r w:rsidRPr="001736FD">
              <w:rPr>
                <w:lang w:val="fr-FR"/>
              </w:rPr>
              <w:t>Simplified</w:t>
            </w:r>
            <w:proofErr w:type="spellEnd"/>
            <w:r w:rsidRPr="001736FD">
              <w:rPr>
                <w:lang w:val="fr-FR"/>
              </w:rPr>
              <w:t xml:space="preserve"> Consortium Agreement) (Union européenne)</w:t>
            </w:r>
            <w:r>
              <w:rPr>
                <w:lang w:val="fr-FR"/>
              </w:rPr>
              <w:t xml:space="preserve">;  </w:t>
            </w:r>
            <w:r w:rsidRPr="00B938D0">
              <w:rPr>
                <w:lang w:val="fr-FR"/>
              </w:rPr>
              <w:t>accord</w:t>
            </w:r>
            <w:r>
              <w:rPr>
                <w:lang w:val="fr-FR"/>
              </w:rPr>
              <w:t>s</w:t>
            </w:r>
            <w:r w:rsidRPr="00B938D0">
              <w:rPr>
                <w:lang w:val="fr-FR"/>
              </w:rPr>
              <w:t xml:space="preserve"> type</w:t>
            </w:r>
            <w:r>
              <w:rPr>
                <w:lang w:val="fr-FR"/>
              </w:rPr>
              <w:t>s</w:t>
            </w:r>
            <w:r w:rsidRPr="00B938D0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l’</w:t>
            </w:r>
            <w:r w:rsidRPr="001736FD">
              <w:rPr>
                <w:lang w:val="fr-FR"/>
              </w:rPr>
              <w:t>IPAG (</w:t>
            </w:r>
            <w:proofErr w:type="spellStart"/>
            <w:r w:rsidRPr="001736FD">
              <w:rPr>
                <w:lang w:val="fr-FR"/>
              </w:rPr>
              <w:t>Intellectual</w:t>
            </w:r>
            <w:proofErr w:type="spellEnd"/>
            <w:r w:rsidRPr="001736FD">
              <w:rPr>
                <w:lang w:val="fr-FR"/>
              </w:rPr>
              <w:t xml:space="preserve"> </w:t>
            </w:r>
            <w:proofErr w:type="spellStart"/>
            <w:r w:rsidRPr="001736FD">
              <w:rPr>
                <w:lang w:val="fr-FR"/>
              </w:rPr>
              <w:t>Property</w:t>
            </w:r>
            <w:proofErr w:type="spellEnd"/>
            <w:r w:rsidRPr="001736FD">
              <w:rPr>
                <w:lang w:val="fr-FR"/>
              </w:rPr>
              <w:t xml:space="preserve"> Agreement Guide) (Autriche)</w:t>
            </w:r>
            <w:r>
              <w:rPr>
                <w:lang w:val="fr-FR"/>
              </w:rPr>
              <w:t xml:space="preserve">;  </w:t>
            </w:r>
            <w:r w:rsidRPr="005F1026">
              <w:rPr>
                <w:lang w:val="fr-FR"/>
              </w:rPr>
              <w:t>Ministère fédé</w:t>
            </w:r>
            <w:r>
              <w:rPr>
                <w:lang w:val="fr-FR"/>
              </w:rPr>
              <w:t>ral de l’</w:t>
            </w:r>
            <w:r w:rsidRPr="005F1026">
              <w:rPr>
                <w:lang w:val="fr-FR"/>
              </w:rPr>
              <w:t>économie</w:t>
            </w:r>
            <w:r w:rsidRPr="005F1026">
              <w:rPr>
                <w:rFonts w:hint="eastAsia"/>
                <w:lang w:val="fr-FR"/>
              </w:rPr>
              <w:t xml:space="preserve"> et de la technologie</w:t>
            </w:r>
            <w:r w:rsidRPr="005F1026"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(</w:t>
            </w:r>
            <w:proofErr w:type="spellStart"/>
            <w:r w:rsidRPr="001736FD">
              <w:rPr>
                <w:lang w:val="fr-FR"/>
              </w:rPr>
              <w:t>BMWi</w:t>
            </w:r>
            <w:proofErr w:type="spellEnd"/>
            <w:r w:rsidRPr="001736FD">
              <w:rPr>
                <w:lang w:val="fr-FR"/>
              </w:rPr>
              <w:t xml:space="preserve">) </w:t>
            </w:r>
            <w:r>
              <w:rPr>
                <w:lang w:val="fr-FR"/>
              </w:rPr>
              <w:t xml:space="preserve">(Allemagne);  </w:t>
            </w:r>
            <w:r w:rsidRPr="00B938D0">
              <w:rPr>
                <w:lang w:val="fr-FR"/>
              </w:rPr>
              <w:t>accord</w:t>
            </w:r>
            <w:r>
              <w:rPr>
                <w:lang w:val="fr-FR"/>
              </w:rPr>
              <w:t>s</w:t>
            </w:r>
            <w:r w:rsidRPr="00B938D0">
              <w:rPr>
                <w:lang w:val="fr-FR"/>
              </w:rPr>
              <w:t xml:space="preserve"> type</w:t>
            </w:r>
            <w:r>
              <w:rPr>
                <w:lang w:val="fr-FR"/>
              </w:rPr>
              <w:t>s</w:t>
            </w:r>
            <w:r w:rsidRPr="00B938D0">
              <w:rPr>
                <w:lang w:val="fr-FR"/>
              </w:rPr>
              <w:t xml:space="preserve"> </w:t>
            </w:r>
            <w:r>
              <w:rPr>
                <w:lang w:val="fr-FR"/>
              </w:rPr>
              <w:t>de</w:t>
            </w:r>
            <w:r>
              <w:t xml:space="preserve"> </w:t>
            </w:r>
            <w:r>
              <w:rPr>
                <w:lang w:val="fr-FR"/>
              </w:rPr>
              <w:t>l’</w:t>
            </w:r>
            <w:r w:rsidRPr="006B6BA4">
              <w:rPr>
                <w:lang w:val="fr-FR"/>
              </w:rPr>
              <w:t>Office espagnol des brevets et des marques</w:t>
            </w:r>
            <w:r>
              <w:rPr>
                <w:lang w:val="fr-FR"/>
              </w:rPr>
              <w:t xml:space="preserve"> (OEPM)</w:t>
            </w:r>
            <w:r w:rsidRPr="001736FD">
              <w:rPr>
                <w:lang w:val="fr-FR"/>
              </w:rPr>
              <w:br/>
              <w:t>http://www.wipo.int/amc/en/center/specific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sectors/rd/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ind w:left="567" w:hanging="567"/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6B6BA4">
              <w:rPr>
                <w:rFonts w:hint="eastAsia"/>
                <w:lang w:val="fr-FR"/>
              </w:rPr>
              <w:t xml:space="preserve">Programme </w:t>
            </w:r>
            <w:r>
              <w:rPr>
                <w:lang w:val="fr-FR"/>
              </w:rPr>
              <w:t>d’a</w:t>
            </w:r>
            <w:r w:rsidRPr="006B6BA4">
              <w:rPr>
                <w:lang w:val="fr-FR"/>
              </w:rPr>
              <w:t>ccès à la recherche pour le développement</w:t>
            </w:r>
            <w:r>
              <w:rPr>
                <w:rFonts w:hint="eastAsia"/>
                <w:lang w:val="fr-FR"/>
              </w:rPr>
              <w:t xml:space="preserve"> et l</w:t>
            </w:r>
            <w:r>
              <w:rPr>
                <w:lang w:val="fr-FR"/>
              </w:rPr>
              <w:t>’</w:t>
            </w:r>
            <w:r w:rsidRPr="006B6BA4">
              <w:rPr>
                <w:rFonts w:hint="eastAsia"/>
                <w:lang w:val="fr-FR"/>
              </w:rPr>
              <w:t>innovation</w:t>
            </w:r>
            <w:r w:rsidRPr="006B6BA4"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(ARDI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</w:r>
            <w:r w:rsidRPr="009E79BA">
              <w:rPr>
                <w:lang w:val="fr-FR"/>
              </w:rPr>
              <w:t>http://www.wipo.int/ardi/fr/index.html</w:t>
            </w:r>
            <w:r w:rsidRPr="001736FD">
              <w:rPr>
                <w:lang w:val="fr-FR"/>
              </w:rPr>
              <w:br/>
            </w:r>
            <w:r>
              <w:rPr>
                <w:lang w:val="fr-FR"/>
              </w:rPr>
              <w:t>Permet aux</w:t>
            </w:r>
            <w:r w:rsidRPr="001736FD">
              <w:rPr>
                <w:lang w:val="fr-FR"/>
              </w:rPr>
              <w:t xml:space="preserve"> </w:t>
            </w:r>
            <w:r w:rsidRPr="009E79BA">
              <w:rPr>
                <w:lang w:val="fr-FR"/>
              </w:rPr>
              <w:t xml:space="preserve">organisations </w:t>
            </w:r>
            <w:r>
              <w:rPr>
                <w:lang w:val="fr-FR"/>
              </w:rPr>
              <w:t>des</w:t>
            </w:r>
            <w:r w:rsidRPr="009E79BA"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pays en développement</w:t>
            </w:r>
            <w:r>
              <w:rPr>
                <w:lang w:val="fr-FR"/>
              </w:rPr>
              <w:t xml:space="preserve"> d’accéder</w:t>
            </w:r>
            <w:r w:rsidRPr="009E79BA">
              <w:rPr>
                <w:lang w:val="fr-FR"/>
              </w:rPr>
              <w:t xml:space="preserve"> gratuit</w:t>
            </w:r>
            <w:r>
              <w:rPr>
                <w:lang w:val="fr-FR"/>
              </w:rPr>
              <w:t>ement</w:t>
            </w:r>
            <w:r w:rsidRPr="009E79BA">
              <w:rPr>
                <w:lang w:val="fr-FR"/>
              </w:rPr>
              <w:t xml:space="preserve"> ou à bas prix à une documentation scientifique et technique</w:t>
            </w:r>
            <w:r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ind w:left="567" w:hanging="567"/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14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Accès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à</w:t>
            </w:r>
            <w:r w:rsidRPr="001736FD">
              <w:rPr>
                <w:lang w:val="fr-FR"/>
              </w:rPr>
              <w:t xml:space="preserve"> </w:t>
            </w:r>
            <w:r>
              <w:rPr>
                <w:rFonts w:hint="eastAsia"/>
                <w:lang w:val="fr-FR"/>
              </w:rPr>
              <w:t>l</w:t>
            </w:r>
            <w:r>
              <w:rPr>
                <w:lang w:val="fr-FR"/>
              </w:rPr>
              <w:t>’i</w:t>
            </w:r>
            <w:r w:rsidRPr="00D92A17">
              <w:rPr>
                <w:rFonts w:hint="eastAsia"/>
                <w:lang w:val="fr-FR"/>
              </w:rPr>
              <w:t xml:space="preserve">nformation </w:t>
            </w:r>
            <w:r w:rsidRPr="00D92A17">
              <w:rPr>
                <w:lang w:val="fr-FR"/>
              </w:rPr>
              <w:t>spécialisée en matière</w:t>
            </w:r>
            <w:r w:rsidRPr="00D92A17">
              <w:rPr>
                <w:rFonts w:hint="eastAsia"/>
                <w:lang w:val="fr-FR"/>
              </w:rPr>
              <w:t xml:space="preserve"> de brevets</w:t>
            </w:r>
            <w:r w:rsidRPr="00D92A17"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(ASPI</w:t>
            </w:r>
            <w:proofErr w:type="gramStart"/>
            <w:r w:rsidRPr="001736FD"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</w:r>
            <w:r w:rsidRPr="00D92A17">
              <w:rPr>
                <w:lang w:val="fr-FR"/>
              </w:rPr>
              <w:t>http://www.wipo.int/aspi/fr/index.html</w:t>
            </w:r>
            <w:r w:rsidRPr="001736FD">
              <w:rPr>
                <w:lang w:val="fr-FR"/>
              </w:rPr>
              <w:br/>
            </w:r>
            <w:r>
              <w:rPr>
                <w:lang w:val="fr-FR"/>
              </w:rPr>
              <w:t>Permet aux</w:t>
            </w:r>
            <w:r w:rsidRPr="001736FD">
              <w:rPr>
                <w:lang w:val="fr-FR"/>
              </w:rPr>
              <w:t xml:space="preserve"> </w:t>
            </w:r>
            <w:r w:rsidRPr="009E79BA">
              <w:rPr>
                <w:lang w:val="fr-FR"/>
              </w:rPr>
              <w:t xml:space="preserve">organisations </w:t>
            </w:r>
            <w:r>
              <w:rPr>
                <w:lang w:val="fr-FR"/>
              </w:rPr>
              <w:t>des</w:t>
            </w:r>
            <w:r w:rsidRPr="009E79BA">
              <w:rPr>
                <w:lang w:val="fr-FR"/>
              </w:rPr>
              <w:t xml:space="preserve"> </w:t>
            </w:r>
            <w:r w:rsidRPr="001736FD">
              <w:rPr>
                <w:lang w:val="fr-FR"/>
              </w:rPr>
              <w:t>pays en développement</w:t>
            </w:r>
            <w:r>
              <w:rPr>
                <w:lang w:val="fr-FR"/>
              </w:rPr>
              <w:t xml:space="preserve"> d’accéder</w:t>
            </w:r>
            <w:r w:rsidRPr="009E79BA">
              <w:rPr>
                <w:lang w:val="fr-FR"/>
              </w:rPr>
              <w:t xml:space="preserve"> gratuit</w:t>
            </w:r>
            <w:r>
              <w:rPr>
                <w:lang w:val="fr-FR"/>
              </w:rPr>
              <w:t>ement</w:t>
            </w:r>
            <w:r w:rsidRPr="009E79BA">
              <w:rPr>
                <w:lang w:val="fr-FR"/>
              </w:rPr>
              <w:t xml:space="preserve"> ou à bas prix </w:t>
            </w:r>
            <w:r>
              <w:rPr>
                <w:lang w:val="fr-FR"/>
              </w:rPr>
              <w:t xml:space="preserve">aux </w:t>
            </w:r>
            <w:r>
              <w:rPr>
                <w:rFonts w:hint="eastAsia"/>
                <w:lang w:val="fr-FR"/>
              </w:rPr>
              <w:t>base</w:t>
            </w:r>
            <w:r>
              <w:rPr>
                <w:lang w:val="fr-FR"/>
              </w:rPr>
              <w:t>s</w:t>
            </w:r>
            <w:r>
              <w:rPr>
                <w:rFonts w:hint="eastAsia"/>
                <w:lang w:val="fr-FR"/>
              </w:rPr>
              <w:t xml:space="preserve"> de </w:t>
            </w:r>
            <w:r w:rsidRPr="00D92A17">
              <w:rPr>
                <w:lang w:val="fr-FR"/>
              </w:rPr>
              <w:t>données</w:t>
            </w:r>
            <w:r w:rsidRPr="001736FD">
              <w:rPr>
                <w:lang w:val="fr-FR"/>
              </w:rPr>
              <w:t xml:space="preserve"> </w:t>
            </w:r>
            <w:r w:rsidRPr="0016553C">
              <w:rPr>
                <w:rFonts w:hint="eastAsia"/>
                <w:lang w:val="fr-FR"/>
              </w:rPr>
              <w:t xml:space="preserve">bases de </w:t>
            </w:r>
            <w:r w:rsidRPr="00D92A17">
              <w:rPr>
                <w:lang w:val="fr-FR"/>
              </w:rPr>
              <w:t>données</w:t>
            </w:r>
            <w:r w:rsidRPr="001736FD">
              <w:rPr>
                <w:lang w:val="fr-FR"/>
              </w:rPr>
              <w:t xml:space="preserve"> </w:t>
            </w:r>
            <w:r w:rsidRPr="0016553C">
              <w:rPr>
                <w:rFonts w:hint="eastAsia"/>
                <w:lang w:val="fr-FR"/>
              </w:rPr>
              <w:t>commerciales concernant les brevets</w:t>
            </w:r>
            <w:r w:rsidRPr="001736FD"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ind w:left="567" w:hanging="567"/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14</w:t>
            </w:r>
          </w:p>
        </w:tc>
      </w:tr>
    </w:tbl>
    <w:p w:rsidR="002B6147" w:rsidRDefault="002B6147" w:rsidP="002B6147">
      <w:pPr>
        <w:rPr>
          <w:b/>
          <w:szCs w:val="22"/>
          <w:lang w:val="fr-FR"/>
        </w:rPr>
      </w:pPr>
    </w:p>
    <w:p w:rsidR="002B6147" w:rsidRPr="001736FD" w:rsidRDefault="002B6147" w:rsidP="002B6147">
      <w:pPr>
        <w:rPr>
          <w:b/>
          <w:szCs w:val="22"/>
          <w:lang w:val="fr-FR"/>
        </w:rPr>
      </w:pPr>
    </w:p>
    <w:p w:rsidR="002B6147" w:rsidRPr="001736FD" w:rsidRDefault="002B6147" w:rsidP="002B6147">
      <w:pPr>
        <w:rPr>
          <w:b/>
          <w:szCs w:val="22"/>
          <w:lang w:val="fr-FR"/>
        </w:rPr>
      </w:pPr>
      <w:r w:rsidRPr="001736FD">
        <w:rPr>
          <w:rFonts w:hint="eastAsia"/>
          <w:b/>
          <w:szCs w:val="22"/>
          <w:lang w:val="fr-FR"/>
        </w:rPr>
        <w:t>Activit</w:t>
      </w:r>
      <w:r w:rsidRPr="001736FD">
        <w:rPr>
          <w:b/>
          <w:szCs w:val="22"/>
          <w:lang w:val="fr-FR"/>
        </w:rPr>
        <w:t>és</w:t>
      </w:r>
      <w:r w:rsidRPr="001736FD">
        <w:rPr>
          <w:rFonts w:hint="eastAsia"/>
          <w:b/>
          <w:szCs w:val="22"/>
          <w:lang w:val="fr-FR"/>
        </w:rPr>
        <w:t xml:space="preserve"> d</w:t>
      </w:r>
      <w:r>
        <w:rPr>
          <w:b/>
          <w:szCs w:val="22"/>
          <w:lang w:val="fr-FR"/>
        </w:rPr>
        <w:t>’</w:t>
      </w:r>
      <w:r w:rsidRPr="001736FD">
        <w:rPr>
          <w:rFonts w:hint="eastAsia"/>
          <w:b/>
          <w:szCs w:val="22"/>
          <w:lang w:val="fr-FR"/>
        </w:rPr>
        <w:t>assistance technique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79"/>
        <w:gridCol w:w="6607"/>
        <w:gridCol w:w="1584"/>
      </w:tblGrid>
      <w:tr w:rsidR="002B6147" w:rsidRPr="002B6147" w:rsidTr="002B6147">
        <w:trPr>
          <w:cantSplit/>
          <w:tblHeader/>
        </w:trPr>
        <w:tc>
          <w:tcPr>
            <w:tcW w:w="6491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33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Assistance aux a</w:t>
            </w:r>
            <w:r w:rsidRPr="001736FD">
              <w:rPr>
                <w:rFonts w:hint="eastAsia"/>
                <w:lang w:val="fr-FR"/>
              </w:rPr>
              <w:t>utorit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s de d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pôt internationales</w:t>
            </w:r>
            <w:r w:rsidRPr="001736FD">
              <w:rPr>
                <w:lang w:val="fr-FR"/>
              </w:rPr>
              <w:t xml:space="preserve"> (ADI) en vertu du</w:t>
            </w:r>
            <w:r w:rsidRPr="001736FD">
              <w:rPr>
                <w:rFonts w:hint="eastAsia"/>
                <w:lang w:val="fr-FR"/>
              </w:rPr>
              <w:t xml:space="preserve"> Trait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 xml:space="preserve"> de Budapest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rFonts w:hint="eastAsia"/>
                <w:lang w:val="fr-FR"/>
              </w:rPr>
              <w:t>Autorit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s de d</w:t>
            </w:r>
            <w:r w:rsidRPr="001736FD">
              <w:rPr>
                <w:lang w:val="fr-FR"/>
              </w:rPr>
              <w:t>é</w:t>
            </w:r>
            <w:r w:rsidRPr="001736FD">
              <w:rPr>
                <w:rFonts w:hint="eastAsia"/>
                <w:lang w:val="fr-FR"/>
              </w:rPr>
              <w:t>pôt internationales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Groupe relatif à la R</w:t>
            </w:r>
            <w:r>
              <w:rPr>
                <w:lang w:val="fr-FR"/>
              </w:rPr>
              <w:noBreakHyphen/>
              <w:t xml:space="preserve">D et au transfert de technologies du </w:t>
            </w:r>
            <w:r w:rsidRPr="001736FD">
              <w:rPr>
                <w:lang w:val="fr-FR"/>
              </w:rPr>
              <w:t>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</w:t>
            </w:r>
            <w:r w:rsidRPr="001736FD">
              <w:rPr>
                <w:lang w:val="fr-FR"/>
              </w:rPr>
              <w:br/>
            </w:r>
            <w:r w:rsidRPr="008C7EA7">
              <w:rPr>
                <w:lang w:val="fr-FR"/>
              </w:rPr>
              <w:t>http://www.wipo.int/amc/fr/center/specific</w:t>
            </w:r>
            <w:r>
              <w:rPr>
                <w:lang w:val="fr-FR"/>
              </w:rPr>
              <w:noBreakHyphen/>
            </w:r>
            <w:r w:rsidRPr="008C7EA7">
              <w:rPr>
                <w:lang w:val="fr-FR"/>
              </w:rPr>
              <w:t>sectors/rd/index.html</w:t>
            </w:r>
            <w:r w:rsidRPr="001736FD">
              <w:rPr>
                <w:lang w:val="fr-FR"/>
              </w:rPr>
              <w:br/>
              <w:t>http://www.wipo.int/amc/en/neutrals/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Offices de propriété intellectuelle</w:t>
            </w:r>
            <w:r w:rsidRPr="001736FD">
              <w:rPr>
                <w:lang w:val="fr-FR"/>
              </w:rPr>
              <w:br/>
              <w:t>Conseils en brevets et marques, juristes, agents des offices de transfert de technologie, spécialistes en matière de règlement des litiges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Groupe relatif à la R</w:t>
            </w:r>
            <w:r>
              <w:rPr>
                <w:lang w:val="fr-FR"/>
              </w:rPr>
              <w:noBreakHyphen/>
              <w:t xml:space="preserve">D et au transfert de technologies du </w:t>
            </w:r>
            <w:r w:rsidRPr="001736FD">
              <w:rPr>
                <w:lang w:val="fr-FR"/>
              </w:rPr>
              <w:t>Centre d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arbitrage et de médiation de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</w:t>
            </w:r>
            <w:r w:rsidRPr="001736FD">
              <w:rPr>
                <w:lang w:val="fr-FR"/>
              </w:rPr>
              <w:br/>
              <w:t>http://www.wipo.int/amc/en/neutrals/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associations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7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  <w:vAlign w:val="bottom"/>
          </w:tcPr>
          <w:p w:rsidR="002B6147" w:rsidRPr="00642909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Examen d’un cursus de</w:t>
            </w:r>
            <w:r w:rsidRPr="001736FD">
              <w:rPr>
                <w:lang w:val="fr-FR"/>
              </w:rPr>
              <w:t xml:space="preserve">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pour un programme </w:t>
            </w:r>
            <w:r w:rsidRPr="004E4D09">
              <w:rPr>
                <w:rFonts w:hint="eastAsia"/>
                <w:lang w:val="fr-FR"/>
              </w:rPr>
              <w:t xml:space="preserve">de </w:t>
            </w:r>
            <w:r w:rsidRPr="004E4D09">
              <w:rPr>
                <w:lang w:val="fr-FR"/>
              </w:rPr>
              <w:t>troisième </w:t>
            </w:r>
            <w:r w:rsidRPr="004E4D09">
              <w:rPr>
                <w:rFonts w:hint="eastAsia"/>
                <w:lang w:val="fr-FR"/>
              </w:rPr>
              <w:t>cycle</w:t>
            </w:r>
            <w:r w:rsidRPr="004E4D09">
              <w:rPr>
                <w:lang w:val="fr-FR"/>
              </w:rPr>
              <w:t xml:space="preserve"> </w:t>
            </w:r>
            <w:r>
              <w:rPr>
                <w:lang w:val="fr-FR"/>
              </w:rPr>
              <w:t>(Nicaragua</w:t>
            </w:r>
            <w:proofErr w:type="gramStart"/>
            <w:r>
              <w:rPr>
                <w:lang w:val="fr-FR"/>
              </w:rPr>
              <w:t>)</w:t>
            </w:r>
            <w:proofErr w:type="gramEnd"/>
            <w:r w:rsidRPr="001736FD">
              <w:rPr>
                <w:lang w:val="fr-FR"/>
              </w:rPr>
              <w:br/>
              <w:t>Organi</w:t>
            </w:r>
            <w:r>
              <w:rPr>
                <w:lang w:val="fr-FR"/>
              </w:rPr>
              <w:t>sé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</w:t>
            </w:r>
            <w:r w:rsidRPr="001736FD">
              <w:rPr>
                <w:lang w:val="fr-FR"/>
              </w:rPr>
              <w:t>joint</w:t>
            </w:r>
            <w:r>
              <w:rPr>
                <w:lang w:val="fr-FR"/>
              </w:rPr>
              <w:t>ement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par une</w:t>
            </w:r>
            <w:r w:rsidRPr="001736FD">
              <w:rPr>
                <w:lang w:val="fr-FR"/>
              </w:rPr>
              <w:t xml:space="preserve"> université </w:t>
            </w:r>
            <w:r>
              <w:rPr>
                <w:lang w:val="fr-FR"/>
              </w:rPr>
              <w:t xml:space="preserve">nationale et le </w:t>
            </w:r>
            <w:r w:rsidRPr="00642909">
              <w:rPr>
                <w:lang w:val="fr-FR"/>
              </w:rPr>
              <w:t>Conseil du Nicaragua pour la science et la technologie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(universités)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  <w:vAlign w:val="bottom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Support </w:t>
            </w:r>
            <w:r>
              <w:rPr>
                <w:lang w:val="fr-FR"/>
              </w:rPr>
              <w:t>à l’é</w:t>
            </w:r>
            <w:r w:rsidRPr="001736FD">
              <w:rPr>
                <w:lang w:val="fr-FR"/>
              </w:rPr>
              <w:t xml:space="preserve">laboration </w:t>
            </w:r>
            <w:r>
              <w:rPr>
                <w:lang w:val="fr-FR"/>
              </w:rPr>
              <w:t>d’une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politique de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à l’Université</w:t>
            </w:r>
            <w:r w:rsidRPr="001736FD">
              <w:rPr>
                <w:lang w:val="fr-FR"/>
              </w:rPr>
              <w:t xml:space="preserve"> Galileo </w:t>
            </w:r>
            <w:r>
              <w:rPr>
                <w:lang w:val="fr-FR"/>
              </w:rPr>
              <w:t>(</w:t>
            </w:r>
            <w:r w:rsidRPr="001736FD">
              <w:rPr>
                <w:lang w:val="fr-FR"/>
              </w:rPr>
              <w:t>Guatemala</w:t>
            </w:r>
            <w:r>
              <w:rPr>
                <w:lang w:val="fr-FR"/>
              </w:rPr>
              <w:t>)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Établissements universitaires (</w:t>
            </w:r>
            <w:r>
              <w:rPr>
                <w:lang w:val="fr-FR"/>
              </w:rPr>
              <w:t>Université</w:t>
            </w:r>
            <w:r w:rsidRPr="001736FD">
              <w:rPr>
                <w:lang w:val="fr-FR"/>
              </w:rPr>
              <w:t xml:space="preserve"> Galileo)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9</w:t>
            </w:r>
          </w:p>
        </w:tc>
      </w:tr>
      <w:tr w:rsidR="002B6147" w:rsidRPr="001736FD" w:rsidTr="002B6147">
        <w:trPr>
          <w:cantSplit/>
        </w:trPr>
        <w:tc>
          <w:tcPr>
            <w:tcW w:w="6491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 xml:space="preserve">Politiques de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à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intention des universités et des instituts de recherche </w:t>
            </w:r>
            <w:r>
              <w:rPr>
                <w:lang w:val="fr-FR"/>
              </w:rPr>
              <w:t>en</w:t>
            </w:r>
            <w:r w:rsidRPr="001736FD">
              <w:rPr>
                <w:lang w:val="fr-FR"/>
              </w:rPr>
              <w:t xml:space="preserve"> Azerbaïdjan, </w:t>
            </w:r>
            <w:r>
              <w:rPr>
                <w:lang w:val="fr-FR"/>
              </w:rPr>
              <w:t>dans la</w:t>
            </w:r>
            <w:r w:rsidRPr="001736FD">
              <w:rPr>
                <w:lang w:val="fr-FR"/>
              </w:rPr>
              <w:t xml:space="preserve"> Fédération de Russie</w:t>
            </w:r>
            <w:r>
              <w:rPr>
                <w:lang w:val="fr-FR"/>
              </w:rPr>
              <w:t xml:space="preserve"> et en </w:t>
            </w:r>
            <w:r w:rsidRPr="001736FD">
              <w:rPr>
                <w:lang w:val="fr-FR"/>
              </w:rPr>
              <w:t>Ukraine</w:t>
            </w:r>
          </w:p>
        </w:tc>
        <w:tc>
          <w:tcPr>
            <w:tcW w:w="6233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</w:tbl>
    <w:p w:rsidR="002B6147" w:rsidRPr="002B6147" w:rsidRDefault="002B6147">
      <w:pPr>
        <w:rPr>
          <w:b/>
          <w:sz w:val="18"/>
          <w:szCs w:val="22"/>
          <w:lang w:val="fr-FR"/>
        </w:rPr>
      </w:pPr>
      <w:r w:rsidRPr="002B6147">
        <w:rPr>
          <w:b/>
          <w:sz w:val="18"/>
          <w:szCs w:val="22"/>
          <w:lang w:val="fr-FR"/>
        </w:rPr>
        <w:br w:type="page"/>
      </w:r>
    </w:p>
    <w:p w:rsidR="002B6147" w:rsidRPr="001736FD" w:rsidRDefault="002B6147" w:rsidP="002B6147">
      <w:pPr>
        <w:rPr>
          <w:b/>
          <w:szCs w:val="22"/>
          <w:lang w:val="fr-FR"/>
        </w:rPr>
      </w:pPr>
      <w:r w:rsidRPr="001736FD">
        <w:rPr>
          <w:b/>
          <w:szCs w:val="22"/>
          <w:lang w:val="fr-FR"/>
        </w:rPr>
        <w:lastRenderedPageBreak/>
        <w:t>Projets</w:t>
      </w:r>
    </w:p>
    <w:p w:rsidR="002B6147" w:rsidRPr="001736FD" w:rsidRDefault="002B6147" w:rsidP="002B6147">
      <w:pPr>
        <w:rPr>
          <w:szCs w:val="22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93"/>
        <w:gridCol w:w="6593"/>
        <w:gridCol w:w="1584"/>
      </w:tblGrid>
      <w:tr w:rsidR="002B6147" w:rsidRPr="002B6147" w:rsidTr="002B6147">
        <w:trPr>
          <w:cantSplit/>
          <w:tblHeader/>
        </w:trPr>
        <w:tc>
          <w:tcPr>
            <w:tcW w:w="6504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Activité et description</w:t>
            </w:r>
          </w:p>
        </w:tc>
        <w:tc>
          <w:tcPr>
            <w:tcW w:w="6220" w:type="dxa"/>
          </w:tcPr>
          <w:p w:rsidR="002B6147" w:rsidRPr="002B6147" w:rsidRDefault="002B6147" w:rsidP="002B6147">
            <w:pPr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Public cible</w:t>
            </w:r>
          </w:p>
        </w:tc>
        <w:tc>
          <w:tcPr>
            <w:tcW w:w="1494" w:type="dxa"/>
          </w:tcPr>
          <w:p w:rsidR="002B6147" w:rsidRPr="002B6147" w:rsidRDefault="002B6147" w:rsidP="002B6147">
            <w:pPr>
              <w:jc w:val="center"/>
              <w:rPr>
                <w:b/>
                <w:lang w:val="fr-FR"/>
              </w:rPr>
            </w:pPr>
            <w:r w:rsidRPr="002B6147">
              <w:rPr>
                <w:b/>
                <w:lang w:val="fr-FR"/>
              </w:rPr>
              <w:t>Programme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BD57C4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Program</w:t>
            </w:r>
            <w:r>
              <w:rPr>
                <w:lang w:val="fr-FR"/>
              </w:rPr>
              <w:t>me d’a</w:t>
            </w:r>
            <w:r w:rsidRPr="001736FD">
              <w:rPr>
                <w:lang w:val="fr-FR"/>
              </w:rPr>
              <w:t>ssistance</w:t>
            </w:r>
            <w:r>
              <w:rPr>
                <w:lang w:val="fr-FR"/>
              </w:rPr>
              <w:t xml:space="preserve"> aux inventeurs</w:t>
            </w:r>
            <w:r w:rsidRPr="001736FD">
              <w:rPr>
                <w:lang w:val="fr-FR"/>
              </w:rPr>
              <w:br/>
            </w:r>
            <w:r w:rsidRPr="00BD57C4">
              <w:rPr>
                <w:lang w:val="fr-FR"/>
              </w:rPr>
              <w:t>http://www.wipo.int/iap/fr/index.html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BD57C4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Projets régiona</w:t>
            </w:r>
            <w:r>
              <w:rPr>
                <w:lang w:val="fr-FR"/>
              </w:rPr>
              <w:t>ux</w:t>
            </w:r>
            <w:r>
              <w:t xml:space="preserve"> </w:t>
            </w:r>
            <w:r w:rsidRPr="00BD57C4">
              <w:rPr>
                <w:lang w:val="fr-FR"/>
              </w:rPr>
              <w:t>de mise en relation pour</w:t>
            </w:r>
            <w:r w:rsidRPr="001736FD">
              <w:rPr>
                <w:lang w:val="fr-FR"/>
              </w:rPr>
              <w:t xml:space="preserve"> WIPO GREEN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https://www3.wipo.int/wipogreen/en/network/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Axés sur des domaines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technologiques</w:t>
            </w:r>
            <w:r w:rsidRPr="001736FD">
              <w:rPr>
                <w:lang w:val="fr-FR"/>
              </w:rPr>
              <w:t xml:space="preserve"> spécifiques.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industrie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grand public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18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Collaborations</w:t>
            </w:r>
            <w:r>
              <w:rPr>
                <w:rFonts w:hint="eastAsia"/>
              </w:rPr>
              <w:t xml:space="preserve"> </w:t>
            </w:r>
            <w:r w:rsidRPr="007F62FF">
              <w:rPr>
                <w:rFonts w:hint="eastAsia"/>
                <w:lang w:val="fr-FR"/>
              </w:rPr>
              <w:t xml:space="preserve">en </w:t>
            </w:r>
            <w:r w:rsidRPr="00D8064E">
              <w:rPr>
                <w:lang w:val="fr-FR"/>
              </w:rPr>
              <w:t>matière</w:t>
            </w:r>
            <w:r w:rsidRPr="007F62FF">
              <w:rPr>
                <w:rFonts w:hint="eastAsia"/>
                <w:lang w:val="fr-FR"/>
              </w:rPr>
              <w:t xml:space="preserve"> de recherche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sur les maladies tropicales</w:t>
            </w:r>
            <w:r w:rsidRPr="001736FD">
              <w:rPr>
                <w:lang w:val="fr-FR"/>
              </w:rPr>
              <w:t xml:space="preserve"> </w:t>
            </w:r>
            <w:r w:rsidRPr="00C51DDE">
              <w:rPr>
                <w:lang w:val="fr-FR"/>
              </w:rPr>
              <w:t>négligées</w:t>
            </w:r>
            <w:r w:rsidRPr="001736FD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la </w:t>
            </w:r>
            <w:r w:rsidRPr="001736FD">
              <w:rPr>
                <w:lang w:val="fr-FR"/>
              </w:rPr>
              <w:t xml:space="preserve">malaria </w:t>
            </w:r>
            <w:r>
              <w:rPr>
                <w:lang w:val="fr-FR"/>
              </w:rPr>
              <w:t>et la</w:t>
            </w:r>
            <w:r w:rsidRPr="001736FD">
              <w:rPr>
                <w:lang w:val="fr-FR"/>
              </w:rPr>
              <w:t xml:space="preserve"> tuberculose</w:t>
            </w:r>
            <w:r>
              <w:rPr>
                <w:lang w:val="fr-FR"/>
              </w:rPr>
              <w:t xml:space="preserve"> dans le cadre de</w:t>
            </w:r>
            <w:r w:rsidRPr="001736FD">
              <w:rPr>
                <w:lang w:val="fr-FR"/>
              </w:rPr>
              <w:t xml:space="preserve"> WIPO </w:t>
            </w:r>
            <w:proofErr w:type="spellStart"/>
            <w:r w:rsidRPr="001736FD">
              <w:rPr>
                <w:lang w:val="fr-FR"/>
              </w:rPr>
              <w:t>Re:Search</w:t>
            </w:r>
            <w:proofErr w:type="spellEnd"/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de la société civile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industrie (pharmaceutique)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grand public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18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Projets </w:t>
            </w:r>
            <w:r>
              <w:rPr>
                <w:lang w:val="fr-FR"/>
              </w:rPr>
              <w:t>visant à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aider les</w:t>
            </w:r>
            <w:r w:rsidRPr="001736FD">
              <w:rPr>
                <w:lang w:val="fr-FR"/>
              </w:rPr>
              <w:t xml:space="preserve"> </w:t>
            </w:r>
            <w:r>
              <w:rPr>
                <w:rFonts w:hint="eastAsia"/>
                <w:lang w:val="fr-FR"/>
              </w:rPr>
              <w:t>États membres</w:t>
            </w:r>
            <w:r>
              <w:rPr>
                <w:lang w:val="fr-FR"/>
              </w:rPr>
              <w:t xml:space="preserve"> à</w:t>
            </w:r>
            <w:r w:rsidRPr="001736FD">
              <w:rPr>
                <w:lang w:val="fr-FR"/>
              </w:rPr>
              <w:t xml:space="preserve"> </w:t>
            </w:r>
            <w:r w:rsidRPr="00C51DDE">
              <w:rPr>
                <w:lang w:val="fr-FR"/>
              </w:rPr>
              <w:t xml:space="preserve">inclure </w:t>
            </w:r>
            <w:r w:rsidRPr="00080D34">
              <w:rPr>
                <w:rFonts w:hint="eastAsia"/>
                <w:lang w:val="fr-FR"/>
              </w:rPr>
              <w:t xml:space="preserve">les </w:t>
            </w:r>
            <w:r>
              <w:rPr>
                <w:lang w:val="fr-FR"/>
              </w:rPr>
              <w:t>questions</w:t>
            </w:r>
            <w:r w:rsidRPr="00080D34">
              <w:rPr>
                <w:rFonts w:hint="eastAsia"/>
                <w:lang w:val="fr-FR"/>
              </w:rPr>
              <w:t xml:space="preserve"> de</w:t>
            </w:r>
            <w:r w:rsidRPr="00080D34">
              <w:rPr>
                <w:lang w:val="fr-FR"/>
              </w:rPr>
              <w:t xml:space="preserve">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et de </w:t>
            </w:r>
            <w:r w:rsidRPr="001736FD">
              <w:rPr>
                <w:lang w:val="fr-FR"/>
              </w:rPr>
              <w:t>transfer</w:t>
            </w:r>
            <w:r>
              <w:rPr>
                <w:lang w:val="fr-FR"/>
              </w:rPr>
              <w:t>t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savoirs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dans leurs politiques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d’</w:t>
            </w:r>
            <w:r w:rsidRPr="001736FD">
              <w:rPr>
                <w:lang w:val="fr-FR"/>
              </w:rPr>
              <w:t>innovation, Cameroun, Sri</w:t>
            </w:r>
            <w:r>
              <w:rPr>
                <w:lang w:val="fr-FR"/>
              </w:rPr>
              <w:t> </w:t>
            </w:r>
            <w:r w:rsidRPr="001736FD">
              <w:rPr>
                <w:lang w:val="fr-FR"/>
              </w:rPr>
              <w:t>Lanka, Rwanda, Jamaïque</w:t>
            </w:r>
            <w:r>
              <w:rPr>
                <w:lang w:val="fr-FR"/>
              </w:rPr>
              <w:t xml:space="preserve"> et </w:t>
            </w:r>
            <w:r w:rsidRPr="001736FD">
              <w:rPr>
                <w:lang w:val="fr-FR"/>
              </w:rPr>
              <w:t>Trini</w:t>
            </w:r>
            <w:r>
              <w:rPr>
                <w:lang w:val="fr-FR"/>
              </w:rPr>
              <w:t>té</w:t>
            </w:r>
            <w:r>
              <w:rPr>
                <w:lang w:val="fr-FR"/>
              </w:rPr>
              <w:noBreakHyphen/>
              <w:t>et</w:t>
            </w:r>
            <w:r>
              <w:rPr>
                <w:lang w:val="fr-FR"/>
              </w:rPr>
              <w:noBreakHyphen/>
            </w:r>
            <w:r w:rsidRPr="001736FD">
              <w:rPr>
                <w:lang w:val="fr-FR"/>
              </w:rPr>
              <w:t>Tobago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(PME)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 xml:space="preserve">Projet de </w:t>
            </w:r>
            <w:r w:rsidRPr="001736FD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 et du Fonds fiduciaire pour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 xml:space="preserve">Australie </w:t>
            </w:r>
            <w:r>
              <w:rPr>
                <w:lang w:val="fr-FR"/>
              </w:rPr>
              <w:t>visant à combler le fossé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séparant les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u</w:t>
            </w:r>
            <w:r w:rsidRPr="001736FD">
              <w:rPr>
                <w:lang w:val="fr-FR"/>
              </w:rPr>
              <w:t xml:space="preserve">niversités </w:t>
            </w:r>
            <w:r>
              <w:rPr>
                <w:lang w:val="fr-FR"/>
              </w:rPr>
              <w:t>et</w:t>
            </w:r>
            <w:r w:rsidRPr="001736FD">
              <w:rPr>
                <w:lang w:val="fr-FR"/>
              </w:rPr>
              <w:t xml:space="preserve">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industrie, Philippines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4A6713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Projet </w:t>
            </w:r>
            <w:r>
              <w:rPr>
                <w:lang w:val="fr-FR"/>
              </w:rPr>
              <w:t>p</w:t>
            </w:r>
            <w:r w:rsidRPr="001736FD">
              <w:rPr>
                <w:lang w:val="fr-FR"/>
              </w:rPr>
              <w:t>i</w:t>
            </w:r>
            <w:r>
              <w:rPr>
                <w:lang w:val="fr-FR"/>
              </w:rPr>
              <w:t>lote des</w:t>
            </w:r>
            <w:r w:rsidRPr="001736FD">
              <w:rPr>
                <w:lang w:val="fr-FR"/>
              </w:rPr>
              <w:t xml:space="preserve"> </w:t>
            </w:r>
            <w:r w:rsidRPr="001736FD">
              <w:rPr>
                <w:rFonts w:hint="eastAsia"/>
                <w:lang w:val="fr-FR"/>
              </w:rPr>
              <w:t>États</w:t>
            </w:r>
            <w:r w:rsidRPr="001736FD">
              <w:rPr>
                <w:lang w:val="fr-FR"/>
              </w:rPr>
              <w:t xml:space="preserve"> baltes </w:t>
            </w:r>
            <w:r>
              <w:rPr>
                <w:lang w:val="fr-FR"/>
              </w:rPr>
              <w:t>relatif à la création d’un groupe régional d’experts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en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c</w:t>
            </w:r>
            <w:r w:rsidRPr="001736FD">
              <w:rPr>
                <w:lang w:val="fr-FR"/>
              </w:rPr>
              <w:t>ommercialisation</w:t>
            </w:r>
            <w:r>
              <w:rPr>
                <w:lang w:val="fr-FR"/>
              </w:rPr>
              <w:t xml:space="preserve"> de </w:t>
            </w:r>
            <w:r w:rsidRPr="004A6713">
              <w:rPr>
                <w:rFonts w:hint="eastAsia"/>
                <w:lang w:val="fr-FR"/>
              </w:rPr>
              <w:t xml:space="preserve">la </w:t>
            </w:r>
            <w:r w:rsidRPr="004A6713">
              <w:rPr>
                <w:lang w:val="fr-FR"/>
              </w:rPr>
              <w:t>propriété</w:t>
            </w:r>
            <w:r w:rsidRPr="004A6713">
              <w:rPr>
                <w:rFonts w:hint="eastAsia"/>
                <w:lang w:val="fr-FR"/>
              </w:rPr>
              <w:t xml:space="preserve"> intellectuelle dans le milieu </w:t>
            </w:r>
            <w:r>
              <w:rPr>
                <w:lang w:val="fr-FR"/>
              </w:rPr>
              <w:t>universitaire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 xml:space="preserve">Projets </w:t>
            </w:r>
            <w:r>
              <w:rPr>
                <w:lang w:val="fr-FR"/>
              </w:rPr>
              <w:t>visant à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aider les</w:t>
            </w:r>
            <w:r w:rsidRPr="001736FD">
              <w:rPr>
                <w:lang w:val="fr-FR"/>
              </w:rPr>
              <w:t xml:space="preserve"> </w:t>
            </w:r>
            <w:r>
              <w:rPr>
                <w:rFonts w:hint="eastAsia"/>
                <w:lang w:val="fr-FR"/>
              </w:rPr>
              <w:t>États membres</w:t>
            </w:r>
            <w:r>
              <w:rPr>
                <w:lang w:val="fr-FR"/>
              </w:rPr>
              <w:t xml:space="preserve"> à</w:t>
            </w:r>
            <w:r w:rsidRPr="001736FD">
              <w:rPr>
                <w:lang w:val="fr-FR"/>
              </w:rPr>
              <w:t xml:space="preserve"> </w:t>
            </w:r>
            <w:r w:rsidRPr="00C51DDE">
              <w:rPr>
                <w:lang w:val="fr-FR"/>
              </w:rPr>
              <w:t xml:space="preserve">inclure </w:t>
            </w:r>
            <w:r w:rsidRPr="00080D34">
              <w:rPr>
                <w:rFonts w:hint="eastAsia"/>
                <w:lang w:val="fr-FR"/>
              </w:rPr>
              <w:t xml:space="preserve">les </w:t>
            </w:r>
            <w:r>
              <w:rPr>
                <w:lang w:val="fr-FR"/>
              </w:rPr>
              <w:t>questions</w:t>
            </w:r>
            <w:r w:rsidRPr="00080D34">
              <w:rPr>
                <w:rFonts w:hint="eastAsia"/>
                <w:lang w:val="fr-FR"/>
              </w:rPr>
              <w:t xml:space="preserve"> de</w:t>
            </w:r>
            <w:r w:rsidRPr="00080D34">
              <w:rPr>
                <w:lang w:val="fr-FR"/>
              </w:rPr>
              <w:t xml:space="preserve">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et de </w:t>
            </w:r>
            <w:r w:rsidRPr="001736FD">
              <w:rPr>
                <w:lang w:val="fr-FR"/>
              </w:rPr>
              <w:t>transfer</w:t>
            </w:r>
            <w:r>
              <w:rPr>
                <w:lang w:val="fr-FR"/>
              </w:rPr>
              <w:t>t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des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savoirs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dans leurs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s</w:t>
            </w:r>
            <w:r w:rsidRPr="001736FD">
              <w:rPr>
                <w:lang w:val="fr-FR"/>
              </w:rPr>
              <w:t>tratégies</w:t>
            </w:r>
            <w:r>
              <w:rPr>
                <w:lang w:val="fr-FR"/>
              </w:rPr>
              <w:t xml:space="preserve"> de </w:t>
            </w:r>
            <w:r w:rsidRPr="00DA756C">
              <w:rPr>
                <w:lang w:val="fr-FR"/>
              </w:rPr>
              <w:t>propriété</w:t>
            </w:r>
            <w:r>
              <w:rPr>
                <w:rFonts w:hint="eastAsia"/>
                <w:lang w:val="fr-FR"/>
              </w:rPr>
              <w:t xml:space="preserve"> intellectuelle</w:t>
            </w:r>
            <w:r w:rsidRPr="001736FD">
              <w:rPr>
                <w:lang w:val="fr-FR"/>
              </w:rPr>
              <w:t>, Albanie, L</w:t>
            </w:r>
            <w:r>
              <w:rPr>
                <w:lang w:val="fr-FR"/>
              </w:rPr>
              <w:t>ettonie</w:t>
            </w:r>
            <w:r w:rsidRPr="001736FD">
              <w:rPr>
                <w:lang w:val="fr-FR"/>
              </w:rPr>
              <w:t>, Géorgi</w:t>
            </w:r>
            <w:r>
              <w:rPr>
                <w:lang w:val="fr-FR"/>
              </w:rPr>
              <w:t>e</w:t>
            </w:r>
            <w:r w:rsidRPr="001736FD">
              <w:rPr>
                <w:lang w:val="fr-FR"/>
              </w:rPr>
              <w:t xml:space="preserve"> et</w:t>
            </w:r>
            <w:r>
              <w:rPr>
                <w:lang w:val="fr-FR"/>
              </w:rPr>
              <w:t xml:space="preserve"> Slovaqu</w:t>
            </w:r>
            <w:r w:rsidRPr="001736FD">
              <w:rPr>
                <w:lang w:val="fr-FR"/>
              </w:rPr>
              <w:t>ie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instituts de recherche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 (PME)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10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  <w:tr w:rsidR="002B6147" w:rsidRPr="001736FD" w:rsidTr="002B6147">
        <w:trPr>
          <w:cantSplit/>
        </w:trPr>
        <w:tc>
          <w:tcPr>
            <w:tcW w:w="6504" w:type="dxa"/>
          </w:tcPr>
          <w:p w:rsidR="002B6147" w:rsidRPr="005F20B4" w:rsidRDefault="002B6147" w:rsidP="002B6147">
            <w:pPr>
              <w:rPr>
                <w:lang w:val="fr-FR"/>
              </w:rPr>
            </w:pPr>
            <w:r w:rsidRPr="005F20B4">
              <w:rPr>
                <w:lang w:val="fr-FR"/>
              </w:rPr>
              <w:t>Environnement propice à la propriété intellectuelle</w:t>
            </w:r>
          </w:p>
          <w:p w:rsidR="002B6147" w:rsidRPr="001736FD" w:rsidRDefault="002B6147" w:rsidP="002B6147">
            <w:pPr>
              <w:rPr>
                <w:lang w:val="fr-FR"/>
              </w:rPr>
            </w:pPr>
            <w:r>
              <w:rPr>
                <w:lang w:val="fr-FR"/>
              </w:rPr>
              <w:t>Destiné à créer un réseau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d’</w:t>
            </w:r>
            <w:r w:rsidRPr="001736FD">
              <w:rPr>
                <w:lang w:val="fr-FR"/>
              </w:rPr>
              <w:t>instituts</w:t>
            </w:r>
            <w:r>
              <w:t xml:space="preserve"> </w:t>
            </w:r>
            <w:r w:rsidRPr="00FB1082">
              <w:rPr>
                <w:lang w:val="fr-FR"/>
              </w:rPr>
              <w:t>de soutien</w:t>
            </w:r>
            <w:r>
              <w:rPr>
                <w:lang w:val="fr-FR"/>
              </w:rPr>
              <w:t xml:space="preserve"> à la</w:t>
            </w:r>
            <w:r w:rsidRPr="001736FD">
              <w:rPr>
                <w:lang w:val="fr-FR"/>
              </w:rPr>
              <w:t xml:space="preserve"> </w:t>
            </w:r>
            <w:r w:rsidRPr="004A6713">
              <w:rPr>
                <w:lang w:val="fr-FR"/>
              </w:rPr>
              <w:t>propriété</w:t>
            </w:r>
            <w:r w:rsidRPr="004A6713">
              <w:rPr>
                <w:rFonts w:hint="eastAsia"/>
                <w:lang w:val="fr-FR"/>
              </w:rPr>
              <w:t xml:space="preserve"> intellectuelle </w:t>
            </w:r>
            <w:r>
              <w:rPr>
                <w:lang w:val="fr-FR"/>
              </w:rPr>
              <w:t>et</w:t>
            </w:r>
            <w:r w:rsidRPr="001736FD">
              <w:rPr>
                <w:lang w:val="fr-FR"/>
              </w:rPr>
              <w:t xml:space="preserve"> organi</w:t>
            </w:r>
            <w:r>
              <w:rPr>
                <w:lang w:val="fr-FR"/>
              </w:rPr>
              <w:t>smes recevant, de la part de</w:t>
            </w:r>
            <w:r w:rsidRPr="001736FD">
              <w:rPr>
                <w:lang w:val="fr-FR"/>
              </w:rPr>
              <w:t xml:space="preserve"> l</w:t>
            </w:r>
            <w:r>
              <w:rPr>
                <w:lang w:val="fr-FR"/>
              </w:rPr>
              <w:t>’</w:t>
            </w:r>
            <w:r w:rsidRPr="001736FD">
              <w:rPr>
                <w:lang w:val="fr-FR"/>
              </w:rPr>
              <w:t>OMPI</w:t>
            </w:r>
            <w:r>
              <w:rPr>
                <w:lang w:val="fr-FR"/>
              </w:rPr>
              <w:t>, une</w:t>
            </w:r>
            <w:r w:rsidRPr="001736FD">
              <w:rPr>
                <w:lang w:val="fr-FR"/>
              </w:rPr>
              <w:t xml:space="preserve"> assistance technique relati</w:t>
            </w:r>
            <w:r>
              <w:rPr>
                <w:lang w:val="fr-FR"/>
              </w:rPr>
              <w:t>ve</w:t>
            </w:r>
            <w:r w:rsidRPr="001736FD">
              <w:rPr>
                <w:lang w:val="fr-FR"/>
              </w:rPr>
              <w:t xml:space="preserve"> </w:t>
            </w:r>
            <w:r>
              <w:rPr>
                <w:lang w:val="fr-FR"/>
              </w:rPr>
              <w:t>à la</w:t>
            </w:r>
            <w:r>
              <w:t xml:space="preserve"> </w:t>
            </w:r>
            <w:r w:rsidRPr="00FB1082">
              <w:rPr>
                <w:lang w:val="fr-FR"/>
              </w:rPr>
              <w:t>mise au point</w:t>
            </w:r>
            <w:r w:rsidRPr="001736FD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à la gestion et à la </w:t>
            </w:r>
            <w:r w:rsidRPr="001736FD">
              <w:rPr>
                <w:lang w:val="fr-FR"/>
              </w:rPr>
              <w:t>commercialisation</w:t>
            </w:r>
            <w:r w:rsidRPr="00FB1082">
              <w:rPr>
                <w:lang w:val="fr-FR"/>
              </w:rPr>
              <w:t xml:space="preserve"> de technologies</w:t>
            </w:r>
            <w:r w:rsidRPr="001736FD">
              <w:rPr>
                <w:lang w:val="fr-FR"/>
              </w:rPr>
              <w:t>.</w:t>
            </w:r>
          </w:p>
        </w:tc>
        <w:tc>
          <w:tcPr>
            <w:tcW w:w="6220" w:type="dxa"/>
          </w:tcPr>
          <w:p w:rsidR="002B6147" w:rsidRPr="001736FD" w:rsidRDefault="002B6147" w:rsidP="002B6147">
            <w:pPr>
              <w:rPr>
                <w:lang w:val="fr-FR"/>
              </w:rPr>
            </w:pPr>
            <w:r w:rsidRPr="001736FD">
              <w:rPr>
                <w:lang w:val="fr-FR"/>
              </w:rPr>
              <w:t>Gouvernements; offices de propriété intellectuelle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organisations intergouvernementales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établissements universitaires (universités)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entreprises</w:t>
            </w:r>
          </w:p>
        </w:tc>
        <w:tc>
          <w:tcPr>
            <w:tcW w:w="1494" w:type="dxa"/>
          </w:tcPr>
          <w:p w:rsidR="002B6147" w:rsidRPr="001736FD" w:rsidRDefault="002B6147" w:rsidP="002B6147">
            <w:pPr>
              <w:jc w:val="center"/>
              <w:rPr>
                <w:lang w:val="fr-FR"/>
              </w:rPr>
            </w:pPr>
            <w:r w:rsidRPr="001736FD">
              <w:rPr>
                <w:lang w:val="fr-FR"/>
              </w:rPr>
              <w:t>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9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11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14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18</w:t>
            </w:r>
            <w:r>
              <w:rPr>
                <w:lang w:val="fr-FR"/>
              </w:rPr>
              <w:t xml:space="preserve">;  </w:t>
            </w:r>
            <w:r w:rsidRPr="001736FD">
              <w:rPr>
                <w:lang w:val="fr-FR"/>
              </w:rPr>
              <w:t>30</w:t>
            </w:r>
          </w:p>
        </w:tc>
      </w:tr>
    </w:tbl>
    <w:p w:rsidR="002B6147" w:rsidRPr="002B6147" w:rsidRDefault="002B6147" w:rsidP="002B6147">
      <w:pPr>
        <w:pStyle w:val="Endofdocument-Annex"/>
        <w:jc w:val="center"/>
        <w:rPr>
          <w:sz w:val="20"/>
          <w:lang w:val="fr-FR"/>
        </w:rPr>
      </w:pPr>
    </w:p>
    <w:p w:rsidR="002B6147" w:rsidRPr="001736FD" w:rsidRDefault="002B6147" w:rsidP="002B6147">
      <w:pPr>
        <w:pStyle w:val="Endofdocument-Annex"/>
        <w:jc w:val="center"/>
        <w:rPr>
          <w:lang w:val="fr-FR"/>
        </w:rPr>
      </w:pPr>
      <w:r w:rsidRPr="001736FD">
        <w:rPr>
          <w:lang w:val="fr-FR"/>
        </w:rPr>
        <w:t>[Fin de l</w:t>
      </w:r>
      <w:r>
        <w:rPr>
          <w:lang w:val="fr-FR"/>
        </w:rPr>
        <w:t>’</w:t>
      </w:r>
      <w:r w:rsidRPr="001736FD">
        <w:rPr>
          <w:lang w:val="fr-FR"/>
        </w:rPr>
        <w:t>annexe et du document]</w:t>
      </w:r>
    </w:p>
    <w:sectPr w:rsidR="002B6147" w:rsidRPr="001736FD" w:rsidSect="003F2171">
      <w:headerReference w:type="default" r:id="rId23"/>
      <w:headerReference w:type="first" r:id="rId24"/>
      <w:endnotePr>
        <w:numFmt w:val="decimal"/>
      </w:endnotePr>
      <w:pgSz w:w="16838" w:h="11906" w:orient="landscape" w:code="9"/>
      <w:pgMar w:top="1417" w:right="56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2A" w:rsidRDefault="0061082A">
      <w:r>
        <w:separator/>
      </w:r>
    </w:p>
  </w:endnote>
  <w:endnote w:type="continuationSeparator" w:id="0">
    <w:p w:rsidR="0061082A" w:rsidRDefault="0061082A" w:rsidP="003B38C1">
      <w:r>
        <w:separator/>
      </w:r>
    </w:p>
    <w:p w:rsidR="0061082A" w:rsidRPr="003B38C1" w:rsidRDefault="0061082A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61082A" w:rsidRPr="003B38C1" w:rsidRDefault="006108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20" w:rsidRDefault="00A31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20" w:rsidRDefault="00A31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2A" w:rsidRDefault="0061082A">
      <w:r>
        <w:separator/>
      </w:r>
    </w:p>
  </w:footnote>
  <w:footnote w:type="continuationSeparator" w:id="0">
    <w:p w:rsidR="0061082A" w:rsidRDefault="0061082A" w:rsidP="008B60B2">
      <w:r>
        <w:separator/>
      </w:r>
    </w:p>
    <w:p w:rsidR="0061082A" w:rsidRPr="00ED77FB" w:rsidRDefault="006108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61082A" w:rsidRPr="00ED77FB" w:rsidRDefault="006108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20" w:rsidRDefault="00A31220" w:rsidP="00AA5A6C">
    <w:pPr>
      <w:jc w:val="right"/>
    </w:pPr>
    <w:r>
      <w:t>[</w:t>
    </w:r>
    <w:proofErr w:type="gramStart"/>
    <w:r>
      <w:t>code</w:t>
    </w:r>
    <w:proofErr w:type="gramEnd"/>
    <w:r>
      <w:t>]</w:t>
    </w:r>
  </w:p>
  <w:p w:rsidR="00A31220" w:rsidRDefault="00A31220" w:rsidP="00AA5A6C">
    <w:pPr>
      <w:jc w:val="right"/>
    </w:pPr>
    <w:proofErr w:type="gramStart"/>
    <w:r>
      <w:t>page</w:t>
    </w:r>
    <w:proofErr w:type="gramEnd"/>
    <w:r w:rsidR="00C5365D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19</w:t>
    </w:r>
    <w:r>
      <w:fldChar w:fldCharType="end"/>
    </w:r>
  </w:p>
  <w:p w:rsidR="00A31220" w:rsidRDefault="00A31220" w:rsidP="00AA5A6C">
    <w:pPr>
      <w:jc w:val="right"/>
    </w:pPr>
  </w:p>
  <w:p w:rsidR="00A31220" w:rsidRDefault="00A31220" w:rsidP="00AA5A6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20" w:rsidRPr="00451DA3" w:rsidRDefault="00A31220" w:rsidP="00477D6B">
    <w:pPr>
      <w:jc w:val="right"/>
      <w:rPr>
        <w:lang w:val="fr-FR"/>
      </w:rPr>
    </w:pPr>
    <w:r>
      <w:t>CDIP/20/11</w:t>
    </w:r>
  </w:p>
  <w:p w:rsidR="00A31220" w:rsidRDefault="00A31220" w:rsidP="00477D6B">
    <w:pPr>
      <w:jc w:val="right"/>
    </w:pPr>
    <w:r w:rsidRPr="00451DA3">
      <w:rPr>
        <w:lang w:val="fr-FR"/>
      </w:rPr>
      <w:t>Annex</w:t>
    </w:r>
    <w:r w:rsidR="00232ED3" w:rsidRPr="00451DA3">
      <w:rPr>
        <w:lang w:val="fr-FR"/>
      </w:rPr>
      <w:t>e</w:t>
    </w:r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603827">
      <w:rPr>
        <w:noProof/>
      </w:rPr>
      <w:t>5</w:t>
    </w:r>
    <w:r>
      <w:fldChar w:fldCharType="end"/>
    </w:r>
  </w:p>
  <w:p w:rsidR="00A31220" w:rsidRDefault="00A312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20" w:rsidRPr="00451DA3" w:rsidRDefault="00A31220" w:rsidP="00AA5A6C">
    <w:pPr>
      <w:jc w:val="right"/>
      <w:rPr>
        <w:lang w:val="fr-FR"/>
      </w:rPr>
    </w:pPr>
    <w:r>
      <w:t>CDIP/20/11</w:t>
    </w:r>
  </w:p>
  <w:p w:rsidR="00A31220" w:rsidRDefault="00BF2358" w:rsidP="00AA5A6C">
    <w:pPr>
      <w:jc w:val="right"/>
    </w:pPr>
    <w:r w:rsidRPr="00451DA3">
      <w:rPr>
        <w:lang w:val="fr-FR"/>
      </w:rPr>
      <w:t>ANNEXE</w:t>
    </w:r>
  </w:p>
  <w:p w:rsidR="00A31220" w:rsidRDefault="00A31220" w:rsidP="00AA5A6C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BC" w:rsidRPr="002C50D5" w:rsidRDefault="002B6147" w:rsidP="00477D6B">
    <w:pPr>
      <w:jc w:val="right"/>
      <w:rPr>
        <w:lang w:val="fr-FR"/>
      </w:rPr>
    </w:pPr>
    <w:r w:rsidRPr="002C50D5">
      <w:rPr>
        <w:lang w:val="fr-FR"/>
      </w:rPr>
      <w:t>CDIP/20/11</w:t>
    </w:r>
  </w:p>
  <w:p w:rsidR="008D07BC" w:rsidRPr="002C50D5" w:rsidRDefault="002B6147" w:rsidP="00477D6B">
    <w:pPr>
      <w:jc w:val="right"/>
      <w:rPr>
        <w:lang w:val="fr-FR"/>
      </w:rPr>
    </w:pPr>
    <w:r w:rsidRPr="002C50D5">
      <w:rPr>
        <w:lang w:val="fr-FR"/>
      </w:rPr>
      <w:t xml:space="preserve">Annexe, page </w:t>
    </w:r>
    <w:r>
      <w:rPr>
        <w:lang w:val="en-US"/>
      </w:rPr>
      <w:fldChar w:fldCharType="begin"/>
    </w:r>
    <w:r>
      <w:instrText xml:space="preserve"> PAGE  \* MERGEFORMAT </w:instrText>
    </w:r>
    <w:r>
      <w:rPr>
        <w:lang w:val="en-US"/>
      </w:rPr>
      <w:fldChar w:fldCharType="separate"/>
    </w:r>
    <w:r w:rsidR="00603827" w:rsidRPr="00603827">
      <w:rPr>
        <w:noProof/>
        <w:lang w:val="fr-FR"/>
      </w:rPr>
      <w:t>23</w:t>
    </w:r>
    <w:r>
      <w:rPr>
        <w:noProof/>
        <w:lang w:val="fr-FR"/>
      </w:rPr>
      <w:fldChar w:fldCharType="end"/>
    </w:r>
  </w:p>
  <w:p w:rsidR="008D07BC" w:rsidRPr="002C50D5" w:rsidRDefault="00603827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BC" w:rsidRPr="00CB3E75" w:rsidRDefault="002B6147" w:rsidP="00AA5A6C">
    <w:pPr>
      <w:jc w:val="right"/>
      <w:rPr>
        <w:lang w:val="fr-FR"/>
      </w:rPr>
    </w:pPr>
    <w:r w:rsidRPr="00CB3E75">
      <w:rPr>
        <w:lang w:val="fr-FR"/>
      </w:rPr>
      <w:t>CDIP/20/11</w:t>
    </w:r>
  </w:p>
  <w:p w:rsidR="008D07BC" w:rsidRPr="00CB3E75" w:rsidRDefault="002B6147" w:rsidP="00AA5A6C">
    <w:pPr>
      <w:jc w:val="right"/>
      <w:rPr>
        <w:lang w:val="fr-FR"/>
      </w:rPr>
    </w:pPr>
    <w:r w:rsidRPr="00CB3E75">
      <w:rPr>
        <w:lang w:val="fr-FR"/>
      </w:rPr>
      <w:t xml:space="preserve">Annexe, page </w:t>
    </w: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 w:rsidR="00603827" w:rsidRPr="00603827">
      <w:rPr>
        <w:noProof/>
        <w:lang w:val="fr-FR"/>
      </w:rPr>
      <w:t>6</w:t>
    </w:r>
    <w:r>
      <w:rPr>
        <w:noProof/>
        <w:lang w:val="fr-FR"/>
      </w:rPr>
      <w:fldChar w:fldCharType="end"/>
    </w:r>
  </w:p>
  <w:p w:rsidR="008D07BC" w:rsidRPr="00CB3E75" w:rsidRDefault="00603827" w:rsidP="00AA5A6C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455657"/>
    <w:multiLevelType w:val="hybridMultilevel"/>
    <w:tmpl w:val="13E6A8BA"/>
    <w:lvl w:ilvl="0" w:tplc="0A20DA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10211E"/>
    <w:multiLevelType w:val="hybridMultilevel"/>
    <w:tmpl w:val="43EAE2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868A3"/>
    <w:multiLevelType w:val="multilevel"/>
    <w:tmpl w:val="EB8C20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Heading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"/>
    <w:docVar w:name="TermBaseURL" w:val="empty"/>
    <w:docVar w:name="TextBases" w:val="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24D6D"/>
    <w:rsid w:val="00002E68"/>
    <w:rsid w:val="00002F21"/>
    <w:rsid w:val="00003789"/>
    <w:rsid w:val="00014A3A"/>
    <w:rsid w:val="00017D95"/>
    <w:rsid w:val="00020CDC"/>
    <w:rsid w:val="000216D4"/>
    <w:rsid w:val="00033DAA"/>
    <w:rsid w:val="00041E67"/>
    <w:rsid w:val="00043CAA"/>
    <w:rsid w:val="00045F69"/>
    <w:rsid w:val="00053176"/>
    <w:rsid w:val="00054764"/>
    <w:rsid w:val="00055784"/>
    <w:rsid w:val="0006006E"/>
    <w:rsid w:val="00065CA7"/>
    <w:rsid w:val="00075432"/>
    <w:rsid w:val="00076708"/>
    <w:rsid w:val="00076D4B"/>
    <w:rsid w:val="00077F61"/>
    <w:rsid w:val="00083CD7"/>
    <w:rsid w:val="000855BE"/>
    <w:rsid w:val="000918F6"/>
    <w:rsid w:val="000950D5"/>
    <w:rsid w:val="00095B55"/>
    <w:rsid w:val="000968ED"/>
    <w:rsid w:val="000A0679"/>
    <w:rsid w:val="000A1DBE"/>
    <w:rsid w:val="000A4653"/>
    <w:rsid w:val="000A630A"/>
    <w:rsid w:val="000B1FD4"/>
    <w:rsid w:val="000B554E"/>
    <w:rsid w:val="000C4846"/>
    <w:rsid w:val="000C59E1"/>
    <w:rsid w:val="000C7349"/>
    <w:rsid w:val="000D132E"/>
    <w:rsid w:val="000D1FA3"/>
    <w:rsid w:val="000D29AC"/>
    <w:rsid w:val="000D75B0"/>
    <w:rsid w:val="000E2CDC"/>
    <w:rsid w:val="000F0B6B"/>
    <w:rsid w:val="000F5E56"/>
    <w:rsid w:val="00106B40"/>
    <w:rsid w:val="00120487"/>
    <w:rsid w:val="001217EE"/>
    <w:rsid w:val="00123080"/>
    <w:rsid w:val="0012486D"/>
    <w:rsid w:val="00132C2C"/>
    <w:rsid w:val="00133D9B"/>
    <w:rsid w:val="00136153"/>
    <w:rsid w:val="001362EE"/>
    <w:rsid w:val="00137377"/>
    <w:rsid w:val="00141E77"/>
    <w:rsid w:val="001452B3"/>
    <w:rsid w:val="0014789C"/>
    <w:rsid w:val="001560D6"/>
    <w:rsid w:val="001604BC"/>
    <w:rsid w:val="001643F9"/>
    <w:rsid w:val="001647D5"/>
    <w:rsid w:val="00170BCA"/>
    <w:rsid w:val="00172435"/>
    <w:rsid w:val="00175F0A"/>
    <w:rsid w:val="00176EBF"/>
    <w:rsid w:val="001832A6"/>
    <w:rsid w:val="00184525"/>
    <w:rsid w:val="0018452D"/>
    <w:rsid w:val="00184BDF"/>
    <w:rsid w:val="00184BE9"/>
    <w:rsid w:val="0018610F"/>
    <w:rsid w:val="00186505"/>
    <w:rsid w:val="00186A60"/>
    <w:rsid w:val="0019434D"/>
    <w:rsid w:val="0019763F"/>
    <w:rsid w:val="001A210D"/>
    <w:rsid w:val="001A4E11"/>
    <w:rsid w:val="001A64FB"/>
    <w:rsid w:val="001B0A6E"/>
    <w:rsid w:val="001B2EEA"/>
    <w:rsid w:val="001B3516"/>
    <w:rsid w:val="001C393C"/>
    <w:rsid w:val="001C7D2F"/>
    <w:rsid w:val="001D17B4"/>
    <w:rsid w:val="001D4002"/>
    <w:rsid w:val="001E696D"/>
    <w:rsid w:val="001F0FCB"/>
    <w:rsid w:val="001F4716"/>
    <w:rsid w:val="001F490B"/>
    <w:rsid w:val="001F5651"/>
    <w:rsid w:val="001F69F2"/>
    <w:rsid w:val="0021217E"/>
    <w:rsid w:val="002321A0"/>
    <w:rsid w:val="00232ED3"/>
    <w:rsid w:val="00237FE0"/>
    <w:rsid w:val="00247F2B"/>
    <w:rsid w:val="00255BC2"/>
    <w:rsid w:val="00261D86"/>
    <w:rsid w:val="002634C4"/>
    <w:rsid w:val="00266CB8"/>
    <w:rsid w:val="00273541"/>
    <w:rsid w:val="00283F1A"/>
    <w:rsid w:val="002854ED"/>
    <w:rsid w:val="00286B1C"/>
    <w:rsid w:val="002928D3"/>
    <w:rsid w:val="002B1AE6"/>
    <w:rsid w:val="002B6147"/>
    <w:rsid w:val="002B6E9D"/>
    <w:rsid w:val="002B78E7"/>
    <w:rsid w:val="002D34DA"/>
    <w:rsid w:val="002D5C7F"/>
    <w:rsid w:val="002E26F3"/>
    <w:rsid w:val="002E3865"/>
    <w:rsid w:val="002E4998"/>
    <w:rsid w:val="002E6D4B"/>
    <w:rsid w:val="002F1FE6"/>
    <w:rsid w:val="002F4E68"/>
    <w:rsid w:val="002F5E28"/>
    <w:rsid w:val="002F6E2B"/>
    <w:rsid w:val="00312E6E"/>
    <w:rsid w:val="00312F7F"/>
    <w:rsid w:val="00316109"/>
    <w:rsid w:val="00322D6E"/>
    <w:rsid w:val="00323390"/>
    <w:rsid w:val="003252F3"/>
    <w:rsid w:val="00325DA8"/>
    <w:rsid w:val="00334F5B"/>
    <w:rsid w:val="00345109"/>
    <w:rsid w:val="003457DF"/>
    <w:rsid w:val="003464D6"/>
    <w:rsid w:val="00347704"/>
    <w:rsid w:val="00351729"/>
    <w:rsid w:val="003562AD"/>
    <w:rsid w:val="00356682"/>
    <w:rsid w:val="00361450"/>
    <w:rsid w:val="00362407"/>
    <w:rsid w:val="003673CF"/>
    <w:rsid w:val="00370610"/>
    <w:rsid w:val="00376B86"/>
    <w:rsid w:val="00383591"/>
    <w:rsid w:val="003845C1"/>
    <w:rsid w:val="0038528E"/>
    <w:rsid w:val="00387989"/>
    <w:rsid w:val="003A359A"/>
    <w:rsid w:val="003A6F89"/>
    <w:rsid w:val="003B38C1"/>
    <w:rsid w:val="003D004B"/>
    <w:rsid w:val="003E68CE"/>
    <w:rsid w:val="00405A1B"/>
    <w:rsid w:val="00423344"/>
    <w:rsid w:val="00423E3E"/>
    <w:rsid w:val="0042545C"/>
    <w:rsid w:val="00425EF9"/>
    <w:rsid w:val="00427AF4"/>
    <w:rsid w:val="0043012C"/>
    <w:rsid w:val="00431C28"/>
    <w:rsid w:val="00450230"/>
    <w:rsid w:val="004502A7"/>
    <w:rsid w:val="00451D71"/>
    <w:rsid w:val="00451DA3"/>
    <w:rsid w:val="00452214"/>
    <w:rsid w:val="004558CC"/>
    <w:rsid w:val="004647DA"/>
    <w:rsid w:val="00471773"/>
    <w:rsid w:val="00471E6C"/>
    <w:rsid w:val="00474062"/>
    <w:rsid w:val="00474B3D"/>
    <w:rsid w:val="004753DC"/>
    <w:rsid w:val="00477D6B"/>
    <w:rsid w:val="0048343B"/>
    <w:rsid w:val="004876E4"/>
    <w:rsid w:val="00491631"/>
    <w:rsid w:val="00493DC4"/>
    <w:rsid w:val="004A4663"/>
    <w:rsid w:val="004A6FCC"/>
    <w:rsid w:val="004B3941"/>
    <w:rsid w:val="004C3CBB"/>
    <w:rsid w:val="004C3CE5"/>
    <w:rsid w:val="004D0551"/>
    <w:rsid w:val="004D12C0"/>
    <w:rsid w:val="004D1B38"/>
    <w:rsid w:val="004D2E49"/>
    <w:rsid w:val="004D7BDF"/>
    <w:rsid w:val="004E05A0"/>
    <w:rsid w:val="004E0E49"/>
    <w:rsid w:val="004E28A2"/>
    <w:rsid w:val="005019FF"/>
    <w:rsid w:val="00501ECD"/>
    <w:rsid w:val="0050209E"/>
    <w:rsid w:val="00505BD2"/>
    <w:rsid w:val="00507D9F"/>
    <w:rsid w:val="005103FF"/>
    <w:rsid w:val="00512F72"/>
    <w:rsid w:val="005224B3"/>
    <w:rsid w:val="00524D01"/>
    <w:rsid w:val="0053057A"/>
    <w:rsid w:val="005340C0"/>
    <w:rsid w:val="00540A8E"/>
    <w:rsid w:val="0054252E"/>
    <w:rsid w:val="00542FBB"/>
    <w:rsid w:val="00545624"/>
    <w:rsid w:val="005467AC"/>
    <w:rsid w:val="00552CEC"/>
    <w:rsid w:val="00554FC9"/>
    <w:rsid w:val="0056033C"/>
    <w:rsid w:val="00560A29"/>
    <w:rsid w:val="00563E28"/>
    <w:rsid w:val="00571EAE"/>
    <w:rsid w:val="0057257B"/>
    <w:rsid w:val="00573A45"/>
    <w:rsid w:val="00575734"/>
    <w:rsid w:val="00575C68"/>
    <w:rsid w:val="005771BD"/>
    <w:rsid w:val="0058555E"/>
    <w:rsid w:val="00585A1D"/>
    <w:rsid w:val="00587FB5"/>
    <w:rsid w:val="00590FB4"/>
    <w:rsid w:val="0059297C"/>
    <w:rsid w:val="005A013D"/>
    <w:rsid w:val="005A7BB3"/>
    <w:rsid w:val="005B20DC"/>
    <w:rsid w:val="005C630A"/>
    <w:rsid w:val="005C6649"/>
    <w:rsid w:val="005D373C"/>
    <w:rsid w:val="005D5B1E"/>
    <w:rsid w:val="005E2B7B"/>
    <w:rsid w:val="005E6812"/>
    <w:rsid w:val="005F132E"/>
    <w:rsid w:val="005F56A3"/>
    <w:rsid w:val="00600CEF"/>
    <w:rsid w:val="00601045"/>
    <w:rsid w:val="006012CF"/>
    <w:rsid w:val="00603827"/>
    <w:rsid w:val="00605827"/>
    <w:rsid w:val="006063AB"/>
    <w:rsid w:val="00607A86"/>
    <w:rsid w:val="0061082A"/>
    <w:rsid w:val="00611634"/>
    <w:rsid w:val="006124B9"/>
    <w:rsid w:val="00613010"/>
    <w:rsid w:val="0061411A"/>
    <w:rsid w:val="00623C5F"/>
    <w:rsid w:val="00625E9E"/>
    <w:rsid w:val="006451E8"/>
    <w:rsid w:val="00646050"/>
    <w:rsid w:val="00646A3B"/>
    <w:rsid w:val="00646FF4"/>
    <w:rsid w:val="0065415F"/>
    <w:rsid w:val="00654BE7"/>
    <w:rsid w:val="0066145A"/>
    <w:rsid w:val="006713CA"/>
    <w:rsid w:val="00676C5C"/>
    <w:rsid w:val="00677CBB"/>
    <w:rsid w:val="00681295"/>
    <w:rsid w:val="00687050"/>
    <w:rsid w:val="006901F4"/>
    <w:rsid w:val="006937BA"/>
    <w:rsid w:val="006A0E5E"/>
    <w:rsid w:val="006A29FA"/>
    <w:rsid w:val="006A4B24"/>
    <w:rsid w:val="006A6C93"/>
    <w:rsid w:val="006C06BF"/>
    <w:rsid w:val="006C1D91"/>
    <w:rsid w:val="006C6520"/>
    <w:rsid w:val="006E23EA"/>
    <w:rsid w:val="006F0AAD"/>
    <w:rsid w:val="006F43B7"/>
    <w:rsid w:val="006F5C37"/>
    <w:rsid w:val="0070021E"/>
    <w:rsid w:val="00703EFF"/>
    <w:rsid w:val="007057F9"/>
    <w:rsid w:val="00705E86"/>
    <w:rsid w:val="00711C46"/>
    <w:rsid w:val="007140FF"/>
    <w:rsid w:val="00722F14"/>
    <w:rsid w:val="00724801"/>
    <w:rsid w:val="00733A46"/>
    <w:rsid w:val="007343B8"/>
    <w:rsid w:val="00745980"/>
    <w:rsid w:val="00756485"/>
    <w:rsid w:val="00761D69"/>
    <w:rsid w:val="00781C54"/>
    <w:rsid w:val="007875F7"/>
    <w:rsid w:val="00787683"/>
    <w:rsid w:val="00792C5F"/>
    <w:rsid w:val="00794FAD"/>
    <w:rsid w:val="00795945"/>
    <w:rsid w:val="00797862"/>
    <w:rsid w:val="007A0DFD"/>
    <w:rsid w:val="007A197C"/>
    <w:rsid w:val="007A2F1E"/>
    <w:rsid w:val="007C0EE5"/>
    <w:rsid w:val="007C1383"/>
    <w:rsid w:val="007C6B9B"/>
    <w:rsid w:val="007C78E3"/>
    <w:rsid w:val="007D1613"/>
    <w:rsid w:val="007D188C"/>
    <w:rsid w:val="007D3AA9"/>
    <w:rsid w:val="007E4C0E"/>
    <w:rsid w:val="007E6E26"/>
    <w:rsid w:val="007F0E89"/>
    <w:rsid w:val="007F579B"/>
    <w:rsid w:val="00801723"/>
    <w:rsid w:val="00802DA1"/>
    <w:rsid w:val="00810AE7"/>
    <w:rsid w:val="008150BD"/>
    <w:rsid w:val="00821225"/>
    <w:rsid w:val="00831107"/>
    <w:rsid w:val="00835087"/>
    <w:rsid w:val="008365C3"/>
    <w:rsid w:val="00836D74"/>
    <w:rsid w:val="008424AE"/>
    <w:rsid w:val="008428C0"/>
    <w:rsid w:val="00857C6F"/>
    <w:rsid w:val="00862366"/>
    <w:rsid w:val="00862396"/>
    <w:rsid w:val="00862AF3"/>
    <w:rsid w:val="00880ABE"/>
    <w:rsid w:val="00882376"/>
    <w:rsid w:val="00884871"/>
    <w:rsid w:val="00884B80"/>
    <w:rsid w:val="008919F1"/>
    <w:rsid w:val="008A0E45"/>
    <w:rsid w:val="008A134B"/>
    <w:rsid w:val="008A25C7"/>
    <w:rsid w:val="008A427D"/>
    <w:rsid w:val="008B2CC1"/>
    <w:rsid w:val="008B5CAD"/>
    <w:rsid w:val="008B60B2"/>
    <w:rsid w:val="008B6165"/>
    <w:rsid w:val="008C1E9D"/>
    <w:rsid w:val="008C6CFE"/>
    <w:rsid w:val="008D400C"/>
    <w:rsid w:val="008F34FB"/>
    <w:rsid w:val="008F5730"/>
    <w:rsid w:val="0090719F"/>
    <w:rsid w:val="0090731E"/>
    <w:rsid w:val="00913453"/>
    <w:rsid w:val="00915AFF"/>
    <w:rsid w:val="00916EE2"/>
    <w:rsid w:val="00930745"/>
    <w:rsid w:val="009342D3"/>
    <w:rsid w:val="00943256"/>
    <w:rsid w:val="0094410A"/>
    <w:rsid w:val="00946EC2"/>
    <w:rsid w:val="00947FC6"/>
    <w:rsid w:val="00956051"/>
    <w:rsid w:val="0095757D"/>
    <w:rsid w:val="0096698F"/>
    <w:rsid w:val="00966A22"/>
    <w:rsid w:val="0096722F"/>
    <w:rsid w:val="00975EC5"/>
    <w:rsid w:val="00980843"/>
    <w:rsid w:val="00982559"/>
    <w:rsid w:val="00985AC3"/>
    <w:rsid w:val="00995E44"/>
    <w:rsid w:val="009A1C6D"/>
    <w:rsid w:val="009A344F"/>
    <w:rsid w:val="009C1305"/>
    <w:rsid w:val="009C3514"/>
    <w:rsid w:val="009D2237"/>
    <w:rsid w:val="009D5FB9"/>
    <w:rsid w:val="009E03E3"/>
    <w:rsid w:val="009E2631"/>
    <w:rsid w:val="009E2791"/>
    <w:rsid w:val="009E2BBE"/>
    <w:rsid w:val="009E3F6F"/>
    <w:rsid w:val="009E49CA"/>
    <w:rsid w:val="009F499F"/>
    <w:rsid w:val="00A004B5"/>
    <w:rsid w:val="00A0298D"/>
    <w:rsid w:val="00A0344F"/>
    <w:rsid w:val="00A0563C"/>
    <w:rsid w:val="00A05716"/>
    <w:rsid w:val="00A13E6C"/>
    <w:rsid w:val="00A2100C"/>
    <w:rsid w:val="00A24D14"/>
    <w:rsid w:val="00A31220"/>
    <w:rsid w:val="00A31CB3"/>
    <w:rsid w:val="00A32236"/>
    <w:rsid w:val="00A37342"/>
    <w:rsid w:val="00A42B0D"/>
    <w:rsid w:val="00A42DAF"/>
    <w:rsid w:val="00A45BD8"/>
    <w:rsid w:val="00A7568D"/>
    <w:rsid w:val="00A761C0"/>
    <w:rsid w:val="00A77350"/>
    <w:rsid w:val="00A815BC"/>
    <w:rsid w:val="00A8438E"/>
    <w:rsid w:val="00A869B7"/>
    <w:rsid w:val="00A91B58"/>
    <w:rsid w:val="00A96249"/>
    <w:rsid w:val="00AA5A6C"/>
    <w:rsid w:val="00AA62FF"/>
    <w:rsid w:val="00AB140D"/>
    <w:rsid w:val="00AC205C"/>
    <w:rsid w:val="00AC3D4D"/>
    <w:rsid w:val="00AC402D"/>
    <w:rsid w:val="00AD19FF"/>
    <w:rsid w:val="00AD240A"/>
    <w:rsid w:val="00AE15F0"/>
    <w:rsid w:val="00AE2CF4"/>
    <w:rsid w:val="00AF00CD"/>
    <w:rsid w:val="00AF0A6B"/>
    <w:rsid w:val="00AF2C07"/>
    <w:rsid w:val="00B05A69"/>
    <w:rsid w:val="00B1039F"/>
    <w:rsid w:val="00B168F7"/>
    <w:rsid w:val="00B34F53"/>
    <w:rsid w:val="00B425E7"/>
    <w:rsid w:val="00B42638"/>
    <w:rsid w:val="00B51DAE"/>
    <w:rsid w:val="00B571D5"/>
    <w:rsid w:val="00B607BD"/>
    <w:rsid w:val="00B616CC"/>
    <w:rsid w:val="00B739BA"/>
    <w:rsid w:val="00B74AA9"/>
    <w:rsid w:val="00B7537D"/>
    <w:rsid w:val="00B8383A"/>
    <w:rsid w:val="00B84F5C"/>
    <w:rsid w:val="00B900CE"/>
    <w:rsid w:val="00B91691"/>
    <w:rsid w:val="00B93499"/>
    <w:rsid w:val="00B9413B"/>
    <w:rsid w:val="00B972AB"/>
    <w:rsid w:val="00B9734B"/>
    <w:rsid w:val="00BA2ABD"/>
    <w:rsid w:val="00BA30E2"/>
    <w:rsid w:val="00BA4B75"/>
    <w:rsid w:val="00BA564A"/>
    <w:rsid w:val="00BA6289"/>
    <w:rsid w:val="00BB64C0"/>
    <w:rsid w:val="00BB74FA"/>
    <w:rsid w:val="00BC6A6B"/>
    <w:rsid w:val="00BC6A9F"/>
    <w:rsid w:val="00BD2EE1"/>
    <w:rsid w:val="00BD41A9"/>
    <w:rsid w:val="00BE3FAF"/>
    <w:rsid w:val="00BE5B9A"/>
    <w:rsid w:val="00BE6623"/>
    <w:rsid w:val="00BF092A"/>
    <w:rsid w:val="00BF2358"/>
    <w:rsid w:val="00BF24CB"/>
    <w:rsid w:val="00BF6593"/>
    <w:rsid w:val="00C01B56"/>
    <w:rsid w:val="00C02CFB"/>
    <w:rsid w:val="00C0596D"/>
    <w:rsid w:val="00C06E44"/>
    <w:rsid w:val="00C10E72"/>
    <w:rsid w:val="00C11BFE"/>
    <w:rsid w:val="00C2328F"/>
    <w:rsid w:val="00C24766"/>
    <w:rsid w:val="00C32371"/>
    <w:rsid w:val="00C42F3A"/>
    <w:rsid w:val="00C47673"/>
    <w:rsid w:val="00C5068F"/>
    <w:rsid w:val="00C510F4"/>
    <w:rsid w:val="00C5365D"/>
    <w:rsid w:val="00C65FAC"/>
    <w:rsid w:val="00C767EE"/>
    <w:rsid w:val="00C8360E"/>
    <w:rsid w:val="00C83FFE"/>
    <w:rsid w:val="00C86D74"/>
    <w:rsid w:val="00C95403"/>
    <w:rsid w:val="00C9566D"/>
    <w:rsid w:val="00C977E9"/>
    <w:rsid w:val="00CB3C55"/>
    <w:rsid w:val="00CC0282"/>
    <w:rsid w:val="00CC0AB5"/>
    <w:rsid w:val="00CC1124"/>
    <w:rsid w:val="00CC2555"/>
    <w:rsid w:val="00CC3996"/>
    <w:rsid w:val="00CD04F1"/>
    <w:rsid w:val="00CD6C9C"/>
    <w:rsid w:val="00CE147E"/>
    <w:rsid w:val="00CE5DD7"/>
    <w:rsid w:val="00CE7525"/>
    <w:rsid w:val="00CF0F3F"/>
    <w:rsid w:val="00D01EEE"/>
    <w:rsid w:val="00D05DCE"/>
    <w:rsid w:val="00D07388"/>
    <w:rsid w:val="00D07F75"/>
    <w:rsid w:val="00D1785E"/>
    <w:rsid w:val="00D27A94"/>
    <w:rsid w:val="00D318E1"/>
    <w:rsid w:val="00D322D7"/>
    <w:rsid w:val="00D451F1"/>
    <w:rsid w:val="00D45252"/>
    <w:rsid w:val="00D45BBB"/>
    <w:rsid w:val="00D511D0"/>
    <w:rsid w:val="00D6085B"/>
    <w:rsid w:val="00D64A3C"/>
    <w:rsid w:val="00D662A8"/>
    <w:rsid w:val="00D70392"/>
    <w:rsid w:val="00D71B4D"/>
    <w:rsid w:val="00D7241A"/>
    <w:rsid w:val="00D76323"/>
    <w:rsid w:val="00D83650"/>
    <w:rsid w:val="00D90EAD"/>
    <w:rsid w:val="00D93D55"/>
    <w:rsid w:val="00DA50BA"/>
    <w:rsid w:val="00DB2C0E"/>
    <w:rsid w:val="00DB6564"/>
    <w:rsid w:val="00DC3519"/>
    <w:rsid w:val="00DC3F5B"/>
    <w:rsid w:val="00DD0903"/>
    <w:rsid w:val="00DD44A9"/>
    <w:rsid w:val="00DE597C"/>
    <w:rsid w:val="00DF227B"/>
    <w:rsid w:val="00E03937"/>
    <w:rsid w:val="00E03C79"/>
    <w:rsid w:val="00E15015"/>
    <w:rsid w:val="00E15534"/>
    <w:rsid w:val="00E17439"/>
    <w:rsid w:val="00E23E28"/>
    <w:rsid w:val="00E27E4B"/>
    <w:rsid w:val="00E31241"/>
    <w:rsid w:val="00E31E51"/>
    <w:rsid w:val="00E32290"/>
    <w:rsid w:val="00E32DC3"/>
    <w:rsid w:val="00E335FE"/>
    <w:rsid w:val="00E34A68"/>
    <w:rsid w:val="00E37254"/>
    <w:rsid w:val="00E4260F"/>
    <w:rsid w:val="00E45776"/>
    <w:rsid w:val="00E55E93"/>
    <w:rsid w:val="00E623D2"/>
    <w:rsid w:val="00E6507F"/>
    <w:rsid w:val="00E67B25"/>
    <w:rsid w:val="00E83E9D"/>
    <w:rsid w:val="00EA076E"/>
    <w:rsid w:val="00EA7D6E"/>
    <w:rsid w:val="00EB22C8"/>
    <w:rsid w:val="00EB3E62"/>
    <w:rsid w:val="00EC1584"/>
    <w:rsid w:val="00EC3D4F"/>
    <w:rsid w:val="00EC4E49"/>
    <w:rsid w:val="00ED1A93"/>
    <w:rsid w:val="00ED4FA4"/>
    <w:rsid w:val="00ED6A30"/>
    <w:rsid w:val="00ED77FB"/>
    <w:rsid w:val="00EE3FB3"/>
    <w:rsid w:val="00EE45FA"/>
    <w:rsid w:val="00EE53E4"/>
    <w:rsid w:val="00EE64C4"/>
    <w:rsid w:val="00EF6408"/>
    <w:rsid w:val="00F02F0A"/>
    <w:rsid w:val="00F0659A"/>
    <w:rsid w:val="00F1107E"/>
    <w:rsid w:val="00F110D7"/>
    <w:rsid w:val="00F203DF"/>
    <w:rsid w:val="00F23745"/>
    <w:rsid w:val="00F24D6D"/>
    <w:rsid w:val="00F355E4"/>
    <w:rsid w:val="00F35D37"/>
    <w:rsid w:val="00F40042"/>
    <w:rsid w:val="00F453FC"/>
    <w:rsid w:val="00F61E38"/>
    <w:rsid w:val="00F66152"/>
    <w:rsid w:val="00F74A36"/>
    <w:rsid w:val="00F80C65"/>
    <w:rsid w:val="00F83B00"/>
    <w:rsid w:val="00F87134"/>
    <w:rsid w:val="00F92D2C"/>
    <w:rsid w:val="00F945E9"/>
    <w:rsid w:val="00FA22A9"/>
    <w:rsid w:val="00FA5453"/>
    <w:rsid w:val="00FA5E7F"/>
    <w:rsid w:val="00FA6457"/>
    <w:rsid w:val="00FB56F7"/>
    <w:rsid w:val="00FC0879"/>
    <w:rsid w:val="00FC4F04"/>
    <w:rsid w:val="00FD13C9"/>
    <w:rsid w:val="00FD3F6B"/>
    <w:rsid w:val="00FE7B9A"/>
    <w:rsid w:val="00FF0598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A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562A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62AD"/>
    <w:pPr>
      <w:keepNext/>
      <w:numPr>
        <w:ilvl w:val="1"/>
        <w:numId w:val="12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562A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562A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562A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562AD"/>
    <w:pPr>
      <w:spacing w:after="220"/>
    </w:pPr>
  </w:style>
  <w:style w:type="paragraph" w:styleId="Caption">
    <w:name w:val="caption"/>
    <w:basedOn w:val="Normal"/>
    <w:next w:val="Normal"/>
    <w:qFormat/>
    <w:rsid w:val="003562A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562AD"/>
    <w:rPr>
      <w:sz w:val="18"/>
    </w:rPr>
  </w:style>
  <w:style w:type="paragraph" w:styleId="EndnoteText">
    <w:name w:val="endnote text"/>
    <w:basedOn w:val="Normal"/>
    <w:link w:val="EndnoteTextChar"/>
    <w:semiHidden/>
    <w:rsid w:val="003562AD"/>
    <w:rPr>
      <w:sz w:val="18"/>
    </w:rPr>
  </w:style>
  <w:style w:type="paragraph" w:styleId="Footer">
    <w:name w:val="footer"/>
    <w:basedOn w:val="Normal"/>
    <w:link w:val="FooterChar"/>
    <w:semiHidden/>
    <w:rsid w:val="003562A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3562AD"/>
    <w:rPr>
      <w:sz w:val="18"/>
    </w:rPr>
  </w:style>
  <w:style w:type="paragraph" w:styleId="Header">
    <w:name w:val="header"/>
    <w:basedOn w:val="Normal"/>
    <w:link w:val="HeaderChar"/>
    <w:semiHidden/>
    <w:rsid w:val="003562A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562AD"/>
    <w:pPr>
      <w:numPr>
        <w:numId w:val="9"/>
      </w:numPr>
    </w:pPr>
  </w:style>
  <w:style w:type="paragraph" w:customStyle="1" w:styleId="ONUME">
    <w:name w:val="ONUM E"/>
    <w:basedOn w:val="BodyText"/>
    <w:rsid w:val="003562AD"/>
    <w:pPr>
      <w:numPr>
        <w:numId w:val="10"/>
      </w:numPr>
    </w:pPr>
  </w:style>
  <w:style w:type="paragraph" w:customStyle="1" w:styleId="ONUMFS">
    <w:name w:val="ONUM FS"/>
    <w:basedOn w:val="BodyText"/>
    <w:rsid w:val="003562AD"/>
    <w:pPr>
      <w:numPr>
        <w:numId w:val="11"/>
      </w:numPr>
    </w:pPr>
  </w:style>
  <w:style w:type="paragraph" w:styleId="Salutation">
    <w:name w:val="Salutation"/>
    <w:basedOn w:val="Normal"/>
    <w:next w:val="Normal"/>
    <w:link w:val="SalutationChar"/>
    <w:semiHidden/>
    <w:rsid w:val="003562AD"/>
  </w:style>
  <w:style w:type="paragraph" w:styleId="Signature">
    <w:name w:val="Signature"/>
    <w:basedOn w:val="Normal"/>
    <w:link w:val="SignatureChar"/>
    <w:semiHidden/>
    <w:rsid w:val="003562AD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562A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562AD"/>
    <w:pPr>
      <w:ind w:left="720"/>
      <w:contextualSpacing/>
    </w:pPr>
  </w:style>
  <w:style w:type="table" w:styleId="TableGrid">
    <w:name w:val="Table Grid"/>
    <w:basedOn w:val="TableNormal"/>
    <w:rsid w:val="00E23E2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CD7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E457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57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7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45776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3562A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562A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7978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B614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2B6147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B614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2B6147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B6147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B6147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2B614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A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562A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62AD"/>
    <w:pPr>
      <w:keepNext/>
      <w:numPr>
        <w:ilvl w:val="1"/>
        <w:numId w:val="12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562A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562A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562A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562AD"/>
    <w:pPr>
      <w:spacing w:after="220"/>
    </w:pPr>
  </w:style>
  <w:style w:type="paragraph" w:styleId="Caption">
    <w:name w:val="caption"/>
    <w:basedOn w:val="Normal"/>
    <w:next w:val="Normal"/>
    <w:qFormat/>
    <w:rsid w:val="003562A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562AD"/>
    <w:rPr>
      <w:sz w:val="18"/>
    </w:rPr>
  </w:style>
  <w:style w:type="paragraph" w:styleId="EndnoteText">
    <w:name w:val="endnote text"/>
    <w:basedOn w:val="Normal"/>
    <w:link w:val="EndnoteTextChar"/>
    <w:semiHidden/>
    <w:rsid w:val="003562AD"/>
    <w:rPr>
      <w:sz w:val="18"/>
    </w:rPr>
  </w:style>
  <w:style w:type="paragraph" w:styleId="Footer">
    <w:name w:val="footer"/>
    <w:basedOn w:val="Normal"/>
    <w:link w:val="FooterChar"/>
    <w:semiHidden/>
    <w:rsid w:val="003562A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3562AD"/>
    <w:rPr>
      <w:sz w:val="18"/>
    </w:rPr>
  </w:style>
  <w:style w:type="paragraph" w:styleId="Header">
    <w:name w:val="header"/>
    <w:basedOn w:val="Normal"/>
    <w:link w:val="HeaderChar"/>
    <w:semiHidden/>
    <w:rsid w:val="003562A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562AD"/>
    <w:pPr>
      <w:numPr>
        <w:numId w:val="9"/>
      </w:numPr>
    </w:pPr>
  </w:style>
  <w:style w:type="paragraph" w:customStyle="1" w:styleId="ONUME">
    <w:name w:val="ONUM E"/>
    <w:basedOn w:val="BodyText"/>
    <w:rsid w:val="003562AD"/>
    <w:pPr>
      <w:numPr>
        <w:numId w:val="10"/>
      </w:numPr>
    </w:pPr>
  </w:style>
  <w:style w:type="paragraph" w:customStyle="1" w:styleId="ONUMFS">
    <w:name w:val="ONUM FS"/>
    <w:basedOn w:val="BodyText"/>
    <w:rsid w:val="003562AD"/>
    <w:pPr>
      <w:numPr>
        <w:numId w:val="11"/>
      </w:numPr>
    </w:pPr>
  </w:style>
  <w:style w:type="paragraph" w:styleId="Salutation">
    <w:name w:val="Salutation"/>
    <w:basedOn w:val="Normal"/>
    <w:next w:val="Normal"/>
    <w:link w:val="SalutationChar"/>
    <w:semiHidden/>
    <w:rsid w:val="003562AD"/>
  </w:style>
  <w:style w:type="paragraph" w:styleId="Signature">
    <w:name w:val="Signature"/>
    <w:basedOn w:val="Normal"/>
    <w:link w:val="SignatureChar"/>
    <w:semiHidden/>
    <w:rsid w:val="003562AD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562A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562AD"/>
    <w:pPr>
      <w:ind w:left="720"/>
      <w:contextualSpacing/>
    </w:pPr>
  </w:style>
  <w:style w:type="table" w:styleId="TableGrid">
    <w:name w:val="Table Grid"/>
    <w:basedOn w:val="TableNormal"/>
    <w:rsid w:val="00E23E2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CD7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E457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57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7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45776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3562A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562A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7978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B614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2B6147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B614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2B6147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B6147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B6147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2B6147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2B61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patents/en/topics/technology_transfer.html" TargetMode="External"/><Relationship Id="rId18" Type="http://schemas.openxmlformats.org/officeDocument/2006/relationships/hyperlink" Target="http://koha.wipo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" TargetMode="External"/><Relationship Id="rId17" Type="http://schemas.openxmlformats.org/officeDocument/2006/relationships/hyperlink" Target="http://www.wipo.int/publication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ipo.int/amc/fr/event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atents/fr/technology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://www.wipo.int/academy/fr/" TargetMode="Externa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meeting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1D73-8A98-4AA6-8E32-21F32811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9107</Words>
  <Characters>51910</Characters>
  <Application>Microsoft Office Word</Application>
  <DocSecurity>4</DocSecurity>
  <Lines>432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2017-11-14T13:13:00Z</dcterms:created>
  <dcterms:modified xsi:type="dcterms:W3CDTF">2017-11-14T13:13:00Z</dcterms:modified>
</cp:coreProperties>
</file>