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865A7" w:rsidRPr="007D2AC6" w14:paraId="2B3176D1" w14:textId="77777777" w:rsidTr="000C0922">
        <w:tc>
          <w:tcPr>
            <w:tcW w:w="4513" w:type="dxa"/>
            <w:tcBorders>
              <w:bottom w:val="single" w:sz="4" w:space="0" w:color="auto"/>
            </w:tcBorders>
            <w:tcMar>
              <w:bottom w:w="170" w:type="dxa"/>
            </w:tcMar>
          </w:tcPr>
          <w:p w14:paraId="047044E1" w14:textId="77777777" w:rsidR="00BB2BAE" w:rsidRPr="007D2AC6" w:rsidRDefault="00BB2BAE" w:rsidP="000C0922">
            <w:pPr>
              <w:rPr>
                <w:lang w:val="fr-FR"/>
              </w:rPr>
            </w:pPr>
            <w:bookmarkStart w:id="0" w:name="TitleOfDoc"/>
            <w:bookmarkEnd w:id="0"/>
          </w:p>
        </w:tc>
        <w:tc>
          <w:tcPr>
            <w:tcW w:w="4337" w:type="dxa"/>
            <w:tcBorders>
              <w:bottom w:val="single" w:sz="4" w:space="0" w:color="auto"/>
            </w:tcBorders>
            <w:tcMar>
              <w:left w:w="0" w:type="dxa"/>
              <w:right w:w="0" w:type="dxa"/>
            </w:tcMar>
          </w:tcPr>
          <w:p w14:paraId="620F2C66" w14:textId="77777777" w:rsidR="00BB2BAE" w:rsidRPr="007D2AC6" w:rsidRDefault="00BB2BAE" w:rsidP="000C0922">
            <w:pPr>
              <w:rPr>
                <w:lang w:val="fr-FR"/>
              </w:rPr>
            </w:pPr>
            <w:r w:rsidRPr="007D2AC6">
              <w:rPr>
                <w:noProof/>
                <w:lang w:val="fr-FR" w:eastAsia="fr-FR"/>
              </w:rPr>
              <w:drawing>
                <wp:inline distT="0" distB="0" distL="0" distR="0" wp14:anchorId="722567DE" wp14:editId="200E9B8C">
                  <wp:extent cx="1856740"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B273BE3" w14:textId="77777777" w:rsidR="00BB2BAE" w:rsidRPr="007D2AC6" w:rsidRDefault="00BB2BAE" w:rsidP="000C0922">
            <w:pPr>
              <w:jc w:val="right"/>
              <w:rPr>
                <w:lang w:val="fr-FR"/>
              </w:rPr>
            </w:pPr>
            <w:r w:rsidRPr="007D2AC6">
              <w:rPr>
                <w:b/>
                <w:sz w:val="40"/>
                <w:szCs w:val="40"/>
                <w:lang w:val="fr-FR"/>
              </w:rPr>
              <w:t>F</w:t>
            </w:r>
          </w:p>
        </w:tc>
      </w:tr>
      <w:tr w:rsidR="00B865A7" w:rsidRPr="007D2AC6" w14:paraId="7D32DC69" w14:textId="77777777" w:rsidTr="000C0922">
        <w:trPr>
          <w:trHeight w:hRule="exact" w:val="357"/>
        </w:trPr>
        <w:tc>
          <w:tcPr>
            <w:tcW w:w="9356" w:type="dxa"/>
            <w:gridSpan w:val="3"/>
            <w:tcBorders>
              <w:top w:val="single" w:sz="4" w:space="0" w:color="auto"/>
            </w:tcBorders>
            <w:tcMar>
              <w:top w:w="170" w:type="dxa"/>
              <w:left w:w="0" w:type="dxa"/>
              <w:right w:w="0" w:type="dxa"/>
            </w:tcMar>
            <w:vAlign w:val="bottom"/>
          </w:tcPr>
          <w:p w14:paraId="23A7F370" w14:textId="77777777" w:rsidR="00BB2BAE" w:rsidRPr="007D2AC6" w:rsidRDefault="00BB2BAE" w:rsidP="000C0922">
            <w:pPr>
              <w:jc w:val="right"/>
              <w:rPr>
                <w:rFonts w:ascii="Arial Black" w:hAnsi="Arial Black"/>
                <w:caps/>
                <w:sz w:val="15"/>
                <w:lang w:val="fr-FR"/>
              </w:rPr>
            </w:pPr>
            <w:proofErr w:type="spellStart"/>
            <w:r w:rsidRPr="007D2AC6">
              <w:rPr>
                <w:rFonts w:ascii="Arial Black" w:hAnsi="Arial Black"/>
                <w:caps/>
                <w:sz w:val="15"/>
                <w:lang w:val="fr-FR"/>
              </w:rPr>
              <w:t>CDIP</w:t>
            </w:r>
            <w:proofErr w:type="spellEnd"/>
            <w:r w:rsidRPr="007D2AC6">
              <w:rPr>
                <w:rFonts w:ascii="Arial Black" w:hAnsi="Arial Black"/>
                <w:caps/>
                <w:sz w:val="15"/>
                <w:lang w:val="fr-FR"/>
              </w:rPr>
              <w:t>/19/</w:t>
            </w:r>
            <w:bookmarkStart w:id="1" w:name="Code"/>
            <w:bookmarkEnd w:id="1"/>
            <w:r w:rsidRPr="007D2AC6">
              <w:rPr>
                <w:rFonts w:ascii="Arial Black" w:hAnsi="Arial Black"/>
                <w:caps/>
                <w:sz w:val="15"/>
                <w:lang w:val="fr-FR"/>
              </w:rPr>
              <w:t>4</w:t>
            </w:r>
          </w:p>
        </w:tc>
      </w:tr>
      <w:tr w:rsidR="00B865A7" w:rsidRPr="007D2AC6" w14:paraId="35CD3014" w14:textId="77777777" w:rsidTr="000C0922">
        <w:trPr>
          <w:trHeight w:hRule="exact" w:val="170"/>
        </w:trPr>
        <w:tc>
          <w:tcPr>
            <w:tcW w:w="9356" w:type="dxa"/>
            <w:gridSpan w:val="3"/>
            <w:noWrap/>
            <w:tcMar>
              <w:left w:w="0" w:type="dxa"/>
              <w:right w:w="0" w:type="dxa"/>
            </w:tcMar>
            <w:vAlign w:val="bottom"/>
          </w:tcPr>
          <w:p w14:paraId="233EA859" w14:textId="4875CD2C" w:rsidR="00BB2BAE" w:rsidRPr="007D2AC6" w:rsidRDefault="00BB2BAE" w:rsidP="000C0922">
            <w:pPr>
              <w:jc w:val="right"/>
              <w:rPr>
                <w:rFonts w:ascii="Arial Black" w:hAnsi="Arial Black"/>
                <w:caps/>
                <w:sz w:val="15"/>
                <w:lang w:val="fr-FR"/>
              </w:rPr>
            </w:pPr>
            <w:r w:rsidRPr="007D2AC6">
              <w:rPr>
                <w:rFonts w:ascii="Arial Black" w:hAnsi="Arial Black"/>
                <w:caps/>
                <w:sz w:val="15"/>
                <w:lang w:val="fr-FR"/>
              </w:rPr>
              <w:t>ORIGINAL</w:t>
            </w:r>
            <w:r w:rsidR="002A5696" w:rsidRPr="007D2AC6">
              <w:rPr>
                <w:rFonts w:ascii="Arial Black" w:hAnsi="Arial Black"/>
                <w:caps/>
                <w:sz w:val="15"/>
                <w:lang w:val="fr-FR"/>
              </w:rPr>
              <w:t> </w:t>
            </w:r>
            <w:proofErr w:type="gramStart"/>
            <w:r w:rsidR="002A5696" w:rsidRPr="007D2AC6">
              <w:rPr>
                <w:rFonts w:ascii="Arial Black" w:hAnsi="Arial Black"/>
                <w:caps/>
                <w:sz w:val="15"/>
                <w:lang w:val="fr-FR"/>
              </w:rPr>
              <w:t>:</w:t>
            </w:r>
            <w:r w:rsidRPr="007D2AC6">
              <w:rPr>
                <w:rFonts w:ascii="Arial Black" w:hAnsi="Arial Black"/>
                <w:caps/>
                <w:sz w:val="15"/>
                <w:lang w:val="fr-FR"/>
              </w:rPr>
              <w:t xml:space="preserve"> </w:t>
            </w:r>
            <w:bookmarkStart w:id="2" w:name="Original"/>
            <w:bookmarkEnd w:id="2"/>
            <w:r w:rsidRPr="007D2AC6">
              <w:rPr>
                <w:rFonts w:ascii="Arial Black" w:hAnsi="Arial Black"/>
                <w:caps/>
                <w:sz w:val="15"/>
                <w:lang w:val="fr-FR"/>
              </w:rPr>
              <w:t>anglais</w:t>
            </w:r>
            <w:proofErr w:type="gramEnd"/>
          </w:p>
        </w:tc>
      </w:tr>
      <w:tr w:rsidR="00BB2BAE" w:rsidRPr="007D2AC6" w14:paraId="558D773A" w14:textId="77777777" w:rsidTr="000C0922">
        <w:trPr>
          <w:trHeight w:hRule="exact" w:val="198"/>
        </w:trPr>
        <w:tc>
          <w:tcPr>
            <w:tcW w:w="9356" w:type="dxa"/>
            <w:gridSpan w:val="3"/>
            <w:tcMar>
              <w:left w:w="0" w:type="dxa"/>
              <w:right w:w="0" w:type="dxa"/>
            </w:tcMar>
            <w:vAlign w:val="bottom"/>
          </w:tcPr>
          <w:p w14:paraId="1BBA4FA0" w14:textId="7499B61B" w:rsidR="00BB2BAE" w:rsidRPr="007D2AC6" w:rsidRDefault="00BB2BAE" w:rsidP="000C0922">
            <w:pPr>
              <w:jc w:val="right"/>
              <w:rPr>
                <w:rFonts w:ascii="Arial Black" w:hAnsi="Arial Black"/>
                <w:caps/>
                <w:sz w:val="15"/>
                <w:lang w:val="fr-FR"/>
              </w:rPr>
            </w:pPr>
            <w:r w:rsidRPr="007D2AC6">
              <w:rPr>
                <w:rFonts w:ascii="Arial Black" w:hAnsi="Arial Black"/>
                <w:caps/>
                <w:sz w:val="15"/>
                <w:lang w:val="fr-FR"/>
              </w:rPr>
              <w:t>DATE</w:t>
            </w:r>
            <w:r w:rsidR="002A5696" w:rsidRPr="007D2AC6">
              <w:rPr>
                <w:rFonts w:ascii="Arial Black" w:hAnsi="Arial Black"/>
                <w:caps/>
                <w:sz w:val="15"/>
                <w:lang w:val="fr-FR"/>
              </w:rPr>
              <w:t> </w:t>
            </w:r>
            <w:proofErr w:type="gramStart"/>
            <w:r w:rsidR="002A5696" w:rsidRPr="007D2AC6">
              <w:rPr>
                <w:rFonts w:ascii="Arial Black" w:hAnsi="Arial Black"/>
                <w:caps/>
                <w:sz w:val="15"/>
                <w:lang w:val="fr-FR"/>
              </w:rPr>
              <w:t>:</w:t>
            </w:r>
            <w:r w:rsidRPr="007D2AC6">
              <w:rPr>
                <w:rFonts w:ascii="Arial Black" w:hAnsi="Arial Black"/>
                <w:caps/>
                <w:sz w:val="15"/>
                <w:lang w:val="fr-FR"/>
              </w:rPr>
              <w:t xml:space="preserve"> </w:t>
            </w:r>
            <w:bookmarkStart w:id="3" w:name="Date"/>
            <w:bookmarkEnd w:id="3"/>
            <w:r w:rsidR="002A5696" w:rsidRPr="007D2AC6">
              <w:rPr>
                <w:rFonts w:ascii="Arial Black" w:hAnsi="Arial Black"/>
                <w:caps/>
                <w:sz w:val="15"/>
                <w:lang w:val="fr-FR"/>
              </w:rPr>
              <w:t>2</w:t>
            </w:r>
            <w:proofErr w:type="gramEnd"/>
            <w:r w:rsidR="002A5696" w:rsidRPr="007D2AC6">
              <w:rPr>
                <w:rFonts w:ascii="Arial Black" w:hAnsi="Arial Black"/>
                <w:caps/>
                <w:sz w:val="15"/>
                <w:lang w:val="fr-FR"/>
              </w:rPr>
              <w:t> mars 20</w:t>
            </w:r>
            <w:r w:rsidRPr="007D2AC6">
              <w:rPr>
                <w:rFonts w:ascii="Arial Black" w:hAnsi="Arial Black"/>
                <w:caps/>
                <w:sz w:val="15"/>
                <w:lang w:val="fr-FR"/>
              </w:rPr>
              <w:t>17</w:t>
            </w:r>
          </w:p>
        </w:tc>
      </w:tr>
    </w:tbl>
    <w:p w14:paraId="66D32E2A" w14:textId="77777777" w:rsidR="0059687A" w:rsidRPr="007D2AC6" w:rsidRDefault="0059687A" w:rsidP="00BB2BAE">
      <w:pPr>
        <w:rPr>
          <w:lang w:val="fr-FR"/>
        </w:rPr>
      </w:pPr>
    </w:p>
    <w:p w14:paraId="4E9EFC70" w14:textId="77777777" w:rsidR="0059687A" w:rsidRPr="007D2AC6" w:rsidRDefault="0059687A" w:rsidP="00BB2BAE">
      <w:pPr>
        <w:rPr>
          <w:lang w:val="fr-FR"/>
        </w:rPr>
      </w:pPr>
    </w:p>
    <w:p w14:paraId="44474634" w14:textId="77777777" w:rsidR="0059687A" w:rsidRPr="007D2AC6" w:rsidRDefault="0059687A" w:rsidP="00BB2BAE">
      <w:pPr>
        <w:rPr>
          <w:lang w:val="fr-FR"/>
        </w:rPr>
      </w:pPr>
    </w:p>
    <w:p w14:paraId="7D5D19D8" w14:textId="77777777" w:rsidR="0059687A" w:rsidRPr="007D2AC6" w:rsidRDefault="0059687A" w:rsidP="00BB2BAE">
      <w:pPr>
        <w:rPr>
          <w:lang w:val="fr-FR"/>
        </w:rPr>
      </w:pPr>
    </w:p>
    <w:p w14:paraId="77B57551" w14:textId="77777777" w:rsidR="0059687A" w:rsidRPr="007D2AC6" w:rsidRDefault="0059687A" w:rsidP="00BB2BAE">
      <w:pPr>
        <w:rPr>
          <w:lang w:val="fr-FR"/>
        </w:rPr>
      </w:pPr>
    </w:p>
    <w:p w14:paraId="6D165475" w14:textId="40604F5F" w:rsidR="0059687A" w:rsidRPr="007D2AC6" w:rsidRDefault="00BB2BAE" w:rsidP="00BB2BAE">
      <w:pPr>
        <w:rPr>
          <w:b/>
          <w:sz w:val="28"/>
          <w:szCs w:val="28"/>
          <w:lang w:val="fr-FR"/>
        </w:rPr>
      </w:pPr>
      <w:r w:rsidRPr="007D2AC6">
        <w:rPr>
          <w:b/>
          <w:sz w:val="28"/>
          <w:szCs w:val="28"/>
          <w:lang w:val="fr-FR"/>
        </w:rPr>
        <w:t xml:space="preserve">Comité du développement et de la propriété intellectuelle </w:t>
      </w:r>
      <w:r w:rsidR="00972890" w:rsidRPr="007D2AC6">
        <w:rPr>
          <w:b/>
          <w:sz w:val="28"/>
          <w:szCs w:val="28"/>
          <w:lang w:val="fr-FR"/>
        </w:rPr>
        <w:t>(</w:t>
      </w:r>
      <w:proofErr w:type="spellStart"/>
      <w:r w:rsidRPr="007D2AC6">
        <w:rPr>
          <w:b/>
          <w:sz w:val="28"/>
          <w:szCs w:val="28"/>
          <w:lang w:val="fr-FR"/>
        </w:rPr>
        <w:t>CDIP</w:t>
      </w:r>
      <w:proofErr w:type="spellEnd"/>
      <w:r w:rsidRPr="007D2AC6">
        <w:rPr>
          <w:b/>
          <w:sz w:val="28"/>
          <w:szCs w:val="28"/>
          <w:lang w:val="fr-FR"/>
        </w:rPr>
        <w:t>)</w:t>
      </w:r>
    </w:p>
    <w:p w14:paraId="0CB30C2F" w14:textId="77777777" w:rsidR="0059687A" w:rsidRPr="007D2AC6" w:rsidRDefault="0059687A" w:rsidP="00BB2BAE">
      <w:pPr>
        <w:rPr>
          <w:lang w:val="fr-FR"/>
        </w:rPr>
      </w:pPr>
    </w:p>
    <w:p w14:paraId="4BE72E55" w14:textId="77777777" w:rsidR="0059687A" w:rsidRPr="007D2AC6" w:rsidRDefault="0059687A" w:rsidP="00BB2BAE">
      <w:pPr>
        <w:rPr>
          <w:lang w:val="fr-FR"/>
        </w:rPr>
      </w:pPr>
    </w:p>
    <w:p w14:paraId="55B2B1B7" w14:textId="4567B74E" w:rsidR="0059687A" w:rsidRPr="007D2AC6" w:rsidRDefault="00BB2BAE" w:rsidP="00BB2BAE">
      <w:pPr>
        <w:rPr>
          <w:b/>
          <w:sz w:val="24"/>
          <w:szCs w:val="24"/>
          <w:lang w:val="fr-FR"/>
        </w:rPr>
      </w:pPr>
      <w:r w:rsidRPr="007D2AC6">
        <w:rPr>
          <w:b/>
          <w:sz w:val="24"/>
          <w:szCs w:val="24"/>
          <w:lang w:val="fr-FR"/>
        </w:rPr>
        <w:t>Dix</w:t>
      </w:r>
      <w:r w:rsidR="00B57560" w:rsidRPr="007D2AC6">
        <w:rPr>
          <w:b/>
          <w:sz w:val="24"/>
          <w:szCs w:val="24"/>
          <w:lang w:val="fr-FR"/>
        </w:rPr>
        <w:noBreakHyphen/>
      </w:r>
      <w:r w:rsidRPr="007D2AC6">
        <w:rPr>
          <w:b/>
          <w:sz w:val="24"/>
          <w:szCs w:val="24"/>
          <w:lang w:val="fr-FR"/>
        </w:rPr>
        <w:t>neuv</w:t>
      </w:r>
      <w:r w:rsidR="002A5696" w:rsidRPr="007D2AC6">
        <w:rPr>
          <w:b/>
          <w:sz w:val="24"/>
          <w:szCs w:val="24"/>
          <w:lang w:val="fr-FR"/>
        </w:rPr>
        <w:t>ième session</w:t>
      </w:r>
    </w:p>
    <w:p w14:paraId="39B0B019" w14:textId="6D3CD37C" w:rsidR="0059687A" w:rsidRPr="007D2AC6" w:rsidRDefault="00BB2BAE" w:rsidP="00BB2BAE">
      <w:pPr>
        <w:rPr>
          <w:b/>
          <w:sz w:val="24"/>
          <w:szCs w:val="24"/>
          <w:lang w:val="fr-FR"/>
        </w:rPr>
      </w:pPr>
      <w:r w:rsidRPr="007D2AC6">
        <w:rPr>
          <w:b/>
          <w:sz w:val="24"/>
          <w:szCs w:val="24"/>
          <w:lang w:val="fr-FR"/>
        </w:rPr>
        <w:t>Genève, 15 – 1</w:t>
      </w:r>
      <w:r w:rsidR="002A5696" w:rsidRPr="007D2AC6">
        <w:rPr>
          <w:b/>
          <w:sz w:val="24"/>
          <w:szCs w:val="24"/>
          <w:lang w:val="fr-FR"/>
        </w:rPr>
        <w:t>9 mai 20</w:t>
      </w:r>
      <w:r w:rsidRPr="007D2AC6">
        <w:rPr>
          <w:b/>
          <w:sz w:val="24"/>
          <w:szCs w:val="24"/>
          <w:lang w:val="fr-FR"/>
        </w:rPr>
        <w:t>17</w:t>
      </w:r>
    </w:p>
    <w:p w14:paraId="4A607EBB" w14:textId="77777777" w:rsidR="0059687A" w:rsidRPr="007D2AC6" w:rsidRDefault="0059687A" w:rsidP="00BB2BAE">
      <w:pPr>
        <w:rPr>
          <w:lang w:val="fr-FR"/>
        </w:rPr>
      </w:pPr>
    </w:p>
    <w:p w14:paraId="72EAA8FE" w14:textId="77777777" w:rsidR="0059687A" w:rsidRPr="007D2AC6" w:rsidRDefault="0059687A" w:rsidP="00BB2BAE">
      <w:pPr>
        <w:rPr>
          <w:lang w:val="fr-FR"/>
        </w:rPr>
      </w:pPr>
    </w:p>
    <w:p w14:paraId="2F62090B" w14:textId="77777777" w:rsidR="0059687A" w:rsidRPr="007D2AC6" w:rsidRDefault="0059687A" w:rsidP="00BB2BAE">
      <w:pPr>
        <w:rPr>
          <w:lang w:val="fr-FR"/>
        </w:rPr>
      </w:pPr>
    </w:p>
    <w:p w14:paraId="6883C9A2" w14:textId="3B6B14BD" w:rsidR="0059687A" w:rsidRPr="007D2AC6" w:rsidRDefault="0059687A" w:rsidP="0059687A">
      <w:pPr>
        <w:rPr>
          <w:iCs/>
          <w:caps/>
          <w:sz w:val="24"/>
          <w:lang w:val="fr-FR"/>
        </w:rPr>
      </w:pPr>
      <w:r w:rsidRPr="007D2AC6">
        <w:rPr>
          <w:iCs/>
          <w:caps/>
          <w:sz w:val="24"/>
          <w:lang w:val="fr-FR"/>
        </w:rPr>
        <w:t>Rapport d</w:t>
      </w:r>
      <w:r w:rsidR="002A5696" w:rsidRPr="007D2AC6">
        <w:rPr>
          <w:iCs/>
          <w:caps/>
          <w:sz w:val="24"/>
          <w:lang w:val="fr-FR"/>
        </w:rPr>
        <w:t>’</w:t>
      </w:r>
      <w:r w:rsidRPr="007D2AC6">
        <w:rPr>
          <w:iCs/>
          <w:caps/>
          <w:sz w:val="24"/>
          <w:lang w:val="fr-FR"/>
        </w:rPr>
        <w:t xml:space="preserve">évaluation du projet pilote sur la propriété intellectuelle et la gestion des dessins et modèles pour le développement des entreprises dans les pays en développement et les pays les moins avancés </w:t>
      </w:r>
      <w:r w:rsidR="00972890" w:rsidRPr="007D2AC6">
        <w:rPr>
          <w:iCs/>
          <w:caps/>
          <w:sz w:val="24"/>
          <w:lang w:val="fr-FR"/>
        </w:rPr>
        <w:t>(</w:t>
      </w:r>
      <w:r w:rsidRPr="007D2AC6">
        <w:rPr>
          <w:iCs/>
          <w:caps/>
          <w:sz w:val="24"/>
          <w:lang w:val="fr-FR"/>
        </w:rPr>
        <w:t>PMA)</w:t>
      </w:r>
    </w:p>
    <w:p w14:paraId="22DB2AA3" w14:textId="77777777" w:rsidR="0059687A" w:rsidRPr="007D2AC6" w:rsidRDefault="0059687A" w:rsidP="005779C5">
      <w:pPr>
        <w:rPr>
          <w:lang w:val="fr-FR"/>
        </w:rPr>
      </w:pPr>
    </w:p>
    <w:p w14:paraId="00EF1EA2" w14:textId="370089D6" w:rsidR="0059687A" w:rsidRPr="007D2AC6" w:rsidRDefault="0059687A" w:rsidP="0059687A">
      <w:pPr>
        <w:rPr>
          <w:i/>
          <w:lang w:val="fr-FR"/>
        </w:rPr>
      </w:pPr>
      <w:bookmarkStart w:id="4" w:name="Prepared"/>
      <w:bookmarkEnd w:id="4"/>
      <w:proofErr w:type="gramStart"/>
      <w:r w:rsidRPr="007D2AC6">
        <w:rPr>
          <w:i/>
          <w:lang w:val="fr-FR"/>
        </w:rPr>
        <w:t>établi</w:t>
      </w:r>
      <w:proofErr w:type="gramEnd"/>
      <w:r w:rsidRPr="007D2AC6">
        <w:rPr>
          <w:i/>
          <w:lang w:val="fr-FR"/>
        </w:rPr>
        <w:t xml:space="preserve"> par M.</w:t>
      </w:r>
      <w:r w:rsidR="009F77AF" w:rsidRPr="007D2AC6">
        <w:rPr>
          <w:i/>
          <w:lang w:val="fr-FR"/>
        </w:rPr>
        <w:t> </w:t>
      </w:r>
      <w:r w:rsidRPr="007D2AC6">
        <w:rPr>
          <w:i/>
          <w:lang w:val="fr-FR"/>
        </w:rPr>
        <w:t>Daniel</w:t>
      </w:r>
      <w:r w:rsidR="00B57560" w:rsidRPr="007D2AC6">
        <w:rPr>
          <w:lang w:val="fr-FR"/>
        </w:rPr>
        <w:t> </w:t>
      </w:r>
      <w:r w:rsidRPr="007D2AC6">
        <w:rPr>
          <w:i/>
          <w:lang w:val="fr-FR"/>
        </w:rPr>
        <w:t xml:space="preserve">Keller, consultant, </w:t>
      </w:r>
      <w:proofErr w:type="spellStart"/>
      <w:r w:rsidR="006F2775" w:rsidRPr="007D2AC6">
        <w:rPr>
          <w:i/>
          <w:lang w:val="fr-FR"/>
        </w:rPr>
        <w:t>EvalCo</w:t>
      </w:r>
      <w:proofErr w:type="spellEnd"/>
      <w:r w:rsidR="006F2775" w:rsidRPr="007D2AC6">
        <w:rPr>
          <w:i/>
          <w:lang w:val="fr-FR"/>
        </w:rPr>
        <w:t> </w:t>
      </w:r>
      <w:proofErr w:type="spellStart"/>
      <w:r w:rsidR="00FA215B" w:rsidRPr="007D2AC6">
        <w:rPr>
          <w:i/>
          <w:lang w:val="fr-FR"/>
        </w:rPr>
        <w:t>Sàrl</w:t>
      </w:r>
      <w:proofErr w:type="spellEnd"/>
      <w:r w:rsidR="00FA215B" w:rsidRPr="007D2AC6">
        <w:rPr>
          <w:i/>
          <w:lang w:val="fr-FR"/>
        </w:rPr>
        <w:t xml:space="preserve">, </w:t>
      </w:r>
      <w:proofErr w:type="spellStart"/>
      <w:r w:rsidRPr="007D2AC6">
        <w:rPr>
          <w:i/>
          <w:lang w:val="fr-FR"/>
        </w:rPr>
        <w:t>Evilard</w:t>
      </w:r>
      <w:proofErr w:type="spellEnd"/>
      <w:r w:rsidRPr="007D2AC6">
        <w:rPr>
          <w:i/>
          <w:lang w:val="fr-FR"/>
        </w:rPr>
        <w:t xml:space="preserve"> </w:t>
      </w:r>
      <w:r w:rsidR="00972890" w:rsidRPr="007D2AC6">
        <w:rPr>
          <w:i/>
          <w:lang w:val="fr-FR"/>
        </w:rPr>
        <w:t>(</w:t>
      </w:r>
      <w:r w:rsidRPr="007D2AC6">
        <w:rPr>
          <w:i/>
          <w:lang w:val="fr-FR"/>
        </w:rPr>
        <w:t>Suisse)</w:t>
      </w:r>
    </w:p>
    <w:p w14:paraId="7076ED70" w14:textId="77777777" w:rsidR="0059687A" w:rsidRPr="007D2AC6" w:rsidRDefault="0059687A" w:rsidP="005779C5">
      <w:pPr>
        <w:rPr>
          <w:i/>
          <w:lang w:val="fr-FR"/>
        </w:rPr>
      </w:pPr>
    </w:p>
    <w:p w14:paraId="1D7FD18F" w14:textId="77777777" w:rsidR="0059687A" w:rsidRPr="007D2AC6" w:rsidRDefault="0059687A" w:rsidP="005779C5">
      <w:pPr>
        <w:rPr>
          <w:lang w:val="fr-FR"/>
        </w:rPr>
      </w:pPr>
    </w:p>
    <w:p w14:paraId="4B972128" w14:textId="77777777" w:rsidR="0059687A" w:rsidRPr="007D2AC6" w:rsidRDefault="0059687A" w:rsidP="000C0922">
      <w:pPr>
        <w:rPr>
          <w:lang w:val="fr-FR"/>
        </w:rPr>
      </w:pPr>
    </w:p>
    <w:p w14:paraId="7FDFDCEF" w14:textId="77777777" w:rsidR="0059687A" w:rsidRPr="007D2AC6" w:rsidRDefault="0059687A" w:rsidP="005779C5">
      <w:pPr>
        <w:rPr>
          <w:lang w:val="fr-FR"/>
        </w:rPr>
      </w:pPr>
    </w:p>
    <w:p w14:paraId="4D3A4786" w14:textId="7A341500" w:rsidR="002A5696" w:rsidRPr="007D2AC6" w:rsidRDefault="00020126" w:rsidP="00432841">
      <w:pPr>
        <w:pStyle w:val="ONUMFS"/>
        <w:rPr>
          <w:bCs/>
          <w:lang w:val="fr-FR"/>
        </w:rPr>
      </w:pPr>
      <w:r w:rsidRPr="007D2AC6">
        <w:rPr>
          <w:lang w:val="fr-FR"/>
        </w:rPr>
        <w:t>L</w:t>
      </w:r>
      <w:r w:rsidR="002A5696" w:rsidRPr="007D2AC6">
        <w:rPr>
          <w:lang w:val="fr-FR"/>
        </w:rPr>
        <w:t>’</w:t>
      </w:r>
      <w:r w:rsidRPr="007D2AC6">
        <w:rPr>
          <w:lang w:val="fr-FR"/>
        </w:rPr>
        <w:t xml:space="preserve">annexe du </w:t>
      </w:r>
      <w:r w:rsidR="00ED7A20" w:rsidRPr="007D2AC6">
        <w:rPr>
          <w:lang w:val="fr-FR"/>
        </w:rPr>
        <w:t xml:space="preserve">présent </w:t>
      </w:r>
      <w:r w:rsidRPr="007D2AC6">
        <w:rPr>
          <w:lang w:val="fr-FR"/>
        </w:rPr>
        <w:t>document contient un rapport sur l</w:t>
      </w:r>
      <w:r w:rsidR="002A5696" w:rsidRPr="007D2AC6">
        <w:rPr>
          <w:lang w:val="fr-FR"/>
        </w:rPr>
        <w:t>’</w:t>
      </w:r>
      <w:r w:rsidRPr="007D2AC6">
        <w:rPr>
          <w:lang w:val="fr-FR"/>
        </w:rPr>
        <w:t xml:space="preserve">évaluation </w:t>
      </w:r>
      <w:r w:rsidRPr="007D2AC6">
        <w:rPr>
          <w:szCs w:val="22"/>
          <w:lang w:val="fr-FR"/>
        </w:rPr>
        <w:t xml:space="preserve">indépendante du projet relatif à </w:t>
      </w:r>
      <w:r w:rsidRPr="007D2AC6">
        <w:rPr>
          <w:i/>
          <w:szCs w:val="22"/>
          <w:lang w:val="fr-FR"/>
        </w:rPr>
        <w:t>la propriété intellectuelle et à la gestion des dessins et modèles pour le développement des entreprises dans les pays en développement et les pays les moins avancés</w:t>
      </w:r>
      <w:r w:rsidRPr="007D2AC6">
        <w:rPr>
          <w:szCs w:val="22"/>
          <w:lang w:val="fr-FR"/>
        </w:rPr>
        <w:t>, réalisée par M.</w:t>
      </w:r>
      <w:r w:rsidR="009F77AF" w:rsidRPr="007D2AC6">
        <w:rPr>
          <w:szCs w:val="22"/>
          <w:lang w:val="fr-FR"/>
        </w:rPr>
        <w:t> </w:t>
      </w:r>
      <w:r w:rsidRPr="007D2AC6">
        <w:rPr>
          <w:szCs w:val="22"/>
          <w:lang w:val="fr-FR"/>
        </w:rPr>
        <w:t>Daniel</w:t>
      </w:r>
      <w:r w:rsidR="00B57560" w:rsidRPr="007D2AC6">
        <w:rPr>
          <w:szCs w:val="22"/>
          <w:lang w:val="fr-FR"/>
        </w:rPr>
        <w:t> </w:t>
      </w:r>
      <w:r w:rsidRPr="007D2AC6">
        <w:rPr>
          <w:szCs w:val="22"/>
          <w:lang w:val="fr-FR"/>
        </w:rPr>
        <w:t xml:space="preserve">Keller, consultant pour </w:t>
      </w:r>
      <w:proofErr w:type="spellStart"/>
      <w:r w:rsidRPr="007D2AC6">
        <w:rPr>
          <w:lang w:val="fr-FR"/>
        </w:rPr>
        <w:t>EvalCo</w:t>
      </w:r>
      <w:proofErr w:type="spellEnd"/>
      <w:r w:rsidRPr="007D2AC6">
        <w:rPr>
          <w:lang w:val="fr-FR"/>
        </w:rPr>
        <w:t xml:space="preserve"> </w:t>
      </w:r>
      <w:proofErr w:type="spellStart"/>
      <w:r w:rsidRPr="007D2AC6">
        <w:rPr>
          <w:lang w:val="fr-FR"/>
        </w:rPr>
        <w:t>Sàrl</w:t>
      </w:r>
      <w:proofErr w:type="spellEnd"/>
      <w:r w:rsidRPr="007D2AC6">
        <w:rPr>
          <w:szCs w:val="22"/>
          <w:lang w:val="fr-FR"/>
        </w:rPr>
        <w:t xml:space="preserve"> à </w:t>
      </w:r>
      <w:proofErr w:type="spellStart"/>
      <w:r w:rsidRPr="007D2AC6">
        <w:rPr>
          <w:szCs w:val="22"/>
          <w:lang w:val="fr-FR"/>
        </w:rPr>
        <w:t>Evilard</w:t>
      </w:r>
      <w:proofErr w:type="spellEnd"/>
      <w:r w:rsidRPr="007D2AC6">
        <w:rPr>
          <w:szCs w:val="22"/>
          <w:lang w:val="fr-FR"/>
        </w:rPr>
        <w:t xml:space="preserve"> </w:t>
      </w:r>
      <w:r w:rsidR="004047BF" w:rsidRPr="007D2AC6">
        <w:rPr>
          <w:szCs w:val="22"/>
          <w:lang w:val="fr-FR"/>
        </w:rPr>
        <w:t>(</w:t>
      </w:r>
      <w:r w:rsidRPr="007D2AC6">
        <w:rPr>
          <w:szCs w:val="22"/>
          <w:lang w:val="fr-FR"/>
        </w:rPr>
        <w:t>Suisse)</w:t>
      </w:r>
      <w:r w:rsidR="005779C5" w:rsidRPr="007D2AC6">
        <w:rPr>
          <w:bCs/>
          <w:lang w:val="fr-FR"/>
        </w:rPr>
        <w:t>.</w:t>
      </w:r>
    </w:p>
    <w:p w14:paraId="597CF7B5" w14:textId="6D580449" w:rsidR="0059687A" w:rsidRPr="007D2AC6" w:rsidRDefault="0059687A" w:rsidP="0059687A">
      <w:pPr>
        <w:pStyle w:val="ONUMFS"/>
        <w:ind w:left="5533"/>
        <w:rPr>
          <w:i/>
          <w:iCs/>
          <w:lang w:val="fr-FR"/>
        </w:rPr>
      </w:pPr>
      <w:r w:rsidRPr="007D2AC6">
        <w:rPr>
          <w:i/>
          <w:iCs/>
          <w:lang w:val="fr-FR"/>
        </w:rPr>
        <w:t xml:space="preserve">Le </w:t>
      </w:r>
      <w:proofErr w:type="spellStart"/>
      <w:r w:rsidRPr="007D2AC6">
        <w:rPr>
          <w:i/>
          <w:iCs/>
          <w:lang w:val="fr-FR"/>
        </w:rPr>
        <w:t>CDIP</w:t>
      </w:r>
      <w:proofErr w:type="spellEnd"/>
      <w:r w:rsidRPr="007D2AC6">
        <w:rPr>
          <w:i/>
          <w:iCs/>
          <w:lang w:val="fr-FR"/>
        </w:rPr>
        <w:t xml:space="preserve"> est invité à prendre note des informations contenues dans l</w:t>
      </w:r>
      <w:r w:rsidR="002A5696" w:rsidRPr="007D2AC6">
        <w:rPr>
          <w:i/>
          <w:iCs/>
          <w:lang w:val="fr-FR"/>
        </w:rPr>
        <w:t>’</w:t>
      </w:r>
      <w:r w:rsidRPr="007D2AC6">
        <w:rPr>
          <w:i/>
          <w:iCs/>
          <w:lang w:val="fr-FR"/>
        </w:rPr>
        <w:t>annexe du présent document.</w:t>
      </w:r>
    </w:p>
    <w:p w14:paraId="2A37B57E" w14:textId="77777777" w:rsidR="0059687A" w:rsidRPr="007D2AC6" w:rsidRDefault="0059687A" w:rsidP="005779C5">
      <w:pPr>
        <w:rPr>
          <w:lang w:val="fr-FR"/>
        </w:rPr>
      </w:pPr>
    </w:p>
    <w:p w14:paraId="363A7B57" w14:textId="77777777" w:rsidR="0059687A" w:rsidRPr="007D2AC6" w:rsidRDefault="0059687A" w:rsidP="005779C5">
      <w:pPr>
        <w:rPr>
          <w:lang w:val="fr-FR"/>
        </w:rPr>
      </w:pPr>
    </w:p>
    <w:p w14:paraId="4F364500" w14:textId="4FCF32DF" w:rsidR="0059687A" w:rsidRPr="007D2AC6" w:rsidRDefault="000C0922">
      <w:pPr>
        <w:pStyle w:val="Endofdocument-Annex"/>
        <w:rPr>
          <w:lang w:val="fr-FR"/>
        </w:rPr>
      </w:pPr>
      <w:r w:rsidRPr="007D2AC6">
        <w:rPr>
          <w:lang w:val="fr-FR"/>
        </w:rPr>
        <w:t>[</w:t>
      </w:r>
      <w:r w:rsidR="00B865A7" w:rsidRPr="007D2AC6">
        <w:rPr>
          <w:lang w:val="fr-FR"/>
        </w:rPr>
        <w:t>L</w:t>
      </w:r>
      <w:r w:rsidR="002A5696" w:rsidRPr="007D2AC6">
        <w:rPr>
          <w:lang w:val="fr-FR"/>
        </w:rPr>
        <w:t>’</w:t>
      </w:r>
      <w:r w:rsidR="00B865A7" w:rsidRPr="007D2AC6">
        <w:rPr>
          <w:lang w:val="fr-FR"/>
        </w:rPr>
        <w:t>annexe suit</w:t>
      </w:r>
      <w:r w:rsidRPr="007D2AC6">
        <w:rPr>
          <w:lang w:val="fr-FR"/>
        </w:rPr>
        <w:t>]</w:t>
      </w:r>
    </w:p>
    <w:p w14:paraId="7001FF38" w14:textId="77777777" w:rsidR="0059687A" w:rsidRPr="007D2AC6" w:rsidRDefault="0059687A" w:rsidP="005779C5">
      <w:pPr>
        <w:rPr>
          <w:lang w:val="fr-FR"/>
        </w:rPr>
      </w:pPr>
    </w:p>
    <w:p w14:paraId="17A8E89A" w14:textId="77777777" w:rsidR="0059687A" w:rsidRPr="007D2AC6" w:rsidRDefault="0059687A">
      <w:pPr>
        <w:rPr>
          <w:bCs/>
          <w:iCs/>
          <w:caps/>
          <w:lang w:val="fr-FR"/>
        </w:rPr>
      </w:pPr>
    </w:p>
    <w:p w14:paraId="45F02CF1" w14:textId="77777777" w:rsidR="0059687A" w:rsidRPr="007D2AC6" w:rsidRDefault="0059687A">
      <w:pPr>
        <w:rPr>
          <w:bCs/>
          <w:iCs/>
          <w:caps/>
          <w:lang w:val="fr-FR"/>
        </w:rPr>
      </w:pPr>
    </w:p>
    <w:p w14:paraId="10BEC856" w14:textId="77777777" w:rsidR="005779C5" w:rsidRPr="007D2AC6" w:rsidRDefault="005779C5">
      <w:pPr>
        <w:rPr>
          <w:lang w:val="fr-FR"/>
        </w:rPr>
        <w:sectPr w:rsidR="005779C5" w:rsidRPr="007D2AC6" w:rsidSect="00BB2BAE">
          <w:headerReference w:type="default" r:id="rId10"/>
          <w:pgSz w:w="11907" w:h="16840" w:code="9"/>
          <w:pgMar w:top="567" w:right="1134" w:bottom="1417" w:left="1417" w:header="510" w:footer="1020" w:gutter="0"/>
          <w:cols w:space="720"/>
          <w:titlePg/>
          <w:docGrid w:linePitch="299"/>
        </w:sectPr>
      </w:pPr>
    </w:p>
    <w:p w14:paraId="50A65D97" w14:textId="77777777" w:rsidR="0059687A" w:rsidRPr="007D2AC6" w:rsidRDefault="000C0922" w:rsidP="00C34E43">
      <w:pPr>
        <w:jc w:val="center"/>
        <w:rPr>
          <w:b/>
          <w:bCs/>
          <w:lang w:val="fr-FR"/>
        </w:rPr>
      </w:pPr>
      <w:r w:rsidRPr="007D2AC6">
        <w:rPr>
          <w:b/>
          <w:bCs/>
          <w:lang w:val="fr-FR"/>
        </w:rPr>
        <w:lastRenderedPageBreak/>
        <w:t>TABLE DES MATIÈRES</w:t>
      </w:r>
    </w:p>
    <w:p w14:paraId="1961589A" w14:textId="77777777" w:rsidR="0059687A" w:rsidRPr="007D2AC6" w:rsidRDefault="0059687A" w:rsidP="000C0922">
      <w:pPr>
        <w:rPr>
          <w:lang w:val="fr-FR"/>
        </w:rPr>
      </w:pPr>
    </w:p>
    <w:p w14:paraId="6588D6F3" w14:textId="77777777" w:rsidR="00917E82" w:rsidRPr="007D2AC6" w:rsidRDefault="004D11AE">
      <w:pPr>
        <w:pStyle w:val="TOC1"/>
        <w:tabs>
          <w:tab w:val="right" w:leader="dot" w:pos="9346"/>
        </w:tabs>
        <w:rPr>
          <w:rFonts w:asciiTheme="minorHAnsi" w:eastAsiaTheme="minorEastAsia" w:hAnsiTheme="minorHAnsi" w:cstheme="minorBidi"/>
          <w:b w:val="0"/>
          <w:caps w:val="0"/>
          <w:noProof/>
          <w:szCs w:val="22"/>
          <w:lang w:val="fr-FR" w:eastAsia="fr-FR"/>
        </w:rPr>
      </w:pPr>
      <w:r w:rsidRPr="007D2AC6">
        <w:rPr>
          <w:b w:val="0"/>
          <w:bCs/>
          <w:lang w:val="fr-FR"/>
        </w:rPr>
        <w:fldChar w:fldCharType="begin"/>
      </w:r>
      <w:r w:rsidRPr="007D2AC6">
        <w:rPr>
          <w:b w:val="0"/>
          <w:bCs/>
          <w:lang w:val="fr-FR"/>
        </w:rPr>
        <w:instrText xml:space="preserve"> TOC \o "1-3" \u </w:instrText>
      </w:r>
      <w:r w:rsidRPr="007D2AC6">
        <w:rPr>
          <w:b w:val="0"/>
          <w:bCs/>
          <w:lang w:val="fr-FR"/>
        </w:rPr>
        <w:fldChar w:fldCharType="separate"/>
      </w:r>
      <w:r w:rsidR="00917E82" w:rsidRPr="007D2AC6">
        <w:rPr>
          <w:noProof/>
          <w:lang w:val="fr-FR"/>
        </w:rPr>
        <w:t>Liste des sigles</w:t>
      </w:r>
      <w:r w:rsidR="00917E82" w:rsidRPr="007D2AC6">
        <w:rPr>
          <w:noProof/>
        </w:rPr>
        <w:tab/>
      </w:r>
      <w:r w:rsidR="00917E82" w:rsidRPr="007D2AC6">
        <w:rPr>
          <w:noProof/>
        </w:rPr>
        <w:fldChar w:fldCharType="begin"/>
      </w:r>
      <w:r w:rsidR="00917E82" w:rsidRPr="007D2AC6">
        <w:rPr>
          <w:noProof/>
        </w:rPr>
        <w:instrText xml:space="preserve"> PAGEREF _Toc478372731 \h </w:instrText>
      </w:r>
      <w:r w:rsidR="00917E82" w:rsidRPr="007D2AC6">
        <w:rPr>
          <w:noProof/>
        </w:rPr>
      </w:r>
      <w:r w:rsidR="00917E82" w:rsidRPr="007D2AC6">
        <w:rPr>
          <w:noProof/>
        </w:rPr>
        <w:fldChar w:fldCharType="separate"/>
      </w:r>
      <w:r w:rsidR="00917E82" w:rsidRPr="007D2AC6">
        <w:rPr>
          <w:noProof/>
        </w:rPr>
        <w:t>2</w:t>
      </w:r>
      <w:r w:rsidR="00917E82" w:rsidRPr="007D2AC6">
        <w:rPr>
          <w:noProof/>
        </w:rPr>
        <w:fldChar w:fldCharType="end"/>
      </w:r>
    </w:p>
    <w:p w14:paraId="4DAB26A5" w14:textId="77777777" w:rsidR="00917E82" w:rsidRPr="007D2AC6" w:rsidRDefault="00917E82">
      <w:pPr>
        <w:pStyle w:val="TOC1"/>
        <w:tabs>
          <w:tab w:val="right" w:leader="dot" w:pos="9346"/>
        </w:tabs>
        <w:rPr>
          <w:rFonts w:asciiTheme="minorHAnsi" w:eastAsiaTheme="minorEastAsia" w:hAnsiTheme="minorHAnsi" w:cstheme="minorBidi"/>
          <w:b w:val="0"/>
          <w:caps w:val="0"/>
          <w:noProof/>
          <w:szCs w:val="22"/>
          <w:lang w:val="fr-FR" w:eastAsia="fr-FR"/>
        </w:rPr>
      </w:pPr>
      <w:r w:rsidRPr="007D2AC6">
        <w:rPr>
          <w:noProof/>
          <w:lang w:val="fr-FR"/>
        </w:rPr>
        <w:t>Résumé</w:t>
      </w:r>
      <w:r w:rsidRPr="007D2AC6">
        <w:rPr>
          <w:noProof/>
        </w:rPr>
        <w:tab/>
      </w:r>
      <w:r w:rsidRPr="007D2AC6">
        <w:rPr>
          <w:noProof/>
        </w:rPr>
        <w:fldChar w:fldCharType="begin"/>
      </w:r>
      <w:r w:rsidRPr="007D2AC6">
        <w:rPr>
          <w:noProof/>
        </w:rPr>
        <w:instrText xml:space="preserve"> PAGEREF _Toc478372732 \h </w:instrText>
      </w:r>
      <w:r w:rsidRPr="007D2AC6">
        <w:rPr>
          <w:noProof/>
        </w:rPr>
      </w:r>
      <w:r w:rsidRPr="007D2AC6">
        <w:rPr>
          <w:noProof/>
        </w:rPr>
        <w:fldChar w:fldCharType="separate"/>
      </w:r>
      <w:r w:rsidRPr="007D2AC6">
        <w:rPr>
          <w:noProof/>
        </w:rPr>
        <w:t>3</w:t>
      </w:r>
      <w:r w:rsidRPr="007D2AC6">
        <w:rPr>
          <w:noProof/>
        </w:rPr>
        <w:fldChar w:fldCharType="end"/>
      </w:r>
    </w:p>
    <w:p w14:paraId="39F65B90" w14:textId="77777777" w:rsidR="00917E82" w:rsidRPr="007D2AC6" w:rsidRDefault="00917E82">
      <w:pPr>
        <w:pStyle w:val="TOC1"/>
        <w:tabs>
          <w:tab w:val="left" w:pos="440"/>
          <w:tab w:val="right" w:leader="dot" w:pos="9346"/>
        </w:tabs>
        <w:rPr>
          <w:rFonts w:asciiTheme="minorHAnsi" w:eastAsiaTheme="minorEastAsia" w:hAnsiTheme="minorHAnsi" w:cstheme="minorBidi"/>
          <w:b w:val="0"/>
          <w:caps w:val="0"/>
          <w:noProof/>
          <w:szCs w:val="22"/>
          <w:lang w:val="fr-FR" w:eastAsia="fr-FR"/>
        </w:rPr>
      </w:pPr>
      <w:r w:rsidRPr="007D2AC6">
        <w:rPr>
          <w:noProof/>
          <w:lang w:val="fr-FR"/>
        </w:rPr>
        <w:t>1.</w:t>
      </w:r>
      <w:r w:rsidRPr="007D2AC6">
        <w:rPr>
          <w:rFonts w:asciiTheme="minorHAnsi" w:eastAsiaTheme="minorEastAsia" w:hAnsiTheme="minorHAnsi" w:cstheme="minorBidi"/>
          <w:b w:val="0"/>
          <w:caps w:val="0"/>
          <w:noProof/>
          <w:szCs w:val="22"/>
          <w:lang w:val="fr-FR" w:eastAsia="fr-FR"/>
        </w:rPr>
        <w:tab/>
      </w:r>
      <w:r w:rsidRPr="007D2AC6">
        <w:rPr>
          <w:noProof/>
          <w:lang w:val="fr-FR"/>
        </w:rPr>
        <w:t>Introduction</w:t>
      </w:r>
      <w:r w:rsidRPr="007D2AC6">
        <w:rPr>
          <w:noProof/>
        </w:rPr>
        <w:tab/>
      </w:r>
      <w:r w:rsidRPr="007D2AC6">
        <w:rPr>
          <w:noProof/>
        </w:rPr>
        <w:fldChar w:fldCharType="begin"/>
      </w:r>
      <w:r w:rsidRPr="007D2AC6">
        <w:rPr>
          <w:noProof/>
        </w:rPr>
        <w:instrText xml:space="preserve"> PAGEREF _Toc478372733 \h </w:instrText>
      </w:r>
      <w:r w:rsidRPr="007D2AC6">
        <w:rPr>
          <w:noProof/>
        </w:rPr>
      </w:r>
      <w:r w:rsidRPr="007D2AC6">
        <w:rPr>
          <w:noProof/>
        </w:rPr>
        <w:fldChar w:fldCharType="separate"/>
      </w:r>
      <w:r w:rsidRPr="007D2AC6">
        <w:rPr>
          <w:noProof/>
        </w:rPr>
        <w:t>7</w:t>
      </w:r>
      <w:r w:rsidRPr="007D2AC6">
        <w:rPr>
          <w:noProof/>
        </w:rPr>
        <w:fldChar w:fldCharType="end"/>
      </w:r>
    </w:p>
    <w:p w14:paraId="3B237210"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A)</w:t>
      </w:r>
      <w:r w:rsidRPr="007D2AC6">
        <w:rPr>
          <w:rFonts w:asciiTheme="minorHAnsi" w:eastAsiaTheme="minorEastAsia" w:hAnsiTheme="minorHAnsi" w:cstheme="minorBidi"/>
          <w:caps w:val="0"/>
          <w:noProof/>
          <w:szCs w:val="22"/>
          <w:lang w:val="fr-FR" w:eastAsia="fr-FR"/>
        </w:rPr>
        <w:tab/>
      </w:r>
      <w:r w:rsidRPr="007D2AC6">
        <w:rPr>
          <w:noProof/>
          <w:lang w:val="fr-FR"/>
        </w:rPr>
        <w:t>Cadre général et description du projet</w:t>
      </w:r>
      <w:r w:rsidRPr="007D2AC6">
        <w:rPr>
          <w:noProof/>
        </w:rPr>
        <w:tab/>
      </w:r>
      <w:r w:rsidRPr="007D2AC6">
        <w:rPr>
          <w:noProof/>
        </w:rPr>
        <w:fldChar w:fldCharType="begin"/>
      </w:r>
      <w:r w:rsidRPr="007D2AC6">
        <w:rPr>
          <w:noProof/>
        </w:rPr>
        <w:instrText xml:space="preserve"> PAGEREF _Toc478372734 \h </w:instrText>
      </w:r>
      <w:r w:rsidRPr="007D2AC6">
        <w:rPr>
          <w:noProof/>
        </w:rPr>
      </w:r>
      <w:r w:rsidRPr="007D2AC6">
        <w:rPr>
          <w:noProof/>
        </w:rPr>
        <w:fldChar w:fldCharType="separate"/>
      </w:r>
      <w:r w:rsidRPr="007D2AC6">
        <w:rPr>
          <w:noProof/>
        </w:rPr>
        <w:t>7</w:t>
      </w:r>
      <w:r w:rsidRPr="007D2AC6">
        <w:rPr>
          <w:noProof/>
        </w:rPr>
        <w:fldChar w:fldCharType="end"/>
      </w:r>
    </w:p>
    <w:p w14:paraId="59DBA5FB"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B)</w:t>
      </w:r>
      <w:r w:rsidRPr="007D2AC6">
        <w:rPr>
          <w:rFonts w:asciiTheme="minorHAnsi" w:eastAsiaTheme="minorEastAsia" w:hAnsiTheme="minorHAnsi" w:cstheme="minorBidi"/>
          <w:caps w:val="0"/>
          <w:noProof/>
          <w:szCs w:val="22"/>
          <w:lang w:val="fr-FR" w:eastAsia="fr-FR"/>
        </w:rPr>
        <w:tab/>
      </w:r>
      <w:r w:rsidRPr="007D2AC6">
        <w:rPr>
          <w:noProof/>
          <w:lang w:val="fr-FR"/>
        </w:rPr>
        <w:t>Champ d’observation, objet, méthode et limites de la présente évaluation</w:t>
      </w:r>
      <w:r w:rsidRPr="007D2AC6">
        <w:rPr>
          <w:noProof/>
        </w:rPr>
        <w:tab/>
      </w:r>
      <w:r w:rsidRPr="007D2AC6">
        <w:rPr>
          <w:noProof/>
        </w:rPr>
        <w:fldChar w:fldCharType="begin"/>
      </w:r>
      <w:r w:rsidRPr="007D2AC6">
        <w:rPr>
          <w:noProof/>
        </w:rPr>
        <w:instrText xml:space="preserve"> PAGEREF _Toc478372735 \h </w:instrText>
      </w:r>
      <w:r w:rsidRPr="007D2AC6">
        <w:rPr>
          <w:noProof/>
        </w:rPr>
      </w:r>
      <w:r w:rsidRPr="007D2AC6">
        <w:rPr>
          <w:noProof/>
        </w:rPr>
        <w:fldChar w:fldCharType="separate"/>
      </w:r>
      <w:r w:rsidRPr="007D2AC6">
        <w:rPr>
          <w:noProof/>
        </w:rPr>
        <w:t>9</w:t>
      </w:r>
      <w:r w:rsidRPr="007D2AC6">
        <w:rPr>
          <w:noProof/>
        </w:rPr>
        <w:fldChar w:fldCharType="end"/>
      </w:r>
    </w:p>
    <w:p w14:paraId="5A7B63AD"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w:t>
      </w:r>
      <w:r w:rsidRPr="007D2AC6">
        <w:rPr>
          <w:rFonts w:asciiTheme="minorHAnsi" w:eastAsiaTheme="minorEastAsia" w:hAnsiTheme="minorHAnsi" w:cstheme="minorBidi"/>
          <w:noProof/>
          <w:szCs w:val="22"/>
          <w:lang w:val="fr-FR" w:eastAsia="fr-FR"/>
        </w:rPr>
        <w:tab/>
      </w:r>
      <w:r w:rsidRPr="007D2AC6">
        <w:rPr>
          <w:noProof/>
        </w:rPr>
        <w:t>Champ d’observation</w:t>
      </w:r>
      <w:r w:rsidRPr="007D2AC6">
        <w:rPr>
          <w:noProof/>
        </w:rPr>
        <w:tab/>
      </w:r>
      <w:r w:rsidRPr="007D2AC6">
        <w:rPr>
          <w:noProof/>
        </w:rPr>
        <w:fldChar w:fldCharType="begin"/>
      </w:r>
      <w:r w:rsidRPr="007D2AC6">
        <w:rPr>
          <w:noProof/>
        </w:rPr>
        <w:instrText xml:space="preserve"> PAGEREF _Toc478372736 \h </w:instrText>
      </w:r>
      <w:r w:rsidRPr="007D2AC6">
        <w:rPr>
          <w:noProof/>
        </w:rPr>
      </w:r>
      <w:r w:rsidRPr="007D2AC6">
        <w:rPr>
          <w:noProof/>
        </w:rPr>
        <w:fldChar w:fldCharType="separate"/>
      </w:r>
      <w:r w:rsidRPr="007D2AC6">
        <w:rPr>
          <w:noProof/>
        </w:rPr>
        <w:t>9</w:t>
      </w:r>
      <w:r w:rsidRPr="007D2AC6">
        <w:rPr>
          <w:noProof/>
        </w:rPr>
        <w:fldChar w:fldCharType="end"/>
      </w:r>
    </w:p>
    <w:p w14:paraId="4AABC75A"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w:t>
      </w:r>
      <w:r w:rsidRPr="007D2AC6">
        <w:rPr>
          <w:rFonts w:asciiTheme="minorHAnsi" w:eastAsiaTheme="minorEastAsia" w:hAnsiTheme="minorHAnsi" w:cstheme="minorBidi"/>
          <w:noProof/>
          <w:szCs w:val="22"/>
          <w:lang w:val="fr-FR" w:eastAsia="fr-FR"/>
        </w:rPr>
        <w:tab/>
      </w:r>
      <w:r w:rsidRPr="007D2AC6">
        <w:rPr>
          <w:noProof/>
        </w:rPr>
        <w:t>Objet principal</w:t>
      </w:r>
      <w:r w:rsidRPr="007D2AC6">
        <w:rPr>
          <w:noProof/>
        </w:rPr>
        <w:tab/>
      </w:r>
      <w:r w:rsidRPr="007D2AC6">
        <w:rPr>
          <w:noProof/>
        </w:rPr>
        <w:fldChar w:fldCharType="begin"/>
      </w:r>
      <w:r w:rsidRPr="007D2AC6">
        <w:rPr>
          <w:noProof/>
        </w:rPr>
        <w:instrText xml:space="preserve"> PAGEREF _Toc478372737 \h </w:instrText>
      </w:r>
      <w:r w:rsidRPr="007D2AC6">
        <w:rPr>
          <w:noProof/>
        </w:rPr>
      </w:r>
      <w:r w:rsidRPr="007D2AC6">
        <w:rPr>
          <w:noProof/>
        </w:rPr>
        <w:fldChar w:fldCharType="separate"/>
      </w:r>
      <w:r w:rsidRPr="007D2AC6">
        <w:rPr>
          <w:noProof/>
        </w:rPr>
        <w:t>9</w:t>
      </w:r>
      <w:r w:rsidRPr="007D2AC6">
        <w:rPr>
          <w:noProof/>
        </w:rPr>
        <w:fldChar w:fldCharType="end"/>
      </w:r>
    </w:p>
    <w:p w14:paraId="3B0BA9ED"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iii)</w:t>
      </w:r>
      <w:r w:rsidRPr="007D2AC6">
        <w:rPr>
          <w:rFonts w:asciiTheme="minorHAnsi" w:eastAsiaTheme="minorEastAsia" w:hAnsiTheme="minorHAnsi" w:cstheme="minorBidi"/>
          <w:noProof/>
          <w:szCs w:val="22"/>
          <w:lang w:val="fr-FR" w:eastAsia="fr-FR"/>
        </w:rPr>
        <w:tab/>
      </w:r>
      <w:r w:rsidRPr="007D2AC6">
        <w:rPr>
          <w:noProof/>
        </w:rPr>
        <w:t>Méthode</w:t>
      </w:r>
      <w:r w:rsidRPr="007D2AC6">
        <w:rPr>
          <w:noProof/>
        </w:rPr>
        <w:tab/>
      </w:r>
      <w:r w:rsidRPr="007D2AC6">
        <w:rPr>
          <w:noProof/>
        </w:rPr>
        <w:fldChar w:fldCharType="begin"/>
      </w:r>
      <w:r w:rsidRPr="007D2AC6">
        <w:rPr>
          <w:noProof/>
        </w:rPr>
        <w:instrText xml:space="preserve"> PAGEREF _Toc478372738 \h </w:instrText>
      </w:r>
      <w:r w:rsidRPr="007D2AC6">
        <w:rPr>
          <w:noProof/>
        </w:rPr>
      </w:r>
      <w:r w:rsidRPr="007D2AC6">
        <w:rPr>
          <w:noProof/>
        </w:rPr>
        <w:fldChar w:fldCharType="separate"/>
      </w:r>
      <w:r w:rsidRPr="007D2AC6">
        <w:rPr>
          <w:noProof/>
        </w:rPr>
        <w:t>9</w:t>
      </w:r>
      <w:r w:rsidRPr="007D2AC6">
        <w:rPr>
          <w:noProof/>
        </w:rPr>
        <w:fldChar w:fldCharType="end"/>
      </w:r>
    </w:p>
    <w:p w14:paraId="4982C7F5"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iv)</w:t>
      </w:r>
      <w:r w:rsidRPr="007D2AC6">
        <w:rPr>
          <w:rFonts w:asciiTheme="minorHAnsi" w:eastAsiaTheme="minorEastAsia" w:hAnsiTheme="minorHAnsi" w:cstheme="minorBidi"/>
          <w:noProof/>
          <w:szCs w:val="22"/>
          <w:lang w:val="fr-FR" w:eastAsia="fr-FR"/>
        </w:rPr>
        <w:tab/>
      </w:r>
      <w:r w:rsidRPr="007D2AC6">
        <w:rPr>
          <w:noProof/>
        </w:rPr>
        <w:t>Principales limites de la présente évaluation</w:t>
      </w:r>
      <w:r w:rsidRPr="007D2AC6">
        <w:rPr>
          <w:noProof/>
        </w:rPr>
        <w:tab/>
      </w:r>
      <w:r w:rsidRPr="007D2AC6">
        <w:rPr>
          <w:noProof/>
        </w:rPr>
        <w:fldChar w:fldCharType="begin"/>
      </w:r>
      <w:r w:rsidRPr="007D2AC6">
        <w:rPr>
          <w:noProof/>
        </w:rPr>
        <w:instrText xml:space="preserve"> PAGEREF _Toc478372739 \h </w:instrText>
      </w:r>
      <w:r w:rsidRPr="007D2AC6">
        <w:rPr>
          <w:noProof/>
        </w:rPr>
      </w:r>
      <w:r w:rsidRPr="007D2AC6">
        <w:rPr>
          <w:noProof/>
        </w:rPr>
        <w:fldChar w:fldCharType="separate"/>
      </w:r>
      <w:r w:rsidRPr="007D2AC6">
        <w:rPr>
          <w:noProof/>
        </w:rPr>
        <w:t>11</w:t>
      </w:r>
      <w:r w:rsidRPr="007D2AC6">
        <w:rPr>
          <w:noProof/>
        </w:rPr>
        <w:fldChar w:fldCharType="end"/>
      </w:r>
    </w:p>
    <w:p w14:paraId="393DDA32" w14:textId="77777777" w:rsidR="00917E82" w:rsidRPr="007D2AC6" w:rsidRDefault="00917E82">
      <w:pPr>
        <w:pStyle w:val="TOC1"/>
        <w:tabs>
          <w:tab w:val="left" w:pos="440"/>
          <w:tab w:val="right" w:leader="dot" w:pos="9346"/>
        </w:tabs>
        <w:rPr>
          <w:rFonts w:asciiTheme="minorHAnsi" w:eastAsiaTheme="minorEastAsia" w:hAnsiTheme="minorHAnsi" w:cstheme="minorBidi"/>
          <w:b w:val="0"/>
          <w:caps w:val="0"/>
          <w:noProof/>
          <w:szCs w:val="22"/>
          <w:lang w:val="fr-FR" w:eastAsia="fr-FR"/>
        </w:rPr>
      </w:pPr>
      <w:r w:rsidRPr="007D2AC6">
        <w:rPr>
          <w:noProof/>
          <w:lang w:val="fr-FR"/>
        </w:rPr>
        <w:t>2.</w:t>
      </w:r>
      <w:r w:rsidRPr="007D2AC6">
        <w:rPr>
          <w:rFonts w:asciiTheme="minorHAnsi" w:eastAsiaTheme="minorEastAsia" w:hAnsiTheme="minorHAnsi" w:cstheme="minorBidi"/>
          <w:b w:val="0"/>
          <w:caps w:val="0"/>
          <w:noProof/>
          <w:szCs w:val="22"/>
          <w:lang w:val="fr-FR" w:eastAsia="fr-FR"/>
        </w:rPr>
        <w:tab/>
      </w:r>
      <w:r w:rsidRPr="007D2AC6">
        <w:rPr>
          <w:noProof/>
          <w:lang w:val="fr-FR"/>
        </w:rPr>
        <w:t>Constatations et évaluation</w:t>
      </w:r>
      <w:r w:rsidRPr="007D2AC6">
        <w:rPr>
          <w:noProof/>
        </w:rPr>
        <w:tab/>
      </w:r>
      <w:r w:rsidRPr="007D2AC6">
        <w:rPr>
          <w:noProof/>
        </w:rPr>
        <w:fldChar w:fldCharType="begin"/>
      </w:r>
      <w:r w:rsidRPr="007D2AC6">
        <w:rPr>
          <w:noProof/>
        </w:rPr>
        <w:instrText xml:space="preserve"> PAGEREF _Toc478372740 \h </w:instrText>
      </w:r>
      <w:r w:rsidRPr="007D2AC6">
        <w:rPr>
          <w:noProof/>
        </w:rPr>
      </w:r>
      <w:r w:rsidRPr="007D2AC6">
        <w:rPr>
          <w:noProof/>
        </w:rPr>
        <w:fldChar w:fldCharType="separate"/>
      </w:r>
      <w:r w:rsidRPr="007D2AC6">
        <w:rPr>
          <w:noProof/>
        </w:rPr>
        <w:t>11</w:t>
      </w:r>
      <w:r w:rsidRPr="007D2AC6">
        <w:rPr>
          <w:noProof/>
        </w:rPr>
        <w:fldChar w:fldCharType="end"/>
      </w:r>
    </w:p>
    <w:p w14:paraId="14E881FD"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A)</w:t>
      </w:r>
      <w:r w:rsidRPr="007D2AC6">
        <w:rPr>
          <w:rFonts w:asciiTheme="minorHAnsi" w:eastAsiaTheme="minorEastAsia" w:hAnsiTheme="minorHAnsi" w:cstheme="minorBidi"/>
          <w:caps w:val="0"/>
          <w:noProof/>
          <w:szCs w:val="22"/>
          <w:lang w:val="fr-FR" w:eastAsia="fr-FR"/>
        </w:rPr>
        <w:tab/>
      </w:r>
      <w:r w:rsidRPr="007D2AC6">
        <w:rPr>
          <w:noProof/>
          <w:lang w:val="fr-FR"/>
        </w:rPr>
        <w:t>Préparation et gestion du projet</w:t>
      </w:r>
      <w:r w:rsidRPr="007D2AC6">
        <w:rPr>
          <w:noProof/>
        </w:rPr>
        <w:tab/>
      </w:r>
      <w:r w:rsidRPr="007D2AC6">
        <w:rPr>
          <w:noProof/>
        </w:rPr>
        <w:fldChar w:fldCharType="begin"/>
      </w:r>
      <w:r w:rsidRPr="007D2AC6">
        <w:rPr>
          <w:noProof/>
        </w:rPr>
        <w:instrText xml:space="preserve"> PAGEREF _Toc478372741 \h </w:instrText>
      </w:r>
      <w:r w:rsidRPr="007D2AC6">
        <w:rPr>
          <w:noProof/>
        </w:rPr>
      </w:r>
      <w:r w:rsidRPr="007D2AC6">
        <w:rPr>
          <w:noProof/>
        </w:rPr>
        <w:fldChar w:fldCharType="separate"/>
      </w:r>
      <w:r w:rsidRPr="007D2AC6">
        <w:rPr>
          <w:noProof/>
        </w:rPr>
        <w:t>11</w:t>
      </w:r>
      <w:r w:rsidRPr="007D2AC6">
        <w:rPr>
          <w:noProof/>
        </w:rPr>
        <w:fldChar w:fldCharType="end"/>
      </w:r>
    </w:p>
    <w:p w14:paraId="36CF87E0"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w:t>
      </w:r>
      <w:r w:rsidRPr="007D2AC6">
        <w:rPr>
          <w:rFonts w:asciiTheme="minorHAnsi" w:eastAsiaTheme="minorEastAsia" w:hAnsiTheme="minorHAnsi" w:cstheme="minorBidi"/>
          <w:noProof/>
          <w:szCs w:val="22"/>
          <w:lang w:val="fr-FR" w:eastAsia="fr-FR"/>
        </w:rPr>
        <w:tab/>
      </w:r>
      <w:r w:rsidRPr="007D2AC6">
        <w:rPr>
          <w:noProof/>
        </w:rPr>
        <w:t>Préparation du projet</w:t>
      </w:r>
      <w:r w:rsidRPr="007D2AC6">
        <w:rPr>
          <w:noProof/>
        </w:rPr>
        <w:tab/>
      </w:r>
      <w:r w:rsidRPr="007D2AC6">
        <w:rPr>
          <w:noProof/>
        </w:rPr>
        <w:fldChar w:fldCharType="begin"/>
      </w:r>
      <w:r w:rsidRPr="007D2AC6">
        <w:rPr>
          <w:noProof/>
        </w:rPr>
        <w:instrText xml:space="preserve"> PAGEREF _Toc478372742 \h </w:instrText>
      </w:r>
      <w:r w:rsidRPr="007D2AC6">
        <w:rPr>
          <w:noProof/>
        </w:rPr>
      </w:r>
      <w:r w:rsidRPr="007D2AC6">
        <w:rPr>
          <w:noProof/>
        </w:rPr>
        <w:fldChar w:fldCharType="separate"/>
      </w:r>
      <w:r w:rsidRPr="007D2AC6">
        <w:rPr>
          <w:noProof/>
        </w:rPr>
        <w:t>11</w:t>
      </w:r>
      <w:r w:rsidRPr="007D2AC6">
        <w:rPr>
          <w:noProof/>
        </w:rPr>
        <w:fldChar w:fldCharType="end"/>
      </w:r>
    </w:p>
    <w:p w14:paraId="529C625B"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w:t>
      </w:r>
      <w:r w:rsidRPr="007D2AC6">
        <w:rPr>
          <w:rFonts w:asciiTheme="minorHAnsi" w:eastAsiaTheme="minorEastAsia" w:hAnsiTheme="minorHAnsi" w:cstheme="minorBidi"/>
          <w:noProof/>
          <w:szCs w:val="22"/>
          <w:lang w:val="fr-FR" w:eastAsia="fr-FR"/>
        </w:rPr>
        <w:tab/>
      </w:r>
      <w:r w:rsidRPr="007D2AC6">
        <w:rPr>
          <w:noProof/>
        </w:rPr>
        <w:t xml:space="preserve">Utilisation d’outils de planification du projet </w:t>
      </w:r>
      <w:r w:rsidRPr="007D2AC6">
        <w:rPr>
          <w:noProof/>
        </w:rPr>
        <w:sym w:font="Symbol" w:char="F028"/>
      </w:r>
      <w:r w:rsidRPr="007D2AC6">
        <w:rPr>
          <w:noProof/>
        </w:rPr>
        <w:t>au stade de la planification)</w:t>
      </w:r>
      <w:r w:rsidRPr="007D2AC6">
        <w:rPr>
          <w:noProof/>
        </w:rPr>
        <w:tab/>
      </w:r>
      <w:r w:rsidRPr="007D2AC6">
        <w:rPr>
          <w:noProof/>
        </w:rPr>
        <w:fldChar w:fldCharType="begin"/>
      </w:r>
      <w:r w:rsidRPr="007D2AC6">
        <w:rPr>
          <w:noProof/>
        </w:rPr>
        <w:instrText xml:space="preserve"> PAGEREF _Toc478372743 \h </w:instrText>
      </w:r>
      <w:r w:rsidRPr="007D2AC6">
        <w:rPr>
          <w:noProof/>
        </w:rPr>
      </w:r>
      <w:r w:rsidRPr="007D2AC6">
        <w:rPr>
          <w:noProof/>
        </w:rPr>
        <w:fldChar w:fldCharType="separate"/>
      </w:r>
      <w:r w:rsidRPr="007D2AC6">
        <w:rPr>
          <w:noProof/>
        </w:rPr>
        <w:t>12</w:t>
      </w:r>
      <w:r w:rsidRPr="007D2AC6">
        <w:rPr>
          <w:noProof/>
        </w:rPr>
        <w:fldChar w:fldCharType="end"/>
      </w:r>
    </w:p>
    <w:p w14:paraId="54762FEC"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iii)</w:t>
      </w:r>
      <w:r w:rsidRPr="007D2AC6">
        <w:rPr>
          <w:rFonts w:asciiTheme="minorHAnsi" w:eastAsiaTheme="minorEastAsia" w:hAnsiTheme="minorHAnsi" w:cstheme="minorBidi"/>
          <w:noProof/>
          <w:szCs w:val="22"/>
          <w:lang w:val="fr-FR" w:eastAsia="fr-FR"/>
        </w:rPr>
        <w:tab/>
      </w:r>
      <w:r w:rsidRPr="007D2AC6">
        <w:rPr>
          <w:noProof/>
        </w:rPr>
        <w:t>Gestion du projet</w:t>
      </w:r>
      <w:r w:rsidRPr="007D2AC6">
        <w:rPr>
          <w:noProof/>
        </w:rPr>
        <w:tab/>
      </w:r>
      <w:r w:rsidRPr="007D2AC6">
        <w:rPr>
          <w:noProof/>
        </w:rPr>
        <w:fldChar w:fldCharType="begin"/>
      </w:r>
      <w:r w:rsidRPr="007D2AC6">
        <w:rPr>
          <w:noProof/>
        </w:rPr>
        <w:instrText xml:space="preserve"> PAGEREF _Toc478372744 \h </w:instrText>
      </w:r>
      <w:r w:rsidRPr="007D2AC6">
        <w:rPr>
          <w:noProof/>
        </w:rPr>
      </w:r>
      <w:r w:rsidRPr="007D2AC6">
        <w:rPr>
          <w:noProof/>
        </w:rPr>
        <w:fldChar w:fldCharType="separate"/>
      </w:r>
      <w:r w:rsidRPr="007D2AC6">
        <w:rPr>
          <w:noProof/>
        </w:rPr>
        <w:t>13</w:t>
      </w:r>
      <w:r w:rsidRPr="007D2AC6">
        <w:rPr>
          <w:noProof/>
        </w:rPr>
        <w:fldChar w:fldCharType="end"/>
      </w:r>
    </w:p>
    <w:p w14:paraId="55195C08"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B)</w:t>
      </w:r>
      <w:r w:rsidRPr="007D2AC6">
        <w:rPr>
          <w:rFonts w:asciiTheme="minorHAnsi" w:eastAsiaTheme="minorEastAsia" w:hAnsiTheme="minorHAnsi" w:cstheme="minorBidi"/>
          <w:caps w:val="0"/>
          <w:noProof/>
          <w:szCs w:val="22"/>
          <w:lang w:val="fr-FR" w:eastAsia="fr-FR"/>
        </w:rPr>
        <w:tab/>
      </w:r>
      <w:r w:rsidRPr="007D2AC6">
        <w:rPr>
          <w:noProof/>
          <w:lang w:val="fr-FR"/>
        </w:rPr>
        <w:t>Pertinence</w:t>
      </w:r>
      <w:r w:rsidRPr="007D2AC6">
        <w:rPr>
          <w:noProof/>
        </w:rPr>
        <w:tab/>
      </w:r>
      <w:r w:rsidRPr="007D2AC6">
        <w:rPr>
          <w:noProof/>
        </w:rPr>
        <w:fldChar w:fldCharType="begin"/>
      </w:r>
      <w:r w:rsidRPr="007D2AC6">
        <w:rPr>
          <w:noProof/>
        </w:rPr>
        <w:instrText xml:space="preserve"> PAGEREF _Toc478372745 \h </w:instrText>
      </w:r>
      <w:r w:rsidRPr="007D2AC6">
        <w:rPr>
          <w:noProof/>
        </w:rPr>
      </w:r>
      <w:r w:rsidRPr="007D2AC6">
        <w:rPr>
          <w:noProof/>
        </w:rPr>
        <w:fldChar w:fldCharType="separate"/>
      </w:r>
      <w:r w:rsidRPr="007D2AC6">
        <w:rPr>
          <w:noProof/>
        </w:rPr>
        <w:t>14</w:t>
      </w:r>
      <w:r w:rsidRPr="007D2AC6">
        <w:rPr>
          <w:noProof/>
        </w:rPr>
        <w:fldChar w:fldCharType="end"/>
      </w:r>
    </w:p>
    <w:p w14:paraId="48EC7CF1"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w:t>
      </w:r>
      <w:r w:rsidRPr="007D2AC6">
        <w:rPr>
          <w:rFonts w:asciiTheme="minorHAnsi" w:eastAsiaTheme="minorEastAsia" w:hAnsiTheme="minorHAnsi" w:cstheme="minorBidi"/>
          <w:noProof/>
          <w:szCs w:val="22"/>
          <w:lang w:val="fr-FR" w:eastAsia="fr-FR"/>
        </w:rPr>
        <w:tab/>
      </w:r>
      <w:r w:rsidRPr="007D2AC6">
        <w:rPr>
          <w:noProof/>
        </w:rPr>
        <w:t>Pertinence générale</w:t>
      </w:r>
      <w:r w:rsidRPr="007D2AC6">
        <w:rPr>
          <w:noProof/>
        </w:rPr>
        <w:tab/>
      </w:r>
      <w:r w:rsidRPr="007D2AC6">
        <w:rPr>
          <w:noProof/>
        </w:rPr>
        <w:fldChar w:fldCharType="begin"/>
      </w:r>
      <w:r w:rsidRPr="007D2AC6">
        <w:rPr>
          <w:noProof/>
        </w:rPr>
        <w:instrText xml:space="preserve"> PAGEREF _Toc478372746 \h </w:instrText>
      </w:r>
      <w:r w:rsidRPr="007D2AC6">
        <w:rPr>
          <w:noProof/>
        </w:rPr>
      </w:r>
      <w:r w:rsidRPr="007D2AC6">
        <w:rPr>
          <w:noProof/>
        </w:rPr>
        <w:fldChar w:fldCharType="separate"/>
      </w:r>
      <w:r w:rsidRPr="007D2AC6">
        <w:rPr>
          <w:noProof/>
        </w:rPr>
        <w:t>14</w:t>
      </w:r>
      <w:r w:rsidRPr="007D2AC6">
        <w:rPr>
          <w:noProof/>
        </w:rPr>
        <w:fldChar w:fldCharType="end"/>
      </w:r>
    </w:p>
    <w:p w14:paraId="338201D1"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w:t>
      </w:r>
      <w:r w:rsidRPr="007D2AC6">
        <w:rPr>
          <w:rFonts w:asciiTheme="minorHAnsi" w:eastAsiaTheme="minorEastAsia" w:hAnsiTheme="minorHAnsi" w:cstheme="minorBidi"/>
          <w:noProof/>
          <w:szCs w:val="22"/>
          <w:lang w:val="fr-FR" w:eastAsia="fr-FR"/>
        </w:rPr>
        <w:tab/>
      </w:r>
      <w:r w:rsidRPr="007D2AC6">
        <w:rPr>
          <w:noProof/>
        </w:rPr>
        <w:t>Pertinence pour les bénéficiaires</w:t>
      </w:r>
      <w:r w:rsidRPr="007D2AC6">
        <w:rPr>
          <w:noProof/>
        </w:rPr>
        <w:tab/>
      </w:r>
      <w:r w:rsidRPr="007D2AC6">
        <w:rPr>
          <w:noProof/>
        </w:rPr>
        <w:fldChar w:fldCharType="begin"/>
      </w:r>
      <w:r w:rsidRPr="007D2AC6">
        <w:rPr>
          <w:noProof/>
        </w:rPr>
        <w:instrText xml:space="preserve"> PAGEREF _Toc478372747 \h </w:instrText>
      </w:r>
      <w:r w:rsidRPr="007D2AC6">
        <w:rPr>
          <w:noProof/>
        </w:rPr>
      </w:r>
      <w:r w:rsidRPr="007D2AC6">
        <w:rPr>
          <w:noProof/>
        </w:rPr>
        <w:fldChar w:fldCharType="separate"/>
      </w:r>
      <w:r w:rsidRPr="007D2AC6">
        <w:rPr>
          <w:noProof/>
        </w:rPr>
        <w:t>15</w:t>
      </w:r>
      <w:r w:rsidRPr="007D2AC6">
        <w:rPr>
          <w:noProof/>
        </w:rPr>
        <w:fldChar w:fldCharType="end"/>
      </w:r>
    </w:p>
    <w:p w14:paraId="1D8C87B8"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C)</w:t>
      </w:r>
      <w:r w:rsidRPr="007D2AC6">
        <w:rPr>
          <w:rFonts w:asciiTheme="minorHAnsi" w:eastAsiaTheme="minorEastAsia" w:hAnsiTheme="minorHAnsi" w:cstheme="minorBidi"/>
          <w:caps w:val="0"/>
          <w:noProof/>
          <w:szCs w:val="22"/>
          <w:lang w:val="fr-FR" w:eastAsia="fr-FR"/>
        </w:rPr>
        <w:tab/>
      </w:r>
      <w:r w:rsidRPr="007D2AC6">
        <w:rPr>
          <w:noProof/>
          <w:lang w:val="fr-FR"/>
        </w:rPr>
        <w:t>Efficacité</w:t>
      </w:r>
      <w:r w:rsidRPr="007D2AC6">
        <w:rPr>
          <w:noProof/>
        </w:rPr>
        <w:tab/>
      </w:r>
      <w:r w:rsidRPr="007D2AC6">
        <w:rPr>
          <w:noProof/>
        </w:rPr>
        <w:fldChar w:fldCharType="begin"/>
      </w:r>
      <w:r w:rsidRPr="007D2AC6">
        <w:rPr>
          <w:noProof/>
        </w:rPr>
        <w:instrText xml:space="preserve"> PAGEREF _Toc478372748 \h </w:instrText>
      </w:r>
      <w:r w:rsidRPr="007D2AC6">
        <w:rPr>
          <w:noProof/>
        </w:rPr>
      </w:r>
      <w:r w:rsidRPr="007D2AC6">
        <w:rPr>
          <w:noProof/>
        </w:rPr>
        <w:fldChar w:fldCharType="separate"/>
      </w:r>
      <w:r w:rsidRPr="007D2AC6">
        <w:rPr>
          <w:noProof/>
        </w:rPr>
        <w:t>16</w:t>
      </w:r>
      <w:r w:rsidRPr="007D2AC6">
        <w:rPr>
          <w:noProof/>
        </w:rPr>
        <w:fldChar w:fldCharType="end"/>
      </w:r>
    </w:p>
    <w:p w14:paraId="333F5AB0"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w:t>
      </w:r>
      <w:r w:rsidRPr="007D2AC6">
        <w:rPr>
          <w:rFonts w:asciiTheme="minorHAnsi" w:eastAsiaTheme="minorEastAsia" w:hAnsiTheme="minorHAnsi" w:cstheme="minorBidi"/>
          <w:noProof/>
          <w:szCs w:val="22"/>
          <w:lang w:val="fr-FR" w:eastAsia="fr-FR"/>
        </w:rPr>
        <w:tab/>
      </w:r>
      <w:r w:rsidRPr="007D2AC6">
        <w:rPr>
          <w:noProof/>
        </w:rPr>
        <w:t>Début du projet</w:t>
      </w:r>
      <w:r w:rsidRPr="007D2AC6">
        <w:rPr>
          <w:noProof/>
        </w:rPr>
        <w:tab/>
      </w:r>
      <w:r w:rsidRPr="007D2AC6">
        <w:rPr>
          <w:noProof/>
        </w:rPr>
        <w:fldChar w:fldCharType="begin"/>
      </w:r>
      <w:r w:rsidRPr="007D2AC6">
        <w:rPr>
          <w:noProof/>
        </w:rPr>
        <w:instrText xml:space="preserve"> PAGEREF _Toc478372749 \h </w:instrText>
      </w:r>
      <w:r w:rsidRPr="007D2AC6">
        <w:rPr>
          <w:noProof/>
        </w:rPr>
      </w:r>
      <w:r w:rsidRPr="007D2AC6">
        <w:rPr>
          <w:noProof/>
        </w:rPr>
        <w:fldChar w:fldCharType="separate"/>
      </w:r>
      <w:r w:rsidRPr="007D2AC6">
        <w:rPr>
          <w:noProof/>
        </w:rPr>
        <w:t>16</w:t>
      </w:r>
      <w:r w:rsidRPr="007D2AC6">
        <w:rPr>
          <w:noProof/>
        </w:rPr>
        <w:fldChar w:fldCharType="end"/>
      </w:r>
    </w:p>
    <w:p w14:paraId="2086D84C"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w:t>
      </w:r>
      <w:r w:rsidRPr="007D2AC6">
        <w:rPr>
          <w:rFonts w:asciiTheme="minorHAnsi" w:eastAsiaTheme="minorEastAsia" w:hAnsiTheme="minorHAnsi" w:cstheme="minorBidi"/>
          <w:noProof/>
          <w:szCs w:val="22"/>
          <w:lang w:val="fr-FR" w:eastAsia="fr-FR"/>
        </w:rPr>
        <w:tab/>
      </w:r>
      <w:r w:rsidRPr="007D2AC6">
        <w:rPr>
          <w:noProof/>
        </w:rPr>
        <w:t>Manifestations de lancement en Argentine et au Maroc</w:t>
      </w:r>
      <w:r w:rsidRPr="007D2AC6">
        <w:rPr>
          <w:noProof/>
        </w:rPr>
        <w:tab/>
      </w:r>
      <w:r w:rsidRPr="007D2AC6">
        <w:rPr>
          <w:noProof/>
        </w:rPr>
        <w:fldChar w:fldCharType="begin"/>
      </w:r>
      <w:r w:rsidRPr="007D2AC6">
        <w:rPr>
          <w:noProof/>
        </w:rPr>
        <w:instrText xml:space="preserve"> PAGEREF _Toc478372750 \h </w:instrText>
      </w:r>
      <w:r w:rsidRPr="007D2AC6">
        <w:rPr>
          <w:noProof/>
        </w:rPr>
      </w:r>
      <w:r w:rsidRPr="007D2AC6">
        <w:rPr>
          <w:noProof/>
        </w:rPr>
        <w:fldChar w:fldCharType="separate"/>
      </w:r>
      <w:r w:rsidRPr="007D2AC6">
        <w:rPr>
          <w:noProof/>
        </w:rPr>
        <w:t>17</w:t>
      </w:r>
      <w:r w:rsidRPr="007D2AC6">
        <w:rPr>
          <w:noProof/>
        </w:rPr>
        <w:fldChar w:fldCharType="end"/>
      </w:r>
    </w:p>
    <w:p w14:paraId="7024A496"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iii)</w:t>
      </w:r>
      <w:r w:rsidRPr="007D2AC6">
        <w:rPr>
          <w:rFonts w:asciiTheme="minorHAnsi" w:eastAsiaTheme="minorEastAsia" w:hAnsiTheme="minorHAnsi" w:cstheme="minorBidi"/>
          <w:noProof/>
          <w:szCs w:val="22"/>
          <w:lang w:val="fr-FR" w:eastAsia="fr-FR"/>
        </w:rPr>
        <w:tab/>
      </w:r>
      <w:r w:rsidRPr="007D2AC6">
        <w:rPr>
          <w:noProof/>
        </w:rPr>
        <w:t>Sélection d’entreprises</w:t>
      </w:r>
      <w:r w:rsidRPr="007D2AC6">
        <w:rPr>
          <w:noProof/>
        </w:rPr>
        <w:tab/>
      </w:r>
      <w:r w:rsidRPr="007D2AC6">
        <w:rPr>
          <w:noProof/>
        </w:rPr>
        <w:fldChar w:fldCharType="begin"/>
      </w:r>
      <w:r w:rsidRPr="007D2AC6">
        <w:rPr>
          <w:noProof/>
        </w:rPr>
        <w:instrText xml:space="preserve"> PAGEREF _Toc478372751 \h </w:instrText>
      </w:r>
      <w:r w:rsidRPr="007D2AC6">
        <w:rPr>
          <w:noProof/>
        </w:rPr>
      </w:r>
      <w:r w:rsidRPr="007D2AC6">
        <w:rPr>
          <w:noProof/>
        </w:rPr>
        <w:fldChar w:fldCharType="separate"/>
      </w:r>
      <w:r w:rsidRPr="007D2AC6">
        <w:rPr>
          <w:noProof/>
        </w:rPr>
        <w:t>17</w:t>
      </w:r>
      <w:r w:rsidRPr="007D2AC6">
        <w:rPr>
          <w:noProof/>
        </w:rPr>
        <w:fldChar w:fldCharType="end"/>
      </w:r>
    </w:p>
    <w:p w14:paraId="48CB0B8C"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iv)</w:t>
      </w:r>
      <w:r w:rsidRPr="007D2AC6">
        <w:rPr>
          <w:rFonts w:asciiTheme="minorHAnsi" w:eastAsiaTheme="minorEastAsia" w:hAnsiTheme="minorHAnsi" w:cstheme="minorBidi"/>
          <w:noProof/>
          <w:szCs w:val="22"/>
          <w:lang w:val="fr-FR" w:eastAsia="fr-FR"/>
        </w:rPr>
        <w:tab/>
      </w:r>
      <w:r w:rsidRPr="007D2AC6">
        <w:rPr>
          <w:noProof/>
        </w:rPr>
        <w:t>Préparation d’outils</w:t>
      </w:r>
      <w:r w:rsidRPr="007D2AC6">
        <w:rPr>
          <w:noProof/>
        </w:rPr>
        <w:tab/>
      </w:r>
      <w:r w:rsidRPr="007D2AC6">
        <w:rPr>
          <w:noProof/>
        </w:rPr>
        <w:fldChar w:fldCharType="begin"/>
      </w:r>
      <w:r w:rsidRPr="007D2AC6">
        <w:rPr>
          <w:noProof/>
        </w:rPr>
        <w:instrText xml:space="preserve"> PAGEREF _Toc478372752 \h </w:instrText>
      </w:r>
      <w:r w:rsidRPr="007D2AC6">
        <w:rPr>
          <w:noProof/>
        </w:rPr>
      </w:r>
      <w:r w:rsidRPr="007D2AC6">
        <w:rPr>
          <w:noProof/>
        </w:rPr>
        <w:fldChar w:fldCharType="separate"/>
      </w:r>
      <w:r w:rsidRPr="007D2AC6">
        <w:rPr>
          <w:noProof/>
        </w:rPr>
        <w:t>17</w:t>
      </w:r>
      <w:r w:rsidRPr="007D2AC6">
        <w:rPr>
          <w:noProof/>
        </w:rPr>
        <w:fldChar w:fldCharType="end"/>
      </w:r>
    </w:p>
    <w:p w14:paraId="3086D9D8"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v)</w:t>
      </w:r>
      <w:r w:rsidRPr="007D2AC6">
        <w:rPr>
          <w:rFonts w:asciiTheme="minorHAnsi" w:eastAsiaTheme="minorEastAsia" w:hAnsiTheme="minorHAnsi" w:cstheme="minorBidi"/>
          <w:noProof/>
          <w:szCs w:val="22"/>
          <w:lang w:val="fr-FR" w:eastAsia="fr-FR"/>
        </w:rPr>
        <w:tab/>
      </w:r>
      <w:r w:rsidRPr="007D2AC6">
        <w:rPr>
          <w:noProof/>
        </w:rPr>
        <w:t>Manifestations de lancement du projet et formation d’experts nationaux</w:t>
      </w:r>
      <w:r w:rsidRPr="007D2AC6">
        <w:rPr>
          <w:noProof/>
        </w:rPr>
        <w:tab/>
      </w:r>
      <w:r w:rsidRPr="007D2AC6">
        <w:rPr>
          <w:noProof/>
        </w:rPr>
        <w:fldChar w:fldCharType="begin"/>
      </w:r>
      <w:r w:rsidRPr="007D2AC6">
        <w:rPr>
          <w:noProof/>
        </w:rPr>
        <w:instrText xml:space="preserve"> PAGEREF _Toc478372753 \h </w:instrText>
      </w:r>
      <w:r w:rsidRPr="007D2AC6">
        <w:rPr>
          <w:noProof/>
        </w:rPr>
      </w:r>
      <w:r w:rsidRPr="007D2AC6">
        <w:rPr>
          <w:noProof/>
        </w:rPr>
        <w:fldChar w:fldCharType="separate"/>
      </w:r>
      <w:r w:rsidRPr="007D2AC6">
        <w:rPr>
          <w:noProof/>
        </w:rPr>
        <w:t>17</w:t>
      </w:r>
      <w:r w:rsidRPr="007D2AC6">
        <w:rPr>
          <w:noProof/>
        </w:rPr>
        <w:fldChar w:fldCharType="end"/>
      </w:r>
    </w:p>
    <w:p w14:paraId="40600118"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vi)</w:t>
      </w:r>
      <w:r w:rsidRPr="007D2AC6">
        <w:rPr>
          <w:rFonts w:asciiTheme="minorHAnsi" w:eastAsiaTheme="minorEastAsia" w:hAnsiTheme="minorHAnsi" w:cstheme="minorBidi"/>
          <w:noProof/>
          <w:szCs w:val="22"/>
          <w:lang w:val="fr-FR" w:eastAsia="fr-FR"/>
        </w:rPr>
        <w:tab/>
      </w:r>
      <w:r w:rsidRPr="007D2AC6">
        <w:rPr>
          <w:noProof/>
        </w:rPr>
        <w:t>Soutien direct apporté aux entreprises</w:t>
      </w:r>
      <w:r w:rsidRPr="007D2AC6">
        <w:rPr>
          <w:noProof/>
        </w:rPr>
        <w:tab/>
      </w:r>
      <w:r w:rsidRPr="007D2AC6">
        <w:rPr>
          <w:noProof/>
        </w:rPr>
        <w:fldChar w:fldCharType="begin"/>
      </w:r>
      <w:r w:rsidRPr="007D2AC6">
        <w:rPr>
          <w:noProof/>
        </w:rPr>
        <w:instrText xml:space="preserve"> PAGEREF _Toc478372754 \h </w:instrText>
      </w:r>
      <w:r w:rsidRPr="007D2AC6">
        <w:rPr>
          <w:noProof/>
        </w:rPr>
      </w:r>
      <w:r w:rsidRPr="007D2AC6">
        <w:rPr>
          <w:noProof/>
        </w:rPr>
        <w:fldChar w:fldCharType="separate"/>
      </w:r>
      <w:r w:rsidRPr="007D2AC6">
        <w:rPr>
          <w:noProof/>
        </w:rPr>
        <w:t>17</w:t>
      </w:r>
      <w:r w:rsidRPr="007D2AC6">
        <w:rPr>
          <w:noProof/>
        </w:rPr>
        <w:fldChar w:fldCharType="end"/>
      </w:r>
    </w:p>
    <w:p w14:paraId="3E16D674"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vii)</w:t>
      </w:r>
      <w:r w:rsidRPr="007D2AC6">
        <w:rPr>
          <w:rFonts w:asciiTheme="minorHAnsi" w:eastAsiaTheme="minorEastAsia" w:hAnsiTheme="minorHAnsi" w:cstheme="minorBidi"/>
          <w:noProof/>
          <w:szCs w:val="22"/>
          <w:lang w:val="fr-FR" w:eastAsia="fr-FR"/>
        </w:rPr>
        <w:tab/>
      </w:r>
      <w:r w:rsidRPr="007D2AC6">
        <w:rPr>
          <w:noProof/>
        </w:rPr>
        <w:t>Manifestations de clôture du projet et récompenses</w:t>
      </w:r>
      <w:r w:rsidRPr="007D2AC6">
        <w:rPr>
          <w:noProof/>
        </w:rPr>
        <w:tab/>
      </w:r>
      <w:r w:rsidRPr="007D2AC6">
        <w:rPr>
          <w:noProof/>
        </w:rPr>
        <w:fldChar w:fldCharType="begin"/>
      </w:r>
      <w:r w:rsidRPr="007D2AC6">
        <w:rPr>
          <w:noProof/>
        </w:rPr>
        <w:instrText xml:space="preserve"> PAGEREF _Toc478372755 \h </w:instrText>
      </w:r>
      <w:r w:rsidRPr="007D2AC6">
        <w:rPr>
          <w:noProof/>
        </w:rPr>
      </w:r>
      <w:r w:rsidRPr="007D2AC6">
        <w:rPr>
          <w:noProof/>
        </w:rPr>
        <w:fldChar w:fldCharType="separate"/>
      </w:r>
      <w:r w:rsidRPr="007D2AC6">
        <w:rPr>
          <w:noProof/>
        </w:rPr>
        <w:t>18</w:t>
      </w:r>
      <w:r w:rsidRPr="007D2AC6">
        <w:rPr>
          <w:noProof/>
        </w:rPr>
        <w:fldChar w:fldCharType="end"/>
      </w:r>
    </w:p>
    <w:p w14:paraId="0D2DE6BA"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viii)</w:t>
      </w:r>
      <w:r w:rsidRPr="007D2AC6">
        <w:rPr>
          <w:rFonts w:asciiTheme="minorHAnsi" w:eastAsiaTheme="minorEastAsia" w:hAnsiTheme="minorHAnsi" w:cstheme="minorBidi"/>
          <w:noProof/>
          <w:szCs w:val="22"/>
          <w:lang w:val="fr-FR" w:eastAsia="fr-FR"/>
        </w:rPr>
        <w:tab/>
      </w:r>
      <w:r w:rsidRPr="007D2AC6">
        <w:rPr>
          <w:noProof/>
        </w:rPr>
        <w:t>Sensibilisation à l’échelon international</w:t>
      </w:r>
      <w:r w:rsidRPr="007D2AC6">
        <w:rPr>
          <w:noProof/>
        </w:rPr>
        <w:tab/>
      </w:r>
      <w:r w:rsidRPr="007D2AC6">
        <w:rPr>
          <w:noProof/>
        </w:rPr>
        <w:fldChar w:fldCharType="begin"/>
      </w:r>
      <w:r w:rsidRPr="007D2AC6">
        <w:rPr>
          <w:noProof/>
        </w:rPr>
        <w:instrText xml:space="preserve"> PAGEREF _Toc478372756 \h </w:instrText>
      </w:r>
      <w:r w:rsidRPr="007D2AC6">
        <w:rPr>
          <w:noProof/>
        </w:rPr>
      </w:r>
      <w:r w:rsidRPr="007D2AC6">
        <w:rPr>
          <w:noProof/>
        </w:rPr>
        <w:fldChar w:fldCharType="separate"/>
      </w:r>
      <w:r w:rsidRPr="007D2AC6">
        <w:rPr>
          <w:noProof/>
        </w:rPr>
        <w:t>18</w:t>
      </w:r>
      <w:r w:rsidRPr="007D2AC6">
        <w:rPr>
          <w:noProof/>
        </w:rPr>
        <w:fldChar w:fldCharType="end"/>
      </w:r>
    </w:p>
    <w:p w14:paraId="34F92518"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ix)</w:t>
      </w:r>
      <w:r w:rsidRPr="007D2AC6">
        <w:rPr>
          <w:rFonts w:asciiTheme="minorHAnsi" w:eastAsiaTheme="minorEastAsia" w:hAnsiTheme="minorHAnsi" w:cstheme="minorBidi"/>
          <w:noProof/>
          <w:szCs w:val="22"/>
          <w:lang w:val="fr-FR" w:eastAsia="fr-FR"/>
        </w:rPr>
        <w:tab/>
      </w:r>
      <w:r w:rsidRPr="007D2AC6">
        <w:rPr>
          <w:noProof/>
        </w:rPr>
        <w:t>Premiers résultats observés</w:t>
      </w:r>
      <w:r w:rsidRPr="007D2AC6">
        <w:rPr>
          <w:noProof/>
        </w:rPr>
        <w:tab/>
      </w:r>
      <w:r w:rsidRPr="007D2AC6">
        <w:rPr>
          <w:noProof/>
        </w:rPr>
        <w:fldChar w:fldCharType="begin"/>
      </w:r>
      <w:r w:rsidRPr="007D2AC6">
        <w:rPr>
          <w:noProof/>
        </w:rPr>
        <w:instrText xml:space="preserve"> PAGEREF _Toc478372757 \h </w:instrText>
      </w:r>
      <w:r w:rsidRPr="007D2AC6">
        <w:rPr>
          <w:noProof/>
        </w:rPr>
      </w:r>
      <w:r w:rsidRPr="007D2AC6">
        <w:rPr>
          <w:noProof/>
        </w:rPr>
        <w:fldChar w:fldCharType="separate"/>
      </w:r>
      <w:r w:rsidRPr="007D2AC6">
        <w:rPr>
          <w:noProof/>
        </w:rPr>
        <w:t>18</w:t>
      </w:r>
      <w:r w:rsidRPr="007D2AC6">
        <w:rPr>
          <w:noProof/>
        </w:rPr>
        <w:fldChar w:fldCharType="end"/>
      </w:r>
    </w:p>
    <w:p w14:paraId="5510D40C"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x)</w:t>
      </w:r>
      <w:r w:rsidRPr="007D2AC6">
        <w:rPr>
          <w:rFonts w:asciiTheme="minorHAnsi" w:eastAsiaTheme="minorEastAsia" w:hAnsiTheme="minorHAnsi" w:cstheme="minorBidi"/>
          <w:noProof/>
          <w:szCs w:val="22"/>
          <w:lang w:val="fr-FR" w:eastAsia="fr-FR"/>
        </w:rPr>
        <w:tab/>
      </w:r>
      <w:r w:rsidRPr="007D2AC6">
        <w:rPr>
          <w:noProof/>
        </w:rPr>
        <w:t>Impact</w:t>
      </w:r>
      <w:r w:rsidRPr="007D2AC6">
        <w:rPr>
          <w:noProof/>
        </w:rPr>
        <w:tab/>
      </w:r>
      <w:r w:rsidRPr="007D2AC6">
        <w:rPr>
          <w:noProof/>
        </w:rPr>
        <w:fldChar w:fldCharType="begin"/>
      </w:r>
      <w:r w:rsidRPr="007D2AC6">
        <w:rPr>
          <w:noProof/>
        </w:rPr>
        <w:instrText xml:space="preserve"> PAGEREF _Toc478372758 \h </w:instrText>
      </w:r>
      <w:r w:rsidRPr="007D2AC6">
        <w:rPr>
          <w:noProof/>
        </w:rPr>
      </w:r>
      <w:r w:rsidRPr="007D2AC6">
        <w:rPr>
          <w:noProof/>
        </w:rPr>
        <w:fldChar w:fldCharType="separate"/>
      </w:r>
      <w:r w:rsidRPr="007D2AC6">
        <w:rPr>
          <w:noProof/>
        </w:rPr>
        <w:t>19</w:t>
      </w:r>
      <w:r w:rsidRPr="007D2AC6">
        <w:rPr>
          <w:noProof/>
        </w:rPr>
        <w:fldChar w:fldCharType="end"/>
      </w:r>
    </w:p>
    <w:p w14:paraId="01A3B165"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D)</w:t>
      </w:r>
      <w:r w:rsidRPr="007D2AC6">
        <w:rPr>
          <w:rFonts w:asciiTheme="minorHAnsi" w:eastAsiaTheme="minorEastAsia" w:hAnsiTheme="minorHAnsi" w:cstheme="minorBidi"/>
          <w:caps w:val="0"/>
          <w:noProof/>
          <w:szCs w:val="22"/>
          <w:lang w:val="fr-FR" w:eastAsia="fr-FR"/>
        </w:rPr>
        <w:tab/>
      </w:r>
      <w:r w:rsidRPr="007D2AC6">
        <w:rPr>
          <w:noProof/>
          <w:lang w:val="fr-FR"/>
        </w:rPr>
        <w:t>Efficience</w:t>
      </w:r>
      <w:r w:rsidRPr="007D2AC6">
        <w:rPr>
          <w:noProof/>
        </w:rPr>
        <w:tab/>
      </w:r>
      <w:r w:rsidRPr="007D2AC6">
        <w:rPr>
          <w:noProof/>
        </w:rPr>
        <w:fldChar w:fldCharType="begin"/>
      </w:r>
      <w:r w:rsidRPr="007D2AC6">
        <w:rPr>
          <w:noProof/>
        </w:rPr>
        <w:instrText xml:space="preserve"> PAGEREF _Toc478372759 \h </w:instrText>
      </w:r>
      <w:r w:rsidRPr="007D2AC6">
        <w:rPr>
          <w:noProof/>
        </w:rPr>
      </w:r>
      <w:r w:rsidRPr="007D2AC6">
        <w:rPr>
          <w:noProof/>
        </w:rPr>
        <w:fldChar w:fldCharType="separate"/>
      </w:r>
      <w:r w:rsidRPr="007D2AC6">
        <w:rPr>
          <w:noProof/>
        </w:rPr>
        <w:t>19</w:t>
      </w:r>
      <w:r w:rsidRPr="007D2AC6">
        <w:rPr>
          <w:noProof/>
        </w:rPr>
        <w:fldChar w:fldCharType="end"/>
      </w:r>
    </w:p>
    <w:p w14:paraId="7FD92BC8"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w:t>
      </w:r>
      <w:r w:rsidRPr="007D2AC6">
        <w:rPr>
          <w:rFonts w:asciiTheme="minorHAnsi" w:eastAsiaTheme="minorEastAsia" w:hAnsiTheme="minorHAnsi" w:cstheme="minorBidi"/>
          <w:noProof/>
          <w:szCs w:val="22"/>
          <w:lang w:val="fr-FR" w:eastAsia="fr-FR"/>
        </w:rPr>
        <w:tab/>
      </w:r>
      <w:r w:rsidRPr="007D2AC6">
        <w:rPr>
          <w:noProof/>
        </w:rPr>
        <w:t>Exécution financière</w:t>
      </w:r>
      <w:r w:rsidRPr="007D2AC6">
        <w:rPr>
          <w:noProof/>
        </w:rPr>
        <w:tab/>
      </w:r>
      <w:r w:rsidRPr="007D2AC6">
        <w:rPr>
          <w:noProof/>
        </w:rPr>
        <w:fldChar w:fldCharType="begin"/>
      </w:r>
      <w:r w:rsidRPr="007D2AC6">
        <w:rPr>
          <w:noProof/>
        </w:rPr>
        <w:instrText xml:space="preserve"> PAGEREF _Toc478372760 \h </w:instrText>
      </w:r>
      <w:r w:rsidRPr="007D2AC6">
        <w:rPr>
          <w:noProof/>
        </w:rPr>
      </w:r>
      <w:r w:rsidRPr="007D2AC6">
        <w:rPr>
          <w:noProof/>
        </w:rPr>
        <w:fldChar w:fldCharType="separate"/>
      </w:r>
      <w:r w:rsidRPr="007D2AC6">
        <w:rPr>
          <w:noProof/>
        </w:rPr>
        <w:t>19</w:t>
      </w:r>
      <w:r w:rsidRPr="007D2AC6">
        <w:rPr>
          <w:noProof/>
        </w:rPr>
        <w:fldChar w:fldCharType="end"/>
      </w:r>
    </w:p>
    <w:p w14:paraId="49718B6C"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w:t>
      </w:r>
      <w:r w:rsidRPr="007D2AC6">
        <w:rPr>
          <w:rFonts w:asciiTheme="minorHAnsi" w:eastAsiaTheme="minorEastAsia" w:hAnsiTheme="minorHAnsi" w:cstheme="minorBidi"/>
          <w:noProof/>
          <w:szCs w:val="22"/>
          <w:lang w:val="fr-FR" w:eastAsia="fr-FR"/>
        </w:rPr>
        <w:tab/>
      </w:r>
      <w:r w:rsidRPr="007D2AC6">
        <w:rPr>
          <w:noProof/>
        </w:rPr>
        <w:t>Évaluation de l’approche</w:t>
      </w:r>
      <w:r w:rsidRPr="007D2AC6">
        <w:rPr>
          <w:noProof/>
        </w:rPr>
        <w:tab/>
      </w:r>
      <w:r w:rsidRPr="007D2AC6">
        <w:rPr>
          <w:noProof/>
        </w:rPr>
        <w:fldChar w:fldCharType="begin"/>
      </w:r>
      <w:r w:rsidRPr="007D2AC6">
        <w:rPr>
          <w:noProof/>
        </w:rPr>
        <w:instrText xml:space="preserve"> PAGEREF _Toc478372761 \h </w:instrText>
      </w:r>
      <w:r w:rsidRPr="007D2AC6">
        <w:rPr>
          <w:noProof/>
        </w:rPr>
      </w:r>
      <w:r w:rsidRPr="007D2AC6">
        <w:rPr>
          <w:noProof/>
        </w:rPr>
        <w:fldChar w:fldCharType="separate"/>
      </w:r>
      <w:r w:rsidRPr="007D2AC6">
        <w:rPr>
          <w:noProof/>
        </w:rPr>
        <w:t>19</w:t>
      </w:r>
      <w:r w:rsidRPr="007D2AC6">
        <w:rPr>
          <w:noProof/>
        </w:rPr>
        <w:fldChar w:fldCharType="end"/>
      </w:r>
    </w:p>
    <w:p w14:paraId="23FE8587"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iii)</w:t>
      </w:r>
      <w:r w:rsidRPr="007D2AC6">
        <w:rPr>
          <w:rFonts w:asciiTheme="minorHAnsi" w:eastAsiaTheme="minorEastAsia" w:hAnsiTheme="minorHAnsi" w:cstheme="minorBidi"/>
          <w:noProof/>
          <w:szCs w:val="22"/>
          <w:lang w:val="fr-FR" w:eastAsia="fr-FR"/>
        </w:rPr>
        <w:tab/>
      </w:r>
      <w:r w:rsidRPr="007D2AC6">
        <w:rPr>
          <w:noProof/>
        </w:rPr>
        <w:t>Évaluation de la qualité des produits</w:t>
      </w:r>
      <w:r w:rsidRPr="007D2AC6">
        <w:rPr>
          <w:noProof/>
        </w:rPr>
        <w:tab/>
      </w:r>
      <w:r w:rsidRPr="007D2AC6">
        <w:rPr>
          <w:noProof/>
        </w:rPr>
        <w:fldChar w:fldCharType="begin"/>
      </w:r>
      <w:r w:rsidRPr="007D2AC6">
        <w:rPr>
          <w:noProof/>
        </w:rPr>
        <w:instrText xml:space="preserve"> PAGEREF _Toc478372762 \h </w:instrText>
      </w:r>
      <w:r w:rsidRPr="007D2AC6">
        <w:rPr>
          <w:noProof/>
        </w:rPr>
      </w:r>
      <w:r w:rsidRPr="007D2AC6">
        <w:rPr>
          <w:noProof/>
        </w:rPr>
        <w:fldChar w:fldCharType="separate"/>
      </w:r>
      <w:r w:rsidRPr="007D2AC6">
        <w:rPr>
          <w:noProof/>
        </w:rPr>
        <w:t>20</w:t>
      </w:r>
      <w:r w:rsidRPr="007D2AC6">
        <w:rPr>
          <w:noProof/>
        </w:rPr>
        <w:fldChar w:fldCharType="end"/>
      </w:r>
    </w:p>
    <w:p w14:paraId="765556F8" w14:textId="77777777" w:rsidR="00917E82" w:rsidRPr="007D2AC6" w:rsidRDefault="00917E82">
      <w:pPr>
        <w:pStyle w:val="TOC3"/>
        <w:rPr>
          <w:rFonts w:asciiTheme="minorHAnsi" w:eastAsiaTheme="minorEastAsia" w:hAnsiTheme="minorHAnsi" w:cstheme="minorBidi"/>
          <w:noProof/>
          <w:szCs w:val="22"/>
          <w:lang w:val="fr-FR" w:eastAsia="fr-FR"/>
        </w:rPr>
      </w:pPr>
      <w:r w:rsidRPr="007D2AC6">
        <w:rPr>
          <w:rFonts w:cs="Times New Roman"/>
          <w:noProof/>
        </w:rPr>
        <w:t>iv)</w:t>
      </w:r>
      <w:r w:rsidRPr="007D2AC6">
        <w:rPr>
          <w:rFonts w:asciiTheme="minorHAnsi" w:eastAsiaTheme="minorEastAsia" w:hAnsiTheme="minorHAnsi" w:cstheme="minorBidi"/>
          <w:noProof/>
          <w:szCs w:val="22"/>
          <w:lang w:val="fr-FR" w:eastAsia="fr-FR"/>
        </w:rPr>
        <w:tab/>
      </w:r>
      <w:r w:rsidRPr="007D2AC6">
        <w:rPr>
          <w:noProof/>
        </w:rPr>
        <w:t>Synergies avec d’autres activités menées par le Secrétariat</w:t>
      </w:r>
      <w:r w:rsidRPr="007D2AC6">
        <w:rPr>
          <w:noProof/>
        </w:rPr>
        <w:tab/>
      </w:r>
      <w:r w:rsidRPr="007D2AC6">
        <w:rPr>
          <w:noProof/>
        </w:rPr>
        <w:fldChar w:fldCharType="begin"/>
      </w:r>
      <w:r w:rsidRPr="007D2AC6">
        <w:rPr>
          <w:noProof/>
        </w:rPr>
        <w:instrText xml:space="preserve"> PAGEREF _Toc478372763 \h </w:instrText>
      </w:r>
      <w:r w:rsidRPr="007D2AC6">
        <w:rPr>
          <w:noProof/>
        </w:rPr>
      </w:r>
      <w:r w:rsidRPr="007D2AC6">
        <w:rPr>
          <w:noProof/>
        </w:rPr>
        <w:fldChar w:fldCharType="separate"/>
      </w:r>
      <w:r w:rsidRPr="007D2AC6">
        <w:rPr>
          <w:noProof/>
        </w:rPr>
        <w:t>20</w:t>
      </w:r>
      <w:r w:rsidRPr="007D2AC6">
        <w:rPr>
          <w:noProof/>
        </w:rPr>
        <w:fldChar w:fldCharType="end"/>
      </w:r>
    </w:p>
    <w:p w14:paraId="42F65A82"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E)</w:t>
      </w:r>
      <w:r w:rsidRPr="007D2AC6">
        <w:rPr>
          <w:rFonts w:asciiTheme="minorHAnsi" w:eastAsiaTheme="minorEastAsia" w:hAnsiTheme="minorHAnsi" w:cstheme="minorBidi"/>
          <w:caps w:val="0"/>
          <w:noProof/>
          <w:szCs w:val="22"/>
          <w:lang w:val="fr-FR" w:eastAsia="fr-FR"/>
        </w:rPr>
        <w:tab/>
      </w:r>
      <w:r w:rsidRPr="007D2AC6">
        <w:rPr>
          <w:noProof/>
          <w:lang w:val="fr-FR"/>
        </w:rPr>
        <w:t>Degré de viabilité des résultats</w:t>
      </w:r>
      <w:r w:rsidRPr="007D2AC6">
        <w:rPr>
          <w:noProof/>
        </w:rPr>
        <w:tab/>
      </w:r>
      <w:r w:rsidRPr="007D2AC6">
        <w:rPr>
          <w:noProof/>
        </w:rPr>
        <w:fldChar w:fldCharType="begin"/>
      </w:r>
      <w:r w:rsidRPr="007D2AC6">
        <w:rPr>
          <w:noProof/>
        </w:rPr>
        <w:instrText xml:space="preserve"> PAGEREF _Toc478372764 \h </w:instrText>
      </w:r>
      <w:r w:rsidRPr="007D2AC6">
        <w:rPr>
          <w:noProof/>
        </w:rPr>
      </w:r>
      <w:r w:rsidRPr="007D2AC6">
        <w:rPr>
          <w:noProof/>
        </w:rPr>
        <w:fldChar w:fldCharType="separate"/>
      </w:r>
      <w:r w:rsidRPr="007D2AC6">
        <w:rPr>
          <w:noProof/>
        </w:rPr>
        <w:t>20</w:t>
      </w:r>
      <w:r w:rsidRPr="007D2AC6">
        <w:rPr>
          <w:noProof/>
        </w:rPr>
        <w:fldChar w:fldCharType="end"/>
      </w:r>
    </w:p>
    <w:p w14:paraId="7FFB1526" w14:textId="77777777" w:rsidR="00917E82" w:rsidRPr="007D2AC6" w:rsidRDefault="00917E82">
      <w:pPr>
        <w:pStyle w:val="TOC2"/>
        <w:rPr>
          <w:rFonts w:asciiTheme="minorHAnsi" w:eastAsiaTheme="minorEastAsia" w:hAnsiTheme="minorHAnsi" w:cstheme="minorBidi"/>
          <w:caps w:val="0"/>
          <w:noProof/>
          <w:szCs w:val="22"/>
          <w:lang w:val="fr-FR" w:eastAsia="fr-FR"/>
        </w:rPr>
      </w:pPr>
      <w:r w:rsidRPr="007D2AC6">
        <w:rPr>
          <w:noProof/>
          <w:lang w:val="fr-FR"/>
        </w:rPr>
        <w:t>F)</w:t>
      </w:r>
      <w:r w:rsidRPr="007D2AC6">
        <w:rPr>
          <w:rFonts w:asciiTheme="minorHAnsi" w:eastAsiaTheme="minorEastAsia" w:hAnsiTheme="minorHAnsi" w:cstheme="minorBidi"/>
          <w:caps w:val="0"/>
          <w:noProof/>
          <w:szCs w:val="22"/>
          <w:lang w:val="fr-FR" w:eastAsia="fr-FR"/>
        </w:rPr>
        <w:tab/>
      </w:r>
      <w:r w:rsidRPr="007D2AC6">
        <w:rPr>
          <w:noProof/>
          <w:lang w:val="fr-FR"/>
        </w:rPr>
        <w:t>Parité</w:t>
      </w:r>
      <w:r w:rsidRPr="007D2AC6">
        <w:rPr>
          <w:noProof/>
        </w:rPr>
        <w:tab/>
      </w:r>
      <w:r w:rsidRPr="007D2AC6">
        <w:rPr>
          <w:noProof/>
        </w:rPr>
        <w:fldChar w:fldCharType="begin"/>
      </w:r>
      <w:r w:rsidRPr="007D2AC6">
        <w:rPr>
          <w:noProof/>
        </w:rPr>
        <w:instrText xml:space="preserve"> PAGEREF _Toc478372765 \h </w:instrText>
      </w:r>
      <w:r w:rsidRPr="007D2AC6">
        <w:rPr>
          <w:noProof/>
        </w:rPr>
      </w:r>
      <w:r w:rsidRPr="007D2AC6">
        <w:rPr>
          <w:noProof/>
        </w:rPr>
        <w:fldChar w:fldCharType="separate"/>
      </w:r>
      <w:r w:rsidRPr="007D2AC6">
        <w:rPr>
          <w:noProof/>
        </w:rPr>
        <w:t>21</w:t>
      </w:r>
      <w:r w:rsidRPr="007D2AC6">
        <w:rPr>
          <w:noProof/>
        </w:rPr>
        <w:fldChar w:fldCharType="end"/>
      </w:r>
    </w:p>
    <w:p w14:paraId="5E675088" w14:textId="77777777" w:rsidR="00917E82" w:rsidRPr="007D2AC6" w:rsidRDefault="00917E82">
      <w:pPr>
        <w:pStyle w:val="TOC1"/>
        <w:tabs>
          <w:tab w:val="left" w:pos="440"/>
          <w:tab w:val="right" w:leader="dot" w:pos="9346"/>
        </w:tabs>
        <w:rPr>
          <w:rFonts w:asciiTheme="minorHAnsi" w:eastAsiaTheme="minorEastAsia" w:hAnsiTheme="minorHAnsi" w:cstheme="minorBidi"/>
          <w:b w:val="0"/>
          <w:caps w:val="0"/>
          <w:noProof/>
          <w:szCs w:val="22"/>
          <w:lang w:val="fr-FR" w:eastAsia="fr-FR"/>
        </w:rPr>
      </w:pPr>
      <w:r w:rsidRPr="007D2AC6">
        <w:rPr>
          <w:noProof/>
          <w:lang w:val="fr-FR"/>
        </w:rPr>
        <w:t>3.</w:t>
      </w:r>
      <w:r w:rsidRPr="007D2AC6">
        <w:rPr>
          <w:rFonts w:asciiTheme="minorHAnsi" w:eastAsiaTheme="minorEastAsia" w:hAnsiTheme="minorHAnsi" w:cstheme="minorBidi"/>
          <w:b w:val="0"/>
          <w:caps w:val="0"/>
          <w:noProof/>
          <w:szCs w:val="22"/>
          <w:lang w:val="fr-FR" w:eastAsia="fr-FR"/>
        </w:rPr>
        <w:tab/>
      </w:r>
      <w:r w:rsidRPr="007D2AC6">
        <w:rPr>
          <w:noProof/>
          <w:lang w:val="fr-FR"/>
        </w:rPr>
        <w:t>Conclusions</w:t>
      </w:r>
      <w:r w:rsidRPr="007D2AC6">
        <w:rPr>
          <w:noProof/>
        </w:rPr>
        <w:tab/>
      </w:r>
      <w:r w:rsidRPr="007D2AC6">
        <w:rPr>
          <w:noProof/>
        </w:rPr>
        <w:fldChar w:fldCharType="begin"/>
      </w:r>
      <w:r w:rsidRPr="007D2AC6">
        <w:rPr>
          <w:noProof/>
        </w:rPr>
        <w:instrText xml:space="preserve"> PAGEREF _Toc478372766 \h </w:instrText>
      </w:r>
      <w:r w:rsidRPr="007D2AC6">
        <w:rPr>
          <w:noProof/>
        </w:rPr>
      </w:r>
      <w:r w:rsidRPr="007D2AC6">
        <w:rPr>
          <w:noProof/>
        </w:rPr>
        <w:fldChar w:fldCharType="separate"/>
      </w:r>
      <w:r w:rsidRPr="007D2AC6">
        <w:rPr>
          <w:noProof/>
        </w:rPr>
        <w:t>21</w:t>
      </w:r>
      <w:r w:rsidRPr="007D2AC6">
        <w:rPr>
          <w:noProof/>
        </w:rPr>
        <w:fldChar w:fldCharType="end"/>
      </w:r>
    </w:p>
    <w:p w14:paraId="3C8969AB" w14:textId="77777777" w:rsidR="00917E82" w:rsidRPr="007D2AC6" w:rsidRDefault="00917E82">
      <w:pPr>
        <w:pStyle w:val="TOC1"/>
        <w:tabs>
          <w:tab w:val="left" w:pos="440"/>
          <w:tab w:val="right" w:leader="dot" w:pos="9346"/>
        </w:tabs>
        <w:rPr>
          <w:rFonts w:asciiTheme="minorHAnsi" w:eastAsiaTheme="minorEastAsia" w:hAnsiTheme="minorHAnsi" w:cstheme="minorBidi"/>
          <w:b w:val="0"/>
          <w:caps w:val="0"/>
          <w:noProof/>
          <w:szCs w:val="22"/>
          <w:lang w:val="fr-FR" w:eastAsia="fr-FR"/>
        </w:rPr>
      </w:pPr>
      <w:r w:rsidRPr="007D2AC6">
        <w:rPr>
          <w:noProof/>
          <w:lang w:val="fr-FR"/>
        </w:rPr>
        <w:t>4.</w:t>
      </w:r>
      <w:r w:rsidRPr="007D2AC6">
        <w:rPr>
          <w:rFonts w:asciiTheme="minorHAnsi" w:eastAsiaTheme="minorEastAsia" w:hAnsiTheme="minorHAnsi" w:cstheme="minorBidi"/>
          <w:b w:val="0"/>
          <w:caps w:val="0"/>
          <w:noProof/>
          <w:szCs w:val="22"/>
          <w:lang w:val="fr-FR" w:eastAsia="fr-FR"/>
        </w:rPr>
        <w:tab/>
      </w:r>
      <w:r w:rsidRPr="007D2AC6">
        <w:rPr>
          <w:noProof/>
          <w:lang w:val="fr-FR"/>
        </w:rPr>
        <w:t>Recommandations</w:t>
      </w:r>
      <w:r w:rsidRPr="007D2AC6">
        <w:rPr>
          <w:noProof/>
        </w:rPr>
        <w:tab/>
      </w:r>
      <w:r w:rsidRPr="007D2AC6">
        <w:rPr>
          <w:noProof/>
        </w:rPr>
        <w:fldChar w:fldCharType="begin"/>
      </w:r>
      <w:r w:rsidRPr="007D2AC6">
        <w:rPr>
          <w:noProof/>
        </w:rPr>
        <w:instrText xml:space="preserve"> PAGEREF _Toc478372767 \h </w:instrText>
      </w:r>
      <w:r w:rsidRPr="007D2AC6">
        <w:rPr>
          <w:noProof/>
        </w:rPr>
      </w:r>
      <w:r w:rsidRPr="007D2AC6">
        <w:rPr>
          <w:noProof/>
        </w:rPr>
        <w:fldChar w:fldCharType="separate"/>
      </w:r>
      <w:r w:rsidRPr="007D2AC6">
        <w:rPr>
          <w:noProof/>
        </w:rPr>
        <w:t>23</w:t>
      </w:r>
      <w:r w:rsidRPr="007D2AC6">
        <w:rPr>
          <w:noProof/>
        </w:rPr>
        <w:fldChar w:fldCharType="end"/>
      </w:r>
    </w:p>
    <w:p w14:paraId="4F416E6A" w14:textId="54FC5F0D" w:rsidR="0059687A" w:rsidRPr="007D2AC6" w:rsidRDefault="004D11AE" w:rsidP="00C34E43">
      <w:pPr>
        <w:jc w:val="center"/>
        <w:rPr>
          <w:b/>
          <w:bCs/>
          <w:lang w:val="fr-FR"/>
        </w:rPr>
      </w:pPr>
      <w:r w:rsidRPr="007D2AC6">
        <w:rPr>
          <w:rFonts w:ascii="arial bold" w:hAnsi="arial bold"/>
          <w:b/>
          <w:bCs/>
          <w:lang w:val="fr-FR"/>
        </w:rPr>
        <w:fldChar w:fldCharType="end"/>
      </w:r>
    </w:p>
    <w:p w14:paraId="537ACCD4" w14:textId="1987B395" w:rsidR="0059687A" w:rsidRPr="007D2AC6" w:rsidRDefault="00C34E43" w:rsidP="0059687A">
      <w:pPr>
        <w:pStyle w:val="Heading1"/>
        <w:jc w:val="both"/>
        <w:rPr>
          <w:lang w:val="fr-FR"/>
        </w:rPr>
      </w:pPr>
      <w:r w:rsidRPr="007D2AC6">
        <w:rPr>
          <w:lang w:val="fr-FR"/>
        </w:rPr>
        <w:br w:type="page"/>
      </w:r>
      <w:bookmarkStart w:id="5" w:name="_Toc478372731"/>
      <w:r w:rsidR="0059687A" w:rsidRPr="007D2AC6">
        <w:rPr>
          <w:lang w:val="fr-FR"/>
        </w:rPr>
        <w:lastRenderedPageBreak/>
        <w:t>Liste des sigles</w:t>
      </w:r>
      <w:bookmarkEnd w:id="5"/>
    </w:p>
    <w:p w14:paraId="065849DC" w14:textId="1C35B559" w:rsidR="000C0922" w:rsidRPr="007D2AC6" w:rsidRDefault="000C0922" w:rsidP="000C092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9"/>
      </w:tblGrid>
      <w:tr w:rsidR="00020126" w:rsidRPr="007D2AC6" w14:paraId="6C8F0D73" w14:textId="77777777" w:rsidTr="00C135A9">
        <w:tc>
          <w:tcPr>
            <w:tcW w:w="2327" w:type="dxa"/>
          </w:tcPr>
          <w:p w14:paraId="0C5311F1" w14:textId="77777777" w:rsidR="00020126" w:rsidRPr="007D2AC6" w:rsidRDefault="00020126" w:rsidP="0059687A">
            <w:pPr>
              <w:jc w:val="both"/>
              <w:rPr>
                <w:b/>
                <w:bCs/>
                <w:lang w:val="fr-FR"/>
              </w:rPr>
            </w:pPr>
            <w:proofErr w:type="spellStart"/>
            <w:r w:rsidRPr="007D2AC6">
              <w:rPr>
                <w:b/>
                <w:bCs/>
                <w:lang w:val="fr-FR"/>
              </w:rPr>
              <w:t>CDIP</w:t>
            </w:r>
            <w:proofErr w:type="spellEnd"/>
          </w:p>
        </w:tc>
        <w:tc>
          <w:tcPr>
            <w:tcW w:w="7019" w:type="dxa"/>
          </w:tcPr>
          <w:p w14:paraId="69E40B36" w14:textId="77777777" w:rsidR="00020126" w:rsidRPr="007D2AC6" w:rsidRDefault="00020126" w:rsidP="0059687A">
            <w:pPr>
              <w:jc w:val="both"/>
              <w:rPr>
                <w:lang w:val="fr-FR"/>
              </w:rPr>
            </w:pPr>
            <w:r w:rsidRPr="007D2AC6">
              <w:rPr>
                <w:lang w:val="fr-FR"/>
              </w:rPr>
              <w:t>Comité du développement et de la propriété intellectuelle</w:t>
            </w:r>
          </w:p>
        </w:tc>
      </w:tr>
      <w:tr w:rsidR="00020126" w:rsidRPr="007D2AC6" w14:paraId="28EFE6F8" w14:textId="77777777" w:rsidTr="00C135A9">
        <w:tc>
          <w:tcPr>
            <w:tcW w:w="2327" w:type="dxa"/>
          </w:tcPr>
          <w:p w14:paraId="7851AEE8" w14:textId="77777777" w:rsidR="00020126" w:rsidRPr="007D2AC6" w:rsidRDefault="00020126" w:rsidP="006075D7">
            <w:pPr>
              <w:jc w:val="both"/>
              <w:rPr>
                <w:b/>
                <w:bCs/>
                <w:lang w:val="fr-FR"/>
              </w:rPr>
            </w:pPr>
            <w:proofErr w:type="spellStart"/>
            <w:r w:rsidRPr="007D2AC6">
              <w:rPr>
                <w:b/>
                <w:bCs/>
                <w:lang w:val="fr-FR"/>
              </w:rPr>
              <w:t>GNUE</w:t>
            </w:r>
            <w:proofErr w:type="spellEnd"/>
          </w:p>
        </w:tc>
        <w:tc>
          <w:tcPr>
            <w:tcW w:w="7019" w:type="dxa"/>
          </w:tcPr>
          <w:p w14:paraId="70AFF250" w14:textId="33A15578" w:rsidR="00020126" w:rsidRPr="007D2AC6" w:rsidRDefault="00020126" w:rsidP="0059687A">
            <w:pPr>
              <w:jc w:val="both"/>
              <w:rPr>
                <w:lang w:val="fr-FR"/>
              </w:rPr>
            </w:pPr>
            <w:r w:rsidRPr="007D2AC6">
              <w:rPr>
                <w:lang w:val="fr-FR"/>
              </w:rPr>
              <w:t xml:space="preserve">Groupe des </w:t>
            </w:r>
            <w:r w:rsidR="002A5696" w:rsidRPr="007D2AC6">
              <w:rPr>
                <w:lang w:val="fr-FR"/>
              </w:rPr>
              <w:t>Nations Unies</w:t>
            </w:r>
            <w:r w:rsidRPr="007D2AC6">
              <w:rPr>
                <w:lang w:val="fr-FR"/>
              </w:rPr>
              <w:t xml:space="preserve"> pour l</w:t>
            </w:r>
            <w:r w:rsidR="002A5696" w:rsidRPr="007D2AC6">
              <w:rPr>
                <w:lang w:val="fr-FR"/>
              </w:rPr>
              <w:t>’</w:t>
            </w:r>
            <w:r w:rsidRPr="007D2AC6">
              <w:rPr>
                <w:lang w:val="fr-FR"/>
              </w:rPr>
              <w:t>évaluation</w:t>
            </w:r>
          </w:p>
        </w:tc>
      </w:tr>
      <w:tr w:rsidR="00020126" w:rsidRPr="007D2AC6" w14:paraId="3DAB0902" w14:textId="77777777" w:rsidTr="00C135A9">
        <w:tc>
          <w:tcPr>
            <w:tcW w:w="2327" w:type="dxa"/>
          </w:tcPr>
          <w:p w14:paraId="167C6DF8" w14:textId="77777777" w:rsidR="00020126" w:rsidRPr="007D2AC6" w:rsidRDefault="00020126" w:rsidP="0059687A">
            <w:pPr>
              <w:jc w:val="both"/>
              <w:rPr>
                <w:b/>
                <w:bCs/>
                <w:lang w:val="fr-FR"/>
              </w:rPr>
            </w:pPr>
            <w:r w:rsidRPr="007D2AC6">
              <w:rPr>
                <w:b/>
                <w:bCs/>
                <w:lang w:val="fr-FR"/>
              </w:rPr>
              <w:t>OCDE</w:t>
            </w:r>
          </w:p>
        </w:tc>
        <w:tc>
          <w:tcPr>
            <w:tcW w:w="7019" w:type="dxa"/>
          </w:tcPr>
          <w:p w14:paraId="3E938D93" w14:textId="77777777" w:rsidR="00020126" w:rsidRPr="007D2AC6" w:rsidRDefault="00020126" w:rsidP="0059687A">
            <w:pPr>
              <w:jc w:val="both"/>
              <w:rPr>
                <w:lang w:val="fr-FR"/>
              </w:rPr>
            </w:pPr>
            <w:r w:rsidRPr="007D2AC6">
              <w:rPr>
                <w:lang w:val="fr-FR"/>
              </w:rPr>
              <w:t>Organisation de coopération et de développement économiques</w:t>
            </w:r>
          </w:p>
        </w:tc>
      </w:tr>
      <w:tr w:rsidR="00020126" w:rsidRPr="007D2AC6" w14:paraId="498F202D" w14:textId="77777777" w:rsidTr="00C135A9">
        <w:tc>
          <w:tcPr>
            <w:tcW w:w="2327" w:type="dxa"/>
          </w:tcPr>
          <w:p w14:paraId="65856BF0" w14:textId="77777777" w:rsidR="00020126" w:rsidRPr="007D2AC6" w:rsidRDefault="00020126" w:rsidP="0059687A">
            <w:pPr>
              <w:jc w:val="both"/>
              <w:rPr>
                <w:b/>
                <w:bCs/>
                <w:lang w:val="fr-FR"/>
              </w:rPr>
            </w:pPr>
            <w:r w:rsidRPr="007D2AC6">
              <w:rPr>
                <w:b/>
                <w:bCs/>
                <w:lang w:val="fr-FR"/>
              </w:rPr>
              <w:t>OMPI</w:t>
            </w:r>
          </w:p>
        </w:tc>
        <w:tc>
          <w:tcPr>
            <w:tcW w:w="7019" w:type="dxa"/>
          </w:tcPr>
          <w:p w14:paraId="4A8ACAB3" w14:textId="77777777" w:rsidR="00020126" w:rsidRPr="007D2AC6" w:rsidRDefault="00020126" w:rsidP="0059687A">
            <w:pPr>
              <w:jc w:val="both"/>
              <w:rPr>
                <w:lang w:val="fr-FR"/>
              </w:rPr>
            </w:pPr>
            <w:r w:rsidRPr="007D2AC6">
              <w:rPr>
                <w:lang w:val="fr-FR"/>
              </w:rPr>
              <w:t>Organisation Mondiale de la Propriété Intellectuelle</w:t>
            </w:r>
          </w:p>
        </w:tc>
      </w:tr>
      <w:tr w:rsidR="00020126" w:rsidRPr="007D2AC6" w14:paraId="47EF3F9B" w14:textId="77777777" w:rsidTr="00C135A9">
        <w:tc>
          <w:tcPr>
            <w:tcW w:w="2327" w:type="dxa"/>
          </w:tcPr>
          <w:p w14:paraId="52FD1A2D" w14:textId="77777777" w:rsidR="00020126" w:rsidRPr="007D2AC6" w:rsidRDefault="00020126" w:rsidP="0059687A">
            <w:pPr>
              <w:jc w:val="both"/>
              <w:rPr>
                <w:b/>
                <w:bCs/>
                <w:lang w:val="fr-FR"/>
              </w:rPr>
            </w:pPr>
            <w:r w:rsidRPr="007D2AC6">
              <w:rPr>
                <w:b/>
                <w:bCs/>
                <w:lang w:val="fr-FR"/>
              </w:rPr>
              <w:t>PMA</w:t>
            </w:r>
          </w:p>
        </w:tc>
        <w:tc>
          <w:tcPr>
            <w:tcW w:w="7019" w:type="dxa"/>
          </w:tcPr>
          <w:p w14:paraId="52E21FEA" w14:textId="77777777" w:rsidR="00020126" w:rsidRPr="007D2AC6" w:rsidRDefault="00020126" w:rsidP="0059687A">
            <w:pPr>
              <w:jc w:val="both"/>
              <w:rPr>
                <w:lang w:val="fr-FR"/>
              </w:rPr>
            </w:pPr>
            <w:r w:rsidRPr="007D2AC6">
              <w:rPr>
                <w:lang w:val="fr-FR"/>
              </w:rPr>
              <w:t>Pays les moins avancés</w:t>
            </w:r>
          </w:p>
        </w:tc>
      </w:tr>
      <w:tr w:rsidR="00020126" w:rsidRPr="007D2AC6" w14:paraId="1D2BE8E6" w14:textId="77777777" w:rsidTr="00C135A9">
        <w:tc>
          <w:tcPr>
            <w:tcW w:w="2327" w:type="dxa"/>
          </w:tcPr>
          <w:p w14:paraId="4067F0DB" w14:textId="77777777" w:rsidR="00020126" w:rsidRPr="007D2AC6" w:rsidRDefault="00020126" w:rsidP="0059687A">
            <w:pPr>
              <w:jc w:val="both"/>
              <w:rPr>
                <w:b/>
                <w:bCs/>
                <w:lang w:val="fr-FR"/>
              </w:rPr>
            </w:pPr>
            <w:r w:rsidRPr="007D2AC6">
              <w:rPr>
                <w:b/>
                <w:bCs/>
                <w:lang w:val="fr-FR"/>
              </w:rPr>
              <w:t>PME</w:t>
            </w:r>
          </w:p>
        </w:tc>
        <w:tc>
          <w:tcPr>
            <w:tcW w:w="7019" w:type="dxa"/>
          </w:tcPr>
          <w:p w14:paraId="6E8FC956" w14:textId="77777777" w:rsidR="00020126" w:rsidRPr="007D2AC6" w:rsidRDefault="00020126" w:rsidP="0059687A">
            <w:pPr>
              <w:jc w:val="both"/>
              <w:rPr>
                <w:lang w:val="fr-FR"/>
              </w:rPr>
            </w:pPr>
            <w:r w:rsidRPr="007D2AC6">
              <w:rPr>
                <w:lang w:val="fr-FR"/>
              </w:rPr>
              <w:t>Petites et moyennes entreprises</w:t>
            </w:r>
          </w:p>
        </w:tc>
      </w:tr>
    </w:tbl>
    <w:p w14:paraId="2910D562" w14:textId="77777777" w:rsidR="0059687A" w:rsidRPr="007D2AC6" w:rsidRDefault="0059687A" w:rsidP="006075D7">
      <w:pPr>
        <w:jc w:val="both"/>
        <w:rPr>
          <w:lang w:val="fr-FR"/>
        </w:rPr>
      </w:pPr>
    </w:p>
    <w:p w14:paraId="1BAE5F1F" w14:textId="77777777" w:rsidR="0059687A" w:rsidRPr="007D2AC6" w:rsidRDefault="008968E7" w:rsidP="006075D7">
      <w:pPr>
        <w:jc w:val="both"/>
        <w:rPr>
          <w:lang w:val="fr-FR"/>
        </w:rPr>
      </w:pPr>
      <w:r w:rsidRPr="007D2AC6">
        <w:rPr>
          <w:lang w:val="fr-FR"/>
        </w:rPr>
        <w:br w:type="page"/>
      </w:r>
    </w:p>
    <w:p w14:paraId="5D74C91D" w14:textId="2C60CF0F" w:rsidR="0059687A" w:rsidRPr="007D2AC6" w:rsidRDefault="0059687A" w:rsidP="0059687A">
      <w:pPr>
        <w:pStyle w:val="Heading1"/>
        <w:rPr>
          <w:lang w:val="fr-FR"/>
        </w:rPr>
      </w:pPr>
      <w:bookmarkStart w:id="6" w:name="_Toc478372732"/>
      <w:r w:rsidRPr="007D2AC6">
        <w:rPr>
          <w:lang w:val="fr-FR"/>
        </w:rPr>
        <w:lastRenderedPageBreak/>
        <w:t>Résumé</w:t>
      </w:r>
      <w:bookmarkEnd w:id="6"/>
    </w:p>
    <w:p w14:paraId="64544AA1" w14:textId="77777777" w:rsidR="0059687A" w:rsidRPr="007D2AC6" w:rsidRDefault="0059687A" w:rsidP="000C0922">
      <w:pPr>
        <w:rPr>
          <w:lang w:val="fr-FR"/>
        </w:rPr>
      </w:pPr>
    </w:p>
    <w:p w14:paraId="4638475A" w14:textId="0B6FE9EC" w:rsidR="00020126" w:rsidRPr="007D2AC6" w:rsidRDefault="00020126" w:rsidP="00020126">
      <w:pPr>
        <w:spacing w:after="120"/>
        <w:rPr>
          <w:iCs/>
          <w:lang w:val="fr-FR"/>
        </w:rPr>
      </w:pPr>
      <w:r w:rsidRPr="007D2AC6">
        <w:rPr>
          <w:lang w:val="fr-FR"/>
        </w:rPr>
        <w:t xml:space="preserve">La présente évaluation indépendante finale porte sur le </w:t>
      </w:r>
      <w:r w:rsidR="009F77AF" w:rsidRPr="007D2AC6">
        <w:rPr>
          <w:lang w:val="fr-FR"/>
        </w:rPr>
        <w:t>“</w:t>
      </w:r>
      <w:r w:rsidRPr="007D2AC6">
        <w:rPr>
          <w:lang w:val="fr-FR"/>
        </w:rPr>
        <w:t xml:space="preserve">projet pilote sur la propriété intellectuelle et la gestion des dessins et modèles pour le développement des entreprises dans les pays en développement et les pays les moins avancés </w:t>
      </w:r>
      <w:r w:rsidR="00972890" w:rsidRPr="007D2AC6">
        <w:rPr>
          <w:iCs/>
          <w:lang w:val="fr-FR"/>
        </w:rPr>
        <w:t>(</w:t>
      </w:r>
      <w:r w:rsidRPr="007D2AC6">
        <w:rPr>
          <w:iCs/>
          <w:lang w:val="fr-FR"/>
        </w:rPr>
        <w:t>PMA)</w:t>
      </w:r>
      <w:r w:rsidR="009F77AF" w:rsidRPr="007D2AC6">
        <w:rPr>
          <w:iCs/>
          <w:lang w:val="fr-FR"/>
        </w:rPr>
        <w:t>”</w:t>
      </w:r>
      <w:r w:rsidRPr="007D2AC6">
        <w:rPr>
          <w:iCs/>
          <w:lang w:val="fr-FR"/>
        </w:rPr>
        <w:t xml:space="preserve"> </w:t>
      </w:r>
      <w:r w:rsidR="00972890" w:rsidRPr="007D2AC6">
        <w:rPr>
          <w:iCs/>
          <w:lang w:val="fr-FR"/>
        </w:rPr>
        <w:t>(</w:t>
      </w:r>
      <w:r w:rsidRPr="007D2AC6">
        <w:rPr>
          <w:iCs/>
          <w:lang w:val="fr-FR"/>
        </w:rPr>
        <w:t>Cote du projet</w:t>
      </w:r>
      <w:r w:rsidR="002A5696" w:rsidRPr="007D2AC6">
        <w:rPr>
          <w:iCs/>
          <w:lang w:val="fr-FR"/>
        </w:rPr>
        <w:t> </w:t>
      </w:r>
      <w:proofErr w:type="gramStart"/>
      <w:r w:rsidR="002A5696" w:rsidRPr="007D2AC6">
        <w:rPr>
          <w:iCs/>
          <w:lang w:val="fr-FR"/>
        </w:rPr>
        <w:t>:</w:t>
      </w:r>
      <w:r w:rsidRPr="007D2AC6">
        <w:rPr>
          <w:iCs/>
          <w:lang w:val="fr-FR"/>
        </w:rPr>
        <w:t xml:space="preserve"> </w:t>
      </w:r>
      <w:proofErr w:type="spellStart"/>
      <w:r w:rsidRPr="007D2AC6">
        <w:rPr>
          <w:iCs/>
          <w:lang w:val="fr-FR"/>
        </w:rPr>
        <w:t>DA</w:t>
      </w:r>
      <w:proofErr w:type="gramEnd"/>
      <w:r w:rsidRPr="007D2AC6">
        <w:rPr>
          <w:iCs/>
          <w:lang w:val="fr-FR"/>
        </w:rPr>
        <w:t>_04_10_02</w:t>
      </w:r>
      <w:proofErr w:type="spellEnd"/>
      <w:r w:rsidRPr="007D2AC6">
        <w:rPr>
          <w:iCs/>
          <w:lang w:val="fr-FR"/>
        </w:rPr>
        <w:t>).</w:t>
      </w:r>
    </w:p>
    <w:p w14:paraId="2ED559E8" w14:textId="454B904C" w:rsidR="0059687A" w:rsidRPr="007D2AC6" w:rsidRDefault="00020126" w:rsidP="00020126">
      <w:pPr>
        <w:pStyle w:val="ONUMFS"/>
        <w:numPr>
          <w:ilvl w:val="0"/>
          <w:numId w:val="0"/>
        </w:numPr>
        <w:rPr>
          <w:lang w:val="fr-FR"/>
        </w:rPr>
      </w:pPr>
      <w:r w:rsidRPr="007D2AC6">
        <w:rPr>
          <w:lang w:val="fr-FR"/>
        </w:rPr>
        <w:t>Ce travail d</w:t>
      </w:r>
      <w:r w:rsidR="002A5696" w:rsidRPr="007D2AC6">
        <w:rPr>
          <w:lang w:val="fr-FR"/>
        </w:rPr>
        <w:t>’</w:t>
      </w:r>
      <w:r w:rsidRPr="007D2AC6">
        <w:rPr>
          <w:lang w:val="fr-FR"/>
        </w:rPr>
        <w:t>évaluation a été réalisé du 1</w:t>
      </w:r>
      <w:r w:rsidR="002A5696" w:rsidRPr="007D2AC6">
        <w:rPr>
          <w:lang w:val="fr-FR"/>
        </w:rPr>
        <w:t>5 novembre 20</w:t>
      </w:r>
      <w:r w:rsidRPr="007D2AC6">
        <w:rPr>
          <w:lang w:val="fr-FR"/>
        </w:rPr>
        <w:t>16 au 3</w:t>
      </w:r>
      <w:r w:rsidR="002A5696" w:rsidRPr="007D2AC6">
        <w:rPr>
          <w:lang w:val="fr-FR"/>
        </w:rPr>
        <w:t>0 mai 20</w:t>
      </w:r>
      <w:r w:rsidRPr="007D2AC6">
        <w:rPr>
          <w:lang w:val="fr-FR"/>
        </w:rPr>
        <w:t>17 par M.</w:t>
      </w:r>
      <w:r w:rsidR="00ED7A20" w:rsidRPr="007D2AC6">
        <w:rPr>
          <w:lang w:val="fr-FR"/>
        </w:rPr>
        <w:t> Daniel </w:t>
      </w:r>
      <w:r w:rsidRPr="007D2AC6">
        <w:rPr>
          <w:lang w:val="fr-FR"/>
        </w:rPr>
        <w:t>P.</w:t>
      </w:r>
      <w:r w:rsidR="00DD1554" w:rsidRPr="007D2AC6">
        <w:rPr>
          <w:lang w:val="fr-FR"/>
        </w:rPr>
        <w:t> </w:t>
      </w:r>
      <w:r w:rsidRPr="007D2AC6">
        <w:rPr>
          <w:lang w:val="fr-FR"/>
        </w:rPr>
        <w:t xml:space="preserve">Keller, évaluateur principal, à </w:t>
      </w:r>
      <w:proofErr w:type="spellStart"/>
      <w:r w:rsidRPr="007D2AC6">
        <w:rPr>
          <w:lang w:val="fr-FR"/>
        </w:rPr>
        <w:t>Evilard</w:t>
      </w:r>
      <w:proofErr w:type="spellEnd"/>
      <w:r w:rsidRPr="007D2AC6">
        <w:rPr>
          <w:lang w:val="fr-FR"/>
        </w:rPr>
        <w:t>/</w:t>
      </w:r>
      <w:proofErr w:type="spellStart"/>
      <w:r w:rsidRPr="007D2AC6">
        <w:rPr>
          <w:lang w:val="fr-FR"/>
        </w:rPr>
        <w:t>Leubringen</w:t>
      </w:r>
      <w:proofErr w:type="spellEnd"/>
      <w:r w:rsidRPr="007D2AC6">
        <w:rPr>
          <w:lang w:val="fr-FR"/>
        </w:rPr>
        <w:t xml:space="preserve">, en étroite </w:t>
      </w:r>
      <w:r w:rsidR="00ED7A20" w:rsidRPr="007D2AC6">
        <w:rPr>
          <w:lang w:val="fr-FR"/>
        </w:rPr>
        <w:t>collaboration</w:t>
      </w:r>
      <w:r w:rsidRPr="007D2AC6">
        <w:rPr>
          <w:lang w:val="fr-FR"/>
        </w:rPr>
        <w:t xml:space="preserve"> avec la Division de la coordination du Plan d</w:t>
      </w:r>
      <w:r w:rsidR="002A5696" w:rsidRPr="007D2AC6">
        <w:rPr>
          <w:lang w:val="fr-FR"/>
        </w:rPr>
        <w:t>’</w:t>
      </w:r>
      <w:r w:rsidRPr="007D2AC6">
        <w:rPr>
          <w:lang w:val="fr-FR"/>
        </w:rPr>
        <w:t>action pour le développement, et a débouché sur les conclusions suivantes</w:t>
      </w:r>
      <w:r w:rsidR="002A5696" w:rsidRPr="007D2AC6">
        <w:rPr>
          <w:lang w:val="fr-FR"/>
        </w:rPr>
        <w:t> :</w:t>
      </w:r>
    </w:p>
    <w:p w14:paraId="059EDD9C" w14:textId="7CDB13F2" w:rsidR="00654286" w:rsidRPr="007D2AC6" w:rsidRDefault="00654286" w:rsidP="00654286">
      <w:pPr>
        <w:spacing w:after="220"/>
        <w:rPr>
          <w:b/>
          <w:bCs/>
          <w:lang w:val="fr-FR"/>
        </w:rPr>
      </w:pPr>
      <w:r w:rsidRPr="007D2AC6">
        <w:rPr>
          <w:b/>
          <w:bCs/>
          <w:lang w:val="fr-FR"/>
        </w:rPr>
        <w:t>Conclusion n°</w:t>
      </w:r>
      <w:r w:rsidR="009F77AF" w:rsidRPr="007D2AC6">
        <w:rPr>
          <w:b/>
          <w:bCs/>
          <w:lang w:val="fr-FR"/>
        </w:rPr>
        <w:t> </w:t>
      </w:r>
      <w:r w:rsidRPr="007D2AC6">
        <w:rPr>
          <w:b/>
          <w:bCs/>
          <w:lang w:val="fr-FR"/>
        </w:rPr>
        <w:t>1 concernant la préparation et la pertinence du projet</w:t>
      </w:r>
      <w:r w:rsidR="002A5696" w:rsidRPr="007D2AC6">
        <w:rPr>
          <w:b/>
          <w:bCs/>
          <w:lang w:val="fr-FR"/>
        </w:rPr>
        <w:t> </w:t>
      </w:r>
      <w:proofErr w:type="gramStart"/>
      <w:r w:rsidR="002A5696" w:rsidRPr="007D2AC6">
        <w:rPr>
          <w:b/>
          <w:bCs/>
          <w:lang w:val="fr-FR"/>
        </w:rPr>
        <w:t>:</w:t>
      </w:r>
      <w:r w:rsidRPr="007D2AC6">
        <w:rPr>
          <w:b/>
          <w:bCs/>
          <w:lang w:val="fr-FR"/>
        </w:rPr>
        <w:t xml:space="preserve"> </w:t>
      </w:r>
      <w:r w:rsidR="00917E82" w:rsidRPr="007D2AC6">
        <w:rPr>
          <w:b/>
          <w:bCs/>
          <w:lang w:val="fr-FR"/>
        </w:rPr>
        <w:t>l</w:t>
      </w:r>
      <w:r w:rsidRPr="007D2AC6">
        <w:rPr>
          <w:b/>
          <w:bCs/>
          <w:lang w:val="fr-FR"/>
        </w:rPr>
        <w:t>e</w:t>
      </w:r>
      <w:proofErr w:type="gramEnd"/>
      <w:r w:rsidRPr="007D2AC6">
        <w:rPr>
          <w:b/>
          <w:bCs/>
          <w:lang w:val="fr-FR"/>
        </w:rPr>
        <w:t xml:space="preserve"> projet préparé par le Secrétariat traite de façon adéquate la promotion de l</w:t>
      </w:r>
      <w:r w:rsidR="002A5696" w:rsidRPr="007D2AC6">
        <w:rPr>
          <w:b/>
          <w:bCs/>
          <w:lang w:val="fr-FR"/>
        </w:rPr>
        <w:t>’</w:t>
      </w:r>
      <w:r w:rsidRPr="007D2AC6">
        <w:rPr>
          <w:b/>
          <w:bCs/>
          <w:lang w:val="fr-FR"/>
        </w:rPr>
        <w:t>utilisation stratégique et de la protection des dessins et modèles industriels pour</w:t>
      </w:r>
      <w:r w:rsidR="002A5696" w:rsidRPr="007D2AC6">
        <w:rPr>
          <w:b/>
          <w:bCs/>
          <w:lang w:val="fr-FR"/>
        </w:rPr>
        <w:t xml:space="preserve"> les </w:t>
      </w:r>
      <w:r w:rsidR="001B6E2D" w:rsidRPr="007D2AC6">
        <w:rPr>
          <w:b/>
          <w:bCs/>
          <w:lang w:val="fr-FR"/>
        </w:rPr>
        <w:t>PME.  Un</w:t>
      </w:r>
      <w:r w:rsidRPr="007D2AC6">
        <w:rPr>
          <w:b/>
          <w:bCs/>
          <w:lang w:val="fr-FR"/>
        </w:rPr>
        <w:t>e excellente préparation, en étroite collaboration avec les principales parties prenantes des deux</w:t>
      </w:r>
      <w:r w:rsidR="009F77AF" w:rsidRPr="007D2AC6">
        <w:rPr>
          <w:b/>
          <w:bCs/>
          <w:lang w:val="fr-FR"/>
        </w:rPr>
        <w:t> </w:t>
      </w:r>
      <w:r w:rsidRPr="007D2AC6">
        <w:rPr>
          <w:b/>
          <w:bCs/>
          <w:lang w:val="fr-FR"/>
        </w:rPr>
        <w:t>pays bénéficiaires, a permis de parvenir à un degré élevé de pertinence.</w:t>
      </w:r>
    </w:p>
    <w:p w14:paraId="3AA868C3" w14:textId="3C2985E4" w:rsidR="00654286" w:rsidRPr="007D2AC6" w:rsidRDefault="00654286" w:rsidP="00654286">
      <w:pPr>
        <w:pStyle w:val="ONUME"/>
        <w:numPr>
          <w:ilvl w:val="0"/>
          <w:numId w:val="0"/>
        </w:numPr>
        <w:rPr>
          <w:lang w:val="fr-FR"/>
        </w:rPr>
      </w:pPr>
      <w:r w:rsidRPr="007D2AC6">
        <w:rPr>
          <w:bCs/>
          <w:lang w:val="fr-FR"/>
        </w:rPr>
        <w:t>Le Secrétariat a effectué du bon travail en traduisant la proposition relativement ouverte présentée par la République de Corée en un descriptif de projet clairement formulé, bien aligné sur le mandat de l</w:t>
      </w:r>
      <w:r w:rsidR="002A5696" w:rsidRPr="007D2AC6">
        <w:rPr>
          <w:bCs/>
          <w:lang w:val="fr-FR"/>
        </w:rPr>
        <w:t>’</w:t>
      </w:r>
      <w:r w:rsidRPr="007D2AC6">
        <w:rPr>
          <w:bCs/>
          <w:lang w:val="fr-FR"/>
        </w:rPr>
        <w:t xml:space="preserve">OMPI et sur les recommandations </w:t>
      </w:r>
      <w:r w:rsidRPr="007D2AC6">
        <w:rPr>
          <w:lang w:val="fr-FR"/>
        </w:rPr>
        <w:t>du Plan d</w:t>
      </w:r>
      <w:r w:rsidR="002A5696" w:rsidRPr="007D2AC6">
        <w:rPr>
          <w:lang w:val="fr-FR"/>
        </w:rPr>
        <w:t>’</w:t>
      </w:r>
      <w:r w:rsidRPr="007D2AC6">
        <w:rPr>
          <w:lang w:val="fr-FR"/>
        </w:rPr>
        <w:t>action pour le développement auxquelles il entend répond</w:t>
      </w:r>
      <w:r w:rsidR="001B6E2D" w:rsidRPr="007D2AC6">
        <w:rPr>
          <w:lang w:val="fr-FR"/>
        </w:rPr>
        <w:t>re.  Le</w:t>
      </w:r>
      <w:r w:rsidRPr="007D2AC6">
        <w:rPr>
          <w:lang w:val="fr-FR"/>
        </w:rPr>
        <w:t xml:space="preserve">s objectifs du projet tiennent parfaitement compte des besoins des principaux bénéficiaires </w:t>
      </w:r>
      <w:r w:rsidR="00917E82" w:rsidRPr="007D2AC6">
        <w:rPr>
          <w:lang w:val="fr-FR"/>
        </w:rPr>
        <w:t>(</w:t>
      </w:r>
      <w:r w:rsidRPr="007D2AC6">
        <w:rPr>
          <w:lang w:val="fr-FR"/>
        </w:rPr>
        <w:t>les offices de propriété intellectuelle et les entrepris</w:t>
      </w:r>
      <w:r w:rsidR="001B6E2D" w:rsidRPr="007D2AC6">
        <w:rPr>
          <w:lang w:val="fr-FR"/>
        </w:rPr>
        <w:t>es).  Le</w:t>
      </w:r>
      <w:r w:rsidRPr="007D2AC6">
        <w:rPr>
          <w:lang w:val="fr-FR"/>
        </w:rPr>
        <w:t xml:space="preserve"> projet visait les pays, les industries et les secteurs qui utilisent des dessins et modèles.</w:t>
      </w:r>
    </w:p>
    <w:p w14:paraId="69C7D86E" w14:textId="1297EA13" w:rsidR="00654286" w:rsidRPr="007D2AC6" w:rsidRDefault="00654286" w:rsidP="00654286">
      <w:pPr>
        <w:pStyle w:val="ONUME"/>
        <w:numPr>
          <w:ilvl w:val="0"/>
          <w:numId w:val="0"/>
        </w:numPr>
        <w:rPr>
          <w:lang w:val="fr-FR"/>
        </w:rPr>
      </w:pPr>
      <w:r w:rsidRPr="007D2AC6">
        <w:rPr>
          <w:bCs/>
          <w:lang w:val="fr-FR"/>
        </w:rPr>
        <w:t xml:space="preserve">Les objectifs sont clairement définis, bien que la distinction entre les documents et services que le Secrétariat doit fournir et leur utilisation </w:t>
      </w:r>
      <w:r w:rsidR="00917E82" w:rsidRPr="007D2AC6">
        <w:rPr>
          <w:bCs/>
          <w:lang w:val="fr-FR"/>
        </w:rPr>
        <w:t>(</w:t>
      </w:r>
      <w:r w:rsidRPr="007D2AC6">
        <w:rPr>
          <w:bCs/>
          <w:lang w:val="fr-FR"/>
        </w:rPr>
        <w:t>réalisations) ne soit pas toujours éviden</w:t>
      </w:r>
      <w:r w:rsidR="001B6E2D" w:rsidRPr="007D2AC6">
        <w:rPr>
          <w:bCs/>
          <w:lang w:val="fr-FR"/>
        </w:rPr>
        <w:t>te.  De</w:t>
      </w:r>
      <w:r w:rsidRPr="007D2AC6">
        <w:rPr>
          <w:bCs/>
          <w:lang w:val="fr-FR"/>
        </w:rPr>
        <w:t xml:space="preserve">s indicateurs sont définis pour chaque objectif, mais ils ne sont pas tous </w:t>
      </w:r>
      <w:r w:rsidRPr="007D2AC6">
        <w:rPr>
          <w:lang w:val="fr-FR"/>
        </w:rPr>
        <w:t>précis, mesurables, ambitieux, pertinents et assortis de délais.</w:t>
      </w:r>
    </w:p>
    <w:p w14:paraId="32C6DAC4" w14:textId="73C1CD27" w:rsidR="00654286" w:rsidRPr="007D2AC6" w:rsidRDefault="00654286" w:rsidP="00654286">
      <w:pPr>
        <w:pStyle w:val="ONUME"/>
        <w:numPr>
          <w:ilvl w:val="0"/>
          <w:numId w:val="0"/>
        </w:numPr>
        <w:rPr>
          <w:bCs/>
          <w:lang w:val="fr-FR"/>
        </w:rPr>
      </w:pPr>
      <w:r w:rsidRPr="007D2AC6">
        <w:rPr>
          <w:lang w:val="fr-FR"/>
        </w:rPr>
        <w:t>Le plan de mise en œuvre et les budgets sont ambitieux mais réalist</w:t>
      </w:r>
      <w:r w:rsidR="001B6E2D" w:rsidRPr="007D2AC6">
        <w:rPr>
          <w:lang w:val="fr-FR"/>
        </w:rPr>
        <w:t>es.  Le</w:t>
      </w:r>
      <w:r w:rsidRPr="007D2AC6">
        <w:rPr>
          <w:lang w:val="fr-FR"/>
        </w:rPr>
        <w:t xml:space="preserve"> plan de déroulement des activités est logique et facilite la réalisation des objecti</w:t>
      </w:r>
      <w:r w:rsidR="001B6E2D" w:rsidRPr="007D2AC6">
        <w:rPr>
          <w:lang w:val="fr-FR"/>
        </w:rPr>
        <w:t>fs.  La</w:t>
      </w:r>
      <w:r w:rsidRPr="007D2AC6">
        <w:rPr>
          <w:lang w:val="fr-FR"/>
        </w:rPr>
        <w:t xml:space="preserve"> structure de mise en œuvre, qui fait appel à des comités de pilotage </w:t>
      </w:r>
      <w:r w:rsidR="00917E82" w:rsidRPr="007D2AC6">
        <w:rPr>
          <w:lang w:val="fr-FR"/>
        </w:rPr>
        <w:t>(</w:t>
      </w:r>
      <w:r w:rsidRPr="007D2AC6">
        <w:rPr>
          <w:lang w:val="fr-FR"/>
        </w:rPr>
        <w:t>pour la gestion stratégique) et</w:t>
      </w:r>
      <w:r w:rsidR="00424155" w:rsidRPr="007D2AC6">
        <w:rPr>
          <w:lang w:val="fr-FR"/>
        </w:rPr>
        <w:t xml:space="preserve"> à</w:t>
      </w:r>
      <w:r w:rsidRPr="007D2AC6">
        <w:rPr>
          <w:lang w:val="fr-FR"/>
        </w:rPr>
        <w:t xml:space="preserve"> des équipes chargées de projet </w:t>
      </w:r>
      <w:r w:rsidR="00917E82" w:rsidRPr="007D2AC6">
        <w:rPr>
          <w:lang w:val="fr-FR"/>
        </w:rPr>
        <w:t>(</w:t>
      </w:r>
      <w:r w:rsidRPr="007D2AC6">
        <w:rPr>
          <w:lang w:val="fr-FR"/>
        </w:rPr>
        <w:t>pour la gestion opérationnelle) dans chaque pays bénéficiaire est propice à la réalisation des objectifs.</w:t>
      </w:r>
    </w:p>
    <w:p w14:paraId="11C34CC6" w14:textId="64EB59F2" w:rsidR="00654286" w:rsidRPr="007D2AC6" w:rsidRDefault="00654286" w:rsidP="00654286">
      <w:pPr>
        <w:pStyle w:val="ONUME"/>
        <w:numPr>
          <w:ilvl w:val="0"/>
          <w:numId w:val="0"/>
        </w:numPr>
        <w:rPr>
          <w:bCs/>
          <w:lang w:val="fr-FR"/>
        </w:rPr>
      </w:pPr>
      <w:r w:rsidRPr="007D2AC6">
        <w:rPr>
          <w:bCs/>
          <w:lang w:val="fr-FR"/>
        </w:rPr>
        <w:t xml:space="preserve">Les modèles </w:t>
      </w:r>
      <w:proofErr w:type="gramStart"/>
      <w:r w:rsidRPr="007D2AC6">
        <w:rPr>
          <w:bCs/>
          <w:lang w:val="fr-FR"/>
        </w:rPr>
        <w:t>standard</w:t>
      </w:r>
      <w:proofErr w:type="gramEnd"/>
      <w:r w:rsidRPr="007D2AC6">
        <w:rPr>
          <w:bCs/>
          <w:lang w:val="fr-FR"/>
        </w:rPr>
        <w:t xml:space="preserve"> de l</w:t>
      </w:r>
      <w:r w:rsidR="002A5696" w:rsidRPr="007D2AC6">
        <w:rPr>
          <w:bCs/>
          <w:lang w:val="fr-FR"/>
        </w:rPr>
        <w:t>’</w:t>
      </w:r>
      <w:r w:rsidRPr="007D2AC6">
        <w:rPr>
          <w:bCs/>
          <w:lang w:val="fr-FR"/>
        </w:rPr>
        <w:t>OMPI pour la planification, le suivi et la présentation de rapports n</w:t>
      </w:r>
      <w:r w:rsidR="002A5696" w:rsidRPr="007D2AC6">
        <w:rPr>
          <w:bCs/>
          <w:lang w:val="fr-FR"/>
        </w:rPr>
        <w:t>’</w:t>
      </w:r>
      <w:r w:rsidRPr="007D2AC6">
        <w:rPr>
          <w:bCs/>
          <w:lang w:val="fr-FR"/>
        </w:rPr>
        <w:t xml:space="preserve">utilisent pas le cadre logique, </w:t>
      </w:r>
      <w:r w:rsidR="00424155" w:rsidRPr="007D2AC6">
        <w:rPr>
          <w:bCs/>
          <w:lang w:val="fr-FR"/>
        </w:rPr>
        <w:t xml:space="preserve">qui constitue </w:t>
      </w:r>
      <w:r w:rsidRPr="007D2AC6">
        <w:rPr>
          <w:bCs/>
          <w:lang w:val="fr-FR"/>
        </w:rPr>
        <w:t>désormais le principal instrument de gestion de projets de coopération techniq</w:t>
      </w:r>
      <w:r w:rsidR="001B6E2D" w:rsidRPr="007D2AC6">
        <w:rPr>
          <w:bCs/>
          <w:lang w:val="fr-FR"/>
        </w:rPr>
        <w:t>ue.  Il</w:t>
      </w:r>
      <w:r w:rsidRPr="007D2AC6">
        <w:rPr>
          <w:bCs/>
          <w:lang w:val="fr-FR"/>
        </w:rPr>
        <w:t xml:space="preserve"> n</w:t>
      </w:r>
      <w:r w:rsidR="002A5696" w:rsidRPr="007D2AC6">
        <w:rPr>
          <w:bCs/>
          <w:lang w:val="fr-FR"/>
        </w:rPr>
        <w:t>’</w:t>
      </w:r>
      <w:r w:rsidRPr="007D2AC6">
        <w:rPr>
          <w:bCs/>
          <w:lang w:val="fr-FR"/>
        </w:rPr>
        <w:t>existe pas de lignes directrices détaillées concernant la gestion du cycle de projet, mais elles seraient utiles.</w:t>
      </w:r>
    </w:p>
    <w:p w14:paraId="0C650AEB" w14:textId="2F29165C" w:rsidR="00654286" w:rsidRPr="007D2AC6" w:rsidRDefault="00654286" w:rsidP="00654286">
      <w:pPr>
        <w:pStyle w:val="ONUME"/>
        <w:numPr>
          <w:ilvl w:val="0"/>
          <w:numId w:val="0"/>
        </w:numPr>
        <w:rPr>
          <w:b/>
          <w:lang w:val="fr-FR"/>
        </w:rPr>
      </w:pPr>
      <w:r w:rsidRPr="007D2AC6">
        <w:rPr>
          <w:b/>
          <w:lang w:val="fr-FR"/>
        </w:rPr>
        <w:t>Conclusion n°</w:t>
      </w:r>
      <w:r w:rsidR="009F77AF" w:rsidRPr="007D2AC6">
        <w:rPr>
          <w:b/>
          <w:lang w:val="fr-FR"/>
        </w:rPr>
        <w:t> </w:t>
      </w:r>
      <w:r w:rsidRPr="007D2AC6">
        <w:rPr>
          <w:b/>
          <w:lang w:val="fr-FR"/>
        </w:rPr>
        <w:t>2 concernant la gestion, l</w:t>
      </w:r>
      <w:r w:rsidR="002A5696" w:rsidRPr="007D2AC6">
        <w:rPr>
          <w:b/>
          <w:lang w:val="fr-FR"/>
        </w:rPr>
        <w:t>’</w:t>
      </w:r>
      <w:r w:rsidRPr="007D2AC6">
        <w:rPr>
          <w:b/>
          <w:lang w:val="fr-FR"/>
        </w:rPr>
        <w:t>efficacité et l</w:t>
      </w:r>
      <w:r w:rsidR="002A5696" w:rsidRPr="007D2AC6">
        <w:rPr>
          <w:b/>
          <w:lang w:val="fr-FR"/>
        </w:rPr>
        <w:t>’</w:t>
      </w:r>
      <w:r w:rsidRPr="007D2AC6">
        <w:rPr>
          <w:b/>
          <w:lang w:val="fr-FR"/>
        </w:rPr>
        <w:t>utilisation des ressources</w:t>
      </w:r>
      <w:r w:rsidR="002A5696" w:rsidRPr="007D2AC6">
        <w:rPr>
          <w:b/>
          <w:lang w:val="fr-FR"/>
        </w:rPr>
        <w:t> </w:t>
      </w:r>
      <w:proofErr w:type="gramStart"/>
      <w:r w:rsidR="002A5696" w:rsidRPr="007D2AC6">
        <w:rPr>
          <w:b/>
          <w:lang w:val="fr-FR"/>
        </w:rPr>
        <w:t>:</w:t>
      </w:r>
      <w:r w:rsidRPr="007D2AC6">
        <w:rPr>
          <w:b/>
          <w:lang w:val="fr-FR"/>
        </w:rPr>
        <w:t xml:space="preserve"> la</w:t>
      </w:r>
      <w:proofErr w:type="gramEnd"/>
      <w:r w:rsidRPr="007D2AC6">
        <w:rPr>
          <w:b/>
          <w:lang w:val="fr-FR"/>
        </w:rPr>
        <w:t xml:space="preserve"> gestion du projet a été extrêmement satisfaisan</w:t>
      </w:r>
      <w:r w:rsidR="001B6E2D" w:rsidRPr="007D2AC6">
        <w:rPr>
          <w:b/>
          <w:lang w:val="fr-FR"/>
        </w:rPr>
        <w:t>te.  Le</w:t>
      </w:r>
      <w:r w:rsidRPr="007D2AC6">
        <w:rPr>
          <w:b/>
          <w:lang w:val="fr-FR"/>
        </w:rPr>
        <w:t xml:space="preserve"> Secrétariat a fourni tous les produits, d</w:t>
      </w:r>
      <w:r w:rsidR="002A5696" w:rsidRPr="007D2AC6">
        <w:rPr>
          <w:b/>
          <w:lang w:val="fr-FR"/>
        </w:rPr>
        <w:t>’</w:t>
      </w:r>
      <w:r w:rsidRPr="007D2AC6">
        <w:rPr>
          <w:b/>
          <w:lang w:val="fr-FR"/>
        </w:rPr>
        <w:t>une bonne qualité, en temps uti</w:t>
      </w:r>
      <w:r w:rsidR="001B6E2D" w:rsidRPr="007D2AC6">
        <w:rPr>
          <w:b/>
          <w:lang w:val="fr-FR"/>
        </w:rPr>
        <w:t>le.  Le</w:t>
      </w:r>
      <w:r w:rsidRPr="007D2AC6">
        <w:rPr>
          <w:b/>
          <w:lang w:val="fr-FR"/>
        </w:rPr>
        <w:t>s ressources ont été utilisées de façon économiq</w:t>
      </w:r>
      <w:r w:rsidR="001B6E2D" w:rsidRPr="007D2AC6">
        <w:rPr>
          <w:b/>
          <w:lang w:val="fr-FR"/>
        </w:rPr>
        <w:t>ue.  Le</w:t>
      </w:r>
      <w:r w:rsidRPr="007D2AC6">
        <w:rPr>
          <w:b/>
          <w:lang w:val="fr-FR"/>
        </w:rPr>
        <w:t xml:space="preserve"> projet a présenté un bon rapport coût</w:t>
      </w:r>
      <w:r w:rsidR="00B57560" w:rsidRPr="007D2AC6">
        <w:rPr>
          <w:b/>
          <w:lang w:val="fr-FR"/>
        </w:rPr>
        <w:noBreakHyphen/>
      </w:r>
      <w:r w:rsidRPr="007D2AC6">
        <w:rPr>
          <w:b/>
          <w:lang w:val="fr-FR"/>
        </w:rPr>
        <w:t>efficacité.</w:t>
      </w:r>
    </w:p>
    <w:p w14:paraId="1B609BAF" w14:textId="240B635A" w:rsidR="00654286" w:rsidRPr="007D2AC6" w:rsidRDefault="00654286" w:rsidP="00654286">
      <w:pPr>
        <w:pStyle w:val="ONUME"/>
        <w:numPr>
          <w:ilvl w:val="0"/>
          <w:numId w:val="0"/>
        </w:numPr>
        <w:rPr>
          <w:lang w:val="fr-FR"/>
        </w:rPr>
      </w:pPr>
      <w:r w:rsidRPr="007D2AC6">
        <w:rPr>
          <w:lang w:val="fr-FR"/>
        </w:rPr>
        <w:t>Le projet a été bien géré, ce à quoi a contribué la mise en place d</w:t>
      </w:r>
      <w:r w:rsidR="002A5696" w:rsidRPr="007D2AC6">
        <w:rPr>
          <w:lang w:val="fr-FR"/>
        </w:rPr>
        <w:t>’</w:t>
      </w:r>
      <w:r w:rsidRPr="007D2AC6">
        <w:rPr>
          <w:lang w:val="fr-FR"/>
        </w:rPr>
        <w:t xml:space="preserve">une structure locale de mise en œuvre </w:t>
      </w:r>
      <w:r w:rsidR="00917E82" w:rsidRPr="007D2AC6">
        <w:rPr>
          <w:lang w:val="fr-FR"/>
        </w:rPr>
        <w:t>(</w:t>
      </w:r>
      <w:r w:rsidRPr="007D2AC6">
        <w:rPr>
          <w:lang w:val="fr-FR"/>
        </w:rPr>
        <w:t>comités de pilotage du projet, équipes chargées de projet) dans les deux</w:t>
      </w:r>
      <w:r w:rsidR="009F77AF" w:rsidRPr="007D2AC6">
        <w:rPr>
          <w:lang w:val="fr-FR"/>
        </w:rPr>
        <w:t> </w:t>
      </w:r>
      <w:r w:rsidRPr="007D2AC6">
        <w:rPr>
          <w:lang w:val="fr-FR"/>
        </w:rPr>
        <w:t>pays bénéficiair</w:t>
      </w:r>
      <w:r w:rsidR="001B6E2D" w:rsidRPr="007D2AC6">
        <w:rPr>
          <w:lang w:val="fr-FR"/>
        </w:rPr>
        <w:t>es.  Un</w:t>
      </w:r>
      <w:r w:rsidRPr="007D2AC6">
        <w:rPr>
          <w:lang w:val="fr-FR"/>
        </w:rPr>
        <w:t xml:space="preserve"> facteur de succès essentiel a également tenu au recrutement d</w:t>
      </w:r>
      <w:r w:rsidR="002A5696" w:rsidRPr="007D2AC6">
        <w:rPr>
          <w:lang w:val="fr-FR"/>
        </w:rPr>
        <w:t>’</w:t>
      </w:r>
      <w:r w:rsidRPr="007D2AC6">
        <w:rPr>
          <w:lang w:val="fr-FR"/>
        </w:rPr>
        <w:t>un</w:t>
      </w:r>
      <w:r w:rsidR="001C73F5" w:rsidRPr="007D2AC6">
        <w:rPr>
          <w:lang w:val="fr-FR"/>
        </w:rPr>
        <w:t>e</w:t>
      </w:r>
      <w:r w:rsidRPr="007D2AC6">
        <w:rPr>
          <w:lang w:val="fr-FR"/>
        </w:rPr>
        <w:t xml:space="preserve"> administrat</w:t>
      </w:r>
      <w:r w:rsidR="001C73F5" w:rsidRPr="007D2AC6">
        <w:rPr>
          <w:lang w:val="fr-FR"/>
        </w:rPr>
        <w:t>rice</w:t>
      </w:r>
      <w:r w:rsidRPr="007D2AC6">
        <w:rPr>
          <w:lang w:val="fr-FR"/>
        </w:rPr>
        <w:t xml:space="preserve"> de projet à plein temps, qui possède une expérience de la coopération technique et de solides compétences en matière de gestion de proje</w:t>
      </w:r>
      <w:r w:rsidR="001B6E2D" w:rsidRPr="007D2AC6">
        <w:rPr>
          <w:lang w:val="fr-FR"/>
        </w:rPr>
        <w:t>ts.  La</w:t>
      </w:r>
      <w:r w:rsidRPr="007D2AC6">
        <w:rPr>
          <w:lang w:val="fr-FR"/>
        </w:rPr>
        <w:t xml:space="preserve"> gestion </w:t>
      </w:r>
      <w:r w:rsidR="00424155" w:rsidRPr="007D2AC6">
        <w:rPr>
          <w:lang w:val="fr-FR"/>
        </w:rPr>
        <w:t>a été effectuée</w:t>
      </w:r>
      <w:r w:rsidRPr="007D2AC6">
        <w:rPr>
          <w:lang w:val="fr-FR"/>
        </w:rPr>
        <w:t xml:space="preserve"> en souplesse, compte tenu des besoins des bénéficiaires.</w:t>
      </w:r>
    </w:p>
    <w:p w14:paraId="644158E5" w14:textId="163DD395" w:rsidR="00654286" w:rsidRPr="007D2AC6" w:rsidRDefault="00654286" w:rsidP="00654286">
      <w:pPr>
        <w:pStyle w:val="ONUME"/>
        <w:numPr>
          <w:ilvl w:val="0"/>
          <w:numId w:val="0"/>
        </w:numPr>
        <w:rPr>
          <w:lang w:val="fr-FR"/>
        </w:rPr>
      </w:pPr>
      <w:r w:rsidRPr="007D2AC6">
        <w:rPr>
          <w:lang w:val="fr-FR"/>
        </w:rPr>
        <w:t>L</w:t>
      </w:r>
      <w:r w:rsidR="002A5696" w:rsidRPr="007D2AC6">
        <w:rPr>
          <w:lang w:val="fr-FR"/>
        </w:rPr>
        <w:t>’</w:t>
      </w:r>
      <w:r w:rsidRPr="007D2AC6">
        <w:rPr>
          <w:lang w:val="fr-FR"/>
        </w:rPr>
        <w:t>évaluation approuve le rapport d</w:t>
      </w:r>
      <w:r w:rsidR="002A5696" w:rsidRPr="007D2AC6">
        <w:rPr>
          <w:lang w:val="fr-FR"/>
        </w:rPr>
        <w:t>’</w:t>
      </w:r>
      <w:r w:rsidRPr="007D2AC6">
        <w:rPr>
          <w:lang w:val="fr-FR"/>
        </w:rPr>
        <w:t>achèvement du proj</w:t>
      </w:r>
      <w:r w:rsidR="001B6E2D" w:rsidRPr="007D2AC6">
        <w:rPr>
          <w:lang w:val="fr-FR"/>
        </w:rPr>
        <w:t>et.  La</w:t>
      </w:r>
      <w:r w:rsidRPr="007D2AC6">
        <w:rPr>
          <w:lang w:val="fr-FR"/>
        </w:rPr>
        <w:t xml:space="preserve"> plupart des produits escomptés ont été fournis dans les délais prévus et sont tous de bonne quali</w:t>
      </w:r>
      <w:r w:rsidR="001B6E2D" w:rsidRPr="007D2AC6">
        <w:rPr>
          <w:lang w:val="fr-FR"/>
        </w:rPr>
        <w:t>té.  Il</w:t>
      </w:r>
      <w:r w:rsidRPr="007D2AC6">
        <w:rPr>
          <w:lang w:val="fr-FR"/>
        </w:rPr>
        <w:t xml:space="preserve"> est prématuré d</w:t>
      </w:r>
      <w:r w:rsidR="002A5696" w:rsidRPr="007D2AC6">
        <w:rPr>
          <w:lang w:val="fr-FR"/>
        </w:rPr>
        <w:t>’</w:t>
      </w:r>
      <w:r w:rsidRPr="007D2AC6">
        <w:rPr>
          <w:lang w:val="fr-FR"/>
        </w:rPr>
        <w:t>évaluer les réalisations dans leur ensemb</w:t>
      </w:r>
      <w:r w:rsidR="001B6E2D" w:rsidRPr="007D2AC6">
        <w:rPr>
          <w:lang w:val="fr-FR"/>
        </w:rPr>
        <w:t>le.  Né</w:t>
      </w:r>
      <w:r w:rsidRPr="007D2AC6">
        <w:rPr>
          <w:lang w:val="fr-FR"/>
        </w:rPr>
        <w:t>anmoins, le projet semble avoir eu un effet prononcé de visibilité et de démonstration auprès des principale</w:t>
      </w:r>
      <w:r w:rsidR="00276C7D" w:rsidRPr="007D2AC6">
        <w:rPr>
          <w:lang w:val="fr-FR"/>
        </w:rPr>
        <w:t>s parties prenantes des deux</w:t>
      </w:r>
      <w:r w:rsidR="009F77AF" w:rsidRPr="007D2AC6">
        <w:rPr>
          <w:lang w:val="fr-FR"/>
        </w:rPr>
        <w:t> </w:t>
      </w:r>
      <w:r w:rsidR="00276C7D" w:rsidRPr="007D2AC6">
        <w:rPr>
          <w:lang w:val="fr-FR"/>
        </w:rPr>
        <w:t>pa</w:t>
      </w:r>
      <w:r w:rsidRPr="007D2AC6">
        <w:rPr>
          <w:lang w:val="fr-FR"/>
        </w:rPr>
        <w:t xml:space="preserve">ys </w:t>
      </w:r>
      <w:r w:rsidRPr="007D2AC6">
        <w:rPr>
          <w:lang w:val="fr-FR"/>
        </w:rPr>
        <w:lastRenderedPageBreak/>
        <w:t>bénéficiair</w:t>
      </w:r>
      <w:r w:rsidR="001B6E2D" w:rsidRPr="007D2AC6">
        <w:rPr>
          <w:lang w:val="fr-FR"/>
        </w:rPr>
        <w:t>es.  Le</w:t>
      </w:r>
      <w:r w:rsidRPr="007D2AC6">
        <w:rPr>
          <w:lang w:val="fr-FR"/>
        </w:rPr>
        <w:t>s deux</w:t>
      </w:r>
      <w:r w:rsidR="009F77AF" w:rsidRPr="007D2AC6">
        <w:rPr>
          <w:lang w:val="fr-FR"/>
        </w:rPr>
        <w:t> </w:t>
      </w:r>
      <w:r w:rsidRPr="007D2AC6">
        <w:rPr>
          <w:lang w:val="fr-FR"/>
        </w:rPr>
        <w:t>offices de propriété intellectuelle ont souligné que le projet avait permis de nouer des relations plus étroites avec les principaux utilisateurs de la propriété intellectuelle, notamment grâce à la formation de réseaux au cours de différentes manifestatio</w:t>
      </w:r>
      <w:r w:rsidR="001B6E2D" w:rsidRPr="007D2AC6">
        <w:rPr>
          <w:lang w:val="fr-FR"/>
        </w:rPr>
        <w:t>ns.  Le</w:t>
      </w:r>
      <w:r w:rsidRPr="007D2AC6">
        <w:rPr>
          <w:lang w:val="fr-FR"/>
        </w:rPr>
        <w:t xml:space="preserve">s actions de sensibilisation semblent également avoir été fructueuses; </w:t>
      </w:r>
      <w:r w:rsidR="00424155" w:rsidRPr="007D2AC6">
        <w:rPr>
          <w:lang w:val="fr-FR"/>
        </w:rPr>
        <w:t xml:space="preserve"> </w:t>
      </w:r>
      <w:r w:rsidRPr="007D2AC6">
        <w:rPr>
          <w:lang w:val="fr-FR"/>
        </w:rPr>
        <w:t>elles ont permis d</w:t>
      </w:r>
      <w:r w:rsidR="002A5696" w:rsidRPr="007D2AC6">
        <w:rPr>
          <w:lang w:val="fr-FR"/>
        </w:rPr>
        <w:t>’</w:t>
      </w:r>
      <w:r w:rsidRPr="007D2AC6">
        <w:rPr>
          <w:lang w:val="fr-FR"/>
        </w:rPr>
        <w:t>informer les titulaires de droits sur les avantages qu</w:t>
      </w:r>
      <w:r w:rsidR="002A5696" w:rsidRPr="007D2AC6">
        <w:rPr>
          <w:lang w:val="fr-FR"/>
        </w:rPr>
        <w:t>’</w:t>
      </w:r>
      <w:r w:rsidRPr="007D2AC6">
        <w:rPr>
          <w:lang w:val="fr-FR"/>
        </w:rPr>
        <w:t>offre la protection de leurs dessins et modèles grâce à l</w:t>
      </w:r>
      <w:r w:rsidR="002A5696" w:rsidRPr="007D2AC6">
        <w:rPr>
          <w:lang w:val="fr-FR"/>
        </w:rPr>
        <w:t>’</w:t>
      </w:r>
      <w:r w:rsidRPr="007D2AC6">
        <w:rPr>
          <w:lang w:val="fr-FR"/>
        </w:rPr>
        <w:t>enregistreme</w:t>
      </w:r>
      <w:r w:rsidR="001B6E2D" w:rsidRPr="007D2AC6">
        <w:rPr>
          <w:lang w:val="fr-FR"/>
        </w:rPr>
        <w:t>nt.  Le</w:t>
      </w:r>
      <w:r w:rsidRPr="007D2AC6">
        <w:rPr>
          <w:lang w:val="fr-FR"/>
        </w:rPr>
        <w:t>s deux</w:t>
      </w:r>
      <w:r w:rsidR="009F77AF" w:rsidRPr="007D2AC6">
        <w:rPr>
          <w:lang w:val="fr-FR"/>
        </w:rPr>
        <w:t> </w:t>
      </w:r>
      <w:r w:rsidRPr="007D2AC6">
        <w:rPr>
          <w:lang w:val="fr-FR"/>
        </w:rPr>
        <w:t>pays font état d</w:t>
      </w:r>
      <w:r w:rsidR="002A5696" w:rsidRPr="007D2AC6">
        <w:rPr>
          <w:lang w:val="fr-FR"/>
        </w:rPr>
        <w:t>’</w:t>
      </w:r>
      <w:r w:rsidRPr="007D2AC6">
        <w:rPr>
          <w:lang w:val="fr-FR"/>
        </w:rPr>
        <w:t>une augmentation des enregistrements des dessins et modèles et des marques.</w:t>
      </w:r>
    </w:p>
    <w:p w14:paraId="39FC3E9B" w14:textId="6B76355B" w:rsidR="00654286" w:rsidRPr="007D2AC6" w:rsidRDefault="00654286" w:rsidP="00654286">
      <w:pPr>
        <w:pStyle w:val="ONUME"/>
        <w:numPr>
          <w:ilvl w:val="0"/>
          <w:numId w:val="0"/>
        </w:numPr>
        <w:rPr>
          <w:lang w:val="fr-FR"/>
        </w:rPr>
      </w:pPr>
      <w:r w:rsidRPr="007D2AC6">
        <w:rPr>
          <w:lang w:val="fr-FR"/>
        </w:rPr>
        <w:t>Outre la visibilité et l</w:t>
      </w:r>
      <w:r w:rsidR="002A5696" w:rsidRPr="007D2AC6">
        <w:rPr>
          <w:lang w:val="fr-FR"/>
        </w:rPr>
        <w:t>’</w:t>
      </w:r>
      <w:r w:rsidRPr="007D2AC6">
        <w:rPr>
          <w:lang w:val="fr-FR"/>
        </w:rPr>
        <w:t>intérêt suscités par des manifestations tenues à Genève, il faudrait déployer d</w:t>
      </w:r>
      <w:r w:rsidR="002A5696" w:rsidRPr="007D2AC6">
        <w:rPr>
          <w:lang w:val="fr-FR"/>
        </w:rPr>
        <w:t>’</w:t>
      </w:r>
      <w:r w:rsidRPr="007D2AC6">
        <w:rPr>
          <w:lang w:val="fr-FR"/>
        </w:rPr>
        <w:t>importants efforts supplémentaires, dans le cadre d</w:t>
      </w:r>
      <w:r w:rsidR="002A5696" w:rsidRPr="007D2AC6">
        <w:rPr>
          <w:lang w:val="fr-FR"/>
        </w:rPr>
        <w:t>’</w:t>
      </w:r>
      <w:r w:rsidRPr="007D2AC6">
        <w:rPr>
          <w:lang w:val="fr-FR"/>
        </w:rPr>
        <w:t>une seconde phase du projet, pour obtenir les résultats escomptés à l</w:t>
      </w:r>
      <w:r w:rsidR="002A5696" w:rsidRPr="007D2AC6">
        <w:rPr>
          <w:lang w:val="fr-FR"/>
        </w:rPr>
        <w:t>’</w:t>
      </w:r>
      <w:r w:rsidRPr="007D2AC6">
        <w:rPr>
          <w:lang w:val="fr-FR"/>
        </w:rPr>
        <w:t xml:space="preserve">échelon international </w:t>
      </w:r>
      <w:r w:rsidR="00917E82" w:rsidRPr="007D2AC6">
        <w:rPr>
          <w:lang w:val="fr-FR"/>
        </w:rPr>
        <w:t>(</w:t>
      </w:r>
      <w:r w:rsidRPr="007D2AC6">
        <w:rPr>
          <w:lang w:val="fr-FR"/>
        </w:rPr>
        <w:t>reproductibilité du projet et passage à l</w:t>
      </w:r>
      <w:r w:rsidR="002A5696" w:rsidRPr="007D2AC6">
        <w:rPr>
          <w:lang w:val="fr-FR"/>
        </w:rPr>
        <w:t>’</w:t>
      </w:r>
      <w:r w:rsidRPr="007D2AC6">
        <w:rPr>
          <w:lang w:val="fr-FR"/>
        </w:rPr>
        <w:t>échelle supérieure).</w:t>
      </w:r>
    </w:p>
    <w:p w14:paraId="1CFA8BFD" w14:textId="644BB579" w:rsidR="00654286" w:rsidRPr="007D2AC6" w:rsidRDefault="00654286" w:rsidP="00654286">
      <w:pPr>
        <w:pStyle w:val="ONUME"/>
        <w:numPr>
          <w:ilvl w:val="0"/>
          <w:numId w:val="0"/>
        </w:numPr>
        <w:rPr>
          <w:lang w:val="fr-FR"/>
        </w:rPr>
      </w:pPr>
      <w:r w:rsidRPr="007D2AC6">
        <w:rPr>
          <w:lang w:val="fr-FR"/>
        </w:rPr>
        <w:t>Les ressources financières ont été utilisées de façon économiq</w:t>
      </w:r>
      <w:r w:rsidR="001B6E2D" w:rsidRPr="007D2AC6">
        <w:rPr>
          <w:lang w:val="fr-FR"/>
        </w:rPr>
        <w:t>ue.  Si</w:t>
      </w:r>
      <w:r w:rsidRPr="007D2AC6">
        <w:rPr>
          <w:lang w:val="fr-FR"/>
        </w:rPr>
        <w:t xml:space="preserve"> l</w:t>
      </w:r>
      <w:r w:rsidR="002A5696" w:rsidRPr="007D2AC6">
        <w:rPr>
          <w:lang w:val="fr-FR"/>
        </w:rPr>
        <w:t>’</w:t>
      </w:r>
      <w:r w:rsidRPr="007D2AC6">
        <w:rPr>
          <w:lang w:val="fr-FR"/>
        </w:rPr>
        <w:t xml:space="preserve">on compare les documents et services à fournir malgré un budget assez modeste, le </w:t>
      </w:r>
      <w:r w:rsidR="00276C7D" w:rsidRPr="007D2AC6">
        <w:rPr>
          <w:lang w:val="fr-FR"/>
        </w:rPr>
        <w:t>projet accusait une bonne renta</w:t>
      </w:r>
      <w:r w:rsidRPr="007D2AC6">
        <w:rPr>
          <w:lang w:val="fr-FR"/>
        </w:rPr>
        <w:t>bilité, bien que les chiffres financiers ne rendent pas compte des importantes contributions en nature des parties prenantes nationales, sous forme d</w:t>
      </w:r>
      <w:r w:rsidR="002A5696" w:rsidRPr="007D2AC6">
        <w:rPr>
          <w:lang w:val="fr-FR"/>
        </w:rPr>
        <w:t>’</w:t>
      </w:r>
      <w:r w:rsidRPr="007D2AC6">
        <w:rPr>
          <w:lang w:val="fr-FR"/>
        </w:rPr>
        <w:t>intrants.</w:t>
      </w:r>
    </w:p>
    <w:p w14:paraId="10AA949C" w14:textId="17DB309B" w:rsidR="002A5696" w:rsidRPr="007D2AC6" w:rsidRDefault="00654286" w:rsidP="00654286">
      <w:pPr>
        <w:pStyle w:val="ONUME"/>
        <w:numPr>
          <w:ilvl w:val="0"/>
          <w:numId w:val="0"/>
        </w:numPr>
        <w:rPr>
          <w:b/>
          <w:lang w:val="fr-FR"/>
        </w:rPr>
      </w:pPr>
      <w:r w:rsidRPr="007D2AC6">
        <w:rPr>
          <w:b/>
          <w:lang w:val="fr-FR"/>
        </w:rPr>
        <w:t>Conclusion n°</w:t>
      </w:r>
      <w:r w:rsidR="009F77AF" w:rsidRPr="007D2AC6">
        <w:rPr>
          <w:b/>
          <w:lang w:val="fr-FR"/>
        </w:rPr>
        <w:t> </w:t>
      </w:r>
      <w:r w:rsidRPr="007D2AC6">
        <w:rPr>
          <w:b/>
          <w:lang w:val="fr-FR"/>
        </w:rPr>
        <w:t>3 concernant la pérennité des résultats</w:t>
      </w:r>
      <w:r w:rsidR="002A5696" w:rsidRPr="007D2AC6">
        <w:rPr>
          <w:b/>
          <w:lang w:val="fr-FR"/>
        </w:rPr>
        <w:t> </w:t>
      </w:r>
      <w:proofErr w:type="gramStart"/>
      <w:r w:rsidR="002A5696" w:rsidRPr="007D2AC6">
        <w:rPr>
          <w:b/>
          <w:lang w:val="fr-FR"/>
        </w:rPr>
        <w:t>:</w:t>
      </w:r>
      <w:r w:rsidRPr="007D2AC6">
        <w:rPr>
          <w:b/>
          <w:lang w:val="fr-FR"/>
        </w:rPr>
        <w:t xml:space="preserve"> </w:t>
      </w:r>
      <w:r w:rsidR="00917E82" w:rsidRPr="007D2AC6">
        <w:rPr>
          <w:b/>
          <w:lang w:val="fr-FR"/>
        </w:rPr>
        <w:t>l</w:t>
      </w:r>
      <w:r w:rsidRPr="007D2AC6">
        <w:rPr>
          <w:b/>
          <w:lang w:val="fr-FR"/>
        </w:rPr>
        <w:t>es</w:t>
      </w:r>
      <w:proofErr w:type="gramEnd"/>
      <w:r w:rsidRPr="007D2AC6">
        <w:rPr>
          <w:b/>
          <w:lang w:val="fr-FR"/>
        </w:rPr>
        <w:t xml:space="preserve"> activités menées au Maroc sous la houlette de l</w:t>
      </w:r>
      <w:r w:rsidR="002A5696" w:rsidRPr="007D2AC6">
        <w:rPr>
          <w:b/>
          <w:lang w:val="fr-FR"/>
        </w:rPr>
        <w:t>’</w:t>
      </w:r>
      <w:proofErr w:type="spellStart"/>
      <w:r w:rsidRPr="007D2AC6">
        <w:rPr>
          <w:b/>
          <w:lang w:val="fr-FR"/>
        </w:rPr>
        <w:t>OMPIC</w:t>
      </w:r>
      <w:proofErr w:type="spellEnd"/>
      <w:r w:rsidRPr="007D2AC6">
        <w:rPr>
          <w:b/>
          <w:lang w:val="fr-FR"/>
        </w:rPr>
        <w:t xml:space="preserve"> se poursuivent au</w:t>
      </w:r>
      <w:r w:rsidR="00B57560" w:rsidRPr="007D2AC6">
        <w:rPr>
          <w:b/>
          <w:lang w:val="fr-FR"/>
        </w:rPr>
        <w:noBreakHyphen/>
      </w:r>
      <w:r w:rsidRPr="007D2AC6">
        <w:rPr>
          <w:b/>
          <w:lang w:val="fr-FR"/>
        </w:rPr>
        <w:t>delà du projet.  L</w:t>
      </w:r>
      <w:r w:rsidR="002A5696" w:rsidRPr="007D2AC6">
        <w:rPr>
          <w:b/>
          <w:lang w:val="fr-FR"/>
        </w:rPr>
        <w:t>’</w:t>
      </w:r>
      <w:r w:rsidRPr="007D2AC6">
        <w:rPr>
          <w:b/>
          <w:lang w:val="fr-FR"/>
        </w:rPr>
        <w:t>Argentine envisage de poursuivre des activités afin de promouvoir la valorisation</w:t>
      </w:r>
      <w:r w:rsidR="002A5696" w:rsidRPr="007D2AC6">
        <w:rPr>
          <w:b/>
          <w:lang w:val="fr-FR"/>
        </w:rPr>
        <w:t xml:space="preserve"> des </w:t>
      </w:r>
      <w:r w:rsidR="00CE6067" w:rsidRPr="007D2AC6">
        <w:rPr>
          <w:b/>
          <w:lang w:val="fr-FR"/>
        </w:rPr>
        <w:t>droits de propriété intellectuelle</w:t>
      </w:r>
      <w:r w:rsidR="001B6E2D" w:rsidRPr="007D2AC6">
        <w:rPr>
          <w:b/>
          <w:lang w:val="fr-FR"/>
        </w:rPr>
        <w:t>.  La</w:t>
      </w:r>
      <w:r w:rsidRPr="007D2AC6">
        <w:rPr>
          <w:b/>
          <w:lang w:val="fr-FR"/>
        </w:rPr>
        <w:t xml:space="preserve"> génération et le maintien d</w:t>
      </w:r>
      <w:r w:rsidR="002A5696" w:rsidRPr="007D2AC6">
        <w:rPr>
          <w:b/>
          <w:lang w:val="fr-FR"/>
        </w:rPr>
        <w:t>’</w:t>
      </w:r>
      <w:r w:rsidRPr="007D2AC6">
        <w:rPr>
          <w:b/>
          <w:lang w:val="fr-FR"/>
        </w:rPr>
        <w:t>avantages à l</w:t>
      </w:r>
      <w:r w:rsidR="002A5696" w:rsidRPr="007D2AC6">
        <w:rPr>
          <w:b/>
          <w:lang w:val="fr-FR"/>
        </w:rPr>
        <w:t>’</w:t>
      </w:r>
      <w:r w:rsidRPr="007D2AC6">
        <w:rPr>
          <w:b/>
          <w:lang w:val="fr-FR"/>
        </w:rPr>
        <w:t>échelon international nécessitent une phase de suivi.</w:t>
      </w:r>
    </w:p>
    <w:p w14:paraId="70C3755F" w14:textId="336154A9" w:rsidR="00654286" w:rsidRPr="007D2AC6" w:rsidRDefault="00654286" w:rsidP="00654286">
      <w:pPr>
        <w:pStyle w:val="ONUME"/>
        <w:numPr>
          <w:ilvl w:val="0"/>
          <w:numId w:val="0"/>
        </w:numPr>
        <w:rPr>
          <w:lang w:val="fr-FR"/>
        </w:rPr>
      </w:pPr>
      <w:r w:rsidRPr="007D2AC6">
        <w:rPr>
          <w:lang w:val="fr-FR"/>
        </w:rPr>
        <w:t>Tenter d</w:t>
      </w:r>
      <w:r w:rsidR="002A5696" w:rsidRPr="007D2AC6">
        <w:rPr>
          <w:lang w:val="fr-FR"/>
        </w:rPr>
        <w:t>’</w:t>
      </w:r>
      <w:r w:rsidRPr="007D2AC6">
        <w:rPr>
          <w:lang w:val="fr-FR"/>
        </w:rPr>
        <w:t xml:space="preserve">évaluer la probabilité de la </w:t>
      </w:r>
      <w:r w:rsidR="00276C7D" w:rsidRPr="007D2AC6">
        <w:rPr>
          <w:lang w:val="fr-FR"/>
        </w:rPr>
        <w:t>pérennité</w:t>
      </w:r>
      <w:r w:rsidRPr="007D2AC6">
        <w:rPr>
          <w:lang w:val="fr-FR"/>
        </w:rPr>
        <w:t xml:space="preserve"> à long terme des résultats à l</w:t>
      </w:r>
      <w:r w:rsidR="002A5696" w:rsidRPr="007D2AC6">
        <w:rPr>
          <w:lang w:val="fr-FR"/>
        </w:rPr>
        <w:t>’</w:t>
      </w:r>
      <w:r w:rsidRPr="007D2AC6">
        <w:rPr>
          <w:lang w:val="fr-FR"/>
        </w:rPr>
        <w:t>échelon national serait prématu</w:t>
      </w:r>
      <w:r w:rsidR="001B6E2D" w:rsidRPr="007D2AC6">
        <w:rPr>
          <w:lang w:val="fr-FR"/>
        </w:rPr>
        <w:t>ré.  En</w:t>
      </w:r>
      <w:r w:rsidRPr="007D2AC6">
        <w:rPr>
          <w:lang w:val="fr-FR"/>
        </w:rPr>
        <w:t xml:space="preserve"> effet, le maintien des avantages dépend en grande partie d</w:t>
      </w:r>
      <w:r w:rsidR="002A5696" w:rsidRPr="007D2AC6">
        <w:rPr>
          <w:lang w:val="fr-FR"/>
        </w:rPr>
        <w:t>’</w:t>
      </w:r>
      <w:r w:rsidRPr="007D2AC6">
        <w:rPr>
          <w:lang w:val="fr-FR"/>
        </w:rPr>
        <w:t>un suivi exercé par les offices compétents de propriété intellectuel</w:t>
      </w:r>
      <w:r w:rsidR="001B6E2D" w:rsidRPr="007D2AC6">
        <w:rPr>
          <w:lang w:val="fr-FR"/>
        </w:rPr>
        <w:t>le.  Co</w:t>
      </w:r>
      <w:r w:rsidRPr="007D2AC6">
        <w:rPr>
          <w:lang w:val="fr-FR"/>
        </w:rPr>
        <w:t>nformément aux engagements pris au cours du processus de sélection, les deux</w:t>
      </w:r>
      <w:r w:rsidR="009F77AF" w:rsidRPr="007D2AC6">
        <w:rPr>
          <w:lang w:val="fr-FR"/>
        </w:rPr>
        <w:t> </w:t>
      </w:r>
      <w:r w:rsidRPr="007D2AC6">
        <w:rPr>
          <w:lang w:val="fr-FR"/>
        </w:rPr>
        <w:t>offices de propriété intellectuelle ont fait part de leur volonté de poursuivre des activités similaires en vue de promouvoir les dessins et modèles, outils qui leur permettent d</w:t>
      </w:r>
      <w:r w:rsidR="002A5696" w:rsidRPr="007D2AC6">
        <w:rPr>
          <w:lang w:val="fr-FR"/>
        </w:rPr>
        <w:t>’</w:t>
      </w:r>
      <w:r w:rsidRPr="007D2AC6">
        <w:rPr>
          <w:lang w:val="fr-FR"/>
        </w:rPr>
        <w:t>ajouter de la valeur à leurs produi</w:t>
      </w:r>
      <w:r w:rsidR="001B6E2D" w:rsidRPr="007D2AC6">
        <w:rPr>
          <w:lang w:val="fr-FR"/>
        </w:rPr>
        <w:t>ts.  De</w:t>
      </w:r>
      <w:r w:rsidRPr="007D2AC6">
        <w:rPr>
          <w:lang w:val="fr-FR"/>
        </w:rPr>
        <w:t>s activités sont en cours au Maroc sous l</w:t>
      </w:r>
      <w:r w:rsidR="002A5696" w:rsidRPr="007D2AC6">
        <w:rPr>
          <w:lang w:val="fr-FR"/>
        </w:rPr>
        <w:t>’</w:t>
      </w:r>
      <w:r w:rsidRPr="007D2AC6">
        <w:rPr>
          <w:lang w:val="fr-FR"/>
        </w:rPr>
        <w:t>égide de l</w:t>
      </w:r>
      <w:r w:rsidR="002A5696" w:rsidRPr="007D2AC6">
        <w:rPr>
          <w:lang w:val="fr-FR"/>
        </w:rPr>
        <w:t>’</w:t>
      </w:r>
      <w:proofErr w:type="spellStart"/>
      <w:r w:rsidRPr="007D2AC6">
        <w:rPr>
          <w:lang w:val="fr-FR"/>
        </w:rPr>
        <w:t>OMPIC</w:t>
      </w:r>
      <w:proofErr w:type="spellEnd"/>
      <w:r w:rsidRPr="007D2AC6">
        <w:rPr>
          <w:lang w:val="fr-FR"/>
        </w:rPr>
        <w:t>.</w:t>
      </w:r>
    </w:p>
    <w:p w14:paraId="157AB806" w14:textId="2D6131FD" w:rsidR="00654286" w:rsidRPr="007D2AC6" w:rsidRDefault="00654286" w:rsidP="00654286">
      <w:pPr>
        <w:pStyle w:val="ONUME"/>
        <w:numPr>
          <w:ilvl w:val="0"/>
          <w:numId w:val="0"/>
        </w:numPr>
        <w:rPr>
          <w:lang w:val="fr-FR"/>
        </w:rPr>
      </w:pPr>
      <w:r w:rsidRPr="007D2AC6">
        <w:rPr>
          <w:lang w:val="fr-FR"/>
        </w:rPr>
        <w:t>Sans une intervention de suivi, il serait peu probable de maintenir les avantages limités à l</w:t>
      </w:r>
      <w:r w:rsidR="002A5696" w:rsidRPr="007D2AC6">
        <w:rPr>
          <w:lang w:val="fr-FR"/>
        </w:rPr>
        <w:t>’</w:t>
      </w:r>
      <w:r w:rsidRPr="007D2AC6">
        <w:rPr>
          <w:lang w:val="fr-FR"/>
        </w:rPr>
        <w:t xml:space="preserve">échelon international </w:t>
      </w:r>
      <w:r w:rsidR="00917E82" w:rsidRPr="007D2AC6">
        <w:rPr>
          <w:lang w:val="fr-FR"/>
        </w:rPr>
        <w:t>(</w:t>
      </w:r>
      <w:r w:rsidRPr="007D2AC6">
        <w:rPr>
          <w:lang w:val="fr-FR"/>
        </w:rPr>
        <w:t>intérêt et visibilité).  L</w:t>
      </w:r>
      <w:r w:rsidR="002A5696" w:rsidRPr="007D2AC6">
        <w:rPr>
          <w:lang w:val="fr-FR"/>
        </w:rPr>
        <w:t>’</w:t>
      </w:r>
      <w:r w:rsidRPr="007D2AC6">
        <w:rPr>
          <w:lang w:val="fr-FR"/>
        </w:rPr>
        <w:t>extension de ce projet pilote, globalement réussi, à d</w:t>
      </w:r>
      <w:r w:rsidR="002A5696" w:rsidRPr="007D2AC6">
        <w:rPr>
          <w:lang w:val="fr-FR"/>
        </w:rPr>
        <w:t>’</w:t>
      </w:r>
      <w:r w:rsidRPr="007D2AC6">
        <w:rPr>
          <w:lang w:val="fr-FR"/>
        </w:rPr>
        <w:t xml:space="preserve">autres pays, notamment des pays moins avancés, si possible également </w:t>
      </w:r>
      <w:r w:rsidR="00424155" w:rsidRPr="007D2AC6">
        <w:rPr>
          <w:lang w:val="fr-FR"/>
        </w:rPr>
        <w:t>à</w:t>
      </w:r>
      <w:r w:rsidRPr="007D2AC6">
        <w:rPr>
          <w:lang w:val="fr-FR"/>
        </w:rPr>
        <w:t xml:space="preserve"> d</w:t>
      </w:r>
      <w:r w:rsidR="002A5696" w:rsidRPr="007D2AC6">
        <w:rPr>
          <w:lang w:val="fr-FR"/>
        </w:rPr>
        <w:t>’</w:t>
      </w:r>
      <w:r w:rsidRPr="007D2AC6">
        <w:rPr>
          <w:lang w:val="fr-FR"/>
        </w:rPr>
        <w:t>autres régions, fournirait l</w:t>
      </w:r>
      <w:r w:rsidR="002A5696" w:rsidRPr="007D2AC6">
        <w:rPr>
          <w:lang w:val="fr-FR"/>
        </w:rPr>
        <w:t>’</w:t>
      </w:r>
      <w:r w:rsidRPr="007D2AC6">
        <w:rPr>
          <w:lang w:val="fr-FR"/>
        </w:rPr>
        <w:t xml:space="preserve">expérience supplémentaire nécessaire pour tirer des conclusions quant à la manière dont le Secrétariat pourrait continuer à renforcer les offices de propriété intellectuelle </w:t>
      </w:r>
      <w:r w:rsidR="00424155" w:rsidRPr="007D2AC6">
        <w:rPr>
          <w:lang w:val="fr-FR"/>
        </w:rPr>
        <w:t>a</w:t>
      </w:r>
      <w:r w:rsidRPr="007D2AC6">
        <w:rPr>
          <w:lang w:val="fr-FR"/>
        </w:rPr>
        <w:t>fin d</w:t>
      </w:r>
      <w:r w:rsidR="002A5696" w:rsidRPr="007D2AC6">
        <w:rPr>
          <w:lang w:val="fr-FR"/>
        </w:rPr>
        <w:t>’</w:t>
      </w:r>
      <w:r w:rsidRPr="007D2AC6">
        <w:rPr>
          <w:lang w:val="fr-FR"/>
        </w:rPr>
        <w:t>apporter, à long terme, un soutien similaire aux entreprises.</w:t>
      </w:r>
    </w:p>
    <w:p w14:paraId="1FF2710F" w14:textId="771746C6" w:rsidR="00654286" w:rsidRPr="007D2AC6" w:rsidRDefault="00654286" w:rsidP="00654286">
      <w:pPr>
        <w:pStyle w:val="ONUME"/>
        <w:numPr>
          <w:ilvl w:val="0"/>
          <w:numId w:val="0"/>
        </w:numPr>
        <w:rPr>
          <w:b/>
          <w:lang w:val="fr-FR"/>
        </w:rPr>
      </w:pPr>
      <w:r w:rsidRPr="007D2AC6">
        <w:rPr>
          <w:b/>
          <w:lang w:val="fr-FR"/>
        </w:rPr>
        <w:t>Conclusion n°</w:t>
      </w:r>
      <w:r w:rsidR="009F77AF" w:rsidRPr="007D2AC6">
        <w:rPr>
          <w:b/>
          <w:lang w:val="fr-FR"/>
        </w:rPr>
        <w:t> </w:t>
      </w:r>
      <w:r w:rsidRPr="007D2AC6">
        <w:rPr>
          <w:b/>
          <w:lang w:val="fr-FR"/>
        </w:rPr>
        <w:t>4 concernant l</w:t>
      </w:r>
      <w:r w:rsidR="002A5696" w:rsidRPr="007D2AC6">
        <w:rPr>
          <w:b/>
          <w:lang w:val="fr-FR"/>
        </w:rPr>
        <w:t>’</w:t>
      </w:r>
      <w:r w:rsidRPr="007D2AC6">
        <w:rPr>
          <w:b/>
          <w:lang w:val="fr-FR"/>
        </w:rPr>
        <w:t>intégration de la parité</w:t>
      </w:r>
      <w:r w:rsidR="002A5696" w:rsidRPr="007D2AC6">
        <w:rPr>
          <w:b/>
          <w:lang w:val="fr-FR"/>
        </w:rPr>
        <w:t> </w:t>
      </w:r>
      <w:proofErr w:type="gramStart"/>
      <w:r w:rsidR="002A5696" w:rsidRPr="007D2AC6">
        <w:rPr>
          <w:b/>
          <w:lang w:val="fr-FR"/>
        </w:rPr>
        <w:t>:</w:t>
      </w:r>
      <w:r w:rsidRPr="007D2AC6">
        <w:rPr>
          <w:b/>
          <w:lang w:val="fr-FR"/>
        </w:rPr>
        <w:t xml:space="preserve"> </w:t>
      </w:r>
      <w:r w:rsidR="00917E82" w:rsidRPr="007D2AC6">
        <w:rPr>
          <w:b/>
          <w:lang w:val="fr-FR"/>
        </w:rPr>
        <w:t>s</w:t>
      </w:r>
      <w:r w:rsidRPr="007D2AC6">
        <w:rPr>
          <w:b/>
          <w:lang w:val="fr-FR"/>
        </w:rPr>
        <w:t>i</w:t>
      </w:r>
      <w:proofErr w:type="gramEnd"/>
      <w:r w:rsidRPr="007D2AC6">
        <w:rPr>
          <w:b/>
          <w:lang w:val="fr-FR"/>
        </w:rPr>
        <w:t xml:space="preserve"> le projet a été mis en œuvre en tenant compte activement des questions de parité, cela n</w:t>
      </w:r>
      <w:r w:rsidR="002A5696" w:rsidRPr="007D2AC6">
        <w:rPr>
          <w:b/>
          <w:lang w:val="fr-FR"/>
        </w:rPr>
        <w:t>’</w:t>
      </w:r>
      <w:r w:rsidRPr="007D2AC6">
        <w:rPr>
          <w:b/>
          <w:lang w:val="fr-FR"/>
        </w:rPr>
        <w:t>a pas été fait selon une méthodologie claire de l</w:t>
      </w:r>
      <w:r w:rsidR="002A5696" w:rsidRPr="007D2AC6">
        <w:rPr>
          <w:b/>
          <w:lang w:val="fr-FR"/>
        </w:rPr>
        <w:t>’</w:t>
      </w:r>
      <w:r w:rsidRPr="007D2AC6">
        <w:rPr>
          <w:b/>
          <w:lang w:val="fr-FR"/>
        </w:rPr>
        <w:t>OMPI.  L</w:t>
      </w:r>
      <w:r w:rsidR="002A5696" w:rsidRPr="007D2AC6">
        <w:rPr>
          <w:b/>
          <w:lang w:val="fr-FR"/>
        </w:rPr>
        <w:t>’</w:t>
      </w:r>
      <w:r w:rsidRPr="007D2AC6">
        <w:rPr>
          <w:b/>
          <w:lang w:val="fr-FR"/>
        </w:rPr>
        <w:t>égalité hommes</w:t>
      </w:r>
      <w:r w:rsidR="00B57560" w:rsidRPr="007D2AC6">
        <w:rPr>
          <w:b/>
          <w:lang w:val="fr-FR"/>
        </w:rPr>
        <w:noBreakHyphen/>
      </w:r>
      <w:r w:rsidRPr="007D2AC6">
        <w:rPr>
          <w:b/>
          <w:lang w:val="fr-FR"/>
        </w:rPr>
        <w:t>femmes est une priorité pour l</w:t>
      </w:r>
      <w:r w:rsidR="002A5696" w:rsidRPr="007D2AC6">
        <w:rPr>
          <w:b/>
          <w:lang w:val="fr-FR"/>
        </w:rPr>
        <w:t>’</w:t>
      </w:r>
      <w:r w:rsidRPr="007D2AC6">
        <w:rPr>
          <w:b/>
          <w:lang w:val="fr-FR"/>
        </w:rPr>
        <w:t>OMPI, mais aucune directive n</w:t>
      </w:r>
      <w:r w:rsidR="002A5696" w:rsidRPr="007D2AC6">
        <w:rPr>
          <w:b/>
          <w:lang w:val="fr-FR"/>
        </w:rPr>
        <w:t>’</w:t>
      </w:r>
      <w:r w:rsidRPr="007D2AC6">
        <w:rPr>
          <w:b/>
          <w:lang w:val="fr-FR"/>
        </w:rPr>
        <w:t>est donnée aux administrateurs de projets quant à la façon dont la parité devrait être prise systématiquement en compte dans des projets menés dans le cadre du Plan d</w:t>
      </w:r>
      <w:r w:rsidR="002A5696" w:rsidRPr="007D2AC6">
        <w:rPr>
          <w:b/>
          <w:lang w:val="fr-FR"/>
        </w:rPr>
        <w:t>’</w:t>
      </w:r>
      <w:r w:rsidRPr="007D2AC6">
        <w:rPr>
          <w:b/>
          <w:lang w:val="fr-FR"/>
        </w:rPr>
        <w:t>action pour le développement.</w:t>
      </w:r>
    </w:p>
    <w:p w14:paraId="32E80CBD" w14:textId="579F08C9" w:rsidR="00654286" w:rsidRPr="007D2AC6" w:rsidRDefault="00654286" w:rsidP="00654286">
      <w:pPr>
        <w:pStyle w:val="ONUME"/>
        <w:numPr>
          <w:ilvl w:val="0"/>
          <w:numId w:val="0"/>
        </w:numPr>
        <w:rPr>
          <w:lang w:val="fr-FR"/>
        </w:rPr>
      </w:pPr>
      <w:r w:rsidRPr="007D2AC6">
        <w:rPr>
          <w:lang w:val="fr-FR"/>
        </w:rPr>
        <w:t>Les responsables du projet ont consenti d</w:t>
      </w:r>
      <w:r w:rsidR="002A5696" w:rsidRPr="007D2AC6">
        <w:rPr>
          <w:lang w:val="fr-FR"/>
        </w:rPr>
        <w:t>’</w:t>
      </w:r>
      <w:r w:rsidRPr="007D2AC6">
        <w:rPr>
          <w:lang w:val="fr-FR"/>
        </w:rPr>
        <w:t>importants efforts pour traiter les problèmes de pari</w:t>
      </w:r>
      <w:r w:rsidR="001B6E2D" w:rsidRPr="007D2AC6">
        <w:rPr>
          <w:lang w:val="fr-FR"/>
        </w:rPr>
        <w:t>té.  Il</w:t>
      </w:r>
      <w:r w:rsidRPr="007D2AC6">
        <w:rPr>
          <w:lang w:val="fr-FR"/>
        </w:rPr>
        <w:t xml:space="preserve"> n</w:t>
      </w:r>
      <w:r w:rsidR="002A5696" w:rsidRPr="007D2AC6">
        <w:rPr>
          <w:lang w:val="fr-FR"/>
        </w:rPr>
        <w:t>’</w:t>
      </w:r>
      <w:r w:rsidRPr="007D2AC6">
        <w:rPr>
          <w:lang w:val="fr-FR"/>
        </w:rPr>
        <w:t>a pas été observé, lors de l</w:t>
      </w:r>
      <w:r w:rsidR="002A5696" w:rsidRPr="007D2AC6">
        <w:rPr>
          <w:lang w:val="fr-FR"/>
        </w:rPr>
        <w:t>’</w:t>
      </w:r>
      <w:r w:rsidRPr="007D2AC6">
        <w:rPr>
          <w:lang w:val="fr-FR"/>
        </w:rPr>
        <w:t>évaluation, que les femmes n</w:t>
      </w:r>
      <w:r w:rsidR="002A5696" w:rsidRPr="007D2AC6">
        <w:rPr>
          <w:lang w:val="fr-FR"/>
        </w:rPr>
        <w:t>’</w:t>
      </w:r>
      <w:r w:rsidRPr="007D2AC6">
        <w:rPr>
          <w:lang w:val="fr-FR"/>
        </w:rPr>
        <w:t>aient pas été suffisamment impliquées dans le proj</w:t>
      </w:r>
      <w:r w:rsidR="001B6E2D" w:rsidRPr="007D2AC6">
        <w:rPr>
          <w:lang w:val="fr-FR"/>
        </w:rPr>
        <w:t>et.  Le</w:t>
      </w:r>
      <w:r w:rsidRPr="007D2AC6">
        <w:rPr>
          <w:lang w:val="fr-FR"/>
        </w:rPr>
        <w:t xml:space="preserve"> projet s</w:t>
      </w:r>
      <w:r w:rsidR="002A5696" w:rsidRPr="007D2AC6">
        <w:rPr>
          <w:lang w:val="fr-FR"/>
        </w:rPr>
        <w:t>’</w:t>
      </w:r>
      <w:r w:rsidRPr="007D2AC6">
        <w:rPr>
          <w:lang w:val="fr-FR"/>
        </w:rPr>
        <w:t>est efforcé de respecter l</w:t>
      </w:r>
      <w:r w:rsidR="002A5696" w:rsidRPr="007D2AC6">
        <w:rPr>
          <w:lang w:val="fr-FR"/>
        </w:rPr>
        <w:t>’</w:t>
      </w:r>
      <w:r w:rsidRPr="007D2AC6">
        <w:rPr>
          <w:lang w:val="fr-FR"/>
        </w:rPr>
        <w:t>engagement de l</w:t>
      </w:r>
      <w:r w:rsidR="002A5696" w:rsidRPr="007D2AC6">
        <w:rPr>
          <w:lang w:val="fr-FR"/>
        </w:rPr>
        <w:t>’</w:t>
      </w:r>
      <w:r w:rsidRPr="007D2AC6">
        <w:rPr>
          <w:lang w:val="fr-FR"/>
        </w:rPr>
        <w:t>OMPI en faveur de l</w:t>
      </w:r>
      <w:r w:rsidR="002A5696" w:rsidRPr="007D2AC6">
        <w:rPr>
          <w:lang w:val="fr-FR"/>
        </w:rPr>
        <w:t>’</w:t>
      </w:r>
      <w:r w:rsidRPr="007D2AC6">
        <w:rPr>
          <w:lang w:val="fr-FR"/>
        </w:rPr>
        <w:t>égalité hommes</w:t>
      </w:r>
      <w:r w:rsidR="00B57560" w:rsidRPr="007D2AC6">
        <w:rPr>
          <w:lang w:val="fr-FR"/>
        </w:rPr>
        <w:noBreakHyphen/>
      </w:r>
      <w:r w:rsidRPr="007D2AC6">
        <w:rPr>
          <w:lang w:val="fr-FR"/>
        </w:rPr>
        <w:t>femmes, mais cela n</w:t>
      </w:r>
      <w:r w:rsidR="002A5696" w:rsidRPr="007D2AC6">
        <w:rPr>
          <w:lang w:val="fr-FR"/>
        </w:rPr>
        <w:t>’</w:t>
      </w:r>
      <w:r w:rsidRPr="007D2AC6">
        <w:rPr>
          <w:lang w:val="fr-FR"/>
        </w:rPr>
        <w:t>a pas été le cas d</w:t>
      </w:r>
      <w:r w:rsidR="002A5696" w:rsidRPr="007D2AC6">
        <w:rPr>
          <w:lang w:val="fr-FR"/>
        </w:rPr>
        <w:t>’</w:t>
      </w:r>
      <w:r w:rsidRPr="007D2AC6">
        <w:rPr>
          <w:lang w:val="fr-FR"/>
        </w:rPr>
        <w:t>embl</w:t>
      </w:r>
      <w:r w:rsidR="001B6E2D" w:rsidRPr="007D2AC6">
        <w:rPr>
          <w:lang w:val="fr-FR"/>
        </w:rPr>
        <w:t>ée.  Le</w:t>
      </w:r>
      <w:r w:rsidRPr="007D2AC6">
        <w:rPr>
          <w:lang w:val="fr-FR"/>
        </w:rPr>
        <w:t>s activités de prise en compte systématique de la parité ont suivi une approche élaborée au cours de l</w:t>
      </w:r>
      <w:r w:rsidR="002A5696" w:rsidRPr="007D2AC6">
        <w:rPr>
          <w:lang w:val="fr-FR"/>
        </w:rPr>
        <w:t>’</w:t>
      </w:r>
      <w:r w:rsidRPr="007D2AC6">
        <w:rPr>
          <w:lang w:val="fr-FR"/>
        </w:rPr>
        <w:t>exécution du proj</w:t>
      </w:r>
      <w:r w:rsidR="001B6E2D" w:rsidRPr="007D2AC6">
        <w:rPr>
          <w:lang w:val="fr-FR"/>
        </w:rPr>
        <w:t>et.  Po</w:t>
      </w:r>
      <w:r w:rsidRPr="007D2AC6">
        <w:rPr>
          <w:lang w:val="fr-FR"/>
        </w:rPr>
        <w:t>ur que les questions de parité soient systématiquement prises en compte dans l</w:t>
      </w:r>
      <w:r w:rsidR="002A5696" w:rsidRPr="007D2AC6">
        <w:rPr>
          <w:lang w:val="fr-FR"/>
        </w:rPr>
        <w:t>’</w:t>
      </w:r>
      <w:r w:rsidRPr="007D2AC6">
        <w:rPr>
          <w:lang w:val="fr-FR"/>
        </w:rPr>
        <w:t>ensemble des projets menés dans le cadre du Plan d</w:t>
      </w:r>
      <w:r w:rsidR="002A5696" w:rsidRPr="007D2AC6">
        <w:rPr>
          <w:lang w:val="fr-FR"/>
        </w:rPr>
        <w:t>’</w:t>
      </w:r>
      <w:r w:rsidRPr="007D2AC6">
        <w:rPr>
          <w:lang w:val="fr-FR"/>
        </w:rPr>
        <w:t>action po</w:t>
      </w:r>
      <w:r w:rsidR="00424155" w:rsidRPr="007D2AC6">
        <w:rPr>
          <w:lang w:val="fr-FR"/>
        </w:rPr>
        <w:t>ur le développement, il conviendrait</w:t>
      </w:r>
      <w:r w:rsidRPr="007D2AC6">
        <w:rPr>
          <w:lang w:val="fr-FR"/>
        </w:rPr>
        <w:t xml:space="preserve"> d</w:t>
      </w:r>
      <w:r w:rsidR="002A5696" w:rsidRPr="007D2AC6">
        <w:rPr>
          <w:lang w:val="fr-FR"/>
        </w:rPr>
        <w:t>’</w:t>
      </w:r>
      <w:r w:rsidRPr="007D2AC6">
        <w:rPr>
          <w:lang w:val="fr-FR"/>
        </w:rPr>
        <w:t>élaborer des directives claires et</w:t>
      </w:r>
      <w:r w:rsidR="00424155" w:rsidRPr="007D2AC6">
        <w:rPr>
          <w:lang w:val="fr-FR"/>
        </w:rPr>
        <w:t xml:space="preserve"> de</w:t>
      </w:r>
      <w:r w:rsidRPr="007D2AC6">
        <w:rPr>
          <w:lang w:val="fr-FR"/>
        </w:rPr>
        <w:t xml:space="preserve"> former tous les administrateurs de projets.</w:t>
      </w:r>
    </w:p>
    <w:p w14:paraId="6B32C600" w14:textId="24AA76AD" w:rsidR="0059687A" w:rsidRPr="007D2AC6" w:rsidRDefault="0059687A" w:rsidP="0059687A">
      <w:pPr>
        <w:pStyle w:val="ONUMFS"/>
        <w:numPr>
          <w:ilvl w:val="0"/>
          <w:numId w:val="0"/>
        </w:numPr>
        <w:rPr>
          <w:b/>
          <w:lang w:val="fr-FR"/>
        </w:rPr>
      </w:pPr>
      <w:r w:rsidRPr="007D2AC6">
        <w:rPr>
          <w:b/>
          <w:lang w:val="fr-FR"/>
        </w:rPr>
        <w:lastRenderedPageBreak/>
        <w:t>RECOMMANDATIONS</w:t>
      </w:r>
    </w:p>
    <w:p w14:paraId="0B3D82A9" w14:textId="0767C936" w:rsidR="00654286" w:rsidRPr="007D2AC6" w:rsidRDefault="00654286" w:rsidP="000C0922">
      <w:pPr>
        <w:pStyle w:val="ONUMFS"/>
        <w:numPr>
          <w:ilvl w:val="0"/>
          <w:numId w:val="0"/>
        </w:numPr>
        <w:rPr>
          <w:lang w:val="fr-FR"/>
        </w:rPr>
      </w:pPr>
      <w:r w:rsidRPr="007D2AC6">
        <w:rPr>
          <w:lang w:val="fr-FR"/>
        </w:rPr>
        <w:t>L</w:t>
      </w:r>
      <w:r w:rsidR="002A5696" w:rsidRPr="007D2AC6">
        <w:rPr>
          <w:lang w:val="fr-FR"/>
        </w:rPr>
        <w:t>’</w:t>
      </w:r>
      <w:r w:rsidRPr="007D2AC6">
        <w:rPr>
          <w:lang w:val="fr-FR"/>
        </w:rPr>
        <w:t>équipe d</w:t>
      </w:r>
      <w:r w:rsidR="002A5696" w:rsidRPr="007D2AC6">
        <w:rPr>
          <w:lang w:val="fr-FR"/>
        </w:rPr>
        <w:t>’</w:t>
      </w:r>
      <w:r w:rsidRPr="007D2AC6">
        <w:rPr>
          <w:lang w:val="fr-FR"/>
        </w:rPr>
        <w:t>évaluation tire les recommandations suivantes des conclusions énoncées ci</w:t>
      </w:r>
      <w:r w:rsidR="00B57560" w:rsidRPr="007D2AC6">
        <w:rPr>
          <w:lang w:val="fr-FR"/>
        </w:rPr>
        <w:noBreakHyphen/>
      </w:r>
      <w:r w:rsidRPr="007D2AC6">
        <w:rPr>
          <w:lang w:val="fr-FR"/>
        </w:rPr>
        <w:t>dessus</w:t>
      </w:r>
      <w:r w:rsidR="002A5696" w:rsidRPr="007D2AC6">
        <w:rPr>
          <w:lang w:val="fr-FR"/>
        </w:rPr>
        <w:t> :</w:t>
      </w:r>
    </w:p>
    <w:p w14:paraId="422FE8CC" w14:textId="12440124" w:rsidR="002A5696" w:rsidRPr="007D2AC6" w:rsidRDefault="00705B4C" w:rsidP="00521716">
      <w:pPr>
        <w:spacing w:after="220"/>
        <w:rPr>
          <w:b/>
          <w:bCs/>
          <w:lang w:val="fr-FR"/>
        </w:rPr>
      </w:pPr>
      <w:r w:rsidRPr="007D2AC6">
        <w:rPr>
          <w:b/>
          <w:bCs/>
          <w:lang w:val="fr-FR"/>
        </w:rPr>
        <w:t>Recomm</w:t>
      </w:r>
      <w:r w:rsidR="00654286" w:rsidRPr="007D2AC6">
        <w:rPr>
          <w:b/>
          <w:bCs/>
          <w:lang w:val="fr-FR"/>
        </w:rPr>
        <w:t>a</w:t>
      </w:r>
      <w:r w:rsidRPr="007D2AC6">
        <w:rPr>
          <w:b/>
          <w:bCs/>
          <w:lang w:val="fr-FR"/>
        </w:rPr>
        <w:t>ndation</w:t>
      </w:r>
      <w:r w:rsidR="00C4431C" w:rsidRPr="007D2AC6">
        <w:rPr>
          <w:b/>
          <w:bCs/>
          <w:lang w:val="fr-FR"/>
        </w:rPr>
        <w:t xml:space="preserve"> n°</w:t>
      </w:r>
      <w:r w:rsidR="009F77AF" w:rsidRPr="007D2AC6">
        <w:rPr>
          <w:b/>
          <w:bCs/>
          <w:lang w:val="fr-FR"/>
        </w:rPr>
        <w:t> </w:t>
      </w:r>
      <w:r w:rsidRPr="007D2AC6">
        <w:rPr>
          <w:b/>
          <w:bCs/>
          <w:lang w:val="fr-FR"/>
        </w:rPr>
        <w:t xml:space="preserve">1 </w:t>
      </w:r>
      <w:r w:rsidR="00972890" w:rsidRPr="007D2AC6">
        <w:rPr>
          <w:b/>
          <w:bCs/>
          <w:lang w:val="fr-FR"/>
        </w:rPr>
        <w:t>(</w:t>
      </w:r>
      <w:r w:rsidR="00654286" w:rsidRPr="007D2AC6">
        <w:rPr>
          <w:b/>
          <w:bCs/>
          <w:lang w:val="fr-FR"/>
        </w:rPr>
        <w:t>tirée des</w:t>
      </w:r>
      <w:r w:rsidRPr="007D2AC6">
        <w:rPr>
          <w:b/>
          <w:bCs/>
          <w:lang w:val="fr-FR"/>
        </w:rPr>
        <w:t xml:space="preserve"> conclusions</w:t>
      </w:r>
      <w:r w:rsidR="00654286" w:rsidRPr="007D2AC6">
        <w:rPr>
          <w:b/>
          <w:bCs/>
          <w:lang w:val="fr-FR"/>
        </w:rPr>
        <w:t xml:space="preserve"> n</w:t>
      </w:r>
      <w:r w:rsidR="00654286" w:rsidRPr="007D2AC6">
        <w:rPr>
          <w:b/>
          <w:bCs/>
          <w:vertAlign w:val="superscript"/>
          <w:lang w:val="fr-FR"/>
        </w:rPr>
        <w:t>os</w:t>
      </w:r>
      <w:r w:rsidR="006F2775" w:rsidRPr="007D2AC6">
        <w:rPr>
          <w:b/>
          <w:bCs/>
          <w:lang w:val="fr-FR"/>
        </w:rPr>
        <w:t> </w:t>
      </w:r>
      <w:r w:rsidRPr="007D2AC6">
        <w:rPr>
          <w:b/>
          <w:bCs/>
          <w:lang w:val="fr-FR"/>
        </w:rPr>
        <w:t xml:space="preserve">2 </w:t>
      </w:r>
      <w:r w:rsidR="00654286" w:rsidRPr="007D2AC6">
        <w:rPr>
          <w:b/>
          <w:bCs/>
          <w:lang w:val="fr-FR"/>
        </w:rPr>
        <w:t>et</w:t>
      </w:r>
      <w:r w:rsidRPr="007D2AC6">
        <w:rPr>
          <w:b/>
          <w:bCs/>
          <w:lang w:val="fr-FR"/>
        </w:rPr>
        <w:t xml:space="preserve"> 3) </w:t>
      </w:r>
      <w:r w:rsidR="00C4431C" w:rsidRPr="007D2AC6">
        <w:rPr>
          <w:b/>
          <w:bCs/>
          <w:lang w:val="fr-FR"/>
        </w:rPr>
        <w:t>au</w:t>
      </w:r>
      <w:r w:rsidRPr="007D2AC6">
        <w:rPr>
          <w:b/>
          <w:bCs/>
          <w:lang w:val="fr-FR"/>
        </w:rPr>
        <w:t xml:space="preserve"> Secr</w:t>
      </w:r>
      <w:r w:rsidR="00C4431C" w:rsidRPr="007D2AC6">
        <w:rPr>
          <w:b/>
          <w:bCs/>
          <w:lang w:val="fr-FR"/>
        </w:rPr>
        <w:t>é</w:t>
      </w:r>
      <w:r w:rsidRPr="007D2AC6">
        <w:rPr>
          <w:b/>
          <w:bCs/>
          <w:lang w:val="fr-FR"/>
        </w:rPr>
        <w:t>tariat</w:t>
      </w:r>
      <w:r w:rsidR="00C4431C" w:rsidRPr="007D2AC6">
        <w:rPr>
          <w:b/>
          <w:bCs/>
          <w:lang w:val="fr-FR"/>
        </w:rPr>
        <w:t xml:space="preserve"> de l</w:t>
      </w:r>
      <w:r w:rsidR="002A5696" w:rsidRPr="007D2AC6">
        <w:rPr>
          <w:b/>
          <w:bCs/>
          <w:lang w:val="fr-FR"/>
        </w:rPr>
        <w:t>’</w:t>
      </w:r>
      <w:r w:rsidR="00C4431C" w:rsidRPr="007D2AC6">
        <w:rPr>
          <w:b/>
          <w:bCs/>
          <w:lang w:val="fr-FR"/>
        </w:rPr>
        <w:t>OMPI</w:t>
      </w:r>
      <w:r w:rsidR="002A5696" w:rsidRPr="007D2AC6">
        <w:rPr>
          <w:b/>
          <w:bCs/>
          <w:lang w:val="fr-FR"/>
        </w:rPr>
        <w:t> </w:t>
      </w:r>
      <w:proofErr w:type="gramStart"/>
      <w:r w:rsidR="002A5696" w:rsidRPr="007D2AC6">
        <w:rPr>
          <w:b/>
          <w:bCs/>
          <w:lang w:val="fr-FR"/>
        </w:rPr>
        <w:t>:</w:t>
      </w:r>
      <w:r w:rsidR="00C4431C" w:rsidRPr="007D2AC6">
        <w:rPr>
          <w:b/>
          <w:bCs/>
          <w:lang w:val="fr-FR"/>
        </w:rPr>
        <w:t xml:space="preserve"> suggérer</w:t>
      </w:r>
      <w:proofErr w:type="gramEnd"/>
      <w:r w:rsidR="00C4431C" w:rsidRPr="007D2AC6">
        <w:rPr>
          <w:b/>
          <w:bCs/>
          <w:lang w:val="fr-FR"/>
        </w:rPr>
        <w:t xml:space="preserve"> de prévoir une deuxième phase du projet afin que</w:t>
      </w:r>
      <w:r w:rsidR="002A5696" w:rsidRPr="007D2AC6">
        <w:rPr>
          <w:b/>
          <w:bCs/>
          <w:lang w:val="fr-FR"/>
        </w:rPr>
        <w:t xml:space="preserve"> le </w:t>
      </w:r>
      <w:proofErr w:type="spellStart"/>
      <w:r w:rsidR="002A5696" w:rsidRPr="007D2AC6">
        <w:rPr>
          <w:b/>
          <w:bCs/>
          <w:lang w:val="fr-FR"/>
        </w:rPr>
        <w:t>CDI</w:t>
      </w:r>
      <w:r w:rsidR="00C4431C" w:rsidRPr="007D2AC6">
        <w:rPr>
          <w:b/>
          <w:bCs/>
          <w:lang w:val="fr-FR"/>
        </w:rPr>
        <w:t>P</w:t>
      </w:r>
      <w:proofErr w:type="spellEnd"/>
      <w:r w:rsidR="00C4431C" w:rsidRPr="007D2AC6">
        <w:rPr>
          <w:b/>
          <w:bCs/>
          <w:lang w:val="fr-FR"/>
        </w:rPr>
        <w:t xml:space="preserve"> acquière une expérience supplémentaire et, s</w:t>
      </w:r>
      <w:r w:rsidR="002A5696" w:rsidRPr="007D2AC6">
        <w:rPr>
          <w:b/>
          <w:bCs/>
          <w:lang w:val="fr-FR"/>
        </w:rPr>
        <w:t>’</w:t>
      </w:r>
      <w:r w:rsidR="00C4431C" w:rsidRPr="007D2AC6">
        <w:rPr>
          <w:b/>
          <w:bCs/>
          <w:lang w:val="fr-FR"/>
        </w:rPr>
        <w:t>il s</w:t>
      </w:r>
      <w:r w:rsidR="002A5696" w:rsidRPr="007D2AC6">
        <w:rPr>
          <w:b/>
          <w:bCs/>
          <w:lang w:val="fr-FR"/>
        </w:rPr>
        <w:t>’</w:t>
      </w:r>
      <w:r w:rsidR="00C4431C" w:rsidRPr="007D2AC6">
        <w:rPr>
          <w:b/>
          <w:bCs/>
          <w:lang w:val="fr-FR"/>
        </w:rPr>
        <w:t>avère que l</w:t>
      </w:r>
      <w:r w:rsidR="002A5696" w:rsidRPr="007D2AC6">
        <w:rPr>
          <w:b/>
          <w:bCs/>
          <w:lang w:val="fr-FR"/>
        </w:rPr>
        <w:t>’</w:t>
      </w:r>
      <w:r w:rsidR="00C4431C" w:rsidRPr="007D2AC6">
        <w:rPr>
          <w:b/>
          <w:bCs/>
          <w:lang w:val="fr-FR"/>
        </w:rPr>
        <w:t>intérêt suscité est plus vaste, se préparer à un passage à la vitesse supérieure</w:t>
      </w:r>
      <w:r w:rsidR="00163FAE" w:rsidRPr="007D2AC6">
        <w:rPr>
          <w:b/>
          <w:bCs/>
          <w:lang w:val="fr-FR"/>
        </w:rPr>
        <w:t xml:space="preserve"> et au suivi de la même approche.</w:t>
      </w:r>
    </w:p>
    <w:p w14:paraId="7CB7680D" w14:textId="16CA25C5" w:rsidR="002A5696" w:rsidRPr="007D2AC6" w:rsidRDefault="00705B4C" w:rsidP="006A7F72">
      <w:pPr>
        <w:pStyle w:val="ONUMFS"/>
        <w:numPr>
          <w:ilvl w:val="1"/>
          <w:numId w:val="40"/>
        </w:numPr>
        <w:rPr>
          <w:lang w:val="fr-FR"/>
        </w:rPr>
      </w:pPr>
      <w:r w:rsidRPr="007D2AC6">
        <w:rPr>
          <w:lang w:val="fr-FR"/>
        </w:rPr>
        <w:t>Propose</w:t>
      </w:r>
      <w:r w:rsidR="00163FAE" w:rsidRPr="007D2AC6">
        <w:rPr>
          <w:lang w:val="fr-FR"/>
        </w:rPr>
        <w:t>r</w:t>
      </w:r>
      <w:r w:rsidR="002A5696" w:rsidRPr="007D2AC6">
        <w:rPr>
          <w:lang w:val="fr-FR"/>
        </w:rPr>
        <w:t xml:space="preserve"> au </w:t>
      </w:r>
      <w:proofErr w:type="spellStart"/>
      <w:r w:rsidR="002A5696" w:rsidRPr="007D2AC6">
        <w:rPr>
          <w:lang w:val="fr-FR"/>
        </w:rPr>
        <w:t>CDI</w:t>
      </w:r>
      <w:r w:rsidR="00163FAE" w:rsidRPr="007D2AC6">
        <w:rPr>
          <w:lang w:val="fr-FR"/>
        </w:rPr>
        <w:t>P</w:t>
      </w:r>
      <w:proofErr w:type="spellEnd"/>
      <w:r w:rsidR="00163FAE" w:rsidRPr="007D2AC6">
        <w:rPr>
          <w:lang w:val="fr-FR"/>
        </w:rPr>
        <w:t xml:space="preserve"> de prévoir une deuxième phase du projet afin qu</w:t>
      </w:r>
      <w:r w:rsidR="002A5696" w:rsidRPr="007D2AC6">
        <w:rPr>
          <w:lang w:val="fr-FR"/>
        </w:rPr>
        <w:t>’</w:t>
      </w:r>
      <w:r w:rsidR="00163FAE" w:rsidRPr="007D2AC6">
        <w:rPr>
          <w:lang w:val="fr-FR"/>
        </w:rPr>
        <w:t>il puisse piloter l</w:t>
      </w:r>
      <w:r w:rsidR="002A5696" w:rsidRPr="007D2AC6">
        <w:rPr>
          <w:lang w:val="fr-FR"/>
        </w:rPr>
        <w:t>’</w:t>
      </w:r>
      <w:r w:rsidR="00163FAE" w:rsidRPr="007D2AC6">
        <w:rPr>
          <w:lang w:val="fr-FR"/>
        </w:rPr>
        <w:t>approche dans d</w:t>
      </w:r>
      <w:r w:rsidR="002A5696" w:rsidRPr="007D2AC6">
        <w:rPr>
          <w:lang w:val="fr-FR"/>
        </w:rPr>
        <w:t>’</w:t>
      </w:r>
      <w:r w:rsidR="00163FAE" w:rsidRPr="007D2AC6">
        <w:rPr>
          <w:lang w:val="fr-FR"/>
        </w:rPr>
        <w:t>autres pays relevant de régions différent</w:t>
      </w:r>
      <w:r w:rsidR="001B6E2D" w:rsidRPr="007D2AC6">
        <w:rPr>
          <w:lang w:val="fr-FR"/>
        </w:rPr>
        <w:t>es.  Ad</w:t>
      </w:r>
      <w:r w:rsidR="00163FAE" w:rsidRPr="007D2AC6">
        <w:rPr>
          <w:lang w:val="fr-FR"/>
        </w:rPr>
        <w:t>apter cette approche en fonction des besoins propres à chaque pays, le cas échéant</w:t>
      </w:r>
      <w:r w:rsidRPr="007D2AC6">
        <w:rPr>
          <w:lang w:val="fr-FR"/>
        </w:rPr>
        <w:t>.</w:t>
      </w:r>
    </w:p>
    <w:p w14:paraId="0A73EF9B" w14:textId="4FD6C103" w:rsidR="00163FAE" w:rsidRPr="007D2AC6" w:rsidRDefault="00163FAE" w:rsidP="006A7F72">
      <w:pPr>
        <w:pStyle w:val="ONUMFS"/>
        <w:numPr>
          <w:ilvl w:val="1"/>
          <w:numId w:val="40"/>
        </w:numPr>
        <w:rPr>
          <w:lang w:val="fr-FR"/>
        </w:rPr>
      </w:pPr>
      <w:r w:rsidRPr="007D2AC6">
        <w:rPr>
          <w:lang w:val="fr-FR"/>
        </w:rPr>
        <w:t>Faire participer les bureaux à la sélection de nouveaux pays ciblés.</w:t>
      </w:r>
    </w:p>
    <w:p w14:paraId="7F7097D8" w14:textId="598F5F20" w:rsidR="0059687A" w:rsidRPr="007D2AC6" w:rsidRDefault="00F85B6D" w:rsidP="006A7F72">
      <w:pPr>
        <w:pStyle w:val="ONUMFS"/>
        <w:numPr>
          <w:ilvl w:val="1"/>
          <w:numId w:val="40"/>
        </w:numPr>
        <w:rPr>
          <w:lang w:val="fr-FR"/>
        </w:rPr>
      </w:pPr>
      <w:r w:rsidRPr="007D2AC6">
        <w:rPr>
          <w:lang w:val="fr-FR"/>
        </w:rPr>
        <w:t>Tout en préservant l</w:t>
      </w:r>
      <w:r w:rsidR="002A5696" w:rsidRPr="007D2AC6">
        <w:rPr>
          <w:lang w:val="fr-FR"/>
        </w:rPr>
        <w:t>’</w:t>
      </w:r>
      <w:r w:rsidRPr="007D2AC6">
        <w:rPr>
          <w:lang w:val="fr-FR"/>
        </w:rPr>
        <w:t>engagement des homologues nationaux, principal critère de sélection, faire en sorte que le choix des pays bénéficiaires soit équilibré</w:t>
      </w:r>
      <w:r w:rsidR="006A6B3E" w:rsidRPr="007D2AC6">
        <w:rPr>
          <w:lang w:val="fr-FR"/>
        </w:rPr>
        <w:t>,</w:t>
      </w:r>
      <w:r w:rsidRPr="007D2AC6">
        <w:rPr>
          <w:lang w:val="fr-FR"/>
        </w:rPr>
        <w:t xml:space="preserve"> aux différents stades de développement du système de propriété intellectuelle.</w:t>
      </w:r>
    </w:p>
    <w:p w14:paraId="7E532FD2" w14:textId="4C9112DA" w:rsidR="00F85B6D" w:rsidRPr="007D2AC6" w:rsidRDefault="00F85B6D" w:rsidP="006A7F72">
      <w:pPr>
        <w:pStyle w:val="ONUMFS"/>
        <w:numPr>
          <w:ilvl w:val="1"/>
          <w:numId w:val="40"/>
        </w:numPr>
        <w:rPr>
          <w:lang w:val="fr-FR"/>
        </w:rPr>
      </w:pPr>
      <w:r w:rsidRPr="007D2AC6">
        <w:rPr>
          <w:lang w:val="fr-FR"/>
        </w:rPr>
        <w:t xml:space="preserve">Envisager de faire appel </w:t>
      </w:r>
      <w:r w:rsidR="006A6B3E" w:rsidRPr="007D2AC6">
        <w:rPr>
          <w:lang w:val="fr-FR"/>
        </w:rPr>
        <w:t>à des</w:t>
      </w:r>
      <w:r w:rsidRPr="007D2AC6">
        <w:rPr>
          <w:lang w:val="fr-FR"/>
        </w:rPr>
        <w:t xml:space="preserve"> experts du projet dans les nouveaux pays bénéficiaires, le cas échéant.</w:t>
      </w:r>
    </w:p>
    <w:p w14:paraId="47AF2105" w14:textId="06D213AE" w:rsidR="0059687A" w:rsidRPr="007D2AC6" w:rsidRDefault="00F85B6D" w:rsidP="006A7F72">
      <w:pPr>
        <w:pStyle w:val="ONUMFS"/>
        <w:numPr>
          <w:ilvl w:val="1"/>
          <w:numId w:val="40"/>
        </w:numPr>
        <w:rPr>
          <w:lang w:val="fr-FR"/>
        </w:rPr>
      </w:pPr>
      <w:r w:rsidRPr="007D2AC6">
        <w:rPr>
          <w:lang w:val="fr-FR"/>
        </w:rPr>
        <w:t>Apporter un appui aux offices de propriété intellectuelle d</w:t>
      </w:r>
      <w:r w:rsidR="002A5696" w:rsidRPr="007D2AC6">
        <w:rPr>
          <w:lang w:val="fr-FR"/>
        </w:rPr>
        <w:t>’</w:t>
      </w:r>
      <w:r w:rsidRPr="007D2AC6">
        <w:rPr>
          <w:lang w:val="fr-FR"/>
        </w:rPr>
        <w:t>Argentine et du Maroc, afin d</w:t>
      </w:r>
      <w:r w:rsidR="002A5696" w:rsidRPr="007D2AC6">
        <w:rPr>
          <w:lang w:val="fr-FR"/>
        </w:rPr>
        <w:t>’</w:t>
      </w:r>
      <w:r w:rsidRPr="007D2AC6">
        <w:rPr>
          <w:lang w:val="fr-FR"/>
        </w:rPr>
        <w:t>évaluer les réalisations dans leur ensemble.</w:t>
      </w:r>
    </w:p>
    <w:p w14:paraId="779241DC" w14:textId="6CB67081" w:rsidR="00F85B6D" w:rsidRPr="007D2AC6" w:rsidRDefault="00F85B6D" w:rsidP="006A7F72">
      <w:pPr>
        <w:pStyle w:val="ONUMFS"/>
        <w:numPr>
          <w:ilvl w:val="1"/>
          <w:numId w:val="40"/>
        </w:numPr>
        <w:rPr>
          <w:lang w:val="fr-FR"/>
        </w:rPr>
      </w:pPr>
      <w:r w:rsidRPr="007D2AC6">
        <w:rPr>
          <w:lang w:val="fr-FR"/>
        </w:rPr>
        <w:t>Si l</w:t>
      </w:r>
      <w:r w:rsidR="002A5696" w:rsidRPr="007D2AC6">
        <w:rPr>
          <w:lang w:val="fr-FR"/>
        </w:rPr>
        <w:t>’</w:t>
      </w:r>
      <w:r w:rsidRPr="007D2AC6">
        <w:rPr>
          <w:lang w:val="fr-FR"/>
        </w:rPr>
        <w:t>examen à mi</w:t>
      </w:r>
      <w:r w:rsidR="00B57560" w:rsidRPr="007D2AC6">
        <w:rPr>
          <w:lang w:val="fr-FR"/>
        </w:rPr>
        <w:noBreakHyphen/>
      </w:r>
      <w:r w:rsidRPr="007D2AC6">
        <w:rPr>
          <w:lang w:val="fr-FR"/>
        </w:rPr>
        <w:t>parcours de la phase</w:t>
      </w:r>
      <w:r w:rsidR="00B57560" w:rsidRPr="007D2AC6">
        <w:rPr>
          <w:lang w:val="fr-FR"/>
        </w:rPr>
        <w:t> </w:t>
      </w:r>
      <w:r w:rsidRPr="007D2AC6">
        <w:rPr>
          <w:lang w:val="fr-FR"/>
        </w:rPr>
        <w:t>II débouche sur des résultats positifs, élaborer une stratégie détaillée afin de reproduire des projets similaires dans d</w:t>
      </w:r>
      <w:r w:rsidR="002A5696" w:rsidRPr="007D2AC6">
        <w:rPr>
          <w:lang w:val="fr-FR"/>
        </w:rPr>
        <w:t>’</w:t>
      </w:r>
      <w:r w:rsidRPr="007D2AC6">
        <w:rPr>
          <w:lang w:val="fr-FR"/>
        </w:rPr>
        <w:t>autres pays.</w:t>
      </w:r>
    </w:p>
    <w:p w14:paraId="5A0EBF54" w14:textId="6D1E6678" w:rsidR="002A5696" w:rsidRPr="007D2AC6" w:rsidRDefault="00705B4C" w:rsidP="00521716">
      <w:pPr>
        <w:spacing w:after="220"/>
        <w:rPr>
          <w:b/>
          <w:bCs/>
          <w:lang w:val="fr-FR"/>
        </w:rPr>
      </w:pPr>
      <w:r w:rsidRPr="007D2AC6">
        <w:rPr>
          <w:b/>
          <w:bCs/>
          <w:lang w:val="fr-FR"/>
        </w:rPr>
        <w:t>Recomm</w:t>
      </w:r>
      <w:r w:rsidR="00654286" w:rsidRPr="007D2AC6">
        <w:rPr>
          <w:b/>
          <w:bCs/>
          <w:lang w:val="fr-FR"/>
        </w:rPr>
        <w:t>a</w:t>
      </w:r>
      <w:r w:rsidRPr="007D2AC6">
        <w:rPr>
          <w:b/>
          <w:bCs/>
          <w:lang w:val="fr-FR"/>
        </w:rPr>
        <w:t xml:space="preserve">ndation </w:t>
      </w:r>
      <w:r w:rsidR="00C4431C" w:rsidRPr="007D2AC6">
        <w:rPr>
          <w:b/>
          <w:bCs/>
          <w:lang w:val="fr-FR"/>
        </w:rPr>
        <w:t>n°</w:t>
      </w:r>
      <w:r w:rsidR="009F77AF" w:rsidRPr="007D2AC6">
        <w:rPr>
          <w:b/>
          <w:bCs/>
          <w:lang w:val="fr-FR"/>
        </w:rPr>
        <w:t> </w:t>
      </w:r>
      <w:r w:rsidRPr="007D2AC6">
        <w:rPr>
          <w:b/>
          <w:bCs/>
          <w:lang w:val="fr-FR"/>
        </w:rPr>
        <w:t xml:space="preserve">3 </w:t>
      </w:r>
      <w:r w:rsidR="00972890" w:rsidRPr="007D2AC6">
        <w:rPr>
          <w:b/>
          <w:bCs/>
          <w:lang w:val="fr-FR"/>
        </w:rPr>
        <w:t>(</w:t>
      </w:r>
      <w:r w:rsidR="00654286" w:rsidRPr="007D2AC6">
        <w:rPr>
          <w:b/>
          <w:bCs/>
          <w:lang w:val="fr-FR"/>
        </w:rPr>
        <w:t>tirée de la</w:t>
      </w:r>
      <w:r w:rsidRPr="007D2AC6">
        <w:rPr>
          <w:b/>
          <w:bCs/>
          <w:lang w:val="fr-FR"/>
        </w:rPr>
        <w:t xml:space="preserve"> conclusion </w:t>
      </w:r>
      <w:r w:rsidR="00654286" w:rsidRPr="007D2AC6">
        <w:rPr>
          <w:b/>
          <w:bCs/>
          <w:lang w:val="fr-FR"/>
        </w:rPr>
        <w:t>n°</w:t>
      </w:r>
      <w:r w:rsidR="009F77AF" w:rsidRPr="007D2AC6">
        <w:rPr>
          <w:b/>
          <w:bCs/>
          <w:lang w:val="fr-FR"/>
        </w:rPr>
        <w:t> </w:t>
      </w:r>
      <w:r w:rsidRPr="007D2AC6">
        <w:rPr>
          <w:b/>
          <w:bCs/>
          <w:lang w:val="fr-FR"/>
        </w:rPr>
        <w:t xml:space="preserve">2) </w:t>
      </w:r>
      <w:r w:rsidR="00C4431C" w:rsidRPr="007D2AC6">
        <w:rPr>
          <w:b/>
          <w:bCs/>
          <w:lang w:val="fr-FR"/>
        </w:rPr>
        <w:t>au Secrétariat de l</w:t>
      </w:r>
      <w:r w:rsidR="002A5696" w:rsidRPr="007D2AC6">
        <w:rPr>
          <w:b/>
          <w:bCs/>
          <w:lang w:val="fr-FR"/>
        </w:rPr>
        <w:t>’</w:t>
      </w:r>
      <w:r w:rsidR="00C4431C" w:rsidRPr="007D2AC6">
        <w:rPr>
          <w:b/>
          <w:bCs/>
          <w:lang w:val="fr-FR"/>
        </w:rPr>
        <w:t>OMPI</w:t>
      </w:r>
      <w:r w:rsidR="002A5696" w:rsidRPr="007D2AC6">
        <w:rPr>
          <w:b/>
          <w:bCs/>
          <w:lang w:val="fr-FR"/>
        </w:rPr>
        <w:t> :</w:t>
      </w:r>
      <w:r w:rsidR="00F85B6D" w:rsidRPr="007D2AC6">
        <w:rPr>
          <w:b/>
          <w:bCs/>
          <w:lang w:val="fr-FR"/>
        </w:rPr>
        <w:t xml:space="preserve"> évaluer systématiquement les moyens de gestion requis pour conduire de nouveaux projets dans le cadre du Plan d</w:t>
      </w:r>
      <w:r w:rsidR="002A5696" w:rsidRPr="007D2AC6">
        <w:rPr>
          <w:b/>
          <w:bCs/>
          <w:lang w:val="fr-FR"/>
        </w:rPr>
        <w:t>’</w:t>
      </w:r>
      <w:r w:rsidR="00F85B6D" w:rsidRPr="007D2AC6">
        <w:rPr>
          <w:b/>
          <w:bCs/>
          <w:lang w:val="fr-FR"/>
        </w:rPr>
        <w:t>action pour le développement et, le cas échéant, apporter un soutien à l</w:t>
      </w:r>
      <w:r w:rsidR="002A5696" w:rsidRPr="007D2AC6">
        <w:rPr>
          <w:b/>
          <w:bCs/>
          <w:lang w:val="fr-FR"/>
        </w:rPr>
        <w:t>’</w:t>
      </w:r>
      <w:r w:rsidR="00F85B6D" w:rsidRPr="007D2AC6">
        <w:rPr>
          <w:b/>
          <w:bCs/>
          <w:lang w:val="fr-FR"/>
        </w:rPr>
        <w:t>exécution courante de ces projets.</w:t>
      </w:r>
    </w:p>
    <w:p w14:paraId="299D27CE" w14:textId="439DF14A" w:rsidR="00F85B6D" w:rsidRPr="007D2AC6" w:rsidRDefault="00F85B6D" w:rsidP="00521716">
      <w:pPr>
        <w:pStyle w:val="ONUME"/>
        <w:numPr>
          <w:ilvl w:val="0"/>
          <w:numId w:val="0"/>
        </w:numPr>
        <w:rPr>
          <w:bCs/>
          <w:lang w:val="fr-FR"/>
        </w:rPr>
      </w:pPr>
      <w:r w:rsidRPr="007D2AC6">
        <w:rPr>
          <w:bCs/>
          <w:lang w:val="fr-FR"/>
        </w:rPr>
        <w:t>S</w:t>
      </w:r>
      <w:r w:rsidR="002A5696" w:rsidRPr="007D2AC6">
        <w:rPr>
          <w:bCs/>
          <w:lang w:val="fr-FR"/>
        </w:rPr>
        <w:t>’</w:t>
      </w:r>
      <w:r w:rsidRPr="007D2AC6">
        <w:rPr>
          <w:bCs/>
          <w:lang w:val="fr-FR"/>
        </w:rPr>
        <w:t>agissant de nouveaux projets, le Secrétariat devrait évaluer systématiquement les ressources de gestion requises en fonction de la charge de travail des chefs de proj</w:t>
      </w:r>
      <w:r w:rsidR="001B6E2D" w:rsidRPr="007D2AC6">
        <w:rPr>
          <w:bCs/>
          <w:lang w:val="fr-FR"/>
        </w:rPr>
        <w:t>et.  Le</w:t>
      </w:r>
      <w:r w:rsidR="00C63D09" w:rsidRPr="007D2AC6">
        <w:rPr>
          <w:bCs/>
          <w:lang w:val="fr-FR"/>
        </w:rPr>
        <w:t xml:space="preserve"> cas échéant, le Secrétariat devrait inscrire au budget les frais de recrutement d</w:t>
      </w:r>
      <w:r w:rsidR="002A5696" w:rsidRPr="007D2AC6">
        <w:rPr>
          <w:bCs/>
          <w:lang w:val="fr-FR"/>
        </w:rPr>
        <w:t>’</w:t>
      </w:r>
      <w:r w:rsidR="00C63D09" w:rsidRPr="007D2AC6">
        <w:rPr>
          <w:bCs/>
          <w:lang w:val="fr-FR"/>
        </w:rPr>
        <w:t>un administrateur de projet, chargé de la gestion courante du projet.</w:t>
      </w:r>
    </w:p>
    <w:p w14:paraId="48BEADE2" w14:textId="33378D04" w:rsidR="00C63D09" w:rsidRPr="007D2AC6" w:rsidRDefault="00C63D09" w:rsidP="00521716">
      <w:pPr>
        <w:pStyle w:val="ONUME"/>
        <w:numPr>
          <w:ilvl w:val="0"/>
          <w:numId w:val="0"/>
        </w:numPr>
        <w:rPr>
          <w:bCs/>
          <w:lang w:val="fr-FR"/>
        </w:rPr>
      </w:pPr>
      <w:r w:rsidRPr="007D2AC6">
        <w:rPr>
          <w:bCs/>
          <w:lang w:val="fr-FR"/>
        </w:rPr>
        <w:t>En complément de l</w:t>
      </w:r>
      <w:r w:rsidR="002A5696" w:rsidRPr="007D2AC6">
        <w:rPr>
          <w:bCs/>
          <w:lang w:val="fr-FR"/>
        </w:rPr>
        <w:t>’</w:t>
      </w:r>
      <w:r w:rsidRPr="007D2AC6">
        <w:rPr>
          <w:bCs/>
          <w:lang w:val="fr-FR"/>
        </w:rPr>
        <w:t>expertise technique du chef de projet, l</w:t>
      </w:r>
      <w:r w:rsidR="002A5696" w:rsidRPr="007D2AC6">
        <w:rPr>
          <w:bCs/>
          <w:lang w:val="fr-FR"/>
        </w:rPr>
        <w:t>’</w:t>
      </w:r>
      <w:r w:rsidRPr="007D2AC6">
        <w:rPr>
          <w:bCs/>
          <w:lang w:val="fr-FR"/>
        </w:rPr>
        <w:t>administrateur de projet devrait être essentiellement un spécialiste qualifié en matière de développement, possédant une expérience acquise sur le terrain et d</w:t>
      </w:r>
      <w:r w:rsidR="002A5696" w:rsidRPr="007D2AC6">
        <w:rPr>
          <w:bCs/>
          <w:lang w:val="fr-FR"/>
        </w:rPr>
        <w:t>’</w:t>
      </w:r>
      <w:r w:rsidRPr="007D2AC6">
        <w:rPr>
          <w:bCs/>
          <w:lang w:val="fr-FR"/>
        </w:rPr>
        <w:t>excellentes compétences en gestion de projet.</w:t>
      </w:r>
    </w:p>
    <w:p w14:paraId="443A0B85" w14:textId="5AA87965" w:rsidR="00C63D09" w:rsidRPr="007D2AC6" w:rsidRDefault="00C63D09" w:rsidP="00521716">
      <w:pPr>
        <w:pStyle w:val="ONUME"/>
        <w:numPr>
          <w:ilvl w:val="0"/>
          <w:numId w:val="0"/>
        </w:numPr>
        <w:rPr>
          <w:bCs/>
          <w:lang w:val="fr-FR"/>
        </w:rPr>
      </w:pPr>
      <w:r w:rsidRPr="007D2AC6">
        <w:rPr>
          <w:bCs/>
          <w:lang w:val="fr-FR"/>
        </w:rPr>
        <w:t>Faire en sorte que la délégation de responsabilités en matière de gestion à un agent temporaire recruté à l</w:t>
      </w:r>
      <w:r w:rsidR="002A5696" w:rsidRPr="007D2AC6">
        <w:rPr>
          <w:bCs/>
          <w:lang w:val="fr-FR"/>
        </w:rPr>
        <w:t>’</w:t>
      </w:r>
      <w:r w:rsidRPr="007D2AC6">
        <w:rPr>
          <w:bCs/>
          <w:lang w:val="fr-FR"/>
        </w:rPr>
        <w:t>extérieur n</w:t>
      </w:r>
      <w:r w:rsidR="002A5696" w:rsidRPr="007D2AC6">
        <w:rPr>
          <w:bCs/>
          <w:lang w:val="fr-FR"/>
        </w:rPr>
        <w:t>’</w:t>
      </w:r>
      <w:r w:rsidRPr="007D2AC6">
        <w:rPr>
          <w:bCs/>
          <w:lang w:val="fr-FR"/>
        </w:rPr>
        <w:t>entraîne pas la perte de savoir</w:t>
      </w:r>
      <w:r w:rsidR="00B57560" w:rsidRPr="007D2AC6">
        <w:rPr>
          <w:bCs/>
          <w:lang w:val="fr-FR"/>
        </w:rPr>
        <w:noBreakHyphen/>
      </w:r>
      <w:r w:rsidRPr="007D2AC6">
        <w:rPr>
          <w:bCs/>
          <w:lang w:val="fr-FR"/>
        </w:rPr>
        <w:t>faire organisationnel.</w:t>
      </w:r>
    </w:p>
    <w:p w14:paraId="7D14C7C1" w14:textId="44486666" w:rsidR="00C63D09" w:rsidRPr="007D2AC6" w:rsidRDefault="00705B4C" w:rsidP="00521716">
      <w:pPr>
        <w:spacing w:after="220"/>
        <w:rPr>
          <w:b/>
          <w:bCs/>
          <w:lang w:val="fr-FR"/>
        </w:rPr>
      </w:pPr>
      <w:r w:rsidRPr="007D2AC6">
        <w:rPr>
          <w:b/>
          <w:bCs/>
          <w:lang w:val="fr-FR"/>
        </w:rPr>
        <w:t>Recomm</w:t>
      </w:r>
      <w:r w:rsidR="00C4431C" w:rsidRPr="007D2AC6">
        <w:rPr>
          <w:b/>
          <w:bCs/>
          <w:lang w:val="fr-FR"/>
        </w:rPr>
        <w:t>a</w:t>
      </w:r>
      <w:r w:rsidRPr="007D2AC6">
        <w:rPr>
          <w:b/>
          <w:bCs/>
          <w:lang w:val="fr-FR"/>
        </w:rPr>
        <w:t xml:space="preserve">ndation </w:t>
      </w:r>
      <w:r w:rsidR="00C4431C" w:rsidRPr="007D2AC6">
        <w:rPr>
          <w:b/>
          <w:bCs/>
          <w:lang w:val="fr-FR"/>
        </w:rPr>
        <w:t>n°</w:t>
      </w:r>
      <w:r w:rsidR="009F77AF" w:rsidRPr="007D2AC6">
        <w:rPr>
          <w:b/>
          <w:bCs/>
          <w:lang w:val="fr-FR"/>
        </w:rPr>
        <w:t> </w:t>
      </w:r>
      <w:r w:rsidRPr="007D2AC6">
        <w:rPr>
          <w:b/>
          <w:bCs/>
          <w:lang w:val="fr-FR"/>
        </w:rPr>
        <w:t xml:space="preserve">4 </w:t>
      </w:r>
      <w:r w:rsidR="00972890" w:rsidRPr="007D2AC6">
        <w:rPr>
          <w:b/>
          <w:bCs/>
          <w:lang w:val="fr-FR"/>
        </w:rPr>
        <w:t>(</w:t>
      </w:r>
      <w:r w:rsidR="00C4431C" w:rsidRPr="007D2AC6">
        <w:rPr>
          <w:b/>
          <w:bCs/>
          <w:lang w:val="fr-FR"/>
        </w:rPr>
        <w:t>tirée des</w:t>
      </w:r>
      <w:r w:rsidRPr="007D2AC6">
        <w:rPr>
          <w:b/>
          <w:bCs/>
          <w:lang w:val="fr-FR"/>
        </w:rPr>
        <w:t xml:space="preserve"> conclusions </w:t>
      </w:r>
      <w:r w:rsidR="00C4431C" w:rsidRPr="007D2AC6">
        <w:rPr>
          <w:b/>
          <w:bCs/>
          <w:lang w:val="fr-FR"/>
        </w:rPr>
        <w:t>n</w:t>
      </w:r>
      <w:r w:rsidR="006F2775" w:rsidRPr="007D2AC6">
        <w:rPr>
          <w:b/>
          <w:bCs/>
          <w:vertAlign w:val="superscript"/>
          <w:lang w:val="fr-FR"/>
        </w:rPr>
        <w:t>os</w:t>
      </w:r>
      <w:r w:rsidR="006F2775" w:rsidRPr="007D2AC6">
        <w:rPr>
          <w:b/>
          <w:bCs/>
          <w:lang w:val="fr-FR"/>
        </w:rPr>
        <w:t> </w:t>
      </w:r>
      <w:r w:rsidRPr="007D2AC6">
        <w:rPr>
          <w:b/>
          <w:bCs/>
          <w:lang w:val="fr-FR"/>
        </w:rPr>
        <w:t xml:space="preserve">1 </w:t>
      </w:r>
      <w:r w:rsidR="00C4431C" w:rsidRPr="007D2AC6">
        <w:rPr>
          <w:b/>
          <w:bCs/>
          <w:lang w:val="fr-FR"/>
        </w:rPr>
        <w:t>et</w:t>
      </w:r>
      <w:r w:rsidR="006F2775" w:rsidRPr="007D2AC6">
        <w:rPr>
          <w:b/>
          <w:bCs/>
          <w:lang w:val="fr-FR"/>
        </w:rPr>
        <w:t> </w:t>
      </w:r>
      <w:r w:rsidRPr="007D2AC6">
        <w:rPr>
          <w:b/>
          <w:bCs/>
          <w:lang w:val="fr-FR"/>
        </w:rPr>
        <w:t xml:space="preserve">2) </w:t>
      </w:r>
      <w:r w:rsidR="00C4431C" w:rsidRPr="007D2AC6">
        <w:rPr>
          <w:b/>
          <w:bCs/>
          <w:lang w:val="fr-FR"/>
        </w:rPr>
        <w:t>au Secrétariat de l</w:t>
      </w:r>
      <w:r w:rsidR="002A5696" w:rsidRPr="007D2AC6">
        <w:rPr>
          <w:b/>
          <w:bCs/>
          <w:lang w:val="fr-FR"/>
        </w:rPr>
        <w:t>’</w:t>
      </w:r>
      <w:r w:rsidR="00C4431C" w:rsidRPr="007D2AC6">
        <w:rPr>
          <w:b/>
          <w:bCs/>
          <w:lang w:val="fr-FR"/>
        </w:rPr>
        <w:t>OMPI</w:t>
      </w:r>
      <w:r w:rsidR="002A5696" w:rsidRPr="007D2AC6">
        <w:rPr>
          <w:b/>
          <w:bCs/>
          <w:lang w:val="fr-FR"/>
        </w:rPr>
        <w:t> </w:t>
      </w:r>
      <w:proofErr w:type="gramStart"/>
      <w:r w:rsidR="002A5696" w:rsidRPr="007D2AC6">
        <w:rPr>
          <w:b/>
          <w:bCs/>
          <w:lang w:val="fr-FR"/>
        </w:rPr>
        <w:t>:</w:t>
      </w:r>
      <w:r w:rsidR="00C63D09" w:rsidRPr="007D2AC6">
        <w:rPr>
          <w:b/>
          <w:bCs/>
          <w:lang w:val="fr-FR"/>
        </w:rPr>
        <w:t xml:space="preserve"> proposer</w:t>
      </w:r>
      <w:proofErr w:type="gramEnd"/>
      <w:r w:rsidR="002A5696" w:rsidRPr="007D2AC6">
        <w:rPr>
          <w:b/>
          <w:bCs/>
          <w:lang w:val="fr-FR"/>
        </w:rPr>
        <w:t xml:space="preserve"> au </w:t>
      </w:r>
      <w:proofErr w:type="spellStart"/>
      <w:r w:rsidR="002A5696" w:rsidRPr="007D2AC6">
        <w:rPr>
          <w:b/>
          <w:bCs/>
          <w:lang w:val="fr-FR"/>
        </w:rPr>
        <w:t>CDI</w:t>
      </w:r>
      <w:r w:rsidR="00C63D09" w:rsidRPr="007D2AC6">
        <w:rPr>
          <w:b/>
          <w:bCs/>
          <w:lang w:val="fr-FR"/>
        </w:rPr>
        <w:t>P</w:t>
      </w:r>
      <w:proofErr w:type="spellEnd"/>
      <w:r w:rsidR="00C63D09" w:rsidRPr="007D2AC6">
        <w:rPr>
          <w:b/>
          <w:bCs/>
          <w:lang w:val="fr-FR"/>
        </w:rPr>
        <w:t xml:space="preserve"> de conduire un projet dans le cadre du Plan d</w:t>
      </w:r>
      <w:r w:rsidR="002A5696" w:rsidRPr="007D2AC6">
        <w:rPr>
          <w:b/>
          <w:bCs/>
          <w:lang w:val="fr-FR"/>
        </w:rPr>
        <w:t>’</w:t>
      </w:r>
      <w:r w:rsidR="00C63D09" w:rsidRPr="007D2AC6">
        <w:rPr>
          <w:b/>
          <w:bCs/>
          <w:lang w:val="fr-FR"/>
        </w:rPr>
        <w:t>action pour le développement, afin de mettre au point des outils spécialisés en vue de la planification et de l</w:t>
      </w:r>
      <w:r w:rsidR="002A5696" w:rsidRPr="007D2AC6">
        <w:rPr>
          <w:b/>
          <w:bCs/>
          <w:lang w:val="fr-FR"/>
        </w:rPr>
        <w:t>’</w:t>
      </w:r>
      <w:r w:rsidR="00C63D09" w:rsidRPr="007D2AC6">
        <w:rPr>
          <w:b/>
          <w:bCs/>
          <w:lang w:val="fr-FR"/>
        </w:rPr>
        <w:t>exécution de projets menés dans ce cadre, en particulier de la prise en compte systématique de la parité hommes</w:t>
      </w:r>
      <w:r w:rsidR="00B57560" w:rsidRPr="007D2AC6">
        <w:rPr>
          <w:b/>
          <w:bCs/>
          <w:lang w:val="fr-FR"/>
        </w:rPr>
        <w:noBreakHyphen/>
      </w:r>
      <w:r w:rsidR="00C63D09" w:rsidRPr="007D2AC6">
        <w:rPr>
          <w:b/>
          <w:bCs/>
          <w:lang w:val="fr-FR"/>
        </w:rPr>
        <w:t>femmes.</w:t>
      </w:r>
    </w:p>
    <w:p w14:paraId="14BD178D" w14:textId="028B27EA" w:rsidR="002A5696" w:rsidRPr="007D2AC6" w:rsidRDefault="00833890" w:rsidP="008139DE">
      <w:pPr>
        <w:pStyle w:val="ONUMFS"/>
        <w:numPr>
          <w:ilvl w:val="0"/>
          <w:numId w:val="0"/>
        </w:numPr>
        <w:rPr>
          <w:lang w:val="fr-FR"/>
        </w:rPr>
      </w:pPr>
      <w:r w:rsidRPr="007D2AC6">
        <w:rPr>
          <w:lang w:val="fr-FR"/>
        </w:rPr>
        <w:t>Pour garantir l</w:t>
      </w:r>
      <w:r w:rsidR="002A5696" w:rsidRPr="007D2AC6">
        <w:rPr>
          <w:lang w:val="fr-FR"/>
        </w:rPr>
        <w:t>’</w:t>
      </w:r>
      <w:r w:rsidRPr="007D2AC6">
        <w:rPr>
          <w:lang w:val="fr-FR"/>
        </w:rPr>
        <w:t>application constante de bonnes pratiques à des projets menés dans le cadre du Plan d</w:t>
      </w:r>
      <w:r w:rsidR="002A5696" w:rsidRPr="007D2AC6">
        <w:rPr>
          <w:lang w:val="fr-FR"/>
        </w:rPr>
        <w:t>’</w:t>
      </w:r>
      <w:r w:rsidRPr="007D2AC6">
        <w:rPr>
          <w:lang w:val="fr-FR"/>
        </w:rPr>
        <w:t>action pour le développement, le Secrétariat de l</w:t>
      </w:r>
      <w:r w:rsidR="002A5696" w:rsidRPr="007D2AC6">
        <w:rPr>
          <w:lang w:val="fr-FR"/>
        </w:rPr>
        <w:t>’</w:t>
      </w:r>
      <w:r w:rsidRPr="007D2AC6">
        <w:rPr>
          <w:lang w:val="fr-FR"/>
        </w:rPr>
        <w:t>OMPI devrait envisager de proposer</w:t>
      </w:r>
      <w:r w:rsidR="002A5696" w:rsidRPr="007D2AC6">
        <w:rPr>
          <w:lang w:val="fr-FR"/>
        </w:rPr>
        <w:t xml:space="preserve"> au </w:t>
      </w:r>
      <w:proofErr w:type="spellStart"/>
      <w:r w:rsidR="002A5696" w:rsidRPr="007D2AC6">
        <w:rPr>
          <w:lang w:val="fr-FR"/>
        </w:rPr>
        <w:t>CDI</w:t>
      </w:r>
      <w:r w:rsidRPr="007D2AC6">
        <w:rPr>
          <w:lang w:val="fr-FR"/>
        </w:rPr>
        <w:t>P</w:t>
      </w:r>
      <w:proofErr w:type="spellEnd"/>
      <w:r w:rsidRPr="007D2AC6">
        <w:rPr>
          <w:lang w:val="fr-FR"/>
        </w:rPr>
        <w:t xml:space="preserve"> un nouveau projet spécialement axé sur la mise au point et l</w:t>
      </w:r>
      <w:r w:rsidR="002A5696" w:rsidRPr="007D2AC6">
        <w:rPr>
          <w:lang w:val="fr-FR"/>
        </w:rPr>
        <w:t>’</w:t>
      </w:r>
      <w:r w:rsidRPr="007D2AC6">
        <w:rPr>
          <w:lang w:val="fr-FR"/>
        </w:rPr>
        <w:t>adoption d</w:t>
      </w:r>
      <w:r w:rsidR="002A5696" w:rsidRPr="007D2AC6">
        <w:rPr>
          <w:lang w:val="fr-FR"/>
        </w:rPr>
        <w:t>’</w:t>
      </w:r>
      <w:r w:rsidRPr="007D2AC6">
        <w:rPr>
          <w:lang w:val="fr-FR"/>
        </w:rPr>
        <w:t>outils de gestion de projets menés dans ce cadre.</w:t>
      </w:r>
    </w:p>
    <w:p w14:paraId="1C3997DE" w14:textId="19764831" w:rsidR="00833890" w:rsidRPr="007D2AC6" w:rsidRDefault="00833890" w:rsidP="008139DE">
      <w:pPr>
        <w:pStyle w:val="ONUMFS"/>
        <w:numPr>
          <w:ilvl w:val="0"/>
          <w:numId w:val="0"/>
        </w:numPr>
        <w:rPr>
          <w:lang w:val="fr-FR"/>
        </w:rPr>
      </w:pPr>
      <w:r w:rsidRPr="007D2AC6">
        <w:rPr>
          <w:lang w:val="fr-FR"/>
        </w:rPr>
        <w:lastRenderedPageBreak/>
        <w:t>Les tâches à exécuter seraient notamment les suivantes</w:t>
      </w:r>
      <w:r w:rsidR="002A5696" w:rsidRPr="007D2AC6">
        <w:rPr>
          <w:lang w:val="fr-FR"/>
        </w:rPr>
        <w:t> :</w:t>
      </w:r>
    </w:p>
    <w:p w14:paraId="446F45F0" w14:textId="35E6A05D" w:rsidR="00833890" w:rsidRPr="007D2AC6" w:rsidRDefault="00833890" w:rsidP="008139DE">
      <w:pPr>
        <w:pStyle w:val="ONUMFS"/>
        <w:numPr>
          <w:ilvl w:val="1"/>
          <w:numId w:val="41"/>
        </w:numPr>
        <w:rPr>
          <w:lang w:val="fr-FR"/>
        </w:rPr>
      </w:pPr>
      <w:r w:rsidRPr="007D2AC6">
        <w:rPr>
          <w:lang w:val="fr-FR"/>
        </w:rPr>
        <w:t xml:space="preserve">Identification des bonnes pratiques existant en matière de planification et de suivi </w:t>
      </w:r>
      <w:r w:rsidR="00917E82" w:rsidRPr="007D2AC6">
        <w:rPr>
          <w:lang w:val="fr-FR"/>
        </w:rPr>
        <w:t>(</w:t>
      </w:r>
      <w:r w:rsidR="002A5696" w:rsidRPr="007D2AC6">
        <w:rPr>
          <w:lang w:val="fr-FR"/>
        </w:rPr>
        <w:t>y compris</w:t>
      </w:r>
      <w:r w:rsidRPr="007D2AC6">
        <w:rPr>
          <w:lang w:val="fr-FR"/>
        </w:rPr>
        <w:t xml:space="preserve"> des outils) au sein de la famille des </w:t>
      </w:r>
      <w:r w:rsidR="002A5696" w:rsidRPr="007D2AC6">
        <w:rPr>
          <w:lang w:val="fr-FR"/>
        </w:rPr>
        <w:t>Nations Unies</w:t>
      </w:r>
      <w:r w:rsidR="006A6B3E" w:rsidRPr="007D2AC6">
        <w:rPr>
          <w:lang w:val="fr-FR"/>
        </w:rPr>
        <w:t>.</w:t>
      </w:r>
    </w:p>
    <w:p w14:paraId="1271BCF7" w14:textId="6B4B8DA4" w:rsidR="00833890" w:rsidRPr="007D2AC6" w:rsidRDefault="00833890" w:rsidP="008139DE">
      <w:pPr>
        <w:pStyle w:val="ONUMFS"/>
        <w:numPr>
          <w:ilvl w:val="1"/>
          <w:numId w:val="41"/>
        </w:numPr>
        <w:rPr>
          <w:lang w:val="fr-FR"/>
        </w:rPr>
      </w:pPr>
      <w:r w:rsidRPr="007D2AC6">
        <w:rPr>
          <w:lang w:val="fr-FR"/>
        </w:rPr>
        <w:t xml:space="preserve">Prise en considération de </w:t>
      </w:r>
      <w:r w:rsidR="006A6B3E" w:rsidRPr="007D2AC6">
        <w:rPr>
          <w:lang w:val="fr-FR"/>
        </w:rPr>
        <w:t>l</w:t>
      </w:r>
      <w:r w:rsidR="002A5696" w:rsidRPr="007D2AC6">
        <w:rPr>
          <w:lang w:val="fr-FR"/>
        </w:rPr>
        <w:t>’</w:t>
      </w:r>
      <w:r w:rsidR="006A6B3E" w:rsidRPr="007D2AC6">
        <w:rPr>
          <w:lang w:val="fr-FR"/>
        </w:rPr>
        <w:t>existant</w:t>
      </w:r>
      <w:r w:rsidRPr="007D2AC6">
        <w:rPr>
          <w:lang w:val="fr-FR"/>
        </w:rPr>
        <w:t>, mise au point d</w:t>
      </w:r>
      <w:r w:rsidR="002A5696" w:rsidRPr="007D2AC6">
        <w:rPr>
          <w:lang w:val="fr-FR"/>
        </w:rPr>
        <w:t>’</w:t>
      </w:r>
      <w:r w:rsidRPr="007D2AC6">
        <w:rPr>
          <w:lang w:val="fr-FR"/>
        </w:rPr>
        <w:t>une trousse à outils de conception et de suivi des projets menés dans le cadre du Plan d</w:t>
      </w:r>
      <w:r w:rsidR="002A5696" w:rsidRPr="007D2AC6">
        <w:rPr>
          <w:lang w:val="fr-FR"/>
        </w:rPr>
        <w:t>’</w:t>
      </w:r>
      <w:r w:rsidRPr="007D2AC6">
        <w:rPr>
          <w:lang w:val="fr-FR"/>
        </w:rPr>
        <w:t xml:space="preserve">action pour le développement </w:t>
      </w:r>
      <w:r w:rsidR="00917E82" w:rsidRPr="007D2AC6">
        <w:rPr>
          <w:lang w:val="fr-FR"/>
        </w:rPr>
        <w:t>(</w:t>
      </w:r>
      <w:r w:rsidR="002A5696" w:rsidRPr="007D2AC6">
        <w:rPr>
          <w:lang w:val="fr-FR"/>
        </w:rPr>
        <w:t>y compris</w:t>
      </w:r>
      <w:r w:rsidRPr="007D2AC6">
        <w:rPr>
          <w:lang w:val="fr-FR"/>
        </w:rPr>
        <w:t xml:space="preserve"> la prise en compte des aspects relatifs à la parité dans tous les projets menés dans le cadre du Plan d</w:t>
      </w:r>
      <w:r w:rsidR="002A5696" w:rsidRPr="007D2AC6">
        <w:rPr>
          <w:lang w:val="fr-FR"/>
        </w:rPr>
        <w:t>’</w:t>
      </w:r>
      <w:r w:rsidRPr="007D2AC6">
        <w:rPr>
          <w:lang w:val="fr-FR"/>
        </w:rPr>
        <w:t>action pour le développement).</w:t>
      </w:r>
    </w:p>
    <w:p w14:paraId="67C0FF31" w14:textId="40595115" w:rsidR="00833890" w:rsidRPr="007D2AC6" w:rsidRDefault="00833890" w:rsidP="008139DE">
      <w:pPr>
        <w:pStyle w:val="ONUMFS"/>
        <w:numPr>
          <w:ilvl w:val="1"/>
          <w:numId w:val="41"/>
        </w:numPr>
        <w:rPr>
          <w:lang w:val="fr-FR"/>
        </w:rPr>
      </w:pPr>
      <w:r w:rsidRPr="007D2AC6">
        <w:rPr>
          <w:lang w:val="fr-FR"/>
        </w:rPr>
        <w:t>Cette trousse à outils devrait comporter des processus et des responsabilités clairement définis en matière de mise en œuvre du proj</w:t>
      </w:r>
      <w:r w:rsidR="001B6E2D" w:rsidRPr="007D2AC6">
        <w:rPr>
          <w:lang w:val="fr-FR"/>
        </w:rPr>
        <w:t>et.  Le</w:t>
      </w:r>
      <w:r w:rsidRPr="007D2AC6">
        <w:rPr>
          <w:lang w:val="fr-FR"/>
        </w:rPr>
        <w:t xml:space="preserve"> cadre logique devrait constituer la base de la planification, du suivi et de l</w:t>
      </w:r>
      <w:r w:rsidR="002A5696" w:rsidRPr="007D2AC6">
        <w:rPr>
          <w:lang w:val="fr-FR"/>
        </w:rPr>
        <w:t>’</w:t>
      </w:r>
      <w:r w:rsidRPr="007D2AC6">
        <w:rPr>
          <w:lang w:val="fr-FR"/>
        </w:rPr>
        <w:t xml:space="preserve">évaluation </w:t>
      </w:r>
      <w:r w:rsidR="00917E82" w:rsidRPr="007D2AC6">
        <w:rPr>
          <w:lang w:val="fr-FR"/>
        </w:rPr>
        <w:t>(</w:t>
      </w:r>
      <w:r w:rsidRPr="007D2AC6">
        <w:rPr>
          <w:lang w:val="fr-FR"/>
        </w:rPr>
        <w:t>cycle de gestion de proj</w:t>
      </w:r>
      <w:r w:rsidR="001B6E2D" w:rsidRPr="007D2AC6">
        <w:rPr>
          <w:lang w:val="fr-FR"/>
        </w:rPr>
        <w:t>et).  To</w:t>
      </w:r>
      <w:r w:rsidRPr="007D2AC6">
        <w:rPr>
          <w:lang w:val="fr-FR"/>
        </w:rPr>
        <w:t>ut en s</w:t>
      </w:r>
      <w:r w:rsidR="002A5696" w:rsidRPr="007D2AC6">
        <w:rPr>
          <w:lang w:val="fr-FR"/>
        </w:rPr>
        <w:t>’</w:t>
      </w:r>
      <w:r w:rsidRPr="007D2AC6">
        <w:rPr>
          <w:lang w:val="fr-FR"/>
        </w:rPr>
        <w:t>appuyant sur les bonnes pratiques en vigueur dans d</w:t>
      </w:r>
      <w:r w:rsidR="002A5696" w:rsidRPr="007D2AC6">
        <w:rPr>
          <w:lang w:val="fr-FR"/>
        </w:rPr>
        <w:t>’</w:t>
      </w:r>
      <w:r w:rsidRPr="007D2AC6">
        <w:rPr>
          <w:lang w:val="fr-FR"/>
        </w:rPr>
        <w:t>autres organisations, la trousse à outils devra être adaptée aux activités de coopération technique propres à l</w:t>
      </w:r>
      <w:r w:rsidR="002A5696" w:rsidRPr="007D2AC6">
        <w:rPr>
          <w:lang w:val="fr-FR"/>
        </w:rPr>
        <w:t>’</w:t>
      </w:r>
      <w:r w:rsidRPr="007D2AC6">
        <w:rPr>
          <w:lang w:val="fr-FR"/>
        </w:rPr>
        <w:t>OMPI.</w:t>
      </w:r>
    </w:p>
    <w:p w14:paraId="283D4681" w14:textId="3385827C" w:rsidR="005F0CC0" w:rsidRPr="007D2AC6" w:rsidRDefault="005F0CC0" w:rsidP="008139DE">
      <w:pPr>
        <w:pStyle w:val="ONUMFS"/>
        <w:numPr>
          <w:ilvl w:val="1"/>
          <w:numId w:val="41"/>
        </w:numPr>
        <w:rPr>
          <w:lang w:val="fr-FR"/>
        </w:rPr>
      </w:pPr>
      <w:r w:rsidRPr="007D2AC6">
        <w:rPr>
          <w:lang w:val="fr-FR"/>
        </w:rPr>
        <w:t>Organiser des cours de formation de brève durée en gestion du cycle de projets à l</w:t>
      </w:r>
      <w:r w:rsidR="002A5696" w:rsidRPr="007D2AC6">
        <w:rPr>
          <w:lang w:val="fr-FR"/>
        </w:rPr>
        <w:t>’</w:t>
      </w:r>
      <w:r w:rsidRPr="007D2AC6">
        <w:rPr>
          <w:lang w:val="fr-FR"/>
        </w:rPr>
        <w:t xml:space="preserve">intention des nouveaux chefs de projets </w:t>
      </w:r>
      <w:r w:rsidR="00917E82" w:rsidRPr="007D2AC6">
        <w:rPr>
          <w:lang w:val="fr-FR"/>
        </w:rPr>
        <w:t>(</w:t>
      </w:r>
      <w:r w:rsidRPr="007D2AC6">
        <w:rPr>
          <w:lang w:val="fr-FR"/>
        </w:rPr>
        <w:t>à l</w:t>
      </w:r>
      <w:r w:rsidR="002A5696" w:rsidRPr="007D2AC6">
        <w:rPr>
          <w:lang w:val="fr-FR"/>
        </w:rPr>
        <w:t>’</w:t>
      </w:r>
      <w:r w:rsidRPr="007D2AC6">
        <w:rPr>
          <w:lang w:val="fr-FR"/>
        </w:rPr>
        <w:t>aide de la trousse à outils).</w:t>
      </w:r>
    </w:p>
    <w:p w14:paraId="735EF65E" w14:textId="23EBA66A" w:rsidR="005F0CC0" w:rsidRPr="007D2AC6" w:rsidRDefault="005F0CC0" w:rsidP="008139DE">
      <w:pPr>
        <w:pStyle w:val="ONUMFS"/>
        <w:numPr>
          <w:ilvl w:val="1"/>
          <w:numId w:val="41"/>
        </w:numPr>
        <w:rPr>
          <w:lang w:val="fr-FR"/>
        </w:rPr>
      </w:pPr>
      <w:r w:rsidRPr="007D2AC6">
        <w:rPr>
          <w:lang w:val="fr-FR"/>
        </w:rPr>
        <w:t>Piloter ces documents ainsi que le cou</w:t>
      </w:r>
      <w:r w:rsidR="001B6E2D" w:rsidRPr="007D2AC6">
        <w:rPr>
          <w:lang w:val="fr-FR"/>
        </w:rPr>
        <w:t>rs.  En</w:t>
      </w:r>
      <w:r w:rsidRPr="007D2AC6">
        <w:rPr>
          <w:lang w:val="fr-FR"/>
        </w:rPr>
        <w:t xml:space="preserve"> cas de réussite, </w:t>
      </w:r>
      <w:proofErr w:type="gramStart"/>
      <w:r w:rsidRPr="007D2AC6">
        <w:rPr>
          <w:lang w:val="fr-FR"/>
        </w:rPr>
        <w:t>envisager</w:t>
      </w:r>
      <w:proofErr w:type="gramEnd"/>
      <w:r w:rsidRPr="007D2AC6">
        <w:rPr>
          <w:lang w:val="fr-FR"/>
        </w:rPr>
        <w:t xml:space="preserve"> de les appliquer à tous les projets ou programmes de coopération technique à l</w:t>
      </w:r>
      <w:r w:rsidR="002A5696" w:rsidRPr="007D2AC6">
        <w:rPr>
          <w:lang w:val="fr-FR"/>
        </w:rPr>
        <w:t>’</w:t>
      </w:r>
      <w:r w:rsidRPr="007D2AC6">
        <w:rPr>
          <w:lang w:val="fr-FR"/>
        </w:rPr>
        <w:t>échelle de l</w:t>
      </w:r>
      <w:r w:rsidR="002A5696" w:rsidRPr="007D2AC6">
        <w:rPr>
          <w:lang w:val="fr-FR"/>
        </w:rPr>
        <w:t>’</w:t>
      </w:r>
      <w:r w:rsidRPr="007D2AC6">
        <w:rPr>
          <w:lang w:val="fr-FR"/>
        </w:rPr>
        <w:t>organisation.</w:t>
      </w:r>
    </w:p>
    <w:p w14:paraId="5FE09ABE" w14:textId="6C2B6013" w:rsidR="0059687A" w:rsidRPr="007D2AC6" w:rsidRDefault="007D2E71" w:rsidP="0059687A">
      <w:pPr>
        <w:pStyle w:val="Heading1"/>
        <w:spacing w:before="0" w:after="220"/>
        <w:jc w:val="both"/>
        <w:rPr>
          <w:lang w:val="fr-FR"/>
        </w:rPr>
      </w:pPr>
      <w:r w:rsidRPr="007D2AC6">
        <w:rPr>
          <w:lang w:val="fr-FR"/>
        </w:rPr>
        <w:br w:type="page"/>
      </w:r>
      <w:bookmarkStart w:id="7" w:name="_Toc478372733"/>
      <w:r w:rsidR="0059687A" w:rsidRPr="007D2AC6">
        <w:rPr>
          <w:lang w:val="fr-FR"/>
        </w:rPr>
        <w:lastRenderedPageBreak/>
        <w:t>1.</w:t>
      </w:r>
      <w:r w:rsidR="0059687A" w:rsidRPr="007D2AC6">
        <w:rPr>
          <w:b w:val="0"/>
          <w:lang w:val="fr-FR"/>
        </w:rPr>
        <w:tab/>
      </w:r>
      <w:r w:rsidR="0059687A" w:rsidRPr="007D2AC6">
        <w:rPr>
          <w:lang w:val="fr-FR"/>
        </w:rPr>
        <w:t>Introduction</w:t>
      </w:r>
      <w:bookmarkEnd w:id="7"/>
    </w:p>
    <w:p w14:paraId="1B421A21" w14:textId="0823FF3B" w:rsidR="0059687A" w:rsidRPr="007D2AC6" w:rsidRDefault="005F0CC0" w:rsidP="008139DE">
      <w:pPr>
        <w:pStyle w:val="ONUMFS"/>
        <w:numPr>
          <w:ilvl w:val="0"/>
          <w:numId w:val="42"/>
        </w:numPr>
        <w:rPr>
          <w:lang w:val="fr-FR"/>
        </w:rPr>
      </w:pPr>
      <w:r w:rsidRPr="007D2AC6">
        <w:rPr>
          <w:lang w:val="fr-FR"/>
        </w:rPr>
        <w:t>La présente évaluation finale indépendante a été réalisée à la demande du Secrétari</w:t>
      </w:r>
      <w:r w:rsidR="001B6E2D" w:rsidRPr="007D2AC6">
        <w:rPr>
          <w:lang w:val="fr-FR"/>
        </w:rPr>
        <w:t>at.  El</w:t>
      </w:r>
      <w:r w:rsidRPr="007D2AC6">
        <w:rPr>
          <w:lang w:val="fr-FR"/>
        </w:rPr>
        <w:t xml:space="preserve">le porte sur le projet pilote relatif à la propriété intellectuelle et à la gestion des dessins et modèles pour le développement des entreprises dans les pays en développement et les pays les moins avancés </w:t>
      </w:r>
      <w:r w:rsidR="00853937" w:rsidRPr="007D2AC6">
        <w:rPr>
          <w:lang w:val="fr-FR"/>
        </w:rPr>
        <w:t>(</w:t>
      </w:r>
      <w:r w:rsidRPr="007D2AC6">
        <w:rPr>
          <w:lang w:val="fr-FR"/>
        </w:rPr>
        <w:t>cote du projet</w:t>
      </w:r>
      <w:r w:rsidR="002A5696" w:rsidRPr="007D2AC6">
        <w:rPr>
          <w:lang w:val="fr-FR"/>
        </w:rPr>
        <w:t> </w:t>
      </w:r>
      <w:proofErr w:type="gramStart"/>
      <w:r w:rsidR="002A5696" w:rsidRPr="007D2AC6">
        <w:rPr>
          <w:lang w:val="fr-FR"/>
        </w:rPr>
        <w:t>:</w:t>
      </w:r>
      <w:r w:rsidRPr="007D2AC6">
        <w:rPr>
          <w:lang w:val="fr-FR"/>
        </w:rPr>
        <w:t xml:space="preserve"> </w:t>
      </w:r>
      <w:proofErr w:type="spellStart"/>
      <w:r w:rsidR="00D443CF" w:rsidRPr="007D2AC6">
        <w:rPr>
          <w:lang w:val="fr-FR"/>
        </w:rPr>
        <w:t>DA</w:t>
      </w:r>
      <w:proofErr w:type="gramEnd"/>
      <w:r w:rsidR="00D443CF" w:rsidRPr="007D2AC6">
        <w:rPr>
          <w:lang w:val="fr-FR"/>
        </w:rPr>
        <w:t>_04_10_02</w:t>
      </w:r>
      <w:proofErr w:type="spellEnd"/>
      <w:r w:rsidR="00D443CF" w:rsidRPr="007D2AC6">
        <w:rPr>
          <w:lang w:val="fr-FR"/>
        </w:rPr>
        <w:t xml:space="preserve">, </w:t>
      </w:r>
      <w:r w:rsidR="009F77AF" w:rsidRPr="007D2AC6">
        <w:rPr>
          <w:lang w:val="fr-FR"/>
        </w:rPr>
        <w:t>“</w:t>
      </w:r>
      <w:r w:rsidR="006A6B3E" w:rsidRPr="007D2AC6">
        <w:rPr>
          <w:lang w:val="fr-FR"/>
        </w:rPr>
        <w:t>le p</w:t>
      </w:r>
      <w:r w:rsidRPr="007D2AC6">
        <w:rPr>
          <w:lang w:val="fr-FR"/>
        </w:rPr>
        <w:t>rojet</w:t>
      </w:r>
      <w:r w:rsidR="009F77AF" w:rsidRPr="007D2AC6">
        <w:rPr>
          <w:lang w:val="fr-FR"/>
        </w:rPr>
        <w:t>”</w:t>
      </w:r>
      <w:r w:rsidRPr="007D2AC6">
        <w:rPr>
          <w:lang w:val="fr-FR"/>
        </w:rPr>
        <w:t>) conduit dans le cadre du Plan d</w:t>
      </w:r>
      <w:r w:rsidR="002A5696" w:rsidRPr="007D2AC6">
        <w:rPr>
          <w:lang w:val="fr-FR"/>
        </w:rPr>
        <w:t>’</w:t>
      </w:r>
      <w:r w:rsidRPr="007D2AC6">
        <w:rPr>
          <w:lang w:val="fr-FR"/>
        </w:rPr>
        <w:t>action pour le développement.</w:t>
      </w:r>
    </w:p>
    <w:p w14:paraId="2DDB0B54" w14:textId="5F01DE6D" w:rsidR="0059687A" w:rsidRPr="007D2AC6" w:rsidRDefault="005F0CC0" w:rsidP="005F0CC0">
      <w:pPr>
        <w:pStyle w:val="ONUMFS"/>
        <w:rPr>
          <w:lang w:val="fr-FR"/>
        </w:rPr>
      </w:pPr>
      <w:r w:rsidRPr="007D2AC6">
        <w:rPr>
          <w:lang w:val="fr-FR"/>
        </w:rPr>
        <w:t>Ce travail a été effectué conformément au mandat du 2</w:t>
      </w:r>
      <w:r w:rsidR="002A5696" w:rsidRPr="007D2AC6">
        <w:rPr>
          <w:lang w:val="fr-FR"/>
        </w:rPr>
        <w:t>6 octobre 20</w:t>
      </w:r>
      <w:r w:rsidRPr="007D2AC6">
        <w:rPr>
          <w:lang w:val="fr-FR"/>
        </w:rPr>
        <w:t xml:space="preserve">16 </w:t>
      </w:r>
      <w:r w:rsidR="00853937" w:rsidRPr="007D2AC6">
        <w:rPr>
          <w:lang w:val="fr-FR"/>
        </w:rPr>
        <w:t>(</w:t>
      </w:r>
      <w:r w:rsidRPr="007D2AC6">
        <w:rPr>
          <w:lang w:val="fr-FR"/>
        </w:rPr>
        <w:t>appendice</w:t>
      </w:r>
      <w:r w:rsidR="00B57560" w:rsidRPr="007D2AC6">
        <w:rPr>
          <w:lang w:val="fr-FR"/>
        </w:rPr>
        <w:t> </w:t>
      </w:r>
      <w:r w:rsidRPr="007D2AC6">
        <w:rPr>
          <w:lang w:val="fr-FR"/>
        </w:rPr>
        <w:t>II) entre le 1</w:t>
      </w:r>
      <w:r w:rsidR="002A5696" w:rsidRPr="007D2AC6">
        <w:rPr>
          <w:lang w:val="fr-FR"/>
        </w:rPr>
        <w:t>5 novembre 20</w:t>
      </w:r>
      <w:r w:rsidRPr="007D2AC6">
        <w:rPr>
          <w:lang w:val="fr-FR"/>
        </w:rPr>
        <w:t>16 et le 3</w:t>
      </w:r>
      <w:r w:rsidR="002A5696" w:rsidRPr="007D2AC6">
        <w:rPr>
          <w:lang w:val="fr-FR"/>
        </w:rPr>
        <w:t>0 mai 20</w:t>
      </w:r>
      <w:r w:rsidRPr="007D2AC6">
        <w:rPr>
          <w:lang w:val="fr-FR"/>
        </w:rPr>
        <w:t>17 par un évaluateur indépendant</w:t>
      </w:r>
      <w:r w:rsidR="00912CBA" w:rsidRPr="007D2AC6">
        <w:rPr>
          <w:vertAlign w:val="superscript"/>
          <w:lang w:val="fr-FR"/>
        </w:rPr>
        <w:footnoteReference w:id="2"/>
      </w:r>
      <w:r w:rsidR="00912CBA" w:rsidRPr="007D2AC6">
        <w:rPr>
          <w:lang w:val="fr-FR"/>
        </w:rPr>
        <w:t xml:space="preserve"> </w:t>
      </w:r>
      <w:r w:rsidRPr="007D2AC6">
        <w:rPr>
          <w:lang w:val="fr-FR"/>
        </w:rPr>
        <w:t>en étroite</w:t>
      </w:r>
      <w:r w:rsidR="00A21EF8" w:rsidRPr="007D2AC6">
        <w:rPr>
          <w:lang w:val="fr-FR"/>
        </w:rPr>
        <w:t xml:space="preserve"> </w:t>
      </w:r>
      <w:r w:rsidR="006A6B3E" w:rsidRPr="007D2AC6">
        <w:rPr>
          <w:lang w:val="fr-FR"/>
        </w:rPr>
        <w:t>collaboration</w:t>
      </w:r>
      <w:r w:rsidR="00C86DCA" w:rsidRPr="007D2AC6">
        <w:rPr>
          <w:lang w:val="fr-FR"/>
        </w:rPr>
        <w:t xml:space="preserve"> </w:t>
      </w:r>
      <w:r w:rsidRPr="007D2AC6">
        <w:rPr>
          <w:lang w:val="fr-FR"/>
        </w:rPr>
        <w:t>avec la Division de la coordination du Plan d</w:t>
      </w:r>
      <w:r w:rsidR="002A5696" w:rsidRPr="007D2AC6">
        <w:rPr>
          <w:lang w:val="fr-FR"/>
        </w:rPr>
        <w:t>’</w:t>
      </w:r>
      <w:r w:rsidRPr="007D2AC6">
        <w:rPr>
          <w:lang w:val="fr-FR"/>
        </w:rPr>
        <w:t>action pour le développement.</w:t>
      </w:r>
    </w:p>
    <w:p w14:paraId="2518DE7E" w14:textId="1B3207AB" w:rsidR="0059687A" w:rsidRPr="007D2AC6" w:rsidRDefault="00DA4941" w:rsidP="00DA4941">
      <w:pPr>
        <w:pStyle w:val="Heading2"/>
        <w:rPr>
          <w:lang w:val="fr-FR"/>
        </w:rPr>
      </w:pPr>
      <w:bookmarkStart w:id="8" w:name="_Toc478372734"/>
      <w:r w:rsidRPr="007D2AC6">
        <w:rPr>
          <w:lang w:val="fr-FR"/>
        </w:rPr>
        <w:t>A)</w:t>
      </w:r>
      <w:r w:rsidRPr="007D2AC6">
        <w:rPr>
          <w:lang w:val="fr-FR"/>
        </w:rPr>
        <w:tab/>
      </w:r>
      <w:r w:rsidR="0059687A" w:rsidRPr="007D2AC6">
        <w:rPr>
          <w:lang w:val="fr-FR"/>
        </w:rPr>
        <w:t>Cadre général et description du projet</w:t>
      </w:r>
      <w:bookmarkEnd w:id="8"/>
    </w:p>
    <w:p w14:paraId="461C5D91" w14:textId="77777777" w:rsidR="0059687A" w:rsidRPr="007D2AC6" w:rsidRDefault="0059687A" w:rsidP="008139DE">
      <w:pPr>
        <w:rPr>
          <w:lang w:val="fr-FR"/>
        </w:rPr>
      </w:pPr>
    </w:p>
    <w:p w14:paraId="553BE1C2" w14:textId="64E99D0A" w:rsidR="00C504D0" w:rsidRPr="007D2AC6" w:rsidRDefault="00753C3A" w:rsidP="008139DE">
      <w:pPr>
        <w:pStyle w:val="ONUMFS"/>
        <w:rPr>
          <w:lang w:val="fr-FR"/>
        </w:rPr>
      </w:pPr>
      <w:r w:rsidRPr="007D2AC6">
        <w:rPr>
          <w:lang w:val="fr-FR"/>
        </w:rPr>
        <w:t>A</w:t>
      </w:r>
      <w:r w:rsidR="00FE3DDD" w:rsidRPr="007D2AC6">
        <w:rPr>
          <w:lang w:val="fr-FR"/>
        </w:rPr>
        <w:t>dopt</w:t>
      </w:r>
      <w:r w:rsidR="00C504D0" w:rsidRPr="007D2AC6">
        <w:rPr>
          <w:lang w:val="fr-FR"/>
        </w:rPr>
        <w:t>é par le Comité du développement et de la propriété intellectuelle </w:t>
      </w:r>
      <w:r w:rsidR="00C504D0" w:rsidRPr="007D2AC6">
        <w:rPr>
          <w:lang w:val="fr-FR"/>
        </w:rPr>
        <w:sym w:font="Symbol" w:char="F028"/>
      </w:r>
      <w:proofErr w:type="spellStart"/>
      <w:r w:rsidR="00C504D0" w:rsidRPr="007D2AC6">
        <w:rPr>
          <w:lang w:val="fr-FR"/>
        </w:rPr>
        <w:t>CDIP</w:t>
      </w:r>
      <w:proofErr w:type="spellEnd"/>
      <w:r w:rsidR="00C504D0" w:rsidRPr="007D2AC6">
        <w:rPr>
          <w:lang w:val="fr-FR"/>
        </w:rPr>
        <w:t xml:space="preserve">) lors de sa </w:t>
      </w:r>
      <w:r w:rsidR="006F2775" w:rsidRPr="007D2AC6">
        <w:rPr>
          <w:lang w:val="fr-FR"/>
        </w:rPr>
        <w:t>douzième</w:t>
      </w:r>
      <w:r w:rsidR="00B57560" w:rsidRPr="007D2AC6">
        <w:rPr>
          <w:lang w:val="fr-FR"/>
        </w:rPr>
        <w:t> </w:t>
      </w:r>
      <w:r w:rsidR="00C504D0" w:rsidRPr="007D2AC6">
        <w:rPr>
          <w:lang w:val="fr-FR"/>
        </w:rPr>
        <w:t xml:space="preserve">session tenue à Genève </w:t>
      </w:r>
      <w:r w:rsidR="00853937" w:rsidRPr="007D2AC6">
        <w:rPr>
          <w:lang w:val="fr-FR"/>
        </w:rPr>
        <w:t>(</w:t>
      </w:r>
      <w:r w:rsidR="00C504D0" w:rsidRPr="007D2AC6">
        <w:rPr>
          <w:lang w:val="fr-FR"/>
        </w:rPr>
        <w:t>18</w:t>
      </w:r>
      <w:r w:rsidR="00B57560" w:rsidRPr="007D2AC6">
        <w:rPr>
          <w:lang w:val="fr-FR"/>
        </w:rPr>
        <w:noBreakHyphen/>
      </w:r>
      <w:r w:rsidR="00C504D0" w:rsidRPr="007D2AC6">
        <w:rPr>
          <w:lang w:val="fr-FR"/>
        </w:rPr>
        <w:t>2</w:t>
      </w:r>
      <w:r w:rsidR="002A5696" w:rsidRPr="007D2AC6">
        <w:rPr>
          <w:lang w:val="fr-FR"/>
        </w:rPr>
        <w:t>1 novembre 20</w:t>
      </w:r>
      <w:r w:rsidR="00C504D0" w:rsidRPr="007D2AC6">
        <w:rPr>
          <w:lang w:val="fr-FR"/>
        </w:rPr>
        <w:t>13)</w:t>
      </w:r>
      <w:r w:rsidR="00C504D0" w:rsidRPr="007D2AC6">
        <w:rPr>
          <w:rStyle w:val="FootnoteReference"/>
          <w:lang w:val="fr-FR"/>
        </w:rPr>
        <w:footnoteReference w:id="3"/>
      </w:r>
      <w:r w:rsidR="006A6B3E" w:rsidRPr="007D2AC6">
        <w:rPr>
          <w:rStyle w:val="FootnoteReference"/>
          <w:lang w:val="fr-FR"/>
        </w:rPr>
        <w:t>,</w:t>
      </w:r>
      <w:r w:rsidR="006A6B3E" w:rsidRPr="007D2AC6">
        <w:rPr>
          <w:lang w:val="fr-FR"/>
        </w:rPr>
        <w:t xml:space="preserve"> le p</w:t>
      </w:r>
      <w:r w:rsidR="00C504D0" w:rsidRPr="007D2AC6">
        <w:rPr>
          <w:lang w:val="fr-FR"/>
        </w:rPr>
        <w:t>rojet a été préparé par le Secrétariat sur la base d</w:t>
      </w:r>
      <w:r w:rsidR="002A5696" w:rsidRPr="007D2AC6">
        <w:rPr>
          <w:lang w:val="fr-FR"/>
        </w:rPr>
        <w:t>’</w:t>
      </w:r>
      <w:r w:rsidR="00C504D0" w:rsidRPr="007D2AC6">
        <w:rPr>
          <w:lang w:val="fr-FR"/>
        </w:rPr>
        <w:t>une proposition présentée par la République de Corée lors de la onz</w:t>
      </w:r>
      <w:r w:rsidR="002A5696" w:rsidRPr="007D2AC6">
        <w:rPr>
          <w:lang w:val="fr-FR"/>
        </w:rPr>
        <w:t>ième session du </w:t>
      </w:r>
      <w:proofErr w:type="spellStart"/>
      <w:r w:rsidR="002A5696" w:rsidRPr="007D2AC6">
        <w:rPr>
          <w:lang w:val="fr-FR"/>
        </w:rPr>
        <w:t>CDI</w:t>
      </w:r>
      <w:r w:rsidR="00C504D0" w:rsidRPr="007D2AC6">
        <w:rPr>
          <w:lang w:val="fr-FR"/>
        </w:rPr>
        <w:t>P</w:t>
      </w:r>
      <w:proofErr w:type="spellEnd"/>
      <w:r w:rsidR="00C504D0" w:rsidRPr="007D2AC6">
        <w:rPr>
          <w:rStyle w:val="FootnoteReference"/>
          <w:lang w:val="fr-FR"/>
        </w:rPr>
        <w:footnoteReference w:id="4"/>
      </w:r>
      <w:r w:rsidR="00C504D0" w:rsidRPr="007D2AC6">
        <w:rPr>
          <w:lang w:val="fr-FR"/>
        </w:rPr>
        <w:t xml:space="preserve">.  La durée prévue du </w:t>
      </w:r>
      <w:r w:rsidR="006A6B3E" w:rsidRPr="007D2AC6">
        <w:rPr>
          <w:lang w:val="fr-FR"/>
        </w:rPr>
        <w:t>p</w:t>
      </w:r>
      <w:r w:rsidR="00C504D0" w:rsidRPr="007D2AC6">
        <w:rPr>
          <w:lang w:val="fr-FR"/>
        </w:rPr>
        <w:t>rojet était de 24</w:t>
      </w:r>
      <w:r w:rsidR="00B57560" w:rsidRPr="007D2AC6">
        <w:rPr>
          <w:lang w:val="fr-FR"/>
        </w:rPr>
        <w:t> </w:t>
      </w:r>
      <w:r w:rsidR="00C504D0" w:rsidRPr="007D2AC6">
        <w:rPr>
          <w:lang w:val="fr-FR"/>
        </w:rPr>
        <w:t>mois, à partir du</w:t>
      </w:r>
      <w:r w:rsidR="002A5696" w:rsidRPr="007D2AC6">
        <w:rPr>
          <w:lang w:val="fr-FR"/>
        </w:rPr>
        <w:t xml:space="preserve"> 1</w:t>
      </w:r>
      <w:r w:rsidR="002A5696" w:rsidRPr="007D2AC6">
        <w:rPr>
          <w:vertAlign w:val="superscript"/>
          <w:lang w:val="fr-FR"/>
        </w:rPr>
        <w:t>er</w:t>
      </w:r>
      <w:r w:rsidR="002A5696" w:rsidRPr="007D2AC6">
        <w:rPr>
          <w:lang w:val="fr-FR"/>
        </w:rPr>
        <w:t> janvier 20</w:t>
      </w:r>
      <w:r w:rsidR="00C504D0" w:rsidRPr="007D2AC6">
        <w:rPr>
          <w:lang w:val="fr-FR"/>
        </w:rPr>
        <w:t>14.</w:t>
      </w:r>
    </w:p>
    <w:p w14:paraId="382B9397" w14:textId="0A8F1D92" w:rsidR="00C504D0" w:rsidRPr="007D2AC6" w:rsidRDefault="00631810" w:rsidP="008139DE">
      <w:pPr>
        <w:pStyle w:val="ONUMFS"/>
        <w:rPr>
          <w:lang w:val="fr-FR"/>
        </w:rPr>
      </w:pPr>
      <w:r w:rsidRPr="007D2AC6">
        <w:rPr>
          <w:lang w:val="fr-FR"/>
        </w:rPr>
        <w:t xml:space="preserve">Les activités préparatoires ont commencé en </w:t>
      </w:r>
      <w:r w:rsidR="002A5696" w:rsidRPr="007D2AC6">
        <w:rPr>
          <w:lang w:val="fr-FR"/>
        </w:rPr>
        <w:t>avril 20</w:t>
      </w:r>
      <w:r w:rsidRPr="007D2AC6">
        <w:rPr>
          <w:lang w:val="fr-FR"/>
        </w:rPr>
        <w:t>14, après le recrutement d</w:t>
      </w:r>
      <w:r w:rsidR="002A5696" w:rsidRPr="007D2AC6">
        <w:rPr>
          <w:lang w:val="fr-FR"/>
        </w:rPr>
        <w:t>’</w:t>
      </w:r>
      <w:r w:rsidRPr="007D2AC6">
        <w:rPr>
          <w:lang w:val="fr-FR"/>
        </w:rPr>
        <w:t>un</w:t>
      </w:r>
      <w:r w:rsidR="002F0766" w:rsidRPr="007D2AC6">
        <w:rPr>
          <w:lang w:val="fr-FR"/>
        </w:rPr>
        <w:t>e administrat</w:t>
      </w:r>
      <w:r w:rsidRPr="007D2AC6">
        <w:rPr>
          <w:lang w:val="fr-FR"/>
        </w:rPr>
        <w:t>r</w:t>
      </w:r>
      <w:r w:rsidR="002F0766" w:rsidRPr="007D2AC6">
        <w:rPr>
          <w:lang w:val="fr-FR"/>
        </w:rPr>
        <w:t>ice</w:t>
      </w:r>
      <w:r w:rsidRPr="007D2AC6">
        <w:rPr>
          <w:lang w:val="fr-FR"/>
        </w:rPr>
        <w:t xml:space="preserve"> de projet. </w:t>
      </w:r>
      <w:r w:rsidR="00C91DAA" w:rsidRPr="007D2AC6">
        <w:rPr>
          <w:lang w:val="fr-FR"/>
        </w:rPr>
        <w:t xml:space="preserve"> </w:t>
      </w:r>
      <w:r w:rsidRPr="007D2AC6">
        <w:rPr>
          <w:lang w:val="fr-FR"/>
        </w:rPr>
        <w:t>L</w:t>
      </w:r>
      <w:r w:rsidR="002A5696" w:rsidRPr="007D2AC6">
        <w:rPr>
          <w:lang w:val="fr-FR"/>
        </w:rPr>
        <w:t>’</w:t>
      </w:r>
      <w:r w:rsidRPr="007D2AC6">
        <w:rPr>
          <w:lang w:val="fr-FR"/>
        </w:rPr>
        <w:t>Argentine et le Maroc ont été choisis comme pays bénéficiaires à l</w:t>
      </w:r>
      <w:r w:rsidR="002A5696" w:rsidRPr="007D2AC6">
        <w:rPr>
          <w:lang w:val="fr-FR"/>
        </w:rPr>
        <w:t>’</w:t>
      </w:r>
      <w:r w:rsidRPr="007D2AC6">
        <w:rPr>
          <w:lang w:val="fr-FR"/>
        </w:rPr>
        <w:t>issue d</w:t>
      </w:r>
      <w:r w:rsidR="002A5696" w:rsidRPr="007D2AC6">
        <w:rPr>
          <w:lang w:val="fr-FR"/>
        </w:rPr>
        <w:t>’</w:t>
      </w:r>
      <w:r w:rsidRPr="007D2AC6">
        <w:rPr>
          <w:lang w:val="fr-FR"/>
        </w:rPr>
        <w:t>un processus de sélection systématiq</w:t>
      </w:r>
      <w:r w:rsidR="001B6E2D" w:rsidRPr="007D2AC6">
        <w:rPr>
          <w:lang w:val="fr-FR"/>
        </w:rPr>
        <w:t>ue.  Un</w:t>
      </w:r>
      <w:r w:rsidRPr="007D2AC6">
        <w:rPr>
          <w:lang w:val="fr-FR"/>
        </w:rPr>
        <w:t xml:space="preserve">e assistance technique a été apportée aux entreprises entre la fin </w:t>
      </w:r>
      <w:r w:rsidR="002A5696" w:rsidRPr="007D2AC6">
        <w:rPr>
          <w:lang w:val="fr-FR"/>
        </w:rPr>
        <w:t>de 2014</w:t>
      </w:r>
      <w:r w:rsidRPr="007D2AC6">
        <w:rPr>
          <w:lang w:val="fr-FR"/>
        </w:rPr>
        <w:t xml:space="preserve"> et </w:t>
      </w:r>
      <w:r w:rsidR="002A5696" w:rsidRPr="007D2AC6">
        <w:rPr>
          <w:lang w:val="fr-FR"/>
        </w:rPr>
        <w:t>décembre 20</w:t>
      </w:r>
      <w:r w:rsidRPr="007D2AC6">
        <w:rPr>
          <w:lang w:val="fr-FR"/>
        </w:rPr>
        <w:t>16</w:t>
      </w:r>
      <w:r w:rsidRPr="007D2AC6">
        <w:rPr>
          <w:rStyle w:val="FootnoteReference"/>
          <w:lang w:val="fr-FR"/>
        </w:rPr>
        <w:footnoteReference w:id="5"/>
      </w:r>
      <w:r w:rsidRPr="007D2AC6">
        <w:rPr>
          <w:lang w:val="fr-FR"/>
        </w:rPr>
        <w:t>.  Une auto</w:t>
      </w:r>
      <w:r w:rsidR="00B57560" w:rsidRPr="007D2AC6">
        <w:rPr>
          <w:lang w:val="fr-FR"/>
        </w:rPr>
        <w:noBreakHyphen/>
      </w:r>
      <w:r w:rsidRPr="007D2AC6">
        <w:rPr>
          <w:lang w:val="fr-FR"/>
        </w:rPr>
        <w:t>évaluation</w:t>
      </w:r>
      <w:r w:rsidRPr="007D2AC6">
        <w:rPr>
          <w:rStyle w:val="FootnoteReference"/>
          <w:lang w:val="fr-FR"/>
        </w:rPr>
        <w:footnoteReference w:id="6"/>
      </w:r>
      <w:r w:rsidRPr="007D2AC6">
        <w:rPr>
          <w:lang w:val="fr-FR"/>
        </w:rPr>
        <w:t xml:space="preserve"> à mi</w:t>
      </w:r>
      <w:r w:rsidR="00B57560" w:rsidRPr="007D2AC6">
        <w:rPr>
          <w:lang w:val="fr-FR"/>
        </w:rPr>
        <w:noBreakHyphen/>
      </w:r>
      <w:r w:rsidRPr="007D2AC6">
        <w:rPr>
          <w:lang w:val="fr-FR"/>
        </w:rPr>
        <w:t>parcours a été réalisée au cours du deuxième semestre</w:t>
      </w:r>
      <w:r w:rsidR="00B57560" w:rsidRPr="007D2AC6">
        <w:rPr>
          <w:lang w:val="fr-FR"/>
        </w:rPr>
        <w:t> </w:t>
      </w:r>
      <w:r w:rsidRPr="007D2AC6">
        <w:rPr>
          <w:lang w:val="fr-FR"/>
        </w:rPr>
        <w:t>2015.</w:t>
      </w:r>
    </w:p>
    <w:p w14:paraId="54FA9B19" w14:textId="6A16D426" w:rsidR="00631810" w:rsidRPr="007D2AC6" w:rsidRDefault="00631810" w:rsidP="008139DE">
      <w:pPr>
        <w:pStyle w:val="ONUMFS"/>
        <w:rPr>
          <w:lang w:val="fr-FR"/>
        </w:rPr>
      </w:pPr>
      <w:r w:rsidRPr="007D2AC6">
        <w:rPr>
          <w:lang w:val="fr-FR"/>
        </w:rPr>
        <w:t xml:space="preserve">Conformément aux objectifs </w:t>
      </w:r>
      <w:r w:rsidR="007437D3" w:rsidRPr="007D2AC6">
        <w:rPr>
          <w:lang w:val="fr-FR"/>
        </w:rPr>
        <w:t xml:space="preserve">plus larges énoncés dans les recommandations </w:t>
      </w:r>
      <w:r w:rsidR="009F77AF" w:rsidRPr="007D2AC6">
        <w:rPr>
          <w:lang w:val="fr-FR"/>
        </w:rPr>
        <w:t>n</w:t>
      </w:r>
      <w:r w:rsidR="009F77AF" w:rsidRPr="007D2AC6">
        <w:rPr>
          <w:vertAlign w:val="superscript"/>
          <w:lang w:val="fr-FR"/>
        </w:rPr>
        <w:t>os</w:t>
      </w:r>
      <w:r w:rsidR="009F77AF" w:rsidRPr="007D2AC6">
        <w:rPr>
          <w:lang w:val="fr-FR"/>
        </w:rPr>
        <w:t> </w:t>
      </w:r>
      <w:r w:rsidR="007437D3" w:rsidRPr="007D2AC6">
        <w:rPr>
          <w:lang w:val="fr-FR"/>
        </w:rPr>
        <w:t>4</w:t>
      </w:r>
      <w:r w:rsidR="007437D3" w:rsidRPr="007D2AC6">
        <w:rPr>
          <w:rStyle w:val="FootnoteReference"/>
          <w:lang w:val="fr-FR"/>
        </w:rPr>
        <w:footnoteReference w:id="7"/>
      </w:r>
      <w:r w:rsidR="007437D3" w:rsidRPr="007D2AC6">
        <w:rPr>
          <w:lang w:val="fr-FR"/>
        </w:rPr>
        <w:t xml:space="preserve"> et 10</w:t>
      </w:r>
      <w:r w:rsidR="007437D3" w:rsidRPr="007D2AC6">
        <w:rPr>
          <w:rStyle w:val="FootnoteReference"/>
          <w:lang w:val="fr-FR"/>
        </w:rPr>
        <w:footnoteReference w:id="8"/>
      </w:r>
      <w:r w:rsidR="006A6B3E" w:rsidRPr="007D2AC6">
        <w:rPr>
          <w:lang w:val="fr-FR"/>
        </w:rPr>
        <w:t xml:space="preserve"> du </w:t>
      </w:r>
      <w:r w:rsidR="007437D3" w:rsidRPr="007D2AC6">
        <w:rPr>
          <w:lang w:val="fr-FR"/>
        </w:rPr>
        <w:t>Plan d</w:t>
      </w:r>
      <w:r w:rsidR="002A5696" w:rsidRPr="007D2AC6">
        <w:rPr>
          <w:lang w:val="fr-FR"/>
        </w:rPr>
        <w:t>’</w:t>
      </w:r>
      <w:r w:rsidR="007437D3" w:rsidRPr="007D2AC6">
        <w:rPr>
          <w:lang w:val="fr-FR"/>
        </w:rPr>
        <w:t xml:space="preserve">action pour le développement, le </w:t>
      </w:r>
      <w:r w:rsidR="006A6B3E" w:rsidRPr="007D2AC6">
        <w:rPr>
          <w:lang w:val="fr-FR"/>
        </w:rPr>
        <w:t>p</w:t>
      </w:r>
      <w:r w:rsidR="007437D3" w:rsidRPr="007D2AC6">
        <w:rPr>
          <w:lang w:val="fr-FR"/>
        </w:rPr>
        <w:t>rojet encourageait l</w:t>
      </w:r>
      <w:r w:rsidR="002A5696" w:rsidRPr="007D2AC6">
        <w:rPr>
          <w:lang w:val="fr-FR"/>
        </w:rPr>
        <w:t>’</w:t>
      </w:r>
      <w:r w:rsidR="007437D3" w:rsidRPr="007D2AC6">
        <w:rPr>
          <w:lang w:val="fr-FR"/>
        </w:rPr>
        <w:t xml:space="preserve">utilisation stratégique et la protection des dessins et modèles industriels par les petites et moyennes entreprises </w:t>
      </w:r>
      <w:r w:rsidR="00853937" w:rsidRPr="007D2AC6">
        <w:rPr>
          <w:lang w:val="fr-FR"/>
        </w:rPr>
        <w:t>(</w:t>
      </w:r>
      <w:r w:rsidR="007437D3" w:rsidRPr="007D2AC6">
        <w:rPr>
          <w:lang w:val="fr-FR"/>
        </w:rPr>
        <w:t>PME) dans deux</w:t>
      </w:r>
      <w:r w:rsidR="009F77AF" w:rsidRPr="007D2AC6">
        <w:rPr>
          <w:lang w:val="fr-FR"/>
        </w:rPr>
        <w:t> </w:t>
      </w:r>
      <w:r w:rsidR="007437D3" w:rsidRPr="007D2AC6">
        <w:rPr>
          <w:lang w:val="fr-FR"/>
        </w:rPr>
        <w:t>pays cibl</w:t>
      </w:r>
      <w:r w:rsidR="001B6E2D" w:rsidRPr="007D2AC6">
        <w:rPr>
          <w:lang w:val="fr-FR"/>
        </w:rPr>
        <w:t>és.  L’e</w:t>
      </w:r>
      <w:r w:rsidR="007437D3" w:rsidRPr="007D2AC6">
        <w:rPr>
          <w:lang w:val="fr-FR"/>
        </w:rPr>
        <w:t>xtension et la réplication de cette approche visai</w:t>
      </w:r>
      <w:r w:rsidR="006A6B3E" w:rsidRPr="007D2AC6">
        <w:rPr>
          <w:lang w:val="fr-FR"/>
        </w:rPr>
        <w:t>en</w:t>
      </w:r>
      <w:r w:rsidR="007437D3" w:rsidRPr="007D2AC6">
        <w:rPr>
          <w:lang w:val="fr-FR"/>
        </w:rPr>
        <w:t>t à remédier aux obstacles rencontrés par les pays en développement et</w:t>
      </w:r>
      <w:r w:rsidR="002A5696" w:rsidRPr="007D2AC6">
        <w:rPr>
          <w:lang w:val="fr-FR"/>
        </w:rPr>
        <w:t xml:space="preserve"> les PMA</w:t>
      </w:r>
      <w:r w:rsidR="007437D3" w:rsidRPr="007D2AC6">
        <w:rPr>
          <w:lang w:val="fr-FR"/>
        </w:rPr>
        <w:t xml:space="preserve"> qui cherchent à valoriser leurs dessins et modèles industriels.</w:t>
      </w:r>
    </w:p>
    <w:p w14:paraId="5EE2162A" w14:textId="67E665D1" w:rsidR="007437D3" w:rsidRPr="007D2AC6" w:rsidRDefault="00C91DAA" w:rsidP="008139DE">
      <w:pPr>
        <w:pStyle w:val="ONUMFS"/>
        <w:rPr>
          <w:lang w:val="fr-FR"/>
        </w:rPr>
      </w:pPr>
      <w:r w:rsidRPr="007D2AC6">
        <w:rPr>
          <w:lang w:val="fr-FR"/>
        </w:rPr>
        <w:t>Les caractéristiques des dessins et modèles jouent un rôle important car elles confèrent du prestige aux produits et les font reconnaître, ce qui leur ajoute de la valeur et renforce la demande du marc</w:t>
      </w:r>
      <w:r w:rsidR="001B6E2D" w:rsidRPr="007D2AC6">
        <w:rPr>
          <w:lang w:val="fr-FR"/>
        </w:rPr>
        <w:t>hé.  Le</w:t>
      </w:r>
      <w:r w:rsidRPr="007D2AC6">
        <w:rPr>
          <w:lang w:val="fr-FR"/>
        </w:rPr>
        <w:t>s dessins et modèles sont en outre un excellent moyen, pour les entreprises, d</w:t>
      </w:r>
      <w:r w:rsidR="002A5696" w:rsidRPr="007D2AC6">
        <w:rPr>
          <w:lang w:val="fr-FR"/>
        </w:rPr>
        <w:t>’</w:t>
      </w:r>
      <w:r w:rsidRPr="007D2AC6">
        <w:rPr>
          <w:lang w:val="fr-FR"/>
        </w:rPr>
        <w:t>acquérir un avantage comparatif en se démarquant des autres.</w:t>
      </w:r>
    </w:p>
    <w:p w14:paraId="37CFA8CD" w14:textId="29EF2070" w:rsidR="00E1315F" w:rsidRPr="007D2AC6" w:rsidRDefault="00E1315F" w:rsidP="008139DE">
      <w:pPr>
        <w:pStyle w:val="ONUMFS"/>
        <w:rPr>
          <w:lang w:val="fr-FR"/>
        </w:rPr>
      </w:pPr>
      <w:r w:rsidRPr="007D2AC6">
        <w:rPr>
          <w:lang w:val="fr-FR"/>
        </w:rPr>
        <w:t>Les principaux obstacles décelés au cours de la préparation du projet étaient, d</w:t>
      </w:r>
      <w:r w:rsidR="002A5696" w:rsidRPr="007D2AC6">
        <w:rPr>
          <w:lang w:val="fr-FR"/>
        </w:rPr>
        <w:t>’</w:t>
      </w:r>
      <w:r w:rsidRPr="007D2AC6">
        <w:rPr>
          <w:lang w:val="fr-FR"/>
        </w:rPr>
        <w:t>une part, le manque d</w:t>
      </w:r>
      <w:r w:rsidR="002A5696" w:rsidRPr="007D2AC6">
        <w:rPr>
          <w:lang w:val="fr-FR"/>
        </w:rPr>
        <w:t>’</w:t>
      </w:r>
      <w:r w:rsidRPr="007D2AC6">
        <w:rPr>
          <w:lang w:val="fr-FR"/>
        </w:rPr>
        <w:t xml:space="preserve">information du public, les entreprises ne sachant pas comment mettre en valeur les </w:t>
      </w:r>
      <w:r w:rsidRPr="007D2AC6">
        <w:rPr>
          <w:lang w:val="fr-FR"/>
        </w:rPr>
        <w:lastRenderedPageBreak/>
        <w:t>avantages de leurs dessins et modèles, et, d</w:t>
      </w:r>
      <w:r w:rsidR="002A5696" w:rsidRPr="007D2AC6">
        <w:rPr>
          <w:lang w:val="fr-FR"/>
        </w:rPr>
        <w:t>’</w:t>
      </w:r>
      <w:r w:rsidRPr="007D2AC6">
        <w:rPr>
          <w:lang w:val="fr-FR"/>
        </w:rPr>
        <w:t>autre part, la capacité encore faible des offices de propriété intellectuelle, des tribunaux et des organismes chargés de l</w:t>
      </w:r>
      <w:r w:rsidR="002A5696" w:rsidRPr="007D2AC6">
        <w:rPr>
          <w:lang w:val="fr-FR"/>
        </w:rPr>
        <w:t>’</w:t>
      </w:r>
      <w:r w:rsidRPr="007D2AC6">
        <w:rPr>
          <w:lang w:val="fr-FR"/>
        </w:rPr>
        <w:t>application des droits.</w:t>
      </w:r>
    </w:p>
    <w:p w14:paraId="4EC677F1" w14:textId="5F6B0F70" w:rsidR="00E1315F" w:rsidRPr="007D2AC6" w:rsidRDefault="00E1315F" w:rsidP="008139DE">
      <w:pPr>
        <w:pStyle w:val="ONUMFS"/>
        <w:rPr>
          <w:lang w:val="fr-FR"/>
        </w:rPr>
      </w:pPr>
      <w:r w:rsidRPr="007D2AC6">
        <w:rPr>
          <w:lang w:val="fr-FR"/>
        </w:rPr>
        <w:t>Les principaux éléments de la stratégie d</w:t>
      </w:r>
      <w:r w:rsidR="002A5696" w:rsidRPr="007D2AC6">
        <w:rPr>
          <w:lang w:val="fr-FR"/>
        </w:rPr>
        <w:t>’</w:t>
      </w:r>
      <w:r w:rsidRPr="007D2AC6">
        <w:rPr>
          <w:lang w:val="fr-FR"/>
        </w:rPr>
        <w:t xml:space="preserve">intervention étaient la sensibilisation, la démonstration des avantages et le renforcement des </w:t>
      </w:r>
      <w:r w:rsidR="001C73F5" w:rsidRPr="007D2AC6">
        <w:rPr>
          <w:lang w:val="fr-FR"/>
        </w:rPr>
        <w:t>connaissances pratiques</w:t>
      </w:r>
      <w:r w:rsidR="002A5696" w:rsidRPr="007D2AC6">
        <w:rPr>
          <w:lang w:val="fr-FR"/>
        </w:rPr>
        <w:t xml:space="preserve"> des PME</w:t>
      </w:r>
      <w:r w:rsidR="001C73F5" w:rsidRPr="007D2AC6">
        <w:rPr>
          <w:lang w:val="fr-FR"/>
        </w:rPr>
        <w:t xml:space="preserve"> dans le domaine de la protection et de la gestion de leurs droits sur leurs dessins et modèles</w:t>
      </w:r>
      <w:r w:rsidR="001C73F5" w:rsidRPr="007D2AC6">
        <w:rPr>
          <w:rStyle w:val="FootnoteReference"/>
          <w:lang w:val="fr-FR"/>
        </w:rPr>
        <w:footnoteReference w:id="9"/>
      </w:r>
      <w:r w:rsidR="001C73F5" w:rsidRPr="007D2AC6">
        <w:rPr>
          <w:lang w:val="fr-FR"/>
        </w:rPr>
        <w:t>.  Il s</w:t>
      </w:r>
      <w:r w:rsidR="002A5696" w:rsidRPr="007D2AC6">
        <w:rPr>
          <w:lang w:val="fr-FR"/>
        </w:rPr>
        <w:t>’</w:t>
      </w:r>
      <w:r w:rsidR="001C73F5" w:rsidRPr="007D2AC6">
        <w:rPr>
          <w:lang w:val="fr-FR"/>
        </w:rPr>
        <w:t>agissait parallèlement de renforcer les capacités des institutions de propriété intellectuelle afin d</w:t>
      </w:r>
      <w:r w:rsidR="002A5696" w:rsidRPr="007D2AC6">
        <w:rPr>
          <w:lang w:val="fr-FR"/>
        </w:rPr>
        <w:t>’</w:t>
      </w:r>
      <w:r w:rsidR="001C73F5" w:rsidRPr="007D2AC6">
        <w:rPr>
          <w:lang w:val="fr-FR"/>
        </w:rPr>
        <w:t>aider les entreprises à protéger leurs dessins et modèles.</w:t>
      </w:r>
    </w:p>
    <w:p w14:paraId="52C7271F" w14:textId="08B747C8" w:rsidR="001C73F5" w:rsidRPr="007D2AC6" w:rsidRDefault="001C73F5" w:rsidP="008139DE">
      <w:pPr>
        <w:pStyle w:val="ONUMFS"/>
        <w:rPr>
          <w:lang w:val="fr-FR"/>
        </w:rPr>
      </w:pPr>
      <w:r w:rsidRPr="007D2AC6">
        <w:rPr>
          <w:lang w:val="fr-FR"/>
        </w:rPr>
        <w:t>La méthode essentielle de renforcement des capacités des entreprises consistait dans le pilotage de l</w:t>
      </w:r>
      <w:r w:rsidR="002A5696" w:rsidRPr="007D2AC6">
        <w:rPr>
          <w:lang w:val="fr-FR"/>
        </w:rPr>
        <w:t>’</w:t>
      </w:r>
      <w:r w:rsidRPr="007D2AC6">
        <w:rPr>
          <w:lang w:val="fr-FR"/>
        </w:rPr>
        <w:t>ensemble du processus de protection des dessins et modèles, de la demande à l</w:t>
      </w:r>
      <w:r w:rsidR="002A5696" w:rsidRPr="007D2AC6">
        <w:rPr>
          <w:lang w:val="fr-FR"/>
        </w:rPr>
        <w:t>’</w:t>
      </w:r>
      <w:r w:rsidRPr="007D2AC6">
        <w:rPr>
          <w:lang w:val="fr-FR"/>
        </w:rPr>
        <w:t>enregistrement</w:t>
      </w:r>
      <w:r w:rsidRPr="007D2AC6">
        <w:rPr>
          <w:vertAlign w:val="superscript"/>
          <w:lang w:val="fr-FR"/>
        </w:rPr>
        <w:footnoteReference w:id="10"/>
      </w:r>
      <w:r w:rsidR="009F77AF" w:rsidRPr="007D2AC6">
        <w:rPr>
          <w:lang w:val="fr-FR"/>
        </w:rPr>
        <w:t>.</w:t>
      </w:r>
      <w:r w:rsidRPr="007D2AC6">
        <w:rPr>
          <w:lang w:val="fr-FR"/>
        </w:rPr>
        <w:t xml:space="preserve">  L</w:t>
      </w:r>
      <w:r w:rsidR="002A5696" w:rsidRPr="007D2AC6">
        <w:rPr>
          <w:lang w:val="fr-FR"/>
        </w:rPr>
        <w:t>’</w:t>
      </w:r>
      <w:r w:rsidRPr="007D2AC6">
        <w:rPr>
          <w:lang w:val="fr-FR"/>
        </w:rPr>
        <w:t xml:space="preserve">assistance technique portait sur la sensibilisation </w:t>
      </w:r>
      <w:r w:rsidR="00853937" w:rsidRPr="007D2AC6">
        <w:rPr>
          <w:lang w:val="fr-FR"/>
        </w:rPr>
        <w:t>(</w:t>
      </w:r>
      <w:r w:rsidRPr="007D2AC6">
        <w:rPr>
          <w:lang w:val="fr-FR"/>
        </w:rPr>
        <w:t>tant à l</w:t>
      </w:r>
      <w:r w:rsidR="002A5696" w:rsidRPr="007D2AC6">
        <w:rPr>
          <w:lang w:val="fr-FR"/>
        </w:rPr>
        <w:t>’</w:t>
      </w:r>
      <w:r w:rsidRPr="007D2AC6">
        <w:rPr>
          <w:lang w:val="fr-FR"/>
        </w:rPr>
        <w:t>échelon national que parmi les participants</w:t>
      </w:r>
      <w:r w:rsidR="002A5696" w:rsidRPr="007D2AC6">
        <w:rPr>
          <w:lang w:val="fr-FR"/>
        </w:rPr>
        <w:t xml:space="preserve"> du </w:t>
      </w:r>
      <w:proofErr w:type="spellStart"/>
      <w:r w:rsidR="002A5696" w:rsidRPr="007D2AC6">
        <w:rPr>
          <w:lang w:val="fr-FR"/>
        </w:rPr>
        <w:t>CDI</w:t>
      </w:r>
      <w:r w:rsidRPr="007D2AC6">
        <w:rPr>
          <w:lang w:val="fr-FR"/>
        </w:rPr>
        <w:t>P</w:t>
      </w:r>
      <w:proofErr w:type="spellEnd"/>
      <w:r w:rsidRPr="007D2AC6">
        <w:rPr>
          <w:lang w:val="fr-FR"/>
        </w:rPr>
        <w:t>), la mise au point d</w:t>
      </w:r>
      <w:r w:rsidR="002A5696" w:rsidRPr="007D2AC6">
        <w:rPr>
          <w:lang w:val="fr-FR"/>
        </w:rPr>
        <w:t>’</w:t>
      </w:r>
      <w:r w:rsidRPr="007D2AC6">
        <w:rPr>
          <w:lang w:val="fr-FR"/>
        </w:rPr>
        <w:t>outils de formation, des activités de formation et un appui direct apporté aux entrepris</w:t>
      </w:r>
      <w:r w:rsidR="001B6E2D" w:rsidRPr="007D2AC6">
        <w:rPr>
          <w:lang w:val="fr-FR"/>
        </w:rPr>
        <w:t>es.  En</w:t>
      </w:r>
      <w:r w:rsidRPr="007D2AC6">
        <w:rPr>
          <w:lang w:val="fr-FR"/>
        </w:rPr>
        <w:t xml:space="preserve"> outre, les deux</w:t>
      </w:r>
      <w:r w:rsidR="009F77AF" w:rsidRPr="007D2AC6">
        <w:rPr>
          <w:lang w:val="fr-FR"/>
        </w:rPr>
        <w:t> </w:t>
      </w:r>
      <w:r w:rsidRPr="007D2AC6">
        <w:rPr>
          <w:lang w:val="fr-FR"/>
        </w:rPr>
        <w:t>pays bénéficiaires ont reçu un soutien en vue de l</w:t>
      </w:r>
      <w:r w:rsidR="002A5696" w:rsidRPr="007D2AC6">
        <w:rPr>
          <w:lang w:val="fr-FR"/>
        </w:rPr>
        <w:t>’</w:t>
      </w:r>
      <w:r w:rsidRPr="007D2AC6">
        <w:rPr>
          <w:lang w:val="fr-FR"/>
        </w:rPr>
        <w:t>élaboration d</w:t>
      </w:r>
      <w:r w:rsidR="002A5696" w:rsidRPr="007D2AC6">
        <w:rPr>
          <w:lang w:val="fr-FR"/>
        </w:rPr>
        <w:t>’</w:t>
      </w:r>
      <w:r w:rsidRPr="007D2AC6">
        <w:rPr>
          <w:lang w:val="fr-FR"/>
        </w:rPr>
        <w:t>une stratégie nationale de protection des dessin</w:t>
      </w:r>
      <w:r w:rsidR="00276C7D" w:rsidRPr="007D2AC6">
        <w:rPr>
          <w:lang w:val="fr-FR"/>
        </w:rPr>
        <w:t>s</w:t>
      </w:r>
      <w:r w:rsidRPr="007D2AC6">
        <w:rPr>
          <w:lang w:val="fr-FR"/>
        </w:rPr>
        <w:t xml:space="preserve"> et modèles et un plan de sensibilisati</w:t>
      </w:r>
      <w:r w:rsidR="001B6E2D" w:rsidRPr="007D2AC6">
        <w:rPr>
          <w:lang w:val="fr-FR"/>
        </w:rPr>
        <w:t>on.  Le</w:t>
      </w:r>
      <w:r w:rsidRPr="007D2AC6">
        <w:rPr>
          <w:lang w:val="fr-FR"/>
        </w:rPr>
        <w:t>s obstacles réglementaires et institutionnels à la conception n</w:t>
      </w:r>
      <w:r w:rsidR="002A5696" w:rsidRPr="007D2AC6">
        <w:rPr>
          <w:lang w:val="fr-FR"/>
        </w:rPr>
        <w:t>’</w:t>
      </w:r>
      <w:r w:rsidRPr="007D2AC6">
        <w:rPr>
          <w:lang w:val="fr-FR"/>
        </w:rPr>
        <w:t>ont été abordés que de façon marginale.</w:t>
      </w:r>
    </w:p>
    <w:p w14:paraId="59BA6EC2" w14:textId="68805473" w:rsidR="001C73F5" w:rsidRPr="007D2AC6" w:rsidRDefault="001C73F5" w:rsidP="008139DE">
      <w:pPr>
        <w:pStyle w:val="ONUMFS"/>
        <w:rPr>
          <w:lang w:val="fr-FR"/>
        </w:rPr>
      </w:pPr>
      <w:r w:rsidRPr="007D2AC6">
        <w:rPr>
          <w:lang w:val="fr-FR"/>
        </w:rPr>
        <w:t>La coordination opérationnelle du projet a été assurée par une administratrice de projet à plein temps, qualifié</w:t>
      </w:r>
      <w:r w:rsidR="002F0766" w:rsidRPr="007D2AC6">
        <w:rPr>
          <w:lang w:val="fr-FR"/>
        </w:rPr>
        <w:t>e</w:t>
      </w:r>
      <w:r w:rsidRPr="007D2AC6">
        <w:rPr>
          <w:lang w:val="fr-FR"/>
        </w:rPr>
        <w:t xml:space="preserve"> en matière de coopération technique et précisément recruté</w:t>
      </w:r>
      <w:r w:rsidR="002F0766" w:rsidRPr="007D2AC6">
        <w:rPr>
          <w:lang w:val="fr-FR"/>
        </w:rPr>
        <w:t>e</w:t>
      </w:r>
      <w:r w:rsidRPr="007D2AC6">
        <w:rPr>
          <w:lang w:val="fr-FR"/>
        </w:rPr>
        <w:t xml:space="preserve"> pour faciliter l</w:t>
      </w:r>
      <w:r w:rsidR="002A5696" w:rsidRPr="007D2AC6">
        <w:rPr>
          <w:lang w:val="fr-FR"/>
        </w:rPr>
        <w:t>’</w:t>
      </w:r>
      <w:r w:rsidRPr="007D2AC6">
        <w:rPr>
          <w:lang w:val="fr-FR"/>
        </w:rPr>
        <w:t>exécution du proj</w:t>
      </w:r>
      <w:r w:rsidR="001B6E2D" w:rsidRPr="007D2AC6">
        <w:rPr>
          <w:lang w:val="fr-FR"/>
        </w:rPr>
        <w:t>et.  El</w:t>
      </w:r>
      <w:r w:rsidR="002F0766" w:rsidRPr="007D2AC6">
        <w:rPr>
          <w:lang w:val="fr-FR"/>
        </w:rPr>
        <w:t>le était subordonnée au directeur du Secteur des marques et des dessins et modèles, chef de projet offici</w:t>
      </w:r>
      <w:r w:rsidR="001B6E2D" w:rsidRPr="007D2AC6">
        <w:rPr>
          <w:lang w:val="fr-FR"/>
        </w:rPr>
        <w:t>el.  Po</w:t>
      </w:r>
      <w:r w:rsidR="002F0766" w:rsidRPr="007D2AC6">
        <w:rPr>
          <w:lang w:val="fr-FR"/>
        </w:rPr>
        <w:t>ur renforcer les capacités nationales et assurer la viabilité du projet, le Secrétariat a essentiellement travaillé en coopération avec les deux</w:t>
      </w:r>
      <w:r w:rsidR="009F77AF" w:rsidRPr="007D2AC6">
        <w:rPr>
          <w:lang w:val="fr-FR"/>
        </w:rPr>
        <w:t> </w:t>
      </w:r>
      <w:r w:rsidR="002F0766" w:rsidRPr="007D2AC6">
        <w:rPr>
          <w:lang w:val="fr-FR"/>
        </w:rPr>
        <w:t>offices nationaux de propriété intellectuelle</w:t>
      </w:r>
      <w:r w:rsidR="002F0766" w:rsidRPr="007D2AC6">
        <w:rPr>
          <w:rStyle w:val="FootnoteReference"/>
          <w:lang w:val="fr-FR"/>
        </w:rPr>
        <w:footnoteReference w:id="11"/>
      </w:r>
      <w:r w:rsidR="002F0766" w:rsidRPr="007D2AC6">
        <w:rPr>
          <w:lang w:val="fr-FR"/>
        </w:rPr>
        <w:t>.</w:t>
      </w:r>
    </w:p>
    <w:p w14:paraId="4997503D" w14:textId="71F5C7CB" w:rsidR="002F0766" w:rsidRPr="007D2AC6" w:rsidRDefault="002F0766" w:rsidP="008139DE">
      <w:pPr>
        <w:pStyle w:val="ONUMFS"/>
        <w:rPr>
          <w:lang w:val="fr-FR"/>
        </w:rPr>
      </w:pPr>
      <w:r w:rsidRPr="007D2AC6">
        <w:rPr>
          <w:lang w:val="fr-FR"/>
        </w:rPr>
        <w:t>Les principaux bénéficiaires ciblés étaient les pouvoirs publics d</w:t>
      </w:r>
      <w:r w:rsidR="002A5696" w:rsidRPr="007D2AC6">
        <w:rPr>
          <w:lang w:val="fr-FR"/>
        </w:rPr>
        <w:t>’</w:t>
      </w:r>
      <w:r w:rsidRPr="007D2AC6">
        <w:rPr>
          <w:lang w:val="fr-FR"/>
        </w:rPr>
        <w:t xml:space="preserve">Argentine et du Maroc, ainsi que le secteur privé </w:t>
      </w:r>
      <w:r w:rsidR="00853937" w:rsidRPr="007D2AC6">
        <w:rPr>
          <w:lang w:val="fr-FR"/>
        </w:rPr>
        <w:t>(</w:t>
      </w:r>
      <w:r w:rsidRPr="007D2AC6">
        <w:rPr>
          <w:lang w:val="fr-FR"/>
        </w:rPr>
        <w:t>les créateurs, les utilisateurs de dessins et modèles et les prestataires de services locaux qui leur apportent une aide).</w:t>
      </w:r>
    </w:p>
    <w:p w14:paraId="425FAB7B" w14:textId="78EB5644" w:rsidR="002F0766" w:rsidRPr="007D2AC6" w:rsidRDefault="002F0766" w:rsidP="008139DE">
      <w:pPr>
        <w:pStyle w:val="ONUMFS"/>
        <w:rPr>
          <w:lang w:val="fr-FR"/>
        </w:rPr>
      </w:pPr>
      <w:r w:rsidRPr="007D2AC6">
        <w:rPr>
          <w:lang w:val="fr-FR"/>
        </w:rPr>
        <w:t xml:space="preserve">Outre un impact national à long terme dans les pays bénéficiaires, le </w:t>
      </w:r>
      <w:r w:rsidR="004567E1" w:rsidRPr="007D2AC6">
        <w:rPr>
          <w:lang w:val="fr-FR"/>
        </w:rPr>
        <w:t>p</w:t>
      </w:r>
      <w:r w:rsidRPr="007D2AC6">
        <w:rPr>
          <w:lang w:val="fr-FR"/>
        </w:rPr>
        <w:t>rojet visait à reproduire des initiatives similaires dans d</w:t>
      </w:r>
      <w:r w:rsidR="002A5696" w:rsidRPr="007D2AC6">
        <w:rPr>
          <w:lang w:val="fr-FR"/>
        </w:rPr>
        <w:t>’</w:t>
      </w:r>
      <w:r w:rsidRPr="007D2AC6">
        <w:rPr>
          <w:lang w:val="fr-FR"/>
        </w:rPr>
        <w:t>autres États membr</w:t>
      </w:r>
      <w:r w:rsidR="001B6E2D" w:rsidRPr="007D2AC6">
        <w:rPr>
          <w:lang w:val="fr-FR"/>
        </w:rPr>
        <w:t>es.  Il</w:t>
      </w:r>
      <w:r w:rsidRPr="007D2AC6">
        <w:rPr>
          <w:lang w:val="fr-FR"/>
        </w:rPr>
        <w:t xml:space="preserve"> n</w:t>
      </w:r>
      <w:r w:rsidR="002A5696" w:rsidRPr="007D2AC6">
        <w:rPr>
          <w:lang w:val="fr-FR"/>
        </w:rPr>
        <w:t>’</w:t>
      </w:r>
      <w:r w:rsidRPr="007D2AC6">
        <w:rPr>
          <w:lang w:val="fr-FR"/>
        </w:rPr>
        <w:t xml:space="preserve">a pas été établi de feuille de route à cet effet, hormis la mise en lumière des réussites du </w:t>
      </w:r>
      <w:r w:rsidR="004567E1" w:rsidRPr="007D2AC6">
        <w:rPr>
          <w:lang w:val="fr-FR"/>
        </w:rPr>
        <w:t>projet</w:t>
      </w:r>
      <w:r w:rsidRPr="007D2AC6">
        <w:rPr>
          <w:lang w:val="fr-FR"/>
        </w:rPr>
        <w:t>.</w:t>
      </w:r>
    </w:p>
    <w:p w14:paraId="3CC542A8" w14:textId="5113ED2A" w:rsidR="002F0766" w:rsidRPr="007D2AC6" w:rsidRDefault="002F0766" w:rsidP="008139DE">
      <w:pPr>
        <w:pStyle w:val="ONUMFS"/>
        <w:rPr>
          <w:lang w:val="fr-FR"/>
        </w:rPr>
      </w:pPr>
      <w:r w:rsidRPr="007D2AC6">
        <w:rPr>
          <w:lang w:val="fr-FR"/>
        </w:rPr>
        <w:t xml:space="preserve">Lors de sa </w:t>
      </w:r>
      <w:r w:rsidR="006F2775" w:rsidRPr="007D2AC6">
        <w:rPr>
          <w:lang w:val="fr-FR"/>
        </w:rPr>
        <w:t>seizième</w:t>
      </w:r>
      <w:r w:rsidR="00B57560" w:rsidRPr="007D2AC6">
        <w:rPr>
          <w:lang w:val="fr-FR"/>
        </w:rPr>
        <w:t> </w:t>
      </w:r>
      <w:r w:rsidRPr="007D2AC6">
        <w:rPr>
          <w:lang w:val="fr-FR"/>
        </w:rPr>
        <w:t>session,</w:t>
      </w:r>
      <w:r w:rsidR="002A5696" w:rsidRPr="007D2AC6">
        <w:rPr>
          <w:lang w:val="fr-FR"/>
        </w:rPr>
        <w:t xml:space="preserve"> le </w:t>
      </w:r>
      <w:proofErr w:type="spellStart"/>
      <w:r w:rsidR="002A5696" w:rsidRPr="007D2AC6">
        <w:rPr>
          <w:lang w:val="fr-FR"/>
        </w:rPr>
        <w:t>CDI</w:t>
      </w:r>
      <w:r w:rsidRPr="007D2AC6">
        <w:rPr>
          <w:lang w:val="fr-FR"/>
        </w:rPr>
        <w:t>P</w:t>
      </w:r>
      <w:proofErr w:type="spellEnd"/>
      <w:r w:rsidRPr="007D2AC6">
        <w:rPr>
          <w:lang w:val="fr-FR"/>
        </w:rPr>
        <w:t xml:space="preserve"> a approuvé une prolongation du projet jusqu</w:t>
      </w:r>
      <w:r w:rsidR="002A5696" w:rsidRPr="007D2AC6">
        <w:rPr>
          <w:lang w:val="fr-FR"/>
        </w:rPr>
        <w:t>’</w:t>
      </w:r>
      <w:r w:rsidRPr="007D2AC6">
        <w:rPr>
          <w:lang w:val="fr-FR"/>
        </w:rPr>
        <w:t>au 1</w:t>
      </w:r>
      <w:r w:rsidR="002A5696" w:rsidRPr="007D2AC6">
        <w:rPr>
          <w:lang w:val="fr-FR"/>
        </w:rPr>
        <w:t>4 mai 20</w:t>
      </w:r>
      <w:r w:rsidRPr="007D2AC6">
        <w:rPr>
          <w:lang w:val="fr-FR"/>
        </w:rPr>
        <w:t xml:space="preserve">16, afin de mener à bien les activités restantes et </w:t>
      </w:r>
      <w:r w:rsidR="00360F9E" w:rsidRPr="007D2AC6">
        <w:rPr>
          <w:lang w:val="fr-FR"/>
        </w:rPr>
        <w:t>de garantir la contribution de l</w:t>
      </w:r>
      <w:r w:rsidR="002A5696" w:rsidRPr="007D2AC6">
        <w:rPr>
          <w:lang w:val="fr-FR"/>
        </w:rPr>
        <w:t>’</w:t>
      </w:r>
      <w:r w:rsidR="00360F9E" w:rsidRPr="007D2AC6">
        <w:rPr>
          <w:lang w:val="fr-FR"/>
        </w:rPr>
        <w:t xml:space="preserve">administratrice de projet à la présente évaluation finale </w:t>
      </w:r>
      <w:r w:rsidR="00853937" w:rsidRPr="007D2AC6">
        <w:rPr>
          <w:lang w:val="fr-FR"/>
        </w:rPr>
        <w:t>(</w:t>
      </w:r>
      <w:r w:rsidR="00360F9E" w:rsidRPr="007D2AC6">
        <w:rPr>
          <w:lang w:val="fr-FR"/>
        </w:rPr>
        <w:t xml:space="preserve">voir le document </w:t>
      </w:r>
      <w:proofErr w:type="spellStart"/>
      <w:r w:rsidR="00360F9E" w:rsidRPr="007D2AC6">
        <w:rPr>
          <w:lang w:val="fr-FR"/>
        </w:rPr>
        <w:t>CDIP</w:t>
      </w:r>
      <w:proofErr w:type="spellEnd"/>
      <w:r w:rsidR="00B57560" w:rsidRPr="007D2AC6">
        <w:rPr>
          <w:lang w:val="fr-FR"/>
        </w:rPr>
        <w:t> </w:t>
      </w:r>
      <w:r w:rsidR="00360F9E" w:rsidRPr="007D2AC6">
        <w:rPr>
          <w:lang w:val="fr-FR"/>
        </w:rPr>
        <w:t xml:space="preserve">16/2, </w:t>
      </w:r>
      <w:r w:rsidR="002A5696" w:rsidRPr="007D2AC6">
        <w:rPr>
          <w:lang w:val="fr-FR"/>
        </w:rPr>
        <w:t>annexe I</w:t>
      </w:r>
      <w:r w:rsidR="00360F9E" w:rsidRPr="007D2AC6">
        <w:rPr>
          <w:lang w:val="fr-FR"/>
        </w:rPr>
        <w:t xml:space="preserve">I, </w:t>
      </w:r>
      <w:r w:rsidR="002A5696" w:rsidRPr="007D2AC6">
        <w:rPr>
          <w:lang w:val="fr-FR"/>
        </w:rPr>
        <w:t>page 6</w:t>
      </w:r>
      <w:r w:rsidR="00360F9E" w:rsidRPr="007D2AC6">
        <w:rPr>
          <w:lang w:val="fr-FR"/>
        </w:rPr>
        <w:t>).  Au cours de la phase de prolongation, le Secrétariat a fourni une assistance technique supplémentaire aux deux</w:t>
      </w:r>
      <w:r w:rsidR="009F77AF" w:rsidRPr="007D2AC6">
        <w:rPr>
          <w:lang w:val="fr-FR"/>
        </w:rPr>
        <w:t> </w:t>
      </w:r>
      <w:r w:rsidR="00360F9E" w:rsidRPr="007D2AC6">
        <w:rPr>
          <w:lang w:val="fr-FR"/>
        </w:rPr>
        <w:t>pays pilotes, notamment pour leur stratégie de sortie et les manifestations de clôture.</w:t>
      </w:r>
    </w:p>
    <w:p w14:paraId="54C3A266" w14:textId="2EA0006E" w:rsidR="00360F9E" w:rsidRPr="007D2AC6" w:rsidRDefault="001968E2" w:rsidP="008139DE">
      <w:pPr>
        <w:pStyle w:val="ONUMFS"/>
        <w:rPr>
          <w:iCs/>
          <w:lang w:val="fr-FR"/>
        </w:rPr>
      </w:pPr>
      <w:r w:rsidRPr="007D2AC6">
        <w:rPr>
          <w:iCs/>
          <w:lang w:val="fr-FR"/>
        </w:rPr>
        <w:t>A</w:t>
      </w:r>
      <w:r w:rsidR="00360F9E" w:rsidRPr="007D2AC6">
        <w:rPr>
          <w:iCs/>
          <w:lang w:val="fr-FR"/>
        </w:rPr>
        <w:t>insi qu</w:t>
      </w:r>
      <w:r w:rsidR="002A5696" w:rsidRPr="007D2AC6">
        <w:rPr>
          <w:iCs/>
          <w:lang w:val="fr-FR"/>
        </w:rPr>
        <w:t>’</w:t>
      </w:r>
      <w:r w:rsidR="00360F9E" w:rsidRPr="007D2AC6">
        <w:rPr>
          <w:iCs/>
          <w:lang w:val="fr-FR"/>
        </w:rPr>
        <w:t>indiqué</w:t>
      </w:r>
      <w:r w:rsidR="002A5696" w:rsidRPr="007D2AC6">
        <w:rPr>
          <w:iCs/>
          <w:lang w:val="fr-FR"/>
        </w:rPr>
        <w:t xml:space="preserve"> au </w:t>
      </w:r>
      <w:proofErr w:type="spellStart"/>
      <w:r w:rsidR="002A5696" w:rsidRPr="007D2AC6">
        <w:rPr>
          <w:iCs/>
          <w:lang w:val="fr-FR"/>
        </w:rPr>
        <w:t>CDI</w:t>
      </w:r>
      <w:r w:rsidR="00360F9E" w:rsidRPr="007D2AC6">
        <w:rPr>
          <w:iCs/>
          <w:lang w:val="fr-FR"/>
        </w:rPr>
        <w:t>P</w:t>
      </w:r>
      <w:proofErr w:type="spellEnd"/>
      <w:r w:rsidR="00360F9E" w:rsidRPr="007D2AC6">
        <w:rPr>
          <w:iCs/>
          <w:lang w:val="fr-FR"/>
        </w:rPr>
        <w:t xml:space="preserve"> par le Secré</w:t>
      </w:r>
      <w:r w:rsidR="00C466D1" w:rsidRPr="007D2AC6">
        <w:rPr>
          <w:iCs/>
          <w:lang w:val="fr-FR"/>
        </w:rPr>
        <w:t xml:space="preserve">tariat </w:t>
      </w:r>
      <w:r w:rsidR="00360F9E" w:rsidRPr="007D2AC6">
        <w:rPr>
          <w:iCs/>
          <w:lang w:val="fr-FR"/>
        </w:rPr>
        <w:t>et validé par l</w:t>
      </w:r>
      <w:r w:rsidR="002A5696" w:rsidRPr="007D2AC6">
        <w:rPr>
          <w:iCs/>
          <w:lang w:val="fr-FR"/>
        </w:rPr>
        <w:t>’</w:t>
      </w:r>
      <w:r w:rsidR="00360F9E" w:rsidRPr="007D2AC6">
        <w:rPr>
          <w:iCs/>
          <w:lang w:val="fr-FR"/>
        </w:rPr>
        <w:t xml:space="preserve">évaluateur en </w:t>
      </w:r>
      <w:r w:rsidR="002A5696" w:rsidRPr="007D2AC6">
        <w:rPr>
          <w:iCs/>
          <w:lang w:val="fr-FR"/>
        </w:rPr>
        <w:t>janvier 20</w:t>
      </w:r>
      <w:r w:rsidRPr="007D2AC6">
        <w:rPr>
          <w:iCs/>
          <w:lang w:val="fr-FR"/>
        </w:rPr>
        <w:t xml:space="preserve">17, </w:t>
      </w:r>
      <w:r w:rsidR="00360F9E" w:rsidRPr="007D2AC6">
        <w:rPr>
          <w:iCs/>
          <w:lang w:val="fr-FR"/>
        </w:rPr>
        <w:t>toutes les activités prévues ont été menées à bi</w:t>
      </w:r>
      <w:r w:rsidR="001B6E2D" w:rsidRPr="007D2AC6">
        <w:rPr>
          <w:iCs/>
          <w:lang w:val="fr-FR"/>
        </w:rPr>
        <w:t>en.  La</w:t>
      </w:r>
      <w:r w:rsidR="00360F9E" w:rsidRPr="007D2AC6">
        <w:rPr>
          <w:iCs/>
          <w:lang w:val="fr-FR"/>
        </w:rPr>
        <w:t xml:space="preserve"> </w:t>
      </w:r>
      <w:r w:rsidR="002A5696" w:rsidRPr="007D2AC6">
        <w:rPr>
          <w:iCs/>
          <w:lang w:val="fr-FR"/>
        </w:rPr>
        <w:t>section </w:t>
      </w:r>
      <w:proofErr w:type="spellStart"/>
      <w:r w:rsidR="002A5696" w:rsidRPr="007D2AC6">
        <w:rPr>
          <w:iCs/>
          <w:lang w:val="fr-FR"/>
        </w:rPr>
        <w:t>2</w:t>
      </w:r>
      <w:r w:rsidR="00360F9E" w:rsidRPr="007D2AC6">
        <w:rPr>
          <w:iCs/>
          <w:lang w:val="fr-FR"/>
        </w:rPr>
        <w:t>.C</w:t>
      </w:r>
      <w:proofErr w:type="spellEnd"/>
      <w:r w:rsidR="00360F9E" w:rsidRPr="007D2AC6">
        <w:rPr>
          <w:iCs/>
          <w:lang w:val="fr-FR"/>
        </w:rPr>
        <w:t xml:space="preserve"> ci</w:t>
      </w:r>
      <w:r w:rsidR="00B57560" w:rsidRPr="007D2AC6">
        <w:rPr>
          <w:iCs/>
          <w:lang w:val="fr-FR"/>
        </w:rPr>
        <w:noBreakHyphen/>
      </w:r>
      <w:r w:rsidR="00360F9E" w:rsidRPr="007D2AC6">
        <w:rPr>
          <w:iCs/>
          <w:lang w:val="fr-FR"/>
        </w:rPr>
        <w:t>après relative à l</w:t>
      </w:r>
      <w:r w:rsidR="002A5696" w:rsidRPr="007D2AC6">
        <w:rPr>
          <w:iCs/>
          <w:lang w:val="fr-FR"/>
        </w:rPr>
        <w:t>’</w:t>
      </w:r>
      <w:r w:rsidR="00360F9E" w:rsidRPr="007D2AC6">
        <w:rPr>
          <w:iCs/>
          <w:lang w:val="fr-FR"/>
        </w:rPr>
        <w:t>efficacité en fournit une évaluation détaillée.</w:t>
      </w:r>
    </w:p>
    <w:p w14:paraId="176FE1FF" w14:textId="1CB66932" w:rsidR="0059687A" w:rsidRPr="007D2AC6" w:rsidRDefault="00360F9E" w:rsidP="008139DE">
      <w:pPr>
        <w:pStyle w:val="ONUMFS"/>
        <w:rPr>
          <w:iCs/>
          <w:lang w:val="fr-FR"/>
        </w:rPr>
      </w:pPr>
      <w:r w:rsidRPr="007D2AC6">
        <w:rPr>
          <w:iCs/>
          <w:lang w:val="fr-FR"/>
        </w:rPr>
        <w:t>La présente évaluation finale a subi des retards, l</w:t>
      </w:r>
      <w:r w:rsidR="002A5696" w:rsidRPr="007D2AC6">
        <w:rPr>
          <w:iCs/>
          <w:lang w:val="fr-FR"/>
        </w:rPr>
        <w:t>’</w:t>
      </w:r>
      <w:r w:rsidRPr="007D2AC6">
        <w:rPr>
          <w:iCs/>
          <w:lang w:val="fr-FR"/>
        </w:rPr>
        <w:t>experte initialement désignée par le Secrétariat ayant décidé de résilier son contrat</w:t>
      </w:r>
      <w:r w:rsidR="00811C9B" w:rsidRPr="007D2AC6">
        <w:rPr>
          <w:iCs/>
          <w:lang w:val="fr-FR"/>
        </w:rPr>
        <w:t>.</w:t>
      </w:r>
    </w:p>
    <w:p w14:paraId="0B01EDAC" w14:textId="3FFAFD4A" w:rsidR="002A5696" w:rsidRPr="007D2AC6" w:rsidRDefault="00360F9E" w:rsidP="008139DE">
      <w:pPr>
        <w:pStyle w:val="ONUMFS"/>
        <w:rPr>
          <w:iCs/>
          <w:lang w:val="fr-FR"/>
        </w:rPr>
      </w:pPr>
      <w:r w:rsidRPr="007D2AC6">
        <w:rPr>
          <w:iCs/>
          <w:lang w:val="fr-FR"/>
        </w:rPr>
        <w:t>Le budget global approuvé du projet s</w:t>
      </w:r>
      <w:r w:rsidR="002A5696" w:rsidRPr="007D2AC6">
        <w:rPr>
          <w:iCs/>
          <w:lang w:val="fr-FR"/>
        </w:rPr>
        <w:t>’</w:t>
      </w:r>
      <w:r w:rsidRPr="007D2AC6">
        <w:rPr>
          <w:iCs/>
          <w:lang w:val="fr-FR"/>
        </w:rPr>
        <w:t>élevait à 487 </w:t>
      </w:r>
      <w:r w:rsidR="00DF227C" w:rsidRPr="007D2AC6">
        <w:rPr>
          <w:iCs/>
          <w:lang w:val="fr-FR"/>
        </w:rPr>
        <w:t>00</w:t>
      </w:r>
      <w:r w:rsidR="002A5696" w:rsidRPr="007D2AC6">
        <w:rPr>
          <w:iCs/>
          <w:lang w:val="fr-FR"/>
        </w:rPr>
        <w:t>0 franc</w:t>
      </w:r>
      <w:r w:rsidR="00DF227C" w:rsidRPr="007D2AC6">
        <w:rPr>
          <w:iCs/>
          <w:lang w:val="fr-FR"/>
        </w:rPr>
        <w:t>s</w:t>
      </w:r>
      <w:r w:rsidR="008A6F0C" w:rsidRPr="007D2AC6">
        <w:rPr>
          <w:iCs/>
          <w:lang w:val="fr-FR"/>
        </w:rPr>
        <w:t xml:space="preserve"> suisses</w:t>
      </w:r>
      <w:r w:rsidR="00174F94" w:rsidRPr="007D2AC6">
        <w:rPr>
          <w:iCs/>
          <w:lang w:val="fr-FR"/>
        </w:rPr>
        <w:t>,</w:t>
      </w:r>
      <w:r w:rsidR="00DF227C" w:rsidRPr="007D2AC6">
        <w:rPr>
          <w:iCs/>
          <w:lang w:val="fr-FR"/>
        </w:rPr>
        <w:t xml:space="preserve"> </w:t>
      </w:r>
      <w:r w:rsidR="008A6F0C" w:rsidRPr="007D2AC6">
        <w:rPr>
          <w:iCs/>
          <w:lang w:val="fr-FR"/>
        </w:rPr>
        <w:t xml:space="preserve">dont </w:t>
      </w:r>
      <w:r w:rsidR="00DF227C" w:rsidRPr="007D2AC6">
        <w:rPr>
          <w:iCs/>
          <w:lang w:val="fr-FR"/>
        </w:rPr>
        <w:t>250</w:t>
      </w:r>
      <w:r w:rsidR="008A6F0C" w:rsidRPr="007D2AC6">
        <w:rPr>
          <w:iCs/>
          <w:lang w:val="fr-FR"/>
        </w:rPr>
        <w:t> </w:t>
      </w:r>
      <w:r w:rsidR="00DF227C" w:rsidRPr="007D2AC6">
        <w:rPr>
          <w:iCs/>
          <w:lang w:val="fr-FR"/>
        </w:rPr>
        <w:t>00</w:t>
      </w:r>
      <w:r w:rsidR="002A5696" w:rsidRPr="007D2AC6">
        <w:rPr>
          <w:iCs/>
          <w:lang w:val="fr-FR"/>
        </w:rPr>
        <w:t>0 franc</w:t>
      </w:r>
      <w:r w:rsidR="008A6F0C" w:rsidRPr="007D2AC6">
        <w:rPr>
          <w:iCs/>
          <w:lang w:val="fr-FR"/>
        </w:rPr>
        <w:t xml:space="preserve">s </w:t>
      </w:r>
      <w:r w:rsidR="008A6F0C" w:rsidRPr="007D2AC6">
        <w:rPr>
          <w:lang w:val="fr-FR"/>
        </w:rPr>
        <w:t>d</w:t>
      </w:r>
      <w:r w:rsidR="008A6F0C" w:rsidRPr="007D2AC6">
        <w:rPr>
          <w:vertAlign w:val="superscript"/>
          <w:lang w:val="fr-FR"/>
        </w:rPr>
        <w:t>e</w:t>
      </w:r>
      <w:r w:rsidR="008A6F0C" w:rsidRPr="007D2AC6">
        <w:rPr>
          <w:lang w:val="fr-FR"/>
        </w:rPr>
        <w:t xml:space="preserve"> dépenses autres que les dépenses de personnel et 237</w:t>
      </w:r>
      <w:r w:rsidR="008A6F0C" w:rsidRPr="007D2AC6">
        <w:rPr>
          <w:iCs/>
          <w:lang w:val="fr-FR"/>
        </w:rPr>
        <w:t> </w:t>
      </w:r>
      <w:r w:rsidR="00DF227C" w:rsidRPr="007D2AC6">
        <w:rPr>
          <w:iCs/>
          <w:lang w:val="fr-FR"/>
        </w:rPr>
        <w:t>00</w:t>
      </w:r>
      <w:r w:rsidR="002A5696" w:rsidRPr="007D2AC6">
        <w:rPr>
          <w:iCs/>
          <w:lang w:val="fr-FR"/>
        </w:rPr>
        <w:t>0 franc</w:t>
      </w:r>
      <w:r w:rsidR="00174F94" w:rsidRPr="007D2AC6">
        <w:rPr>
          <w:iCs/>
          <w:lang w:val="fr-FR"/>
        </w:rPr>
        <w:t>s</w:t>
      </w:r>
      <w:r w:rsidR="008A6F0C" w:rsidRPr="007D2AC6">
        <w:rPr>
          <w:iCs/>
          <w:lang w:val="fr-FR"/>
        </w:rPr>
        <w:t xml:space="preserve"> de </w:t>
      </w:r>
      <w:r w:rsidR="008A6F0C" w:rsidRPr="007D2AC6">
        <w:rPr>
          <w:iCs/>
          <w:lang w:val="fr-FR"/>
        </w:rPr>
        <w:lastRenderedPageBreak/>
        <w:t xml:space="preserve">dépenses de personnel </w:t>
      </w:r>
      <w:r w:rsidR="00972890" w:rsidRPr="007D2AC6">
        <w:rPr>
          <w:iCs/>
          <w:lang w:val="fr-FR"/>
        </w:rPr>
        <w:t>(</w:t>
      </w:r>
      <w:r w:rsidR="008A6F0C" w:rsidRPr="007D2AC6">
        <w:rPr>
          <w:iCs/>
          <w:lang w:val="fr-FR"/>
        </w:rPr>
        <w:t>principalement pour l</w:t>
      </w:r>
      <w:r w:rsidR="002A5696" w:rsidRPr="007D2AC6">
        <w:rPr>
          <w:iCs/>
          <w:lang w:val="fr-FR"/>
        </w:rPr>
        <w:t>’</w:t>
      </w:r>
      <w:r w:rsidR="008A6F0C" w:rsidRPr="007D2AC6">
        <w:rPr>
          <w:iCs/>
          <w:lang w:val="fr-FR"/>
        </w:rPr>
        <w:t>administratrice de proj</w:t>
      </w:r>
      <w:r w:rsidR="001B6E2D" w:rsidRPr="007D2AC6">
        <w:rPr>
          <w:iCs/>
          <w:lang w:val="fr-FR"/>
        </w:rPr>
        <w:t>et).  Au</w:t>
      </w:r>
      <w:r w:rsidR="008A6F0C" w:rsidRPr="007D2AC6">
        <w:rPr>
          <w:iCs/>
          <w:lang w:val="fr-FR"/>
        </w:rPr>
        <w:t xml:space="preserve"> 1</w:t>
      </w:r>
      <w:r w:rsidR="002A5696" w:rsidRPr="007D2AC6">
        <w:rPr>
          <w:iCs/>
          <w:lang w:val="fr-FR"/>
        </w:rPr>
        <w:t>5 juillet 20</w:t>
      </w:r>
      <w:r w:rsidR="00DF227C" w:rsidRPr="007D2AC6">
        <w:rPr>
          <w:iCs/>
          <w:lang w:val="fr-FR"/>
        </w:rPr>
        <w:t>16,</w:t>
      </w:r>
      <w:r w:rsidR="00276C7D" w:rsidRPr="007D2AC6">
        <w:rPr>
          <w:iCs/>
          <w:lang w:val="fr-FR"/>
        </w:rPr>
        <w:t xml:space="preserve"> le taux d</w:t>
      </w:r>
      <w:r w:rsidR="002A5696" w:rsidRPr="007D2AC6">
        <w:rPr>
          <w:iCs/>
          <w:lang w:val="fr-FR"/>
        </w:rPr>
        <w:t>’</w:t>
      </w:r>
      <w:r w:rsidR="00276C7D" w:rsidRPr="007D2AC6">
        <w:rPr>
          <w:iCs/>
          <w:lang w:val="fr-FR"/>
        </w:rPr>
        <w:t>utilisation du budg</w:t>
      </w:r>
      <w:r w:rsidR="008A6F0C" w:rsidRPr="007D2AC6">
        <w:rPr>
          <w:iCs/>
          <w:lang w:val="fr-FR"/>
        </w:rPr>
        <w:t>et était de</w:t>
      </w:r>
      <w:r w:rsidR="00DF227C" w:rsidRPr="007D2AC6">
        <w:rPr>
          <w:iCs/>
          <w:lang w:val="fr-FR"/>
        </w:rPr>
        <w:t xml:space="preserve"> 86%</w:t>
      </w:r>
      <w:r w:rsidR="00DF227C" w:rsidRPr="007D2AC6">
        <w:rPr>
          <w:rStyle w:val="FootnoteReference"/>
          <w:iCs/>
          <w:lang w:val="fr-FR"/>
        </w:rPr>
        <w:footnoteReference w:id="12"/>
      </w:r>
      <w:r w:rsidR="00FF56DF" w:rsidRPr="007D2AC6">
        <w:rPr>
          <w:iCs/>
          <w:lang w:val="fr-FR"/>
        </w:rPr>
        <w:t>.</w:t>
      </w:r>
      <w:r w:rsidR="009F77AF" w:rsidRPr="007D2AC6">
        <w:rPr>
          <w:iCs/>
          <w:lang w:val="fr-FR"/>
        </w:rPr>
        <w:t xml:space="preserve"> </w:t>
      </w:r>
      <w:r w:rsidR="00163FAE" w:rsidRPr="007D2AC6">
        <w:rPr>
          <w:iCs/>
          <w:lang w:val="fr-FR"/>
        </w:rPr>
        <w:t xml:space="preserve"> </w:t>
      </w:r>
    </w:p>
    <w:p w14:paraId="10603364" w14:textId="628134C7" w:rsidR="0059687A" w:rsidRPr="007D2AC6" w:rsidRDefault="00CE6067" w:rsidP="00DE7E50">
      <w:pPr>
        <w:pStyle w:val="Heading2"/>
        <w:rPr>
          <w:lang w:val="fr-FR"/>
        </w:rPr>
      </w:pPr>
      <w:bookmarkStart w:id="9" w:name="_Toc478372735"/>
      <w:r w:rsidRPr="007D2AC6">
        <w:rPr>
          <w:lang w:val="fr-FR"/>
        </w:rPr>
        <w:t>B</w:t>
      </w:r>
      <w:r w:rsidR="00DE7E50" w:rsidRPr="007D2AC6">
        <w:rPr>
          <w:lang w:val="fr-FR"/>
        </w:rPr>
        <w:t>)</w:t>
      </w:r>
      <w:r w:rsidR="00DE7E50" w:rsidRPr="007D2AC6">
        <w:rPr>
          <w:lang w:val="fr-FR"/>
        </w:rPr>
        <w:tab/>
        <w:t>Champ d</w:t>
      </w:r>
      <w:r w:rsidR="002A5696" w:rsidRPr="007D2AC6">
        <w:rPr>
          <w:lang w:val="fr-FR"/>
        </w:rPr>
        <w:t>’</w:t>
      </w:r>
      <w:r w:rsidR="00DE7E50" w:rsidRPr="007D2AC6">
        <w:rPr>
          <w:lang w:val="fr-FR"/>
        </w:rPr>
        <w:t>observation, objet, méthode et limites de la présente évaluation</w:t>
      </w:r>
      <w:bookmarkEnd w:id="9"/>
    </w:p>
    <w:p w14:paraId="00829612" w14:textId="5EA2A511" w:rsidR="0059687A" w:rsidRPr="007D2AC6" w:rsidRDefault="00DE7E50" w:rsidP="004D11AE">
      <w:pPr>
        <w:pStyle w:val="Heading3"/>
        <w:rPr>
          <w:color w:val="auto"/>
        </w:rPr>
      </w:pPr>
      <w:bookmarkStart w:id="10" w:name="_Toc478372736"/>
      <w:r w:rsidRPr="007D2AC6">
        <w:rPr>
          <w:color w:val="auto"/>
        </w:rPr>
        <w:t>Champ d</w:t>
      </w:r>
      <w:r w:rsidR="002A5696" w:rsidRPr="007D2AC6">
        <w:rPr>
          <w:color w:val="auto"/>
        </w:rPr>
        <w:t>’</w:t>
      </w:r>
      <w:r w:rsidRPr="007D2AC6">
        <w:rPr>
          <w:color w:val="auto"/>
        </w:rPr>
        <w:t>observation</w:t>
      </w:r>
      <w:bookmarkEnd w:id="10"/>
    </w:p>
    <w:p w14:paraId="2CC3D7F4" w14:textId="77777777" w:rsidR="0059687A" w:rsidRPr="007D2AC6" w:rsidRDefault="0059687A" w:rsidP="008139DE">
      <w:pPr>
        <w:rPr>
          <w:lang w:val="fr-FR"/>
        </w:rPr>
      </w:pPr>
    </w:p>
    <w:p w14:paraId="73ACFB1E" w14:textId="24BAADE0" w:rsidR="0059687A" w:rsidRPr="007D2AC6" w:rsidRDefault="00DD1554" w:rsidP="008139DE">
      <w:pPr>
        <w:pStyle w:val="ONUMFS"/>
        <w:rPr>
          <w:lang w:val="fr-FR"/>
        </w:rPr>
      </w:pPr>
      <w:r w:rsidRPr="007D2AC6">
        <w:rPr>
          <w:lang w:val="fr-FR"/>
        </w:rPr>
        <w:t>L</w:t>
      </w:r>
      <w:r w:rsidR="002A5696" w:rsidRPr="007D2AC6">
        <w:rPr>
          <w:lang w:val="fr-FR"/>
        </w:rPr>
        <w:t>’</w:t>
      </w:r>
      <w:r w:rsidRPr="007D2AC6">
        <w:rPr>
          <w:lang w:val="fr-FR"/>
        </w:rPr>
        <w:t>é</w:t>
      </w:r>
      <w:r w:rsidR="00D46A71" w:rsidRPr="007D2AC6">
        <w:rPr>
          <w:lang w:val="fr-FR"/>
        </w:rPr>
        <w:t xml:space="preserve">valuation </w:t>
      </w:r>
      <w:r w:rsidRPr="007D2AC6">
        <w:rPr>
          <w:lang w:val="fr-FR"/>
        </w:rPr>
        <w:t>porte sur la période allant du</w:t>
      </w:r>
      <w:r w:rsidR="002A5696" w:rsidRPr="007D2AC6">
        <w:rPr>
          <w:lang w:val="fr-FR"/>
        </w:rPr>
        <w:t xml:space="preserve"> 1</w:t>
      </w:r>
      <w:r w:rsidR="002A5696" w:rsidRPr="007D2AC6">
        <w:rPr>
          <w:vertAlign w:val="superscript"/>
          <w:lang w:val="fr-FR"/>
        </w:rPr>
        <w:t>er</w:t>
      </w:r>
      <w:r w:rsidR="002A5696" w:rsidRPr="007D2AC6">
        <w:rPr>
          <w:lang w:val="fr-FR"/>
        </w:rPr>
        <w:t> janvier 20</w:t>
      </w:r>
      <w:r w:rsidR="00D46A71" w:rsidRPr="007D2AC6">
        <w:rPr>
          <w:lang w:val="fr-FR"/>
        </w:rPr>
        <w:t>14</w:t>
      </w:r>
      <w:r w:rsidR="003B6141" w:rsidRPr="007D2AC6">
        <w:rPr>
          <w:lang w:val="fr-FR"/>
        </w:rPr>
        <w:t xml:space="preserve"> </w:t>
      </w:r>
      <w:r w:rsidRPr="007D2AC6">
        <w:rPr>
          <w:lang w:val="fr-FR"/>
        </w:rPr>
        <w:t>au 3</w:t>
      </w:r>
      <w:r w:rsidR="002A5696" w:rsidRPr="007D2AC6">
        <w:rPr>
          <w:lang w:val="fr-FR"/>
        </w:rPr>
        <w:t>1 décembre 20</w:t>
      </w:r>
      <w:r w:rsidR="000602A6" w:rsidRPr="007D2AC6">
        <w:rPr>
          <w:lang w:val="fr-FR"/>
        </w:rPr>
        <w:t>16</w:t>
      </w:r>
      <w:r w:rsidRPr="007D2AC6">
        <w:rPr>
          <w:lang w:val="fr-FR"/>
        </w:rPr>
        <w:t>, à laquelle s</w:t>
      </w:r>
      <w:r w:rsidR="002A5696" w:rsidRPr="007D2AC6">
        <w:rPr>
          <w:lang w:val="fr-FR"/>
        </w:rPr>
        <w:t>’</w:t>
      </w:r>
      <w:r w:rsidRPr="007D2AC6">
        <w:rPr>
          <w:lang w:val="fr-FR"/>
        </w:rPr>
        <w:t>ajoute le temps de préparati</w:t>
      </w:r>
      <w:r w:rsidR="001B6E2D" w:rsidRPr="007D2AC6">
        <w:rPr>
          <w:lang w:val="fr-FR"/>
        </w:rPr>
        <w:t>on.  Le</w:t>
      </w:r>
      <w:r w:rsidRPr="007D2AC6">
        <w:rPr>
          <w:lang w:val="fr-FR"/>
        </w:rPr>
        <w:t xml:space="preserve">s faits </w:t>
      </w:r>
      <w:r w:rsidR="00D936F3" w:rsidRPr="007D2AC6">
        <w:rPr>
          <w:lang w:val="fr-FR"/>
        </w:rPr>
        <w:t>nouveaux</w:t>
      </w:r>
      <w:r w:rsidRPr="007D2AC6">
        <w:rPr>
          <w:lang w:val="fr-FR"/>
        </w:rPr>
        <w:t xml:space="preserve"> intervenus par la suite, jusqu</w:t>
      </w:r>
      <w:r w:rsidR="002A5696" w:rsidRPr="007D2AC6">
        <w:rPr>
          <w:lang w:val="fr-FR"/>
        </w:rPr>
        <w:t>’</w:t>
      </w:r>
      <w:r w:rsidRPr="007D2AC6">
        <w:rPr>
          <w:lang w:val="fr-FR"/>
        </w:rPr>
        <w:t>à la fin de la mission</w:t>
      </w:r>
      <w:r w:rsidR="00D936F3" w:rsidRPr="007D2AC6">
        <w:rPr>
          <w:lang w:val="fr-FR"/>
        </w:rPr>
        <w:t xml:space="preserve"> sur le terrain, en </w:t>
      </w:r>
      <w:r w:rsidR="002A5696" w:rsidRPr="007D2AC6">
        <w:rPr>
          <w:lang w:val="fr-FR"/>
        </w:rPr>
        <w:t>janvier 20</w:t>
      </w:r>
      <w:r w:rsidR="00D936F3" w:rsidRPr="007D2AC6">
        <w:rPr>
          <w:lang w:val="fr-FR"/>
        </w:rPr>
        <w:t>17, sont inclus pour préciser le contexte</w:t>
      </w:r>
      <w:r w:rsidR="000602A6" w:rsidRPr="007D2AC6">
        <w:rPr>
          <w:lang w:val="fr-FR"/>
        </w:rPr>
        <w:t>.</w:t>
      </w:r>
    </w:p>
    <w:p w14:paraId="53918DC8" w14:textId="5038B343" w:rsidR="0059687A" w:rsidRPr="007D2AC6" w:rsidRDefault="00DE7E50" w:rsidP="004D11AE">
      <w:pPr>
        <w:pStyle w:val="Heading3"/>
        <w:rPr>
          <w:color w:val="auto"/>
        </w:rPr>
      </w:pPr>
      <w:bookmarkStart w:id="11" w:name="_Toc478372737"/>
      <w:r w:rsidRPr="007D2AC6">
        <w:rPr>
          <w:color w:val="auto"/>
        </w:rPr>
        <w:t>Objet principal</w:t>
      </w:r>
      <w:bookmarkEnd w:id="11"/>
    </w:p>
    <w:p w14:paraId="6BDADFAC" w14:textId="77777777" w:rsidR="005C61D7" w:rsidRPr="007D2AC6" w:rsidRDefault="005C61D7" w:rsidP="005C61D7">
      <w:pPr>
        <w:rPr>
          <w:lang w:val="fr-FR"/>
        </w:rPr>
      </w:pPr>
    </w:p>
    <w:p w14:paraId="5A713724" w14:textId="556E7E9C" w:rsidR="0059687A" w:rsidRPr="007D2AC6" w:rsidRDefault="005C61D7" w:rsidP="008139DE">
      <w:pPr>
        <w:pStyle w:val="ONUMFS"/>
        <w:rPr>
          <w:lang w:val="fr-FR"/>
        </w:rPr>
      </w:pPr>
      <w:r w:rsidRPr="007D2AC6">
        <w:rPr>
          <w:lang w:val="fr-FR"/>
        </w:rPr>
        <w:t>Conformément à son mandat, la présente évaluation a pour principal objet d</w:t>
      </w:r>
      <w:r w:rsidR="002A5696" w:rsidRPr="007D2AC6">
        <w:rPr>
          <w:lang w:val="fr-FR"/>
        </w:rPr>
        <w:t>’</w:t>
      </w:r>
      <w:r w:rsidRPr="007D2AC6">
        <w:rPr>
          <w:lang w:val="fr-FR"/>
        </w:rPr>
        <w:t xml:space="preserve">évaluer si le </w:t>
      </w:r>
      <w:r w:rsidR="004567E1" w:rsidRPr="007D2AC6">
        <w:rPr>
          <w:lang w:val="fr-FR"/>
        </w:rPr>
        <w:t>p</w:t>
      </w:r>
      <w:r w:rsidRPr="007D2AC6">
        <w:rPr>
          <w:lang w:val="fr-FR"/>
        </w:rPr>
        <w:t>rojet a apport</w:t>
      </w:r>
      <w:r w:rsidR="00FA4E7D" w:rsidRPr="007D2AC6">
        <w:rPr>
          <w:lang w:val="fr-FR"/>
        </w:rPr>
        <w:t>é</w:t>
      </w:r>
      <w:r w:rsidRPr="007D2AC6">
        <w:rPr>
          <w:lang w:val="fr-FR"/>
        </w:rPr>
        <w:t xml:space="preserve"> le type adéquat de soutien requis pour atteindre les objectifs essentiels, et </w:t>
      </w:r>
      <w:r w:rsidR="00FA4E7D" w:rsidRPr="007D2AC6">
        <w:rPr>
          <w:lang w:val="fr-FR"/>
        </w:rPr>
        <w:t>de tirer d</w:t>
      </w:r>
      <w:r w:rsidRPr="007D2AC6">
        <w:rPr>
          <w:lang w:val="fr-FR"/>
        </w:rPr>
        <w:t>es enseignements</w:t>
      </w:r>
      <w:r w:rsidR="00FA4E7D" w:rsidRPr="007D2AC6">
        <w:rPr>
          <w:lang w:val="fr-FR"/>
        </w:rPr>
        <w:t xml:space="preserve"> en vue de la promotion des activités de l</w:t>
      </w:r>
      <w:r w:rsidR="002A5696" w:rsidRPr="007D2AC6">
        <w:rPr>
          <w:lang w:val="fr-FR"/>
        </w:rPr>
        <w:t>’</w:t>
      </w:r>
      <w:r w:rsidR="00FA4E7D" w:rsidRPr="007D2AC6">
        <w:rPr>
          <w:lang w:val="fr-FR"/>
        </w:rPr>
        <w:t>OMPI.</w:t>
      </w:r>
    </w:p>
    <w:p w14:paraId="38666876" w14:textId="5CBD8BEE" w:rsidR="00FA4E7D" w:rsidRPr="007D2AC6" w:rsidRDefault="00577767" w:rsidP="00577767">
      <w:pPr>
        <w:pStyle w:val="ONUMFS"/>
        <w:rPr>
          <w:lang w:val="fr-FR"/>
        </w:rPr>
      </w:pPr>
      <w:r w:rsidRPr="007D2AC6">
        <w:rPr>
          <w:lang w:val="fr-FR"/>
        </w:rPr>
        <w:t>Tout en pondérant la nécessité d</w:t>
      </w:r>
      <w:r w:rsidR="002A5696" w:rsidRPr="007D2AC6">
        <w:rPr>
          <w:lang w:val="fr-FR"/>
        </w:rPr>
        <w:t>’</w:t>
      </w:r>
      <w:r w:rsidRPr="007D2AC6">
        <w:rPr>
          <w:lang w:val="fr-FR"/>
        </w:rPr>
        <w:t>un apprentissage organisationnel par l</w:t>
      </w:r>
      <w:r w:rsidR="002A5696" w:rsidRPr="007D2AC6">
        <w:rPr>
          <w:lang w:val="fr-FR"/>
        </w:rPr>
        <w:t>’</w:t>
      </w:r>
      <w:r w:rsidRPr="007D2AC6">
        <w:rPr>
          <w:lang w:val="fr-FR"/>
        </w:rPr>
        <w:t xml:space="preserve">objectif consistant à assurer la responsabilité du Secrétariat </w:t>
      </w:r>
      <w:r w:rsidR="002A5696" w:rsidRPr="007D2AC6">
        <w:rPr>
          <w:lang w:val="fr-FR"/>
        </w:rPr>
        <w:t>à l’égard</w:t>
      </w:r>
      <w:r w:rsidRPr="007D2AC6">
        <w:rPr>
          <w:lang w:val="fr-FR"/>
        </w:rPr>
        <w:t xml:space="preserve"> des États membres, l</w:t>
      </w:r>
      <w:r w:rsidR="002A5696" w:rsidRPr="007D2AC6">
        <w:rPr>
          <w:lang w:val="fr-FR"/>
        </w:rPr>
        <w:t>’</w:t>
      </w:r>
      <w:r w:rsidRPr="007D2AC6">
        <w:rPr>
          <w:lang w:val="fr-FR"/>
        </w:rPr>
        <w:t>évaluation poursuivait un double objectif</w:t>
      </w:r>
      <w:r w:rsidR="002A5696" w:rsidRPr="007D2AC6">
        <w:rPr>
          <w:lang w:val="fr-FR"/>
        </w:rPr>
        <w:t> :</w:t>
      </w:r>
    </w:p>
    <w:p w14:paraId="120DD400" w14:textId="29DFAC67" w:rsidR="002A5696" w:rsidRPr="007D2AC6" w:rsidRDefault="00CE6067" w:rsidP="008139DE">
      <w:pPr>
        <w:pStyle w:val="ONUMFS"/>
        <w:numPr>
          <w:ilvl w:val="1"/>
          <w:numId w:val="40"/>
        </w:numPr>
        <w:rPr>
          <w:lang w:val="fr-FR"/>
        </w:rPr>
      </w:pPr>
      <w:r w:rsidRPr="007D2AC6">
        <w:rPr>
          <w:lang w:val="fr-FR"/>
        </w:rPr>
        <w:t>t</w:t>
      </w:r>
      <w:r w:rsidR="00577767" w:rsidRPr="007D2AC6">
        <w:rPr>
          <w:lang w:val="fr-FR"/>
        </w:rPr>
        <w:t>irer des enseignements des expériences faites au cours de l</w:t>
      </w:r>
      <w:r w:rsidR="002A5696" w:rsidRPr="007D2AC6">
        <w:rPr>
          <w:lang w:val="fr-FR"/>
        </w:rPr>
        <w:t>’</w:t>
      </w:r>
      <w:r w:rsidR="00577767" w:rsidRPr="007D2AC6">
        <w:rPr>
          <w:lang w:val="fr-FR"/>
        </w:rPr>
        <w:t>exécution du projet, de ce qui a bien fonctionné et de ce qui n</w:t>
      </w:r>
      <w:r w:rsidR="002A5696" w:rsidRPr="007D2AC6">
        <w:rPr>
          <w:lang w:val="fr-FR"/>
        </w:rPr>
        <w:t>’</w:t>
      </w:r>
      <w:r w:rsidR="00577767" w:rsidRPr="007D2AC6">
        <w:rPr>
          <w:lang w:val="fr-FR"/>
        </w:rPr>
        <w:t>a pas fonctionné, afin de continuer à aider</w:t>
      </w:r>
      <w:r w:rsidR="002A5696" w:rsidRPr="007D2AC6">
        <w:rPr>
          <w:lang w:val="fr-FR"/>
        </w:rPr>
        <w:t xml:space="preserve"> les PME</w:t>
      </w:r>
      <w:r w:rsidR="00577767" w:rsidRPr="007D2AC6">
        <w:rPr>
          <w:lang w:val="fr-FR"/>
        </w:rPr>
        <w:t xml:space="preserve"> à tirer profit de leurs dessins et mod</w:t>
      </w:r>
      <w:r w:rsidRPr="007D2AC6">
        <w:rPr>
          <w:lang w:val="fr-FR"/>
        </w:rPr>
        <w:t>èles et de leurs droits de propriété intellectuelle en général;</w:t>
      </w:r>
    </w:p>
    <w:p w14:paraId="7227906D" w14:textId="155C337B" w:rsidR="0059687A" w:rsidRPr="007D2AC6" w:rsidRDefault="00CE6067" w:rsidP="008139DE">
      <w:pPr>
        <w:pStyle w:val="ONUMFS"/>
        <w:numPr>
          <w:ilvl w:val="1"/>
          <w:numId w:val="40"/>
        </w:numPr>
        <w:rPr>
          <w:lang w:val="fr-FR"/>
        </w:rPr>
      </w:pPr>
      <w:r w:rsidRPr="007D2AC6">
        <w:rPr>
          <w:lang w:val="fr-FR"/>
        </w:rPr>
        <w:t>é</w:t>
      </w:r>
      <w:r w:rsidR="00577767" w:rsidRPr="007D2AC6">
        <w:rPr>
          <w:lang w:val="fr-FR"/>
        </w:rPr>
        <w:t xml:space="preserve">valuer le </w:t>
      </w:r>
      <w:r w:rsidR="004567E1" w:rsidRPr="007D2AC6">
        <w:rPr>
          <w:lang w:val="fr-FR"/>
        </w:rPr>
        <w:t>p</w:t>
      </w:r>
      <w:r w:rsidR="00577767" w:rsidRPr="007D2AC6">
        <w:rPr>
          <w:lang w:val="fr-FR"/>
        </w:rPr>
        <w:t>rojet sur la base de faits concrets</w:t>
      </w:r>
      <w:r w:rsidR="00394356" w:rsidRPr="007D2AC6">
        <w:rPr>
          <w:lang w:val="fr-FR"/>
        </w:rPr>
        <w:t>, en vue d</w:t>
      </w:r>
      <w:r w:rsidR="002A5696" w:rsidRPr="007D2AC6">
        <w:rPr>
          <w:lang w:val="fr-FR"/>
        </w:rPr>
        <w:t>’</w:t>
      </w:r>
      <w:r w:rsidR="00394356" w:rsidRPr="007D2AC6">
        <w:rPr>
          <w:lang w:val="fr-FR"/>
        </w:rPr>
        <w:t>éclairer le processus décisionnel</w:t>
      </w:r>
      <w:r w:rsidR="002A5696" w:rsidRPr="007D2AC6">
        <w:rPr>
          <w:lang w:val="fr-FR"/>
        </w:rPr>
        <w:t xml:space="preserve"> du </w:t>
      </w:r>
      <w:proofErr w:type="spellStart"/>
      <w:r w:rsidR="002A5696" w:rsidRPr="007D2AC6">
        <w:rPr>
          <w:lang w:val="fr-FR"/>
        </w:rPr>
        <w:t>CDI</w:t>
      </w:r>
      <w:r w:rsidR="00394356" w:rsidRPr="007D2AC6">
        <w:rPr>
          <w:lang w:val="fr-FR"/>
        </w:rPr>
        <w:t>P</w:t>
      </w:r>
      <w:proofErr w:type="spellEnd"/>
      <w:r w:rsidR="00394356" w:rsidRPr="007D2AC6">
        <w:rPr>
          <w:lang w:val="fr-FR"/>
        </w:rPr>
        <w:t>.</w:t>
      </w:r>
    </w:p>
    <w:p w14:paraId="5E858250" w14:textId="642BBE5A" w:rsidR="002A5696" w:rsidRPr="007D2AC6" w:rsidRDefault="00394356" w:rsidP="008139DE">
      <w:pPr>
        <w:pStyle w:val="ONUMFS"/>
        <w:rPr>
          <w:lang w:val="fr-FR"/>
        </w:rPr>
      </w:pPr>
      <w:r w:rsidRPr="007D2AC6">
        <w:rPr>
          <w:lang w:val="fr-FR"/>
        </w:rPr>
        <w:t>Aucune feuille de route n</w:t>
      </w:r>
      <w:r w:rsidR="002A5696" w:rsidRPr="007D2AC6">
        <w:rPr>
          <w:lang w:val="fr-FR"/>
        </w:rPr>
        <w:t>’</w:t>
      </w:r>
      <w:r w:rsidRPr="007D2AC6">
        <w:rPr>
          <w:lang w:val="fr-FR"/>
        </w:rPr>
        <w:t>ayant été établie avant l</w:t>
      </w:r>
      <w:r w:rsidR="002A5696" w:rsidRPr="007D2AC6">
        <w:rPr>
          <w:lang w:val="fr-FR"/>
        </w:rPr>
        <w:t>’</w:t>
      </w:r>
      <w:r w:rsidRPr="007D2AC6">
        <w:rPr>
          <w:lang w:val="fr-FR"/>
        </w:rPr>
        <w:t xml:space="preserve">achèvement du </w:t>
      </w:r>
      <w:r w:rsidR="004567E1" w:rsidRPr="007D2AC6">
        <w:rPr>
          <w:lang w:val="fr-FR"/>
        </w:rPr>
        <w:t>p</w:t>
      </w:r>
      <w:r w:rsidRPr="007D2AC6">
        <w:rPr>
          <w:lang w:val="fr-FR"/>
        </w:rPr>
        <w:t>rojet, l</w:t>
      </w:r>
      <w:r w:rsidR="002A5696" w:rsidRPr="007D2AC6">
        <w:rPr>
          <w:lang w:val="fr-FR"/>
        </w:rPr>
        <w:t>’</w:t>
      </w:r>
      <w:r w:rsidRPr="007D2AC6">
        <w:rPr>
          <w:lang w:val="fr-FR"/>
        </w:rPr>
        <w:t>évaluateur s</w:t>
      </w:r>
      <w:r w:rsidR="002A5696" w:rsidRPr="007D2AC6">
        <w:rPr>
          <w:lang w:val="fr-FR"/>
        </w:rPr>
        <w:t>’</w:t>
      </w:r>
      <w:r w:rsidRPr="007D2AC6">
        <w:rPr>
          <w:lang w:val="fr-FR"/>
        </w:rPr>
        <w:t>est penché plus précisément sur la question de savoir s</w:t>
      </w:r>
      <w:r w:rsidR="002A5696" w:rsidRPr="007D2AC6">
        <w:rPr>
          <w:lang w:val="fr-FR"/>
        </w:rPr>
        <w:t>’</w:t>
      </w:r>
      <w:r w:rsidRPr="007D2AC6">
        <w:rPr>
          <w:lang w:val="fr-FR"/>
        </w:rPr>
        <w:t>il convient de conduire des activités de suivi pour atteindre les objectifs généraux, soit en instituant une seconde phase, soit en intégrant certaines activités dans les programmes pertinents de l</w:t>
      </w:r>
      <w:r w:rsidR="002A5696" w:rsidRPr="007D2AC6">
        <w:rPr>
          <w:lang w:val="fr-FR"/>
        </w:rPr>
        <w:t>’</w:t>
      </w:r>
      <w:r w:rsidRPr="007D2AC6">
        <w:rPr>
          <w:lang w:val="fr-FR"/>
        </w:rPr>
        <w:t>OMPI.</w:t>
      </w:r>
    </w:p>
    <w:p w14:paraId="5003E576" w14:textId="47AD3715" w:rsidR="0059687A" w:rsidRPr="007D2AC6" w:rsidRDefault="00DE7E50" w:rsidP="004D11AE">
      <w:pPr>
        <w:pStyle w:val="Heading3"/>
        <w:rPr>
          <w:color w:val="auto"/>
        </w:rPr>
      </w:pPr>
      <w:bookmarkStart w:id="12" w:name="_Toc478372738"/>
      <w:r w:rsidRPr="007D2AC6">
        <w:rPr>
          <w:color w:val="auto"/>
        </w:rPr>
        <w:t>Méthode</w:t>
      </w:r>
      <w:bookmarkEnd w:id="12"/>
    </w:p>
    <w:p w14:paraId="4086C2FF" w14:textId="77777777" w:rsidR="0059687A" w:rsidRPr="007D2AC6" w:rsidRDefault="0059687A" w:rsidP="008139DE">
      <w:pPr>
        <w:rPr>
          <w:lang w:val="fr-FR"/>
        </w:rPr>
      </w:pPr>
    </w:p>
    <w:p w14:paraId="6913DC19" w14:textId="120C1D84" w:rsidR="002A5696" w:rsidRPr="007D2AC6" w:rsidRDefault="00394356" w:rsidP="008139DE">
      <w:pPr>
        <w:pStyle w:val="ONUMFS"/>
        <w:rPr>
          <w:lang w:val="fr-FR"/>
        </w:rPr>
      </w:pPr>
      <w:r w:rsidRPr="007D2AC6">
        <w:rPr>
          <w:lang w:val="fr-FR"/>
        </w:rPr>
        <w:t>L</w:t>
      </w:r>
      <w:r w:rsidR="002A5696" w:rsidRPr="007D2AC6">
        <w:rPr>
          <w:lang w:val="fr-FR"/>
        </w:rPr>
        <w:t>’</w:t>
      </w:r>
      <w:r w:rsidRPr="007D2AC6">
        <w:rPr>
          <w:lang w:val="fr-FR"/>
        </w:rPr>
        <w:t>é</w:t>
      </w:r>
      <w:r w:rsidR="00DE0B4F" w:rsidRPr="007D2AC6">
        <w:rPr>
          <w:lang w:val="fr-FR"/>
        </w:rPr>
        <w:t>valuation</w:t>
      </w:r>
      <w:r w:rsidRPr="007D2AC6">
        <w:rPr>
          <w:lang w:val="fr-FR"/>
        </w:rPr>
        <w:t xml:space="preserve"> a été réalisée conformément au mandat et à la Politique d</w:t>
      </w:r>
      <w:r w:rsidR="002A5696" w:rsidRPr="007D2AC6">
        <w:rPr>
          <w:lang w:val="fr-FR"/>
        </w:rPr>
        <w:t>’</w:t>
      </w:r>
      <w:r w:rsidRPr="007D2AC6">
        <w:rPr>
          <w:lang w:val="fr-FR"/>
        </w:rPr>
        <w:t>évaluation de l</w:t>
      </w:r>
      <w:r w:rsidR="002A5696" w:rsidRPr="007D2AC6">
        <w:rPr>
          <w:lang w:val="fr-FR"/>
        </w:rPr>
        <w:t>’</w:t>
      </w:r>
      <w:r w:rsidRPr="007D2AC6">
        <w:rPr>
          <w:lang w:val="fr-FR"/>
        </w:rPr>
        <w:t>OMPI</w:t>
      </w:r>
      <w:r w:rsidR="00DE0B4F" w:rsidRPr="007D2AC6">
        <w:rPr>
          <w:vertAlign w:val="superscript"/>
          <w:lang w:val="fr-FR"/>
        </w:rPr>
        <w:footnoteReference w:id="13"/>
      </w:r>
      <w:r w:rsidR="00DE0B4F" w:rsidRPr="007D2AC6">
        <w:rPr>
          <w:lang w:val="fr-FR"/>
        </w:rPr>
        <w:t xml:space="preserve">, </w:t>
      </w:r>
      <w:r w:rsidRPr="007D2AC6">
        <w:rPr>
          <w:lang w:val="fr-FR"/>
        </w:rPr>
        <w:t>qui applique les principes généraux des normes d</w:t>
      </w:r>
      <w:r w:rsidR="002A5696" w:rsidRPr="007D2AC6">
        <w:rPr>
          <w:lang w:val="fr-FR"/>
        </w:rPr>
        <w:t>’</w:t>
      </w:r>
      <w:r w:rsidRPr="007D2AC6">
        <w:rPr>
          <w:lang w:val="fr-FR"/>
        </w:rPr>
        <w:t xml:space="preserve">évaluation du Groupe des </w:t>
      </w:r>
      <w:r w:rsidR="002A5696" w:rsidRPr="007D2AC6">
        <w:rPr>
          <w:lang w:val="fr-FR"/>
        </w:rPr>
        <w:t>Nations Unies</w:t>
      </w:r>
      <w:r w:rsidRPr="007D2AC6">
        <w:rPr>
          <w:lang w:val="fr-FR"/>
        </w:rPr>
        <w:t xml:space="preserve"> sur l</w:t>
      </w:r>
      <w:r w:rsidR="002A5696" w:rsidRPr="007D2AC6">
        <w:rPr>
          <w:lang w:val="fr-FR"/>
        </w:rPr>
        <w:t>’</w:t>
      </w:r>
      <w:r w:rsidRPr="007D2AC6">
        <w:rPr>
          <w:lang w:val="fr-FR"/>
        </w:rPr>
        <w:t xml:space="preserve">évaluation </w:t>
      </w:r>
      <w:r w:rsidR="00972890" w:rsidRPr="007D2AC6">
        <w:rPr>
          <w:lang w:val="fr-FR"/>
        </w:rPr>
        <w:t>(</w:t>
      </w:r>
      <w:proofErr w:type="spellStart"/>
      <w:r w:rsidRPr="007D2AC6">
        <w:rPr>
          <w:lang w:val="fr-FR"/>
        </w:rPr>
        <w:t>GNUE</w:t>
      </w:r>
      <w:proofErr w:type="spellEnd"/>
      <w:r w:rsidRPr="007D2AC6">
        <w:rPr>
          <w:lang w:val="fr-FR"/>
        </w:rPr>
        <w:t>)</w:t>
      </w:r>
      <w:r w:rsidR="00CE6067" w:rsidRPr="007D2AC6">
        <w:rPr>
          <w:lang w:val="fr-FR"/>
        </w:rPr>
        <w:t xml:space="preserve"> </w:t>
      </w:r>
      <w:r w:rsidR="00972890" w:rsidRPr="007D2AC6">
        <w:rPr>
          <w:lang w:val="fr-FR"/>
        </w:rPr>
        <w:t>(</w:t>
      </w:r>
      <w:r w:rsidRPr="007D2AC6">
        <w:rPr>
          <w:lang w:val="fr-FR"/>
        </w:rPr>
        <w:t>dernière version en date</w:t>
      </w:r>
      <w:r w:rsidR="002A5696" w:rsidRPr="007D2AC6">
        <w:rPr>
          <w:lang w:val="fr-FR"/>
        </w:rPr>
        <w:t> </w:t>
      </w:r>
      <w:proofErr w:type="gramStart"/>
      <w:r w:rsidR="002A5696" w:rsidRPr="007D2AC6">
        <w:rPr>
          <w:lang w:val="fr-FR"/>
        </w:rPr>
        <w:t>:</w:t>
      </w:r>
      <w:r w:rsidRPr="007D2AC6">
        <w:rPr>
          <w:lang w:val="fr-FR"/>
        </w:rPr>
        <w:t xml:space="preserve"> </w:t>
      </w:r>
      <w:r w:rsidR="002A5696" w:rsidRPr="007D2AC6">
        <w:rPr>
          <w:lang w:val="fr-FR"/>
        </w:rPr>
        <w:t>juin</w:t>
      </w:r>
      <w:proofErr w:type="gramEnd"/>
      <w:r w:rsidR="002A5696" w:rsidRPr="007D2AC6">
        <w:rPr>
          <w:lang w:val="fr-FR"/>
        </w:rPr>
        <w:t> 20</w:t>
      </w:r>
      <w:r w:rsidRPr="007D2AC6">
        <w:rPr>
          <w:lang w:val="fr-FR"/>
        </w:rPr>
        <w:t xml:space="preserve">16).  </w:t>
      </w:r>
      <w:r w:rsidR="00C82FFF" w:rsidRPr="007D2AC6">
        <w:rPr>
          <w:lang w:val="fr-FR"/>
        </w:rPr>
        <w:t>Le cadre méthodologique</w:t>
      </w:r>
      <w:r w:rsidR="002A5696" w:rsidRPr="007D2AC6">
        <w:rPr>
          <w:lang w:val="fr-FR"/>
        </w:rPr>
        <w:t xml:space="preserve"> du </w:t>
      </w:r>
      <w:proofErr w:type="spellStart"/>
      <w:r w:rsidR="002A5696" w:rsidRPr="007D2AC6">
        <w:rPr>
          <w:lang w:val="fr-FR"/>
        </w:rPr>
        <w:t>GNU</w:t>
      </w:r>
      <w:r w:rsidR="00C82FFF" w:rsidRPr="007D2AC6">
        <w:rPr>
          <w:lang w:val="fr-FR"/>
        </w:rPr>
        <w:t>E</w:t>
      </w:r>
      <w:proofErr w:type="spellEnd"/>
      <w:r w:rsidR="00C82FFF" w:rsidRPr="007D2AC6">
        <w:rPr>
          <w:lang w:val="fr-FR"/>
        </w:rPr>
        <w:t xml:space="preserve"> renvoie aux principes clés des critères d</w:t>
      </w:r>
      <w:r w:rsidR="002A5696" w:rsidRPr="007D2AC6">
        <w:rPr>
          <w:lang w:val="fr-FR"/>
        </w:rPr>
        <w:t>’</w:t>
      </w:r>
      <w:r w:rsidR="00C82FFF" w:rsidRPr="007D2AC6">
        <w:rPr>
          <w:lang w:val="fr-FR"/>
        </w:rPr>
        <w:t xml:space="preserve">évaluation et </w:t>
      </w:r>
      <w:r w:rsidR="00276C7D" w:rsidRPr="007D2AC6">
        <w:rPr>
          <w:lang w:val="fr-FR"/>
        </w:rPr>
        <w:t>aux</w:t>
      </w:r>
      <w:r w:rsidR="00C82FFF" w:rsidRPr="007D2AC6">
        <w:rPr>
          <w:lang w:val="fr-FR"/>
        </w:rPr>
        <w:t xml:space="preserve"> normes de qualité énoncé</w:t>
      </w:r>
      <w:r w:rsidR="00276C7D" w:rsidRPr="007D2AC6">
        <w:rPr>
          <w:lang w:val="fr-FR"/>
        </w:rPr>
        <w:t>e</w:t>
      </w:r>
      <w:r w:rsidR="00C82FFF" w:rsidRPr="007D2AC6">
        <w:rPr>
          <w:lang w:val="fr-FR"/>
        </w:rPr>
        <w:t>s par le Comité d</w:t>
      </w:r>
      <w:r w:rsidR="002A5696" w:rsidRPr="007D2AC6">
        <w:rPr>
          <w:lang w:val="fr-FR"/>
        </w:rPr>
        <w:t>’</w:t>
      </w:r>
      <w:r w:rsidR="00C82FFF" w:rsidRPr="007D2AC6">
        <w:rPr>
          <w:lang w:val="fr-FR"/>
        </w:rPr>
        <w:t>aide au développement de l</w:t>
      </w:r>
      <w:r w:rsidR="002A5696" w:rsidRPr="007D2AC6">
        <w:rPr>
          <w:lang w:val="fr-FR"/>
        </w:rPr>
        <w:t>’</w:t>
      </w:r>
      <w:r w:rsidR="00C82FFF" w:rsidRPr="007D2AC6">
        <w:rPr>
          <w:lang w:val="fr-FR"/>
        </w:rPr>
        <w:t xml:space="preserve">Organisation de coopération et de développement économiques </w:t>
      </w:r>
      <w:r w:rsidR="00972890" w:rsidRPr="007D2AC6">
        <w:rPr>
          <w:lang w:val="fr-FR"/>
        </w:rPr>
        <w:t>(</w:t>
      </w:r>
      <w:r w:rsidR="00C82FFF" w:rsidRPr="007D2AC6">
        <w:rPr>
          <w:lang w:val="fr-FR"/>
        </w:rPr>
        <w:t>OCDE/CAD</w:t>
      </w:r>
      <w:r w:rsidR="00972890" w:rsidRPr="007D2AC6">
        <w:rPr>
          <w:lang w:val="fr-FR"/>
        </w:rPr>
        <w:t>)</w:t>
      </w:r>
      <w:r w:rsidR="00DE0B4F" w:rsidRPr="007D2AC6">
        <w:rPr>
          <w:vertAlign w:val="superscript"/>
          <w:lang w:val="fr-FR"/>
        </w:rPr>
        <w:footnoteReference w:id="14"/>
      </w:r>
      <w:r w:rsidR="009F77AF" w:rsidRPr="007D2AC6">
        <w:rPr>
          <w:lang w:val="fr-FR"/>
        </w:rPr>
        <w:t>.</w:t>
      </w:r>
    </w:p>
    <w:p w14:paraId="354C7D96" w14:textId="09DFE1FE" w:rsidR="002A5696" w:rsidRPr="007D2AC6" w:rsidRDefault="00C82FFF" w:rsidP="008139DE">
      <w:pPr>
        <w:pStyle w:val="ONUMFS"/>
        <w:rPr>
          <w:lang w:val="fr-FR"/>
        </w:rPr>
      </w:pPr>
      <w:r w:rsidRPr="007D2AC6">
        <w:rPr>
          <w:lang w:val="fr-FR"/>
        </w:rPr>
        <w:lastRenderedPageBreak/>
        <w:t xml:space="preserve">Le mandat prévoit une évaluation de la qualité du </w:t>
      </w:r>
      <w:r w:rsidR="004567E1" w:rsidRPr="007D2AC6">
        <w:rPr>
          <w:lang w:val="fr-FR"/>
        </w:rPr>
        <w:t>p</w:t>
      </w:r>
      <w:r w:rsidRPr="007D2AC6">
        <w:rPr>
          <w:lang w:val="fr-FR"/>
        </w:rPr>
        <w:t xml:space="preserve">rojet, </w:t>
      </w:r>
      <w:r w:rsidR="002A5696" w:rsidRPr="007D2AC6">
        <w:rPr>
          <w:lang w:val="fr-FR"/>
        </w:rPr>
        <w:t>y compris</w:t>
      </w:r>
      <w:r w:rsidRPr="007D2AC6">
        <w:rPr>
          <w:lang w:val="fr-FR"/>
        </w:rPr>
        <w:t xml:space="preserve"> celle de sa conception et de sa gesti</w:t>
      </w:r>
      <w:r w:rsidR="001B6E2D" w:rsidRPr="007D2AC6">
        <w:rPr>
          <w:lang w:val="fr-FR"/>
        </w:rPr>
        <w:t>on.  Co</w:t>
      </w:r>
      <w:r w:rsidRPr="007D2AC6">
        <w:rPr>
          <w:lang w:val="fr-FR"/>
        </w:rPr>
        <w:t>nformément au mandat et aux pratiques d</w:t>
      </w:r>
      <w:r w:rsidR="002A5696" w:rsidRPr="007D2AC6">
        <w:rPr>
          <w:lang w:val="fr-FR"/>
        </w:rPr>
        <w:t>’</w:t>
      </w:r>
      <w:r w:rsidRPr="007D2AC6">
        <w:rPr>
          <w:lang w:val="fr-FR"/>
        </w:rPr>
        <w:t>évaluation standard, l</w:t>
      </w:r>
      <w:r w:rsidR="002A5696" w:rsidRPr="007D2AC6">
        <w:rPr>
          <w:lang w:val="fr-FR"/>
        </w:rPr>
        <w:t>’</w:t>
      </w:r>
      <w:r w:rsidRPr="007D2AC6">
        <w:rPr>
          <w:lang w:val="fr-FR"/>
        </w:rPr>
        <w:t>évaluation a été menée sur la base des cinq</w:t>
      </w:r>
      <w:r w:rsidR="009F77AF" w:rsidRPr="007D2AC6">
        <w:rPr>
          <w:lang w:val="fr-FR"/>
        </w:rPr>
        <w:t> </w:t>
      </w:r>
      <w:r w:rsidRPr="007D2AC6">
        <w:rPr>
          <w:lang w:val="fr-FR"/>
        </w:rPr>
        <w:t>critères suivants</w:t>
      </w:r>
      <w:r w:rsidRPr="007D2AC6">
        <w:rPr>
          <w:rStyle w:val="FootnoteReference"/>
          <w:lang w:val="fr-FR"/>
        </w:rPr>
        <w:footnoteReference w:id="15"/>
      </w:r>
      <w:r w:rsidR="009F77AF" w:rsidRPr="007D2AC6">
        <w:rPr>
          <w:lang w:val="fr-FR"/>
        </w:rPr>
        <w:t> </w:t>
      </w:r>
      <w:r w:rsidRPr="007D2AC6">
        <w:rPr>
          <w:lang w:val="fr-FR"/>
        </w:rPr>
        <w:t>:</w:t>
      </w:r>
    </w:p>
    <w:p w14:paraId="689CD3B1" w14:textId="59692E05" w:rsidR="00C82FFF" w:rsidRPr="007D2AC6" w:rsidRDefault="00C82FFF" w:rsidP="008139DE">
      <w:pPr>
        <w:pStyle w:val="ONUMFS"/>
        <w:numPr>
          <w:ilvl w:val="1"/>
          <w:numId w:val="40"/>
        </w:numPr>
        <w:rPr>
          <w:lang w:val="fr-FR"/>
        </w:rPr>
      </w:pPr>
      <w:r w:rsidRPr="007D2AC6">
        <w:rPr>
          <w:lang w:val="fr-FR"/>
        </w:rPr>
        <w:t>la p</w:t>
      </w:r>
      <w:r w:rsidR="004075A6" w:rsidRPr="007D2AC6">
        <w:rPr>
          <w:lang w:val="fr-FR"/>
        </w:rPr>
        <w:t>r</w:t>
      </w:r>
      <w:r w:rsidRPr="007D2AC6">
        <w:rPr>
          <w:lang w:val="fr-FR"/>
        </w:rPr>
        <w:t xml:space="preserve">éparation et la gestion du </w:t>
      </w:r>
      <w:r w:rsidR="004567E1" w:rsidRPr="007D2AC6">
        <w:rPr>
          <w:lang w:val="fr-FR"/>
        </w:rPr>
        <w:t>projet</w:t>
      </w:r>
      <w:r w:rsidR="002669A1" w:rsidRPr="007D2AC6">
        <w:rPr>
          <w:rStyle w:val="FootnoteReference"/>
          <w:lang w:val="fr-FR"/>
        </w:rPr>
        <w:footnoteReference w:id="16"/>
      </w:r>
      <w:r w:rsidR="009F77AF" w:rsidRPr="007D2AC6">
        <w:rPr>
          <w:lang w:val="fr-FR"/>
        </w:rPr>
        <w:t> </w:t>
      </w:r>
      <w:proofErr w:type="gramStart"/>
      <w:r w:rsidR="004075A6" w:rsidRPr="007D2AC6">
        <w:rPr>
          <w:lang w:val="fr-FR"/>
        </w:rPr>
        <w:t xml:space="preserve">: </w:t>
      </w:r>
      <w:r w:rsidRPr="007D2AC6">
        <w:rPr>
          <w:lang w:val="fr-FR"/>
        </w:rPr>
        <w:t>mesure</w:t>
      </w:r>
      <w:proofErr w:type="gramEnd"/>
      <w:r w:rsidRPr="007D2AC6">
        <w:rPr>
          <w:lang w:val="fr-FR"/>
        </w:rPr>
        <w:t xml:space="preserve"> dans laquelle le </w:t>
      </w:r>
      <w:r w:rsidR="004567E1" w:rsidRPr="007D2AC6">
        <w:rPr>
          <w:lang w:val="fr-FR"/>
        </w:rPr>
        <w:t>p</w:t>
      </w:r>
      <w:r w:rsidRPr="007D2AC6">
        <w:rPr>
          <w:lang w:val="fr-FR"/>
        </w:rPr>
        <w:t xml:space="preserve">rojet a été préparé et géré selon des pratiques recommandées, </w:t>
      </w:r>
      <w:r w:rsidR="002A5696" w:rsidRPr="007D2AC6">
        <w:rPr>
          <w:lang w:val="fr-FR"/>
        </w:rPr>
        <w:t>y compris</w:t>
      </w:r>
      <w:r w:rsidRPr="007D2AC6">
        <w:rPr>
          <w:lang w:val="fr-FR"/>
        </w:rPr>
        <w:t xml:space="preserve"> l</w:t>
      </w:r>
      <w:r w:rsidR="002A5696" w:rsidRPr="007D2AC6">
        <w:rPr>
          <w:lang w:val="fr-FR"/>
        </w:rPr>
        <w:t>’</w:t>
      </w:r>
      <w:r w:rsidRPr="007D2AC6">
        <w:rPr>
          <w:lang w:val="fr-FR"/>
        </w:rPr>
        <w:t>utilisation d</w:t>
      </w:r>
      <w:r w:rsidR="002A5696" w:rsidRPr="007D2AC6">
        <w:rPr>
          <w:lang w:val="fr-FR"/>
        </w:rPr>
        <w:t>’</w:t>
      </w:r>
      <w:r w:rsidRPr="007D2AC6">
        <w:rPr>
          <w:lang w:val="fr-FR"/>
        </w:rPr>
        <w:t>outils de gestion axée sur les résultats</w:t>
      </w:r>
      <w:r w:rsidR="00DF11AD" w:rsidRPr="007D2AC6">
        <w:rPr>
          <w:lang w:val="fr-FR"/>
        </w:rPr>
        <w:t>;</w:t>
      </w:r>
    </w:p>
    <w:p w14:paraId="7AAEE663" w14:textId="37E92EDA" w:rsidR="0059687A" w:rsidRPr="007D2AC6" w:rsidRDefault="00DE7E50" w:rsidP="00DE7E50">
      <w:pPr>
        <w:pStyle w:val="ONUMFS"/>
        <w:numPr>
          <w:ilvl w:val="1"/>
          <w:numId w:val="40"/>
        </w:numPr>
        <w:rPr>
          <w:lang w:val="fr-FR"/>
        </w:rPr>
      </w:pPr>
      <w:r w:rsidRPr="007D2AC6">
        <w:rPr>
          <w:lang w:val="fr-FR"/>
        </w:rPr>
        <w:t>la pertinence</w:t>
      </w:r>
      <w:r w:rsidR="002A5696" w:rsidRPr="007D2AC6">
        <w:rPr>
          <w:lang w:val="fr-FR"/>
        </w:rPr>
        <w:t> </w:t>
      </w:r>
      <w:proofErr w:type="gramStart"/>
      <w:r w:rsidR="002A5696" w:rsidRPr="007D2AC6">
        <w:rPr>
          <w:lang w:val="fr-FR"/>
        </w:rPr>
        <w:t>:</w:t>
      </w:r>
      <w:r w:rsidRPr="007D2AC6">
        <w:rPr>
          <w:lang w:val="fr-FR"/>
        </w:rPr>
        <w:t xml:space="preserve"> mesure</w:t>
      </w:r>
      <w:proofErr w:type="gramEnd"/>
      <w:r w:rsidRPr="007D2AC6">
        <w:rPr>
          <w:lang w:val="fr-FR"/>
        </w:rPr>
        <w:t xml:space="preserve"> dans laquelle les objectifs du </w:t>
      </w:r>
      <w:r w:rsidR="004567E1" w:rsidRPr="007D2AC6">
        <w:rPr>
          <w:lang w:val="fr-FR"/>
        </w:rPr>
        <w:t>p</w:t>
      </w:r>
      <w:r w:rsidRPr="007D2AC6">
        <w:rPr>
          <w:lang w:val="fr-FR"/>
        </w:rPr>
        <w:t>rojet étaient conformes aux exigences des bénéficiaires, aux besoins des États membres, aux priorités mondiales et aux politiques;</w:t>
      </w:r>
    </w:p>
    <w:p w14:paraId="21E9A4D2" w14:textId="01207A6F" w:rsidR="0059687A" w:rsidRPr="007D2AC6" w:rsidRDefault="00DE7E50" w:rsidP="00DE7E50">
      <w:pPr>
        <w:pStyle w:val="ONUMFS"/>
        <w:numPr>
          <w:ilvl w:val="1"/>
          <w:numId w:val="40"/>
        </w:numPr>
        <w:rPr>
          <w:lang w:val="fr-FR"/>
        </w:rPr>
      </w:pPr>
      <w:r w:rsidRPr="007D2AC6">
        <w:rPr>
          <w:lang w:val="fr-FR"/>
        </w:rPr>
        <w:t>l</w:t>
      </w:r>
      <w:r w:rsidR="002A5696" w:rsidRPr="007D2AC6">
        <w:rPr>
          <w:lang w:val="fr-FR"/>
        </w:rPr>
        <w:t>’</w:t>
      </w:r>
      <w:r w:rsidRPr="007D2AC6">
        <w:rPr>
          <w:lang w:val="fr-FR"/>
        </w:rPr>
        <w:t>efficience</w:t>
      </w:r>
      <w:r w:rsidR="002A5696" w:rsidRPr="007D2AC6">
        <w:rPr>
          <w:lang w:val="fr-FR"/>
        </w:rPr>
        <w:t> </w:t>
      </w:r>
      <w:proofErr w:type="gramStart"/>
      <w:r w:rsidR="002A5696" w:rsidRPr="007D2AC6">
        <w:rPr>
          <w:lang w:val="fr-FR"/>
        </w:rPr>
        <w:t>:</w:t>
      </w:r>
      <w:r w:rsidRPr="007D2AC6">
        <w:rPr>
          <w:lang w:val="fr-FR"/>
        </w:rPr>
        <w:t xml:space="preserve"> mesure</w:t>
      </w:r>
      <w:proofErr w:type="gramEnd"/>
      <w:r w:rsidRPr="007D2AC6">
        <w:rPr>
          <w:lang w:val="fr-FR"/>
        </w:rPr>
        <w:t xml:space="preserve"> dans laquelle on a converti, de façon efficace, les moyens mis en œuvre </w:t>
      </w:r>
      <w:r w:rsidR="00972890" w:rsidRPr="007D2AC6">
        <w:rPr>
          <w:lang w:val="fr-FR"/>
        </w:rPr>
        <w:t>(</w:t>
      </w:r>
      <w:r w:rsidRPr="007D2AC6">
        <w:rPr>
          <w:lang w:val="fr-FR"/>
        </w:rPr>
        <w:t>par exemple les fonds, l</w:t>
      </w:r>
      <w:r w:rsidR="002A5696" w:rsidRPr="007D2AC6">
        <w:rPr>
          <w:lang w:val="fr-FR"/>
        </w:rPr>
        <w:t>’</w:t>
      </w:r>
      <w:r w:rsidRPr="007D2AC6">
        <w:rPr>
          <w:lang w:val="fr-FR"/>
        </w:rPr>
        <w:t>expertise ou le temps) en résulta</w:t>
      </w:r>
      <w:r w:rsidR="001B6E2D" w:rsidRPr="007D2AC6">
        <w:rPr>
          <w:lang w:val="fr-FR"/>
        </w:rPr>
        <w:t>ts.  L’é</w:t>
      </w:r>
      <w:r w:rsidRPr="007D2AC6">
        <w:rPr>
          <w:lang w:val="fr-FR"/>
        </w:rPr>
        <w:t>valuation a principalement porté sur l</w:t>
      </w:r>
      <w:r w:rsidR="002A5696" w:rsidRPr="007D2AC6">
        <w:rPr>
          <w:lang w:val="fr-FR"/>
        </w:rPr>
        <w:t>’</w:t>
      </w:r>
      <w:r w:rsidRPr="007D2AC6">
        <w:rPr>
          <w:lang w:val="fr-FR"/>
        </w:rPr>
        <w:t>approche du projet;</w:t>
      </w:r>
    </w:p>
    <w:p w14:paraId="05149D3F" w14:textId="30141825" w:rsidR="0059687A" w:rsidRPr="007D2AC6" w:rsidRDefault="00DE7E50" w:rsidP="00DE7E50">
      <w:pPr>
        <w:pStyle w:val="ONUMFS"/>
        <w:numPr>
          <w:ilvl w:val="1"/>
          <w:numId w:val="40"/>
        </w:numPr>
        <w:rPr>
          <w:lang w:val="fr-FR"/>
        </w:rPr>
      </w:pPr>
      <w:r w:rsidRPr="007D2AC6">
        <w:rPr>
          <w:lang w:val="fr-FR"/>
        </w:rPr>
        <w:t>l</w:t>
      </w:r>
      <w:r w:rsidR="002A5696" w:rsidRPr="007D2AC6">
        <w:rPr>
          <w:lang w:val="fr-FR"/>
        </w:rPr>
        <w:t>’</w:t>
      </w:r>
      <w:r w:rsidRPr="007D2AC6">
        <w:rPr>
          <w:lang w:val="fr-FR"/>
        </w:rPr>
        <w:t>efficacité</w:t>
      </w:r>
      <w:r w:rsidR="002A5696" w:rsidRPr="007D2AC6">
        <w:rPr>
          <w:lang w:val="fr-FR"/>
        </w:rPr>
        <w:t> </w:t>
      </w:r>
      <w:proofErr w:type="gramStart"/>
      <w:r w:rsidR="002A5696" w:rsidRPr="007D2AC6">
        <w:rPr>
          <w:lang w:val="fr-FR"/>
        </w:rPr>
        <w:t>:</w:t>
      </w:r>
      <w:r w:rsidRPr="007D2AC6">
        <w:rPr>
          <w:lang w:val="fr-FR"/>
        </w:rPr>
        <w:t xml:space="preserve"> mesure</w:t>
      </w:r>
      <w:proofErr w:type="gramEnd"/>
      <w:r w:rsidRPr="007D2AC6">
        <w:rPr>
          <w:lang w:val="fr-FR"/>
        </w:rPr>
        <w:t xml:space="preserve"> dans laquelle les objectifs ont été atteints, ou devraient l</w:t>
      </w:r>
      <w:r w:rsidR="002A5696" w:rsidRPr="007D2AC6">
        <w:rPr>
          <w:lang w:val="fr-FR"/>
        </w:rPr>
        <w:t>’</w:t>
      </w:r>
      <w:r w:rsidRPr="007D2AC6">
        <w:rPr>
          <w:lang w:val="fr-FR"/>
        </w:rPr>
        <w:t>être, compte tenu de leur importance relative;</w:t>
      </w:r>
    </w:p>
    <w:p w14:paraId="14ACEDEA" w14:textId="240D2A4E" w:rsidR="0059687A" w:rsidRPr="007D2AC6" w:rsidRDefault="00DE7E50" w:rsidP="00DE7E50">
      <w:pPr>
        <w:pStyle w:val="ONUMFS"/>
        <w:numPr>
          <w:ilvl w:val="1"/>
          <w:numId w:val="40"/>
        </w:numPr>
        <w:rPr>
          <w:lang w:val="fr-FR"/>
        </w:rPr>
      </w:pPr>
      <w:r w:rsidRPr="007D2AC6">
        <w:rPr>
          <w:lang w:val="fr-FR"/>
        </w:rPr>
        <w:t>la viabilité</w:t>
      </w:r>
      <w:r w:rsidR="002A5696" w:rsidRPr="007D2AC6">
        <w:rPr>
          <w:lang w:val="fr-FR"/>
        </w:rPr>
        <w:t> </w:t>
      </w:r>
      <w:proofErr w:type="gramStart"/>
      <w:r w:rsidR="002A5696" w:rsidRPr="007D2AC6">
        <w:rPr>
          <w:lang w:val="fr-FR"/>
        </w:rPr>
        <w:t>:</w:t>
      </w:r>
      <w:r w:rsidRPr="007D2AC6">
        <w:rPr>
          <w:lang w:val="fr-FR"/>
        </w:rPr>
        <w:t xml:space="preserve"> probabilité</w:t>
      </w:r>
      <w:proofErr w:type="gramEnd"/>
      <w:r w:rsidRPr="007D2AC6">
        <w:rPr>
          <w:lang w:val="fr-FR"/>
        </w:rPr>
        <w:t xml:space="preserve"> de voir les </w:t>
      </w:r>
      <w:proofErr w:type="spellStart"/>
      <w:r w:rsidRPr="007D2AC6">
        <w:rPr>
          <w:lang w:val="fr-FR"/>
        </w:rPr>
        <w:t>bienfaits</w:t>
      </w:r>
      <w:proofErr w:type="spellEnd"/>
      <w:r w:rsidRPr="007D2AC6">
        <w:rPr>
          <w:lang w:val="fr-FR"/>
        </w:rPr>
        <w:t xml:space="preserve"> du projet persister à l</w:t>
      </w:r>
      <w:r w:rsidR="002A5696" w:rsidRPr="007D2AC6">
        <w:rPr>
          <w:lang w:val="fr-FR"/>
        </w:rPr>
        <w:t>’</w:t>
      </w:r>
      <w:r w:rsidRPr="007D2AC6">
        <w:rPr>
          <w:lang w:val="fr-FR"/>
        </w:rPr>
        <w:t>issue de la période de fourniture de l</w:t>
      </w:r>
      <w:r w:rsidR="002A5696" w:rsidRPr="007D2AC6">
        <w:rPr>
          <w:lang w:val="fr-FR"/>
        </w:rPr>
        <w:t>’</w:t>
      </w:r>
      <w:r w:rsidRPr="007D2AC6">
        <w:rPr>
          <w:lang w:val="fr-FR"/>
        </w:rPr>
        <w:t>aide.</w:t>
      </w:r>
    </w:p>
    <w:p w14:paraId="4F954116" w14:textId="064042A1" w:rsidR="0059687A" w:rsidRPr="007D2AC6" w:rsidRDefault="00DF11AD" w:rsidP="008139DE">
      <w:pPr>
        <w:pStyle w:val="ONUMFS"/>
        <w:rPr>
          <w:lang w:val="fr-FR"/>
        </w:rPr>
      </w:pPr>
      <w:r w:rsidRPr="007D2AC6">
        <w:rPr>
          <w:lang w:val="fr-FR"/>
        </w:rPr>
        <w:t>Outre ces cinq</w:t>
      </w:r>
      <w:r w:rsidR="009F77AF" w:rsidRPr="007D2AC6">
        <w:rPr>
          <w:lang w:val="fr-FR"/>
        </w:rPr>
        <w:t> </w:t>
      </w:r>
      <w:r w:rsidRPr="007D2AC6">
        <w:rPr>
          <w:lang w:val="fr-FR"/>
        </w:rPr>
        <w:t>critères, il a été demandé à l</w:t>
      </w:r>
      <w:r w:rsidR="002A5696" w:rsidRPr="007D2AC6">
        <w:rPr>
          <w:lang w:val="fr-FR"/>
        </w:rPr>
        <w:t>’</w:t>
      </w:r>
      <w:r w:rsidRPr="007D2AC6">
        <w:rPr>
          <w:lang w:val="fr-FR"/>
        </w:rPr>
        <w:t>évaluateur d</w:t>
      </w:r>
      <w:r w:rsidR="002A5696" w:rsidRPr="007D2AC6">
        <w:rPr>
          <w:lang w:val="fr-FR"/>
        </w:rPr>
        <w:t>’</w:t>
      </w:r>
      <w:r w:rsidR="004567E1" w:rsidRPr="007D2AC6">
        <w:rPr>
          <w:lang w:val="fr-FR"/>
        </w:rPr>
        <w:t>estime</w:t>
      </w:r>
      <w:r w:rsidRPr="007D2AC6">
        <w:rPr>
          <w:lang w:val="fr-FR"/>
        </w:rPr>
        <w:t>r dans quelle mesure la préparation et l</w:t>
      </w:r>
      <w:r w:rsidR="002A5696" w:rsidRPr="007D2AC6">
        <w:rPr>
          <w:lang w:val="fr-FR"/>
        </w:rPr>
        <w:t>’</w:t>
      </w:r>
      <w:r w:rsidRPr="007D2AC6">
        <w:rPr>
          <w:lang w:val="fr-FR"/>
        </w:rPr>
        <w:t xml:space="preserve">exécution du </w:t>
      </w:r>
      <w:r w:rsidR="004567E1" w:rsidRPr="007D2AC6">
        <w:rPr>
          <w:lang w:val="fr-FR"/>
        </w:rPr>
        <w:t>p</w:t>
      </w:r>
      <w:r w:rsidRPr="007D2AC6">
        <w:rPr>
          <w:lang w:val="fr-FR"/>
        </w:rPr>
        <w:t>rojet tenaient compte de la parité hommes</w:t>
      </w:r>
      <w:r w:rsidR="00B57560" w:rsidRPr="007D2AC6">
        <w:rPr>
          <w:lang w:val="fr-FR"/>
        </w:rPr>
        <w:noBreakHyphen/>
      </w:r>
      <w:r w:rsidRPr="007D2AC6">
        <w:rPr>
          <w:lang w:val="fr-FR"/>
        </w:rPr>
        <w:t>femmes.</w:t>
      </w:r>
    </w:p>
    <w:p w14:paraId="65BE3E4F" w14:textId="750B149B" w:rsidR="00DF11AD" w:rsidRPr="007D2AC6" w:rsidRDefault="00DF11AD" w:rsidP="008139DE">
      <w:pPr>
        <w:pStyle w:val="ONUMFS"/>
        <w:rPr>
          <w:lang w:val="fr-FR"/>
        </w:rPr>
      </w:pPr>
      <w:r w:rsidRPr="007D2AC6">
        <w:rPr>
          <w:lang w:val="fr-FR"/>
        </w:rPr>
        <w:t>L</w:t>
      </w:r>
      <w:r w:rsidR="002A5696" w:rsidRPr="007D2AC6">
        <w:rPr>
          <w:lang w:val="fr-FR"/>
        </w:rPr>
        <w:t>’</w:t>
      </w:r>
      <w:r w:rsidRPr="007D2AC6">
        <w:rPr>
          <w:lang w:val="fr-FR"/>
        </w:rPr>
        <w:t>é</w:t>
      </w:r>
      <w:r w:rsidR="00A91CE8" w:rsidRPr="007D2AC6">
        <w:rPr>
          <w:lang w:val="fr-FR"/>
        </w:rPr>
        <w:t>valuat</w:t>
      </w:r>
      <w:r w:rsidRPr="007D2AC6">
        <w:rPr>
          <w:lang w:val="fr-FR"/>
        </w:rPr>
        <w:t>eur</w:t>
      </w:r>
      <w:r w:rsidR="00A91CE8" w:rsidRPr="007D2AC6">
        <w:rPr>
          <w:lang w:val="fr-FR"/>
        </w:rPr>
        <w:t xml:space="preserve"> </w:t>
      </w:r>
      <w:r w:rsidRPr="007D2AC6">
        <w:rPr>
          <w:lang w:val="fr-FR"/>
        </w:rPr>
        <w:t>a fait appel à différents outils de collecte de données afin de parvenir à une évaluation qualitative et quantitative fondée sur des données probantes</w:t>
      </w:r>
      <w:r w:rsidR="002A5696" w:rsidRPr="007D2AC6">
        <w:rPr>
          <w:lang w:val="fr-FR"/>
        </w:rPr>
        <w:t> </w:t>
      </w:r>
      <w:proofErr w:type="gramStart"/>
      <w:r w:rsidR="002A5696" w:rsidRPr="007D2AC6">
        <w:rPr>
          <w:lang w:val="fr-FR"/>
        </w:rPr>
        <w:t>:</w:t>
      </w:r>
      <w:r w:rsidRPr="007D2AC6">
        <w:rPr>
          <w:lang w:val="fr-FR"/>
        </w:rPr>
        <w:t xml:space="preserve"> études</w:t>
      </w:r>
      <w:proofErr w:type="gramEnd"/>
      <w:r w:rsidRPr="007D2AC6">
        <w:rPr>
          <w:lang w:val="fr-FR"/>
        </w:rPr>
        <w:t xml:space="preserve"> de dossiers, entretiens personnels et observation direc</w:t>
      </w:r>
      <w:r w:rsidR="001B6E2D" w:rsidRPr="007D2AC6">
        <w:rPr>
          <w:lang w:val="fr-FR"/>
        </w:rPr>
        <w:t>te.  Ce</w:t>
      </w:r>
      <w:r w:rsidRPr="007D2AC6">
        <w:rPr>
          <w:lang w:val="fr-FR"/>
        </w:rPr>
        <w:t>tte méthodologie consistait essentiellement</w:t>
      </w:r>
      <w:r w:rsidR="004567E1" w:rsidRPr="007D2AC6">
        <w:rPr>
          <w:lang w:val="fr-FR"/>
        </w:rPr>
        <w:t xml:space="preserve"> dans</w:t>
      </w:r>
      <w:r w:rsidRPr="007D2AC6">
        <w:rPr>
          <w:lang w:val="fr-FR"/>
        </w:rPr>
        <w:t xml:space="preserve"> une triangulation des données et une évaluation de leur plausibili</w:t>
      </w:r>
      <w:r w:rsidR="001B6E2D" w:rsidRPr="007D2AC6">
        <w:rPr>
          <w:lang w:val="fr-FR"/>
        </w:rPr>
        <w:t>té.  La</w:t>
      </w:r>
      <w:r w:rsidRPr="007D2AC6">
        <w:rPr>
          <w:lang w:val="fr-FR"/>
        </w:rPr>
        <w:t xml:space="preserve"> liste des personnes interrogées et des documents consultés figure dans les appendices</w:t>
      </w:r>
      <w:r w:rsidR="00B57560" w:rsidRPr="007D2AC6">
        <w:rPr>
          <w:lang w:val="fr-FR"/>
        </w:rPr>
        <w:t> </w:t>
      </w:r>
      <w:r w:rsidR="00972890" w:rsidRPr="007D2AC6">
        <w:rPr>
          <w:lang w:val="fr-FR"/>
        </w:rPr>
        <w:t>III et </w:t>
      </w:r>
      <w:r w:rsidRPr="007D2AC6">
        <w:rPr>
          <w:lang w:val="fr-FR"/>
        </w:rPr>
        <w:t>IV du présent rapport.</w:t>
      </w:r>
    </w:p>
    <w:p w14:paraId="1D579C49" w14:textId="0386913A" w:rsidR="00DF11AD" w:rsidRPr="007D2AC6" w:rsidRDefault="002D5DFB" w:rsidP="008139DE">
      <w:pPr>
        <w:pStyle w:val="ONUMFS"/>
        <w:rPr>
          <w:lang w:val="fr-FR"/>
        </w:rPr>
      </w:pPr>
      <w:r w:rsidRPr="007D2AC6">
        <w:rPr>
          <w:lang w:val="fr-FR"/>
        </w:rPr>
        <w:t>Tout en restant indépendant, l</w:t>
      </w:r>
      <w:r w:rsidR="002A5696" w:rsidRPr="007D2AC6">
        <w:rPr>
          <w:lang w:val="fr-FR"/>
        </w:rPr>
        <w:t>’</w:t>
      </w:r>
      <w:r w:rsidRPr="007D2AC6">
        <w:rPr>
          <w:lang w:val="fr-FR"/>
        </w:rPr>
        <w:t>évaluateur a suivi une méthode participative, recueillant les points de vue des représentants de toutes les catégories de parties prenantes du projet.</w:t>
      </w:r>
    </w:p>
    <w:p w14:paraId="16D7799C" w14:textId="5B85786A" w:rsidR="002D5DFB" w:rsidRPr="007D2AC6" w:rsidRDefault="002D5DFB" w:rsidP="008139DE">
      <w:pPr>
        <w:pStyle w:val="ONUMFS"/>
        <w:rPr>
          <w:lang w:val="fr-FR"/>
        </w:rPr>
      </w:pPr>
      <w:r w:rsidRPr="007D2AC6">
        <w:rPr>
          <w:lang w:val="fr-FR"/>
        </w:rPr>
        <w:t>L</w:t>
      </w:r>
      <w:r w:rsidR="002A5696" w:rsidRPr="007D2AC6">
        <w:rPr>
          <w:lang w:val="fr-FR"/>
        </w:rPr>
        <w:t>’</w:t>
      </w:r>
      <w:r w:rsidRPr="007D2AC6">
        <w:rPr>
          <w:lang w:val="fr-FR"/>
        </w:rPr>
        <w:t>évaluation proprement dite était conçue de manière à faciliter l</w:t>
      </w:r>
      <w:r w:rsidR="002A5696" w:rsidRPr="007D2AC6">
        <w:rPr>
          <w:lang w:val="fr-FR"/>
        </w:rPr>
        <w:t>’</w:t>
      </w:r>
      <w:r w:rsidRPr="007D2AC6">
        <w:rPr>
          <w:lang w:val="fr-FR"/>
        </w:rPr>
        <w:t>apprentissage institutionn</w:t>
      </w:r>
      <w:r w:rsidR="001B6E2D" w:rsidRPr="007D2AC6">
        <w:rPr>
          <w:lang w:val="fr-FR"/>
        </w:rPr>
        <w:t>el.  L’é</w:t>
      </w:r>
      <w:r w:rsidRPr="007D2AC6">
        <w:rPr>
          <w:lang w:val="fr-FR"/>
        </w:rPr>
        <w:t>valuateur s</w:t>
      </w:r>
      <w:r w:rsidR="002A5696" w:rsidRPr="007D2AC6">
        <w:rPr>
          <w:lang w:val="fr-FR"/>
        </w:rPr>
        <w:t>’</w:t>
      </w:r>
      <w:r w:rsidRPr="007D2AC6">
        <w:rPr>
          <w:lang w:val="fr-FR"/>
        </w:rPr>
        <w:t>est efforcé de faire participer des membres du personnel de l</w:t>
      </w:r>
      <w:r w:rsidR="002A5696" w:rsidRPr="007D2AC6">
        <w:rPr>
          <w:lang w:val="fr-FR"/>
        </w:rPr>
        <w:t>’</w:t>
      </w:r>
      <w:r w:rsidRPr="007D2AC6">
        <w:rPr>
          <w:lang w:val="fr-FR"/>
        </w:rPr>
        <w:t>OMPI à l</w:t>
      </w:r>
      <w:r w:rsidR="002A5696" w:rsidRPr="007D2AC6">
        <w:rPr>
          <w:lang w:val="fr-FR"/>
        </w:rPr>
        <w:t>’</w:t>
      </w:r>
      <w:r w:rsidRPr="007D2AC6">
        <w:rPr>
          <w:lang w:val="fr-FR"/>
        </w:rPr>
        <w:t>opération et, dans la mesure du possible, d</w:t>
      </w:r>
      <w:r w:rsidR="002A5696" w:rsidRPr="007D2AC6">
        <w:rPr>
          <w:lang w:val="fr-FR"/>
        </w:rPr>
        <w:t>’</w:t>
      </w:r>
      <w:r w:rsidRPr="007D2AC6">
        <w:rPr>
          <w:lang w:val="fr-FR"/>
        </w:rPr>
        <w:t>obtenir leur adhésion aux principales constatations, conclusions et recommandations.</w:t>
      </w:r>
    </w:p>
    <w:p w14:paraId="232468DD" w14:textId="6AF1B538" w:rsidR="00225BD4" w:rsidRPr="007D2AC6" w:rsidRDefault="00225BD4" w:rsidP="008139DE">
      <w:pPr>
        <w:pStyle w:val="ONUMFS"/>
        <w:rPr>
          <w:lang w:val="fr-FR"/>
        </w:rPr>
      </w:pPr>
      <w:r w:rsidRPr="007D2AC6">
        <w:rPr>
          <w:lang w:val="fr-FR"/>
        </w:rPr>
        <w:t>L</w:t>
      </w:r>
      <w:r w:rsidR="002A5696" w:rsidRPr="007D2AC6">
        <w:rPr>
          <w:lang w:val="fr-FR"/>
        </w:rPr>
        <w:t>’</w:t>
      </w:r>
      <w:r w:rsidRPr="007D2AC6">
        <w:rPr>
          <w:lang w:val="fr-FR"/>
        </w:rPr>
        <w:t>évaluateur a travaillé librement, sans aucune interféren</w:t>
      </w:r>
      <w:r w:rsidR="001B6E2D" w:rsidRPr="007D2AC6">
        <w:rPr>
          <w:lang w:val="fr-FR"/>
        </w:rPr>
        <w:t>ce.  To</w:t>
      </w:r>
      <w:r w:rsidRPr="007D2AC6">
        <w:rPr>
          <w:lang w:val="fr-FR"/>
        </w:rPr>
        <w:t>utes les parties prenantes interrogées étaient disposées à faire part de leurs points de vue en toute franchi</w:t>
      </w:r>
      <w:r w:rsidR="001B6E2D" w:rsidRPr="007D2AC6">
        <w:rPr>
          <w:lang w:val="fr-FR"/>
        </w:rPr>
        <w:t>se.  Le</w:t>
      </w:r>
      <w:r w:rsidRPr="007D2AC6">
        <w:rPr>
          <w:lang w:val="fr-FR"/>
        </w:rPr>
        <w:t>s informations obtenues pendant la collecte de données étaient exhaustives, cohérentes et claires.</w:t>
      </w:r>
    </w:p>
    <w:p w14:paraId="0D941C81" w14:textId="7B2C8173" w:rsidR="0059687A" w:rsidRPr="007D2AC6" w:rsidRDefault="00225BD4" w:rsidP="008139DE">
      <w:pPr>
        <w:pStyle w:val="ONUMFS"/>
        <w:rPr>
          <w:lang w:val="fr-FR"/>
        </w:rPr>
      </w:pPr>
      <w:r w:rsidRPr="007D2AC6">
        <w:rPr>
          <w:lang w:val="fr-FR"/>
        </w:rPr>
        <w:t>Le Secrétariat a facilité l</w:t>
      </w:r>
      <w:r w:rsidR="002A5696" w:rsidRPr="007D2AC6">
        <w:rPr>
          <w:lang w:val="fr-FR"/>
        </w:rPr>
        <w:t>’</w:t>
      </w:r>
      <w:r w:rsidRPr="007D2AC6">
        <w:rPr>
          <w:lang w:val="fr-FR"/>
        </w:rPr>
        <w:t>évaluation, notamment en réunissant les documents nécessaires et en organisant les entretiens.</w:t>
      </w:r>
    </w:p>
    <w:p w14:paraId="690D4EB4" w14:textId="35E8449B" w:rsidR="00225BD4" w:rsidRPr="007D2AC6" w:rsidRDefault="00225BD4" w:rsidP="008139DE">
      <w:pPr>
        <w:pStyle w:val="ONUMFS"/>
        <w:rPr>
          <w:lang w:val="fr-FR"/>
        </w:rPr>
      </w:pPr>
      <w:r w:rsidRPr="007D2AC6">
        <w:rPr>
          <w:lang w:val="fr-FR"/>
        </w:rPr>
        <w:t>La présentation du rapport d</w:t>
      </w:r>
      <w:r w:rsidR="002A5696" w:rsidRPr="007D2AC6">
        <w:rPr>
          <w:lang w:val="fr-FR"/>
        </w:rPr>
        <w:t>’</w:t>
      </w:r>
      <w:r w:rsidRPr="007D2AC6">
        <w:rPr>
          <w:lang w:val="fr-FR"/>
        </w:rPr>
        <w:t xml:space="preserve">évaluation lors de la </w:t>
      </w:r>
      <w:r w:rsidR="006F2775" w:rsidRPr="007D2AC6">
        <w:rPr>
          <w:lang w:val="fr-FR"/>
        </w:rPr>
        <w:t>dix</w:t>
      </w:r>
      <w:r w:rsidR="006F2775" w:rsidRPr="007D2AC6">
        <w:rPr>
          <w:lang w:val="fr-FR"/>
        </w:rPr>
        <w:noBreakHyphen/>
        <w:t>neuvième</w:t>
      </w:r>
      <w:r w:rsidR="00B57560" w:rsidRPr="007D2AC6">
        <w:rPr>
          <w:lang w:val="fr-FR"/>
        </w:rPr>
        <w:t> </w:t>
      </w:r>
      <w:r w:rsidRPr="007D2AC6">
        <w:rPr>
          <w:lang w:val="fr-FR"/>
        </w:rPr>
        <w:t>session</w:t>
      </w:r>
      <w:r w:rsidR="002A5696" w:rsidRPr="007D2AC6">
        <w:rPr>
          <w:lang w:val="fr-FR"/>
        </w:rPr>
        <w:t xml:space="preserve"> du </w:t>
      </w:r>
      <w:proofErr w:type="spellStart"/>
      <w:r w:rsidR="002A5696" w:rsidRPr="007D2AC6">
        <w:rPr>
          <w:lang w:val="fr-FR"/>
        </w:rPr>
        <w:t>CDI</w:t>
      </w:r>
      <w:r w:rsidRPr="007D2AC6">
        <w:rPr>
          <w:lang w:val="fr-FR"/>
        </w:rPr>
        <w:t>P</w:t>
      </w:r>
      <w:proofErr w:type="spellEnd"/>
      <w:r w:rsidRPr="007D2AC6">
        <w:rPr>
          <w:lang w:val="fr-FR"/>
        </w:rPr>
        <w:t xml:space="preserve">, en </w:t>
      </w:r>
      <w:r w:rsidR="002A5696" w:rsidRPr="007D2AC6">
        <w:rPr>
          <w:lang w:val="fr-FR"/>
        </w:rPr>
        <w:t>mai 20</w:t>
      </w:r>
      <w:r w:rsidRPr="007D2AC6">
        <w:rPr>
          <w:lang w:val="fr-FR"/>
        </w:rPr>
        <w:t>17, a pour buts de garantir la diffusion des informations, d</w:t>
      </w:r>
      <w:r w:rsidR="002A5696" w:rsidRPr="007D2AC6">
        <w:rPr>
          <w:lang w:val="fr-FR"/>
        </w:rPr>
        <w:t>’</w:t>
      </w:r>
      <w:r w:rsidRPr="007D2AC6">
        <w:rPr>
          <w:lang w:val="fr-FR"/>
        </w:rPr>
        <w:t>éclairer le processus décisionnel</w:t>
      </w:r>
      <w:r w:rsidR="002A5696" w:rsidRPr="007D2AC6">
        <w:rPr>
          <w:lang w:val="fr-FR"/>
        </w:rPr>
        <w:t xml:space="preserve"> du </w:t>
      </w:r>
      <w:proofErr w:type="spellStart"/>
      <w:r w:rsidR="002A5696" w:rsidRPr="007D2AC6">
        <w:rPr>
          <w:lang w:val="fr-FR"/>
        </w:rPr>
        <w:t>CDI</w:t>
      </w:r>
      <w:r w:rsidRPr="007D2AC6">
        <w:rPr>
          <w:lang w:val="fr-FR"/>
        </w:rPr>
        <w:t>P</w:t>
      </w:r>
      <w:proofErr w:type="spellEnd"/>
      <w:r w:rsidRPr="007D2AC6">
        <w:rPr>
          <w:lang w:val="fr-FR"/>
        </w:rPr>
        <w:t xml:space="preserve"> et de contribuer à la reddition de comptes par l</w:t>
      </w:r>
      <w:r w:rsidR="002A5696" w:rsidRPr="007D2AC6">
        <w:rPr>
          <w:lang w:val="fr-FR"/>
        </w:rPr>
        <w:t>’</w:t>
      </w:r>
      <w:r w:rsidRPr="007D2AC6">
        <w:rPr>
          <w:lang w:val="fr-FR"/>
        </w:rPr>
        <w:t>OMPI à ses États membres.</w:t>
      </w:r>
    </w:p>
    <w:p w14:paraId="33A61330" w14:textId="37C798C1" w:rsidR="0059687A" w:rsidRPr="007D2AC6" w:rsidRDefault="00DE7E50" w:rsidP="004D11AE">
      <w:pPr>
        <w:pStyle w:val="Heading3"/>
        <w:rPr>
          <w:color w:val="auto"/>
        </w:rPr>
      </w:pPr>
      <w:bookmarkStart w:id="13" w:name="_Toc478372739"/>
      <w:r w:rsidRPr="007D2AC6">
        <w:rPr>
          <w:color w:val="auto"/>
        </w:rPr>
        <w:lastRenderedPageBreak/>
        <w:t>Principales limites de la présente évaluation</w:t>
      </w:r>
      <w:bookmarkEnd w:id="13"/>
    </w:p>
    <w:p w14:paraId="053ADF40" w14:textId="77777777" w:rsidR="0059687A" w:rsidRPr="007D2AC6" w:rsidRDefault="0059687A" w:rsidP="008139DE">
      <w:pPr>
        <w:rPr>
          <w:lang w:val="fr-FR"/>
        </w:rPr>
      </w:pPr>
    </w:p>
    <w:p w14:paraId="32172165" w14:textId="5B1F4B52" w:rsidR="0059687A" w:rsidRPr="007D2AC6" w:rsidRDefault="00987151" w:rsidP="008139DE">
      <w:pPr>
        <w:pStyle w:val="ONUMFS"/>
        <w:rPr>
          <w:lang w:val="fr-FR"/>
        </w:rPr>
      </w:pPr>
      <w:r w:rsidRPr="007D2AC6">
        <w:rPr>
          <w:lang w:val="fr-FR"/>
        </w:rPr>
        <w:t>L</w:t>
      </w:r>
      <w:r w:rsidR="002A5696" w:rsidRPr="007D2AC6">
        <w:rPr>
          <w:lang w:val="fr-FR"/>
        </w:rPr>
        <w:t>’</w:t>
      </w:r>
      <w:r w:rsidRPr="007D2AC6">
        <w:rPr>
          <w:lang w:val="fr-FR"/>
        </w:rPr>
        <w:t>e</w:t>
      </w:r>
      <w:r w:rsidR="002F7BE7" w:rsidRPr="007D2AC6">
        <w:rPr>
          <w:lang w:val="fr-FR"/>
        </w:rPr>
        <w:t>xp</w:t>
      </w:r>
      <w:r w:rsidRPr="007D2AC6">
        <w:rPr>
          <w:lang w:val="fr-FR"/>
        </w:rPr>
        <w:t>é</w:t>
      </w:r>
      <w:r w:rsidR="002F7BE7" w:rsidRPr="007D2AC6">
        <w:rPr>
          <w:lang w:val="fr-FR"/>
        </w:rPr>
        <w:t xml:space="preserve">rience </w:t>
      </w:r>
      <w:r w:rsidRPr="007D2AC6">
        <w:rPr>
          <w:lang w:val="fr-FR"/>
        </w:rPr>
        <w:t>montre qu</w:t>
      </w:r>
      <w:r w:rsidR="002A5696" w:rsidRPr="007D2AC6">
        <w:rPr>
          <w:lang w:val="fr-FR"/>
        </w:rPr>
        <w:t>’</w:t>
      </w:r>
      <w:r w:rsidRPr="007D2AC6">
        <w:rPr>
          <w:lang w:val="fr-FR"/>
        </w:rPr>
        <w:t>il faut du temps avant que</w:t>
      </w:r>
      <w:r w:rsidR="00052582" w:rsidRPr="007D2AC6">
        <w:rPr>
          <w:lang w:val="fr-FR"/>
        </w:rPr>
        <w:t xml:space="preserve"> le renforcement des capacité</w:t>
      </w:r>
      <w:r w:rsidR="002F7BE7" w:rsidRPr="007D2AC6">
        <w:rPr>
          <w:lang w:val="fr-FR"/>
        </w:rPr>
        <w:t>s</w:t>
      </w:r>
      <w:r w:rsidR="00052582" w:rsidRPr="007D2AC6">
        <w:rPr>
          <w:lang w:val="fr-FR"/>
        </w:rPr>
        <w:t xml:space="preserve"> des bénéficiaires n</w:t>
      </w:r>
      <w:r w:rsidR="002A5696" w:rsidRPr="007D2AC6">
        <w:rPr>
          <w:lang w:val="fr-FR"/>
        </w:rPr>
        <w:t>’</w:t>
      </w:r>
      <w:r w:rsidR="00052582" w:rsidRPr="007D2AC6">
        <w:rPr>
          <w:lang w:val="fr-FR"/>
        </w:rPr>
        <w:t>ait des effets mesurabl</w:t>
      </w:r>
      <w:r w:rsidR="001B6E2D" w:rsidRPr="007D2AC6">
        <w:rPr>
          <w:lang w:val="fr-FR"/>
        </w:rPr>
        <w:t>es.  Ai</w:t>
      </w:r>
      <w:r w:rsidR="00052582" w:rsidRPr="007D2AC6">
        <w:rPr>
          <w:lang w:val="fr-FR"/>
        </w:rPr>
        <w:t>nsi, il peut s</w:t>
      </w:r>
      <w:r w:rsidR="002A5696" w:rsidRPr="007D2AC6">
        <w:rPr>
          <w:lang w:val="fr-FR"/>
        </w:rPr>
        <w:t>’</w:t>
      </w:r>
      <w:r w:rsidR="00052582" w:rsidRPr="007D2AC6">
        <w:rPr>
          <w:lang w:val="fr-FR"/>
        </w:rPr>
        <w:t>écouler plus d</w:t>
      </w:r>
      <w:r w:rsidR="002A5696" w:rsidRPr="007D2AC6">
        <w:rPr>
          <w:lang w:val="fr-FR"/>
        </w:rPr>
        <w:t>’</w:t>
      </w:r>
      <w:r w:rsidR="00052582" w:rsidRPr="007D2AC6">
        <w:rPr>
          <w:lang w:val="fr-FR"/>
        </w:rPr>
        <w:t>un an entre la fourniture d</w:t>
      </w:r>
      <w:r w:rsidR="002A5696" w:rsidRPr="007D2AC6">
        <w:rPr>
          <w:lang w:val="fr-FR"/>
        </w:rPr>
        <w:t>’</w:t>
      </w:r>
      <w:r w:rsidR="00052582" w:rsidRPr="007D2AC6">
        <w:rPr>
          <w:lang w:val="fr-FR"/>
        </w:rPr>
        <w:t xml:space="preserve">une assistance dans le cadre du </w:t>
      </w:r>
      <w:r w:rsidR="004567E1" w:rsidRPr="007D2AC6">
        <w:rPr>
          <w:lang w:val="fr-FR"/>
        </w:rPr>
        <w:t>p</w:t>
      </w:r>
      <w:r w:rsidR="00052582" w:rsidRPr="007D2AC6">
        <w:rPr>
          <w:lang w:val="fr-FR"/>
        </w:rPr>
        <w:t>rojet et l</w:t>
      </w:r>
      <w:r w:rsidR="002A5696" w:rsidRPr="007D2AC6">
        <w:rPr>
          <w:lang w:val="fr-FR"/>
        </w:rPr>
        <w:t>’</w:t>
      </w:r>
      <w:r w:rsidR="00052582" w:rsidRPr="007D2AC6">
        <w:rPr>
          <w:lang w:val="fr-FR"/>
        </w:rPr>
        <w:t>enregistrement d</w:t>
      </w:r>
      <w:r w:rsidR="002A5696" w:rsidRPr="007D2AC6">
        <w:rPr>
          <w:lang w:val="fr-FR"/>
        </w:rPr>
        <w:t>’</w:t>
      </w:r>
      <w:r w:rsidR="00052582" w:rsidRPr="007D2AC6">
        <w:rPr>
          <w:lang w:val="fr-FR"/>
        </w:rPr>
        <w:t>un dessin ou modèle industri</w:t>
      </w:r>
      <w:r w:rsidR="001B6E2D" w:rsidRPr="007D2AC6">
        <w:rPr>
          <w:lang w:val="fr-FR"/>
        </w:rPr>
        <w:t>el.  Il</w:t>
      </w:r>
      <w:r w:rsidR="00052582" w:rsidRPr="007D2AC6">
        <w:rPr>
          <w:lang w:val="fr-FR"/>
        </w:rPr>
        <w:t xml:space="preserve"> n</w:t>
      </w:r>
      <w:r w:rsidR="002A5696" w:rsidRPr="007D2AC6">
        <w:rPr>
          <w:lang w:val="fr-FR"/>
        </w:rPr>
        <w:t>’</w:t>
      </w:r>
      <w:r w:rsidR="00052582" w:rsidRPr="007D2AC6">
        <w:rPr>
          <w:lang w:val="fr-FR"/>
        </w:rPr>
        <w:t>est donc pas encore possible de mesurer les effets des enregistrements de dessins ou modèles sur la performance d</w:t>
      </w:r>
      <w:r w:rsidR="002A5696" w:rsidRPr="007D2AC6">
        <w:rPr>
          <w:lang w:val="fr-FR"/>
        </w:rPr>
        <w:t>’</w:t>
      </w:r>
      <w:r w:rsidR="00052582" w:rsidRPr="007D2AC6">
        <w:rPr>
          <w:lang w:val="fr-FR"/>
        </w:rPr>
        <w:t>une entreprise.</w:t>
      </w:r>
    </w:p>
    <w:p w14:paraId="1731FCB1" w14:textId="067CA99F" w:rsidR="00052582" w:rsidRPr="007D2AC6" w:rsidRDefault="00052582" w:rsidP="008139DE">
      <w:pPr>
        <w:pStyle w:val="ONUMFS"/>
        <w:rPr>
          <w:lang w:val="fr-FR"/>
        </w:rPr>
      </w:pPr>
      <w:r w:rsidRPr="007D2AC6">
        <w:rPr>
          <w:lang w:val="fr-FR"/>
        </w:rPr>
        <w:t>Il serait encore moins réaliste d</w:t>
      </w:r>
      <w:r w:rsidR="002A5696" w:rsidRPr="007D2AC6">
        <w:rPr>
          <w:lang w:val="fr-FR"/>
        </w:rPr>
        <w:t>’</w:t>
      </w:r>
      <w:r w:rsidRPr="007D2AC6">
        <w:rPr>
          <w:lang w:val="fr-FR"/>
        </w:rPr>
        <w:t>affirmer qu</w:t>
      </w:r>
      <w:r w:rsidR="002A5696" w:rsidRPr="007D2AC6">
        <w:rPr>
          <w:lang w:val="fr-FR"/>
        </w:rPr>
        <w:t>’</w:t>
      </w:r>
      <w:r w:rsidRPr="007D2AC6">
        <w:rPr>
          <w:lang w:val="fr-FR"/>
        </w:rPr>
        <w:t xml:space="preserve">il existe un lien de causalité entre les tâches à exécuter et services à fournir au titre du projet et les changements </w:t>
      </w:r>
      <w:proofErr w:type="spellStart"/>
      <w:r w:rsidRPr="007D2AC6">
        <w:rPr>
          <w:lang w:val="fr-FR"/>
        </w:rPr>
        <w:t>socioéconomiques</w:t>
      </w:r>
      <w:proofErr w:type="spellEnd"/>
      <w:r w:rsidRPr="007D2AC6">
        <w:rPr>
          <w:lang w:val="fr-FR"/>
        </w:rPr>
        <w:t xml:space="preserve"> observés dans les deux</w:t>
      </w:r>
      <w:r w:rsidR="009F77AF" w:rsidRPr="007D2AC6">
        <w:rPr>
          <w:lang w:val="fr-FR"/>
        </w:rPr>
        <w:t> </w:t>
      </w:r>
      <w:r w:rsidRPr="007D2AC6">
        <w:rPr>
          <w:lang w:val="fr-FR"/>
        </w:rPr>
        <w:t>pays bénéficiaires, voire au</w:t>
      </w:r>
      <w:r w:rsidR="00B57560" w:rsidRPr="007D2AC6">
        <w:rPr>
          <w:lang w:val="fr-FR"/>
        </w:rPr>
        <w:noBreakHyphen/>
      </w:r>
      <w:r w:rsidRPr="007D2AC6">
        <w:rPr>
          <w:lang w:val="fr-FR"/>
        </w:rPr>
        <w:t>de</w:t>
      </w:r>
      <w:r w:rsidR="001B6E2D" w:rsidRPr="007D2AC6">
        <w:rPr>
          <w:lang w:val="fr-FR"/>
        </w:rPr>
        <w:t>là.  Il</w:t>
      </w:r>
      <w:r w:rsidRPr="007D2AC6">
        <w:rPr>
          <w:lang w:val="fr-FR"/>
        </w:rPr>
        <w:t xml:space="preserve"> serait donc prématuré d</w:t>
      </w:r>
      <w:r w:rsidR="002A5696" w:rsidRPr="007D2AC6">
        <w:rPr>
          <w:lang w:val="fr-FR"/>
        </w:rPr>
        <w:t>’</w:t>
      </w:r>
      <w:r w:rsidRPr="007D2AC6">
        <w:rPr>
          <w:lang w:val="fr-FR"/>
        </w:rPr>
        <w:t>essayer d</w:t>
      </w:r>
      <w:r w:rsidR="002A5696" w:rsidRPr="007D2AC6">
        <w:rPr>
          <w:lang w:val="fr-FR"/>
        </w:rPr>
        <w:t>’</w:t>
      </w:r>
      <w:r w:rsidRPr="007D2AC6">
        <w:rPr>
          <w:lang w:val="fr-FR"/>
        </w:rPr>
        <w:t>évaluer les résultats</w:t>
      </w:r>
      <w:r w:rsidR="001A603E" w:rsidRPr="007D2AC6">
        <w:rPr>
          <w:lang w:val="fr-FR"/>
        </w:rPr>
        <w:t xml:space="preserve"> obtenus dans leur ensemble</w:t>
      </w:r>
      <w:r w:rsidRPr="007D2AC6">
        <w:rPr>
          <w:lang w:val="fr-FR"/>
        </w:rPr>
        <w:t xml:space="preserve"> ou leur impa</w:t>
      </w:r>
      <w:r w:rsidR="001B6E2D" w:rsidRPr="007D2AC6">
        <w:rPr>
          <w:lang w:val="fr-FR"/>
        </w:rPr>
        <w:t>ct.  L’é</w:t>
      </w:r>
      <w:r w:rsidR="001A603E" w:rsidRPr="007D2AC6">
        <w:rPr>
          <w:lang w:val="fr-FR"/>
        </w:rPr>
        <w:t xml:space="preserve">valuation a toutefois examiné les résultats plus directs auxquels le </w:t>
      </w:r>
      <w:r w:rsidR="004567E1" w:rsidRPr="007D2AC6">
        <w:rPr>
          <w:lang w:val="fr-FR"/>
        </w:rPr>
        <w:t>projet</w:t>
      </w:r>
      <w:r w:rsidR="001A603E" w:rsidRPr="007D2AC6">
        <w:rPr>
          <w:lang w:val="fr-FR"/>
        </w:rPr>
        <w:t xml:space="preserve"> a contribué.</w:t>
      </w:r>
    </w:p>
    <w:p w14:paraId="705CCAFB" w14:textId="217A00D6" w:rsidR="001A603E" w:rsidRPr="007D2AC6" w:rsidRDefault="001A603E" w:rsidP="008139DE">
      <w:pPr>
        <w:pStyle w:val="ONUMFS"/>
        <w:rPr>
          <w:lang w:val="fr-FR"/>
        </w:rPr>
      </w:pPr>
      <w:r w:rsidRPr="007D2AC6">
        <w:rPr>
          <w:lang w:val="fr-FR"/>
        </w:rPr>
        <w:t>L</w:t>
      </w:r>
      <w:r w:rsidR="002A5696" w:rsidRPr="007D2AC6">
        <w:rPr>
          <w:lang w:val="fr-FR"/>
        </w:rPr>
        <w:t>’</w:t>
      </w:r>
      <w:r w:rsidRPr="007D2AC6">
        <w:rPr>
          <w:lang w:val="fr-FR"/>
        </w:rPr>
        <w:t>enquête s</w:t>
      </w:r>
      <w:r w:rsidR="002A5696" w:rsidRPr="007D2AC6">
        <w:rPr>
          <w:lang w:val="fr-FR"/>
        </w:rPr>
        <w:t>’</w:t>
      </w:r>
      <w:r w:rsidRPr="007D2AC6">
        <w:rPr>
          <w:lang w:val="fr-FR"/>
        </w:rPr>
        <w:t xml:space="preserve">est limitée à </w:t>
      </w:r>
      <w:r w:rsidR="000D225D" w:rsidRPr="007D2AC6">
        <w:rPr>
          <w:lang w:val="fr-FR"/>
        </w:rPr>
        <w:t>l</w:t>
      </w:r>
      <w:r w:rsidR="002A5696" w:rsidRPr="007D2AC6">
        <w:rPr>
          <w:lang w:val="fr-FR"/>
        </w:rPr>
        <w:t>’</w:t>
      </w:r>
      <w:r w:rsidR="000D225D" w:rsidRPr="007D2AC6">
        <w:rPr>
          <w:lang w:val="fr-FR"/>
        </w:rPr>
        <w:t>examen</w:t>
      </w:r>
      <w:r w:rsidRPr="007D2AC6">
        <w:rPr>
          <w:lang w:val="fr-FR"/>
        </w:rPr>
        <w:t xml:space="preserve"> </w:t>
      </w:r>
      <w:r w:rsidR="000D225D" w:rsidRPr="007D2AC6">
        <w:rPr>
          <w:lang w:val="fr-FR"/>
        </w:rPr>
        <w:t xml:space="preserve">sur table </w:t>
      </w:r>
      <w:r w:rsidRPr="007D2AC6">
        <w:rPr>
          <w:lang w:val="fr-FR"/>
        </w:rPr>
        <w:t xml:space="preserve">des documents fournis par le Secrétariat et à des entretiens avec les personnes ayant participé directement à des activités </w:t>
      </w:r>
      <w:r w:rsidR="000D225D" w:rsidRPr="007D2AC6">
        <w:rPr>
          <w:lang w:val="fr-FR"/>
        </w:rPr>
        <w:t xml:space="preserve">menées dans le cadre du </w:t>
      </w:r>
      <w:r w:rsidR="004567E1" w:rsidRPr="007D2AC6">
        <w:rPr>
          <w:lang w:val="fr-FR"/>
        </w:rPr>
        <w:t>projet</w:t>
      </w:r>
      <w:r w:rsidR="002A5696" w:rsidRPr="007D2AC6">
        <w:rPr>
          <w:lang w:val="fr-FR"/>
        </w:rPr>
        <w:t> </w:t>
      </w:r>
      <w:proofErr w:type="gramStart"/>
      <w:r w:rsidR="002A5696" w:rsidRPr="007D2AC6">
        <w:rPr>
          <w:lang w:val="fr-FR"/>
        </w:rPr>
        <w:t>:</w:t>
      </w:r>
      <w:r w:rsidR="000D225D" w:rsidRPr="007D2AC6">
        <w:rPr>
          <w:lang w:val="fr-FR"/>
        </w:rPr>
        <w:t xml:space="preserve"> les</w:t>
      </w:r>
      <w:proofErr w:type="gramEnd"/>
      <w:r w:rsidR="000D225D" w:rsidRPr="007D2AC6">
        <w:rPr>
          <w:lang w:val="fr-FR"/>
        </w:rPr>
        <w:t xml:space="preserve"> deux</w:t>
      </w:r>
      <w:r w:rsidR="009F77AF" w:rsidRPr="007D2AC6">
        <w:rPr>
          <w:lang w:val="fr-FR"/>
        </w:rPr>
        <w:t> </w:t>
      </w:r>
      <w:r w:rsidR="000D225D" w:rsidRPr="007D2AC6">
        <w:rPr>
          <w:lang w:val="fr-FR"/>
        </w:rPr>
        <w:t>offices de propriété intellectuelle bénéficiaires, le Secrétariat, un échantillon d</w:t>
      </w:r>
      <w:r w:rsidR="002A5696" w:rsidRPr="007D2AC6">
        <w:rPr>
          <w:lang w:val="fr-FR"/>
        </w:rPr>
        <w:t>’</w:t>
      </w:r>
      <w:r w:rsidR="000D225D" w:rsidRPr="007D2AC6">
        <w:rPr>
          <w:lang w:val="fr-FR"/>
        </w:rPr>
        <w:t>experts nationaux ayant fourni un soutien</w:t>
      </w:r>
      <w:r w:rsidR="002A5696" w:rsidRPr="007D2AC6">
        <w:rPr>
          <w:lang w:val="fr-FR"/>
        </w:rPr>
        <w:t xml:space="preserve"> aux PME</w:t>
      </w:r>
      <w:r w:rsidR="000D225D" w:rsidRPr="007D2AC6">
        <w:rPr>
          <w:lang w:val="fr-FR"/>
        </w:rPr>
        <w:t>, ainsi qu</w:t>
      </w:r>
      <w:r w:rsidR="002A5696" w:rsidRPr="007D2AC6">
        <w:rPr>
          <w:lang w:val="fr-FR"/>
        </w:rPr>
        <w:t>’</w:t>
      </w:r>
      <w:r w:rsidR="000D225D" w:rsidRPr="007D2AC6">
        <w:rPr>
          <w:lang w:val="fr-FR"/>
        </w:rPr>
        <w:t xml:space="preserve">un petit échantillon de </w:t>
      </w:r>
      <w:r w:rsidR="001B6E2D" w:rsidRPr="007D2AC6">
        <w:rPr>
          <w:lang w:val="fr-FR"/>
        </w:rPr>
        <w:t>PME.  Au</w:t>
      </w:r>
      <w:r w:rsidR="000D225D" w:rsidRPr="007D2AC6">
        <w:rPr>
          <w:lang w:val="fr-FR"/>
        </w:rPr>
        <w:t xml:space="preserve"> sein du Secrétariat, l</w:t>
      </w:r>
      <w:r w:rsidR="002A5696" w:rsidRPr="007D2AC6">
        <w:rPr>
          <w:lang w:val="fr-FR"/>
        </w:rPr>
        <w:t>’</w:t>
      </w:r>
      <w:r w:rsidR="000D225D" w:rsidRPr="007D2AC6">
        <w:rPr>
          <w:lang w:val="fr-FR"/>
        </w:rPr>
        <w:t>évaluateur a conduit des</w:t>
      </w:r>
      <w:r w:rsidR="005E3028" w:rsidRPr="007D2AC6">
        <w:rPr>
          <w:lang w:val="fr-FR"/>
        </w:rPr>
        <w:t xml:space="preserve"> entretiens approfondis avec la Division de la coordination du Plan d</w:t>
      </w:r>
      <w:r w:rsidR="002A5696" w:rsidRPr="007D2AC6">
        <w:rPr>
          <w:lang w:val="fr-FR"/>
        </w:rPr>
        <w:t>’</w:t>
      </w:r>
      <w:r w:rsidR="005E3028" w:rsidRPr="007D2AC6">
        <w:rPr>
          <w:lang w:val="fr-FR"/>
        </w:rPr>
        <w:t>action pour le développement, l</w:t>
      </w:r>
      <w:r w:rsidR="002A5696" w:rsidRPr="007D2AC6">
        <w:rPr>
          <w:lang w:val="fr-FR"/>
        </w:rPr>
        <w:t>’</w:t>
      </w:r>
      <w:r w:rsidR="005E3028" w:rsidRPr="007D2AC6">
        <w:rPr>
          <w:lang w:val="fr-FR"/>
        </w:rPr>
        <w:t xml:space="preserve">équipe chargée du </w:t>
      </w:r>
      <w:r w:rsidR="004567E1" w:rsidRPr="007D2AC6">
        <w:rPr>
          <w:lang w:val="fr-FR"/>
        </w:rPr>
        <w:t>projet</w:t>
      </w:r>
      <w:r w:rsidR="005E3028" w:rsidRPr="007D2AC6">
        <w:rPr>
          <w:lang w:val="fr-FR"/>
        </w:rPr>
        <w:t xml:space="preserve"> et des sections fonctionnelles qui ont donné des renseignements précis, ainsi que les programmes de l</w:t>
      </w:r>
      <w:r w:rsidR="002A5696" w:rsidRPr="007D2AC6">
        <w:rPr>
          <w:lang w:val="fr-FR"/>
        </w:rPr>
        <w:t>’</w:t>
      </w:r>
      <w:r w:rsidR="005E3028" w:rsidRPr="007D2AC6">
        <w:rPr>
          <w:lang w:val="fr-FR"/>
        </w:rPr>
        <w:t xml:space="preserve">OMPI avec lesquels le </w:t>
      </w:r>
      <w:r w:rsidR="004567E1" w:rsidRPr="007D2AC6">
        <w:rPr>
          <w:lang w:val="fr-FR"/>
        </w:rPr>
        <w:t>projet</w:t>
      </w:r>
      <w:r w:rsidR="005E3028" w:rsidRPr="007D2AC6">
        <w:rPr>
          <w:lang w:val="fr-FR"/>
        </w:rPr>
        <w:t xml:space="preserve"> visait à créer des synergies.</w:t>
      </w:r>
    </w:p>
    <w:p w14:paraId="1C0C0A6E" w14:textId="1B1ED0EE" w:rsidR="0059687A" w:rsidRPr="007D2AC6" w:rsidRDefault="00DE7E50" w:rsidP="00DE7E50">
      <w:pPr>
        <w:pStyle w:val="ONUMFS"/>
        <w:rPr>
          <w:lang w:val="fr-FR"/>
        </w:rPr>
      </w:pPr>
      <w:r w:rsidRPr="007D2AC6">
        <w:rPr>
          <w:lang w:val="fr-FR"/>
        </w:rPr>
        <w:t>Il faut lire les constatations et l</w:t>
      </w:r>
      <w:r w:rsidR="002A5696" w:rsidRPr="007D2AC6">
        <w:rPr>
          <w:lang w:val="fr-FR"/>
        </w:rPr>
        <w:t>’</w:t>
      </w:r>
      <w:r w:rsidRPr="007D2AC6">
        <w:rPr>
          <w:lang w:val="fr-FR"/>
        </w:rPr>
        <w:t xml:space="preserve">évaluation présentées dans le </w:t>
      </w:r>
      <w:r w:rsidR="002A5696" w:rsidRPr="007D2AC6">
        <w:rPr>
          <w:lang w:val="fr-FR"/>
        </w:rPr>
        <w:t>chapitre 2</w:t>
      </w:r>
      <w:r w:rsidRPr="007D2AC6">
        <w:rPr>
          <w:lang w:val="fr-FR"/>
        </w:rPr>
        <w:t xml:space="preserve"> ci</w:t>
      </w:r>
      <w:r w:rsidR="00B57560" w:rsidRPr="007D2AC6">
        <w:rPr>
          <w:lang w:val="fr-FR"/>
        </w:rPr>
        <w:noBreakHyphen/>
      </w:r>
      <w:r w:rsidRPr="007D2AC6">
        <w:rPr>
          <w:lang w:val="fr-FR"/>
        </w:rPr>
        <w:t>dessous en tenant compte du fait que ces contraintes ont nécessairement limité le champ d</w:t>
      </w:r>
      <w:r w:rsidR="002A5696" w:rsidRPr="007D2AC6">
        <w:rPr>
          <w:lang w:val="fr-FR"/>
        </w:rPr>
        <w:t>’</w:t>
      </w:r>
      <w:r w:rsidRPr="007D2AC6">
        <w:rPr>
          <w:lang w:val="fr-FR"/>
        </w:rPr>
        <w:t>observation et la profondeur de l</w:t>
      </w:r>
      <w:r w:rsidR="002A5696" w:rsidRPr="007D2AC6">
        <w:rPr>
          <w:lang w:val="fr-FR"/>
        </w:rPr>
        <w:t>’</w:t>
      </w:r>
      <w:r w:rsidRPr="007D2AC6">
        <w:rPr>
          <w:lang w:val="fr-FR"/>
        </w:rPr>
        <w:t>évaluation.</w:t>
      </w:r>
    </w:p>
    <w:p w14:paraId="2BFFCAE7" w14:textId="0E5C70CC" w:rsidR="0059687A" w:rsidRPr="007D2AC6" w:rsidRDefault="00DE7E50" w:rsidP="00DE7E50">
      <w:pPr>
        <w:pStyle w:val="Heading1"/>
        <w:rPr>
          <w:lang w:val="fr-FR"/>
        </w:rPr>
      </w:pPr>
      <w:bookmarkStart w:id="14" w:name="_Toc478372740"/>
      <w:r w:rsidRPr="007D2AC6">
        <w:rPr>
          <w:lang w:val="fr-FR"/>
        </w:rPr>
        <w:t>2.</w:t>
      </w:r>
      <w:r w:rsidRPr="007D2AC6">
        <w:rPr>
          <w:b w:val="0"/>
          <w:lang w:val="fr-FR"/>
        </w:rPr>
        <w:tab/>
      </w:r>
      <w:r w:rsidRPr="007D2AC6">
        <w:rPr>
          <w:lang w:val="fr-FR"/>
        </w:rPr>
        <w:t>Constatations et évaluation</w:t>
      </w:r>
      <w:bookmarkEnd w:id="14"/>
    </w:p>
    <w:p w14:paraId="0F17BA2E" w14:textId="77777777" w:rsidR="0059687A" w:rsidRPr="007D2AC6" w:rsidRDefault="0059687A" w:rsidP="008139DE">
      <w:pPr>
        <w:rPr>
          <w:lang w:val="fr-FR"/>
        </w:rPr>
      </w:pPr>
    </w:p>
    <w:p w14:paraId="7C216747" w14:textId="37B601D3" w:rsidR="0059687A" w:rsidRPr="007D2AC6" w:rsidRDefault="0087461D" w:rsidP="008139DE">
      <w:pPr>
        <w:pStyle w:val="ONUMFS"/>
        <w:numPr>
          <w:ilvl w:val="0"/>
          <w:numId w:val="0"/>
        </w:numPr>
        <w:rPr>
          <w:lang w:val="fr-FR"/>
        </w:rPr>
      </w:pPr>
      <w:r w:rsidRPr="007D2AC6">
        <w:rPr>
          <w:lang w:val="fr-FR"/>
        </w:rPr>
        <w:t>La présente</w:t>
      </w:r>
      <w:r w:rsidR="00B105E2" w:rsidRPr="007D2AC6">
        <w:rPr>
          <w:lang w:val="fr-FR"/>
        </w:rPr>
        <w:t xml:space="preserve"> section </w:t>
      </w:r>
      <w:r w:rsidRPr="007D2AC6">
        <w:rPr>
          <w:lang w:val="fr-FR"/>
        </w:rPr>
        <w:t>récapitule les observations de l</w:t>
      </w:r>
      <w:r w:rsidR="002A5696" w:rsidRPr="007D2AC6">
        <w:rPr>
          <w:lang w:val="fr-FR"/>
        </w:rPr>
        <w:t>’</w:t>
      </w:r>
      <w:r w:rsidRPr="007D2AC6">
        <w:rPr>
          <w:lang w:val="fr-FR"/>
        </w:rPr>
        <w:t>évaluation et évalue la qualité du projet au regard des critères d</w:t>
      </w:r>
      <w:r w:rsidR="002A5696" w:rsidRPr="007D2AC6">
        <w:rPr>
          <w:lang w:val="fr-FR"/>
        </w:rPr>
        <w:t>’</w:t>
      </w:r>
      <w:r w:rsidRPr="007D2AC6">
        <w:rPr>
          <w:lang w:val="fr-FR"/>
        </w:rPr>
        <w:t>évaluation</w:t>
      </w:r>
      <w:r w:rsidR="00B105E2" w:rsidRPr="007D2AC6">
        <w:rPr>
          <w:lang w:val="fr-FR"/>
        </w:rPr>
        <w:t>.</w:t>
      </w:r>
    </w:p>
    <w:p w14:paraId="6AD78A02" w14:textId="5B9E579A" w:rsidR="0059687A" w:rsidRPr="007D2AC6" w:rsidRDefault="00DE7E50" w:rsidP="00DE7E50">
      <w:pPr>
        <w:pStyle w:val="Heading2"/>
        <w:rPr>
          <w:lang w:val="fr-FR"/>
        </w:rPr>
      </w:pPr>
      <w:bookmarkStart w:id="15" w:name="_Toc478372741"/>
      <w:r w:rsidRPr="007D2AC6">
        <w:rPr>
          <w:lang w:val="fr-FR"/>
        </w:rPr>
        <w:t>A)</w:t>
      </w:r>
      <w:r w:rsidRPr="007D2AC6">
        <w:rPr>
          <w:lang w:val="fr-FR"/>
        </w:rPr>
        <w:tab/>
        <w:t>Préparation et gestion du projet</w:t>
      </w:r>
      <w:bookmarkEnd w:id="15"/>
    </w:p>
    <w:p w14:paraId="62115624" w14:textId="4D5D859E" w:rsidR="0059687A" w:rsidRPr="007D2AC6" w:rsidRDefault="00DE7E50" w:rsidP="004D11AE">
      <w:pPr>
        <w:pStyle w:val="Heading3"/>
        <w:numPr>
          <w:ilvl w:val="0"/>
          <w:numId w:val="45"/>
        </w:numPr>
        <w:ind w:left="1701" w:hanging="567"/>
        <w:rPr>
          <w:color w:val="auto"/>
        </w:rPr>
      </w:pPr>
      <w:bookmarkStart w:id="16" w:name="_Toc478372742"/>
      <w:r w:rsidRPr="007D2AC6">
        <w:rPr>
          <w:color w:val="auto"/>
        </w:rPr>
        <w:t>Préparation du projet</w:t>
      </w:r>
      <w:bookmarkEnd w:id="16"/>
    </w:p>
    <w:p w14:paraId="4E228921" w14:textId="77777777" w:rsidR="0059687A" w:rsidRPr="007D2AC6" w:rsidRDefault="0059687A" w:rsidP="008139DE">
      <w:pPr>
        <w:rPr>
          <w:lang w:val="fr-FR"/>
        </w:rPr>
      </w:pPr>
    </w:p>
    <w:p w14:paraId="505C695A" w14:textId="24D8DF36" w:rsidR="002A5696" w:rsidRPr="007D2AC6" w:rsidRDefault="0087461D" w:rsidP="008139DE">
      <w:pPr>
        <w:pStyle w:val="ONUMFS"/>
        <w:rPr>
          <w:lang w:val="fr-FR"/>
        </w:rPr>
      </w:pPr>
      <w:r w:rsidRPr="007D2AC6">
        <w:rPr>
          <w:lang w:val="fr-FR"/>
        </w:rPr>
        <w:t xml:space="preserve">La proposition relativement ouverte présentée par la République de Corée a été traduite </w:t>
      </w:r>
      <w:r w:rsidR="00065C12" w:rsidRPr="007D2AC6">
        <w:rPr>
          <w:lang w:val="fr-FR"/>
        </w:rPr>
        <w:t>en</w:t>
      </w:r>
      <w:r w:rsidRPr="007D2AC6">
        <w:rPr>
          <w:lang w:val="fr-FR"/>
        </w:rPr>
        <w:t xml:space="preserve"> un </w:t>
      </w:r>
      <w:r w:rsidR="00065C12" w:rsidRPr="007D2AC6">
        <w:rPr>
          <w:bCs/>
          <w:lang w:val="fr-FR"/>
        </w:rPr>
        <w:t>descriptif de projet clairement formulé, bien aligné sur le mandat de l</w:t>
      </w:r>
      <w:r w:rsidR="002A5696" w:rsidRPr="007D2AC6">
        <w:rPr>
          <w:bCs/>
          <w:lang w:val="fr-FR"/>
        </w:rPr>
        <w:t>’</w:t>
      </w:r>
      <w:r w:rsidR="00065C12" w:rsidRPr="007D2AC6">
        <w:rPr>
          <w:bCs/>
          <w:lang w:val="fr-FR"/>
        </w:rPr>
        <w:t xml:space="preserve">OMPI et sur les recommandations </w:t>
      </w:r>
      <w:r w:rsidR="00065C12" w:rsidRPr="007D2AC6">
        <w:rPr>
          <w:lang w:val="fr-FR"/>
        </w:rPr>
        <w:t>du Plan d</w:t>
      </w:r>
      <w:r w:rsidR="002A5696" w:rsidRPr="007D2AC6">
        <w:rPr>
          <w:lang w:val="fr-FR"/>
        </w:rPr>
        <w:t>’</w:t>
      </w:r>
      <w:r w:rsidR="00065C12" w:rsidRPr="007D2AC6">
        <w:rPr>
          <w:lang w:val="fr-FR"/>
        </w:rPr>
        <w:t>action pour le développement auxquelles il entend répondre.</w:t>
      </w:r>
    </w:p>
    <w:p w14:paraId="2D6C54A7" w14:textId="00DDDA8B" w:rsidR="009D15BD" w:rsidRPr="007D2AC6" w:rsidRDefault="009D15BD" w:rsidP="008139DE">
      <w:pPr>
        <w:pStyle w:val="ONUMFS"/>
        <w:rPr>
          <w:lang w:val="fr-FR"/>
        </w:rPr>
      </w:pPr>
      <w:r w:rsidRPr="007D2AC6">
        <w:rPr>
          <w:lang w:val="fr-FR"/>
        </w:rPr>
        <w:t>Le projet prévoit des tâches à exécuter et des services à fournir bien définis, ainsi qu</w:t>
      </w:r>
      <w:r w:rsidR="002A5696" w:rsidRPr="007D2AC6">
        <w:rPr>
          <w:lang w:val="fr-FR"/>
        </w:rPr>
        <w:t>’</w:t>
      </w:r>
      <w:r w:rsidRPr="007D2AC6">
        <w:rPr>
          <w:lang w:val="fr-FR"/>
        </w:rPr>
        <w:t>une stratégie d</w:t>
      </w:r>
      <w:r w:rsidR="002A5696" w:rsidRPr="007D2AC6">
        <w:rPr>
          <w:lang w:val="fr-FR"/>
        </w:rPr>
        <w:t>’</w:t>
      </w:r>
      <w:r w:rsidRPr="007D2AC6">
        <w:rPr>
          <w:lang w:val="fr-FR"/>
        </w:rPr>
        <w:t>atteinte d</w:t>
      </w:r>
      <w:r w:rsidR="002A5696" w:rsidRPr="007D2AC6">
        <w:rPr>
          <w:lang w:val="fr-FR"/>
        </w:rPr>
        <w:t>’</w:t>
      </w:r>
      <w:r w:rsidRPr="007D2AC6">
        <w:rPr>
          <w:lang w:val="fr-FR"/>
        </w:rPr>
        <w:t>objectifs à l</w:t>
      </w:r>
      <w:r w:rsidR="002A5696" w:rsidRPr="007D2AC6">
        <w:rPr>
          <w:lang w:val="fr-FR"/>
        </w:rPr>
        <w:t>’</w:t>
      </w:r>
      <w:r w:rsidRPr="007D2AC6">
        <w:rPr>
          <w:lang w:val="fr-FR"/>
        </w:rPr>
        <w:t>échelon nation</w:t>
      </w:r>
      <w:r w:rsidR="001B6E2D" w:rsidRPr="007D2AC6">
        <w:rPr>
          <w:lang w:val="fr-FR"/>
        </w:rPr>
        <w:t>al.  Le</w:t>
      </w:r>
      <w:r w:rsidRPr="007D2AC6">
        <w:rPr>
          <w:lang w:val="fr-FR"/>
        </w:rPr>
        <w:t xml:space="preserve"> plan de mise en œuvre prévu était ambitieux mais réalis</w:t>
      </w:r>
      <w:r w:rsidR="001B6E2D" w:rsidRPr="007D2AC6">
        <w:rPr>
          <w:lang w:val="fr-FR"/>
        </w:rPr>
        <w:t>te.  Le</w:t>
      </w:r>
      <w:r w:rsidRPr="007D2AC6">
        <w:rPr>
          <w:lang w:val="fr-FR"/>
        </w:rPr>
        <w:t xml:space="preserve"> projet disposait d</w:t>
      </w:r>
      <w:r w:rsidR="002A5696" w:rsidRPr="007D2AC6">
        <w:rPr>
          <w:lang w:val="fr-FR"/>
        </w:rPr>
        <w:t>’</w:t>
      </w:r>
      <w:r w:rsidRPr="007D2AC6">
        <w:rPr>
          <w:lang w:val="fr-FR"/>
        </w:rPr>
        <w:t>un budget adéqu</w:t>
      </w:r>
      <w:r w:rsidR="001B6E2D" w:rsidRPr="007D2AC6">
        <w:rPr>
          <w:lang w:val="fr-FR"/>
        </w:rPr>
        <w:t>at.  Le</w:t>
      </w:r>
      <w:r w:rsidRPr="007D2AC6">
        <w:rPr>
          <w:lang w:val="fr-FR"/>
        </w:rPr>
        <w:t xml:space="preserve"> plan de déroulement des activités est logique et facilite la réalisation des objectifs.</w:t>
      </w:r>
    </w:p>
    <w:p w14:paraId="6E5E13CA" w14:textId="5E7E4176" w:rsidR="009D15BD" w:rsidRPr="007D2AC6" w:rsidRDefault="009D15BD" w:rsidP="008139DE">
      <w:pPr>
        <w:pStyle w:val="ONUMFS"/>
        <w:rPr>
          <w:lang w:val="fr-FR"/>
        </w:rPr>
      </w:pPr>
      <w:r w:rsidRPr="007D2AC6">
        <w:rPr>
          <w:lang w:val="fr-FR"/>
        </w:rPr>
        <w:t xml:space="preserve">Le Secrétariat a proposé une structure de mise en œuvre propice à la réalisation des objectifs et qui fait appel à des comités de pilotage </w:t>
      </w:r>
      <w:r w:rsidR="00853937" w:rsidRPr="007D2AC6">
        <w:rPr>
          <w:lang w:val="fr-FR"/>
        </w:rPr>
        <w:t>(</w:t>
      </w:r>
      <w:r w:rsidRPr="007D2AC6">
        <w:rPr>
          <w:lang w:val="fr-FR"/>
        </w:rPr>
        <w:t xml:space="preserve">pour la gestion stratégique) et des équipes chargées de projet </w:t>
      </w:r>
      <w:r w:rsidR="00853937" w:rsidRPr="007D2AC6">
        <w:rPr>
          <w:lang w:val="fr-FR"/>
        </w:rPr>
        <w:t>(</w:t>
      </w:r>
      <w:r w:rsidRPr="007D2AC6">
        <w:rPr>
          <w:lang w:val="fr-FR"/>
        </w:rPr>
        <w:t>pour la gestion opérationnelle) dans chaque pays bénéficiai</w:t>
      </w:r>
      <w:r w:rsidR="001B6E2D" w:rsidRPr="007D2AC6">
        <w:rPr>
          <w:lang w:val="fr-FR"/>
        </w:rPr>
        <w:t>re.  Da</w:t>
      </w:r>
      <w:r w:rsidR="00A27704" w:rsidRPr="007D2AC6">
        <w:rPr>
          <w:lang w:val="fr-FR"/>
        </w:rPr>
        <w:t>ns chaque pays a été mise en place u</w:t>
      </w:r>
      <w:r w:rsidRPr="007D2AC6">
        <w:rPr>
          <w:lang w:val="fr-FR"/>
        </w:rPr>
        <w:t xml:space="preserve">ne </w:t>
      </w:r>
      <w:proofErr w:type="spellStart"/>
      <w:r w:rsidR="009F77AF" w:rsidRPr="007D2AC6">
        <w:rPr>
          <w:lang w:val="fr-FR"/>
        </w:rPr>
        <w:t>plateforme</w:t>
      </w:r>
      <w:proofErr w:type="spellEnd"/>
      <w:r w:rsidR="00A27704" w:rsidRPr="007D2AC6">
        <w:rPr>
          <w:lang w:val="fr-FR"/>
        </w:rPr>
        <w:t xml:space="preserve"> de partenariat public</w:t>
      </w:r>
      <w:r w:rsidR="00B57560" w:rsidRPr="007D2AC6">
        <w:rPr>
          <w:lang w:val="fr-FR"/>
        </w:rPr>
        <w:noBreakHyphen/>
      </w:r>
      <w:r w:rsidR="00A27704" w:rsidRPr="007D2AC6">
        <w:rPr>
          <w:lang w:val="fr-FR"/>
        </w:rPr>
        <w:t xml:space="preserve">privé, </w:t>
      </w:r>
      <w:r w:rsidR="002A5696" w:rsidRPr="007D2AC6">
        <w:rPr>
          <w:lang w:val="fr-FR"/>
        </w:rPr>
        <w:t>à savoir</w:t>
      </w:r>
      <w:r w:rsidR="00A27704" w:rsidRPr="007D2AC6">
        <w:rPr>
          <w:lang w:val="fr-FR"/>
        </w:rPr>
        <w:t xml:space="preserve"> un conseil national </w:t>
      </w:r>
      <w:r w:rsidR="00341318" w:rsidRPr="007D2AC6">
        <w:rPr>
          <w:lang w:val="fr-FR"/>
        </w:rPr>
        <w:t>consultatif en Argentine et un c</w:t>
      </w:r>
      <w:r w:rsidR="00A27704" w:rsidRPr="007D2AC6">
        <w:rPr>
          <w:lang w:val="fr-FR"/>
        </w:rPr>
        <w:t xml:space="preserve">omité national de pilotage au Maroc, </w:t>
      </w:r>
      <w:r w:rsidR="00341318" w:rsidRPr="007D2AC6">
        <w:rPr>
          <w:lang w:val="fr-FR"/>
        </w:rPr>
        <w:t>avec la participation de ministères, d</w:t>
      </w:r>
      <w:r w:rsidR="002A5696" w:rsidRPr="007D2AC6">
        <w:rPr>
          <w:lang w:val="fr-FR"/>
        </w:rPr>
        <w:t>’</w:t>
      </w:r>
      <w:r w:rsidR="00341318" w:rsidRPr="007D2AC6">
        <w:rPr>
          <w:lang w:val="fr-FR"/>
        </w:rPr>
        <w:t>associations professionnelles, de chambres du commerce, d</w:t>
      </w:r>
      <w:r w:rsidR="002A5696" w:rsidRPr="007D2AC6">
        <w:rPr>
          <w:lang w:val="fr-FR"/>
        </w:rPr>
        <w:t>’</w:t>
      </w:r>
      <w:r w:rsidR="00341318" w:rsidRPr="007D2AC6">
        <w:rPr>
          <w:lang w:val="fr-FR"/>
        </w:rPr>
        <w:t>établissements scolaires et d</w:t>
      </w:r>
      <w:r w:rsidR="002A5696" w:rsidRPr="007D2AC6">
        <w:rPr>
          <w:lang w:val="fr-FR"/>
        </w:rPr>
        <w:t>’</w:t>
      </w:r>
      <w:r w:rsidR="00341318" w:rsidRPr="007D2AC6">
        <w:rPr>
          <w:lang w:val="fr-FR"/>
        </w:rPr>
        <w:t>universit</w:t>
      </w:r>
      <w:r w:rsidR="001B6E2D" w:rsidRPr="007D2AC6">
        <w:rPr>
          <w:lang w:val="fr-FR"/>
        </w:rPr>
        <w:t>és.  Un</w:t>
      </w:r>
      <w:r w:rsidR="00341318" w:rsidRPr="007D2AC6">
        <w:rPr>
          <w:lang w:val="fr-FR"/>
        </w:rPr>
        <w:t>e charte du projet a été signée dans chaque pays pour assurer la contribution de toutes les parties prenantes nationales clés à la réalisation des objectifs communs.</w:t>
      </w:r>
    </w:p>
    <w:p w14:paraId="3F7BC8F5" w14:textId="7D59E52E" w:rsidR="00341318" w:rsidRPr="007D2AC6" w:rsidRDefault="00E1469F" w:rsidP="008139DE">
      <w:pPr>
        <w:pStyle w:val="ONUMFS"/>
        <w:rPr>
          <w:lang w:val="fr-FR"/>
        </w:rPr>
      </w:pPr>
      <w:r w:rsidRPr="007D2AC6">
        <w:rPr>
          <w:lang w:val="fr-FR"/>
        </w:rPr>
        <w:lastRenderedPageBreak/>
        <w:t>L</w:t>
      </w:r>
      <w:r w:rsidR="002A5696" w:rsidRPr="007D2AC6">
        <w:rPr>
          <w:lang w:val="fr-FR"/>
        </w:rPr>
        <w:t>’</w:t>
      </w:r>
      <w:r w:rsidRPr="007D2AC6">
        <w:rPr>
          <w:lang w:val="fr-FR"/>
        </w:rPr>
        <w:t>estimation des ressources disponibles en matière de gestion a mis en lumière, au stade de la conception, la nécessité d</w:t>
      </w:r>
      <w:r w:rsidR="002A5696" w:rsidRPr="007D2AC6">
        <w:rPr>
          <w:lang w:val="fr-FR"/>
        </w:rPr>
        <w:t>’</w:t>
      </w:r>
      <w:r w:rsidRPr="007D2AC6">
        <w:rPr>
          <w:lang w:val="fr-FR"/>
        </w:rPr>
        <w:t>obtenir l</w:t>
      </w:r>
      <w:r w:rsidR="002A5696" w:rsidRPr="007D2AC6">
        <w:rPr>
          <w:lang w:val="fr-FR"/>
        </w:rPr>
        <w:t>’</w:t>
      </w:r>
      <w:r w:rsidRPr="007D2AC6">
        <w:rPr>
          <w:lang w:val="fr-FR"/>
        </w:rPr>
        <w:t>appui d</w:t>
      </w:r>
      <w:r w:rsidR="002A5696" w:rsidRPr="007D2AC6">
        <w:rPr>
          <w:lang w:val="fr-FR"/>
        </w:rPr>
        <w:t>’</w:t>
      </w:r>
      <w:r w:rsidRPr="007D2AC6">
        <w:rPr>
          <w:lang w:val="fr-FR"/>
        </w:rPr>
        <w:t xml:space="preserve">un administrateur de projet employé à plein temps, poste essentiel pour le </w:t>
      </w:r>
      <w:r w:rsidR="00276C7D" w:rsidRPr="007D2AC6">
        <w:rPr>
          <w:lang w:val="fr-FR"/>
        </w:rPr>
        <w:t>succès</w:t>
      </w:r>
      <w:r w:rsidRPr="007D2AC6">
        <w:rPr>
          <w:lang w:val="fr-FR"/>
        </w:rPr>
        <w:t xml:space="preserve"> du projet.</w:t>
      </w:r>
    </w:p>
    <w:p w14:paraId="10FAED44" w14:textId="2CB435FF" w:rsidR="0059687A" w:rsidRPr="007D2AC6" w:rsidRDefault="00E1469F" w:rsidP="008139DE">
      <w:pPr>
        <w:pStyle w:val="ONUMFS"/>
        <w:rPr>
          <w:lang w:val="fr-FR"/>
        </w:rPr>
      </w:pPr>
      <w:r w:rsidRPr="007D2AC6">
        <w:rPr>
          <w:lang w:val="fr-FR"/>
        </w:rPr>
        <w:t>Le projet est devenu opérationnel au cours de la phase de démarra</w:t>
      </w:r>
      <w:r w:rsidR="001B6E2D" w:rsidRPr="007D2AC6">
        <w:rPr>
          <w:lang w:val="fr-FR"/>
        </w:rPr>
        <w:t>ge.  Pa</w:t>
      </w:r>
      <w:r w:rsidRPr="007D2AC6">
        <w:rPr>
          <w:lang w:val="fr-FR"/>
        </w:rPr>
        <w:t>rmi les tâches exécutées</w:t>
      </w:r>
      <w:r w:rsidR="00C135A9" w:rsidRPr="007D2AC6">
        <w:rPr>
          <w:lang w:val="fr-FR"/>
        </w:rPr>
        <w:t xml:space="preserve"> figurait</w:t>
      </w:r>
      <w:r w:rsidRPr="007D2AC6">
        <w:rPr>
          <w:lang w:val="fr-FR"/>
        </w:rPr>
        <w:t xml:space="preserve"> le recrutement d</w:t>
      </w:r>
      <w:r w:rsidR="002A5696" w:rsidRPr="007D2AC6">
        <w:rPr>
          <w:lang w:val="fr-FR"/>
        </w:rPr>
        <w:t>’</w:t>
      </w:r>
      <w:r w:rsidRPr="007D2AC6">
        <w:rPr>
          <w:lang w:val="fr-FR"/>
        </w:rPr>
        <w:t>une administratrice de projet, la sélection des pays bénéficiaires et une planification détaill</w:t>
      </w:r>
      <w:r w:rsidR="001B6E2D" w:rsidRPr="007D2AC6">
        <w:rPr>
          <w:lang w:val="fr-FR"/>
        </w:rPr>
        <w:t>ée.  Un</w:t>
      </w:r>
      <w:r w:rsidRPr="007D2AC6">
        <w:rPr>
          <w:lang w:val="fr-FR"/>
        </w:rPr>
        <w:t>e stratégie nationale de protection des dessins et modèles et un plan de sensibilisation ont été élaboré</w:t>
      </w:r>
      <w:r w:rsidR="00C135A9" w:rsidRPr="007D2AC6">
        <w:rPr>
          <w:lang w:val="fr-FR"/>
        </w:rPr>
        <w:t>s</w:t>
      </w:r>
      <w:r w:rsidRPr="007D2AC6">
        <w:rPr>
          <w:lang w:val="fr-FR"/>
        </w:rPr>
        <w:t xml:space="preserve"> en même temps à titre d</w:t>
      </w:r>
      <w:r w:rsidR="002A5696" w:rsidRPr="007D2AC6">
        <w:rPr>
          <w:lang w:val="fr-FR"/>
        </w:rPr>
        <w:t>’</w:t>
      </w:r>
      <w:r w:rsidRPr="007D2AC6">
        <w:rPr>
          <w:lang w:val="fr-FR"/>
        </w:rPr>
        <w:t>activité préparatoire.</w:t>
      </w:r>
    </w:p>
    <w:p w14:paraId="028E9C9B" w14:textId="3379C1C3" w:rsidR="00E1469F" w:rsidRPr="007D2AC6" w:rsidRDefault="00E1469F" w:rsidP="008139DE">
      <w:pPr>
        <w:pStyle w:val="ONUMFS"/>
        <w:rPr>
          <w:lang w:val="fr-FR"/>
        </w:rPr>
      </w:pPr>
      <w:r w:rsidRPr="007D2AC6">
        <w:rPr>
          <w:lang w:val="fr-FR"/>
        </w:rPr>
        <w:t>Le descriptif de projet ne contient aucune stratégie claire quant à la marche à suiv</w:t>
      </w:r>
      <w:r w:rsidR="001B6E2D" w:rsidRPr="007D2AC6">
        <w:rPr>
          <w:lang w:val="fr-FR"/>
        </w:rPr>
        <w:t>re.  Il</w:t>
      </w:r>
      <w:r w:rsidRPr="007D2AC6">
        <w:rPr>
          <w:lang w:val="fr-FR"/>
        </w:rPr>
        <w:t xml:space="preserve"> est donc prévu de reproduire l</w:t>
      </w:r>
      <w:r w:rsidR="002A5696" w:rsidRPr="007D2AC6">
        <w:rPr>
          <w:lang w:val="fr-FR"/>
        </w:rPr>
        <w:t>’</w:t>
      </w:r>
      <w:r w:rsidRPr="007D2AC6">
        <w:rPr>
          <w:lang w:val="fr-FR"/>
        </w:rPr>
        <w:t>approche pilote de manière à faire profiter les bénéfices à d</w:t>
      </w:r>
      <w:r w:rsidR="002A5696" w:rsidRPr="007D2AC6">
        <w:rPr>
          <w:lang w:val="fr-FR"/>
        </w:rPr>
        <w:t>’</w:t>
      </w:r>
      <w:r w:rsidRPr="007D2AC6">
        <w:rPr>
          <w:lang w:val="fr-FR"/>
        </w:rPr>
        <w:t>autres pays que les deux</w:t>
      </w:r>
      <w:r w:rsidR="009F77AF" w:rsidRPr="007D2AC6">
        <w:rPr>
          <w:lang w:val="fr-FR"/>
        </w:rPr>
        <w:t> </w:t>
      </w:r>
      <w:r w:rsidRPr="007D2AC6">
        <w:rPr>
          <w:lang w:val="fr-FR"/>
        </w:rPr>
        <w:t xml:space="preserve">pays bénéficiaires </w:t>
      </w:r>
      <w:proofErr w:type="gramStart"/>
      <w:r w:rsidRPr="007D2AC6">
        <w:rPr>
          <w:lang w:val="fr-FR"/>
        </w:rPr>
        <w:t>pilot</w:t>
      </w:r>
      <w:r w:rsidR="001B6E2D" w:rsidRPr="007D2AC6">
        <w:rPr>
          <w:lang w:val="fr-FR"/>
        </w:rPr>
        <w:t>es</w:t>
      </w:r>
      <w:proofErr w:type="gramEnd"/>
      <w:r w:rsidR="001B6E2D" w:rsidRPr="007D2AC6">
        <w:rPr>
          <w:lang w:val="fr-FR"/>
        </w:rPr>
        <w:t>.  L’é</w:t>
      </w:r>
      <w:r w:rsidRPr="007D2AC6">
        <w:rPr>
          <w:lang w:val="fr-FR"/>
        </w:rPr>
        <w:t>laboration d</w:t>
      </w:r>
      <w:r w:rsidR="002A5696" w:rsidRPr="007D2AC6">
        <w:rPr>
          <w:lang w:val="fr-FR"/>
        </w:rPr>
        <w:t>’</w:t>
      </w:r>
      <w:r w:rsidRPr="007D2AC6">
        <w:rPr>
          <w:lang w:val="fr-FR"/>
        </w:rPr>
        <w:t>une stratégie de sortie</w:t>
      </w:r>
      <w:r w:rsidR="00C135A9" w:rsidRPr="007D2AC6">
        <w:rPr>
          <w:lang w:val="fr-FR"/>
        </w:rPr>
        <w:t xml:space="preserve"> au niveau national, à l</w:t>
      </w:r>
      <w:r w:rsidR="002A5696" w:rsidRPr="007D2AC6">
        <w:rPr>
          <w:lang w:val="fr-FR"/>
        </w:rPr>
        <w:t>’</w:t>
      </w:r>
      <w:r w:rsidR="00C135A9" w:rsidRPr="007D2AC6">
        <w:rPr>
          <w:lang w:val="fr-FR"/>
        </w:rPr>
        <w:t>intention de l</w:t>
      </w:r>
      <w:r w:rsidR="002A5696" w:rsidRPr="007D2AC6">
        <w:rPr>
          <w:lang w:val="fr-FR"/>
        </w:rPr>
        <w:t>’</w:t>
      </w:r>
      <w:r w:rsidR="00C135A9" w:rsidRPr="007D2AC6">
        <w:rPr>
          <w:lang w:val="fr-FR"/>
        </w:rPr>
        <w:t>OMPI, n</w:t>
      </w:r>
      <w:r w:rsidR="002A5696" w:rsidRPr="007D2AC6">
        <w:rPr>
          <w:lang w:val="fr-FR"/>
        </w:rPr>
        <w:t>’</w:t>
      </w:r>
      <w:r w:rsidR="00C135A9" w:rsidRPr="007D2AC6">
        <w:rPr>
          <w:lang w:val="fr-FR"/>
        </w:rPr>
        <w:t>était pas prévue initialement, mais elle a été ajoutée en cours d</w:t>
      </w:r>
      <w:r w:rsidR="002A5696" w:rsidRPr="007D2AC6">
        <w:rPr>
          <w:lang w:val="fr-FR"/>
        </w:rPr>
        <w:t>’</w:t>
      </w:r>
      <w:r w:rsidR="00C135A9" w:rsidRPr="007D2AC6">
        <w:rPr>
          <w:lang w:val="fr-FR"/>
        </w:rPr>
        <w:t>exécution du projet.</w:t>
      </w:r>
    </w:p>
    <w:p w14:paraId="145702F2" w14:textId="7A835554" w:rsidR="0059687A" w:rsidRPr="007D2AC6" w:rsidRDefault="00C135A9" w:rsidP="004D11AE">
      <w:pPr>
        <w:pStyle w:val="Heading3"/>
        <w:rPr>
          <w:color w:val="auto"/>
        </w:rPr>
      </w:pPr>
      <w:bookmarkStart w:id="17" w:name="_Toc335712733"/>
      <w:bookmarkStart w:id="18" w:name="_Toc478372743"/>
      <w:r w:rsidRPr="007D2AC6">
        <w:rPr>
          <w:color w:val="auto"/>
        </w:rPr>
        <w:t>Utilisation d</w:t>
      </w:r>
      <w:r w:rsidR="002A5696" w:rsidRPr="007D2AC6">
        <w:rPr>
          <w:color w:val="auto"/>
        </w:rPr>
        <w:t>’</w:t>
      </w:r>
      <w:r w:rsidRPr="007D2AC6">
        <w:rPr>
          <w:color w:val="auto"/>
        </w:rPr>
        <w:t xml:space="preserve">outils de planification du projet </w:t>
      </w:r>
      <w:r w:rsidRPr="007D2AC6">
        <w:rPr>
          <w:color w:val="auto"/>
        </w:rPr>
        <w:sym w:font="Symbol" w:char="F028"/>
      </w:r>
      <w:r w:rsidRPr="007D2AC6">
        <w:rPr>
          <w:color w:val="auto"/>
        </w:rPr>
        <w:t>au stade de la planification)</w:t>
      </w:r>
      <w:bookmarkEnd w:id="17"/>
      <w:bookmarkEnd w:id="18"/>
    </w:p>
    <w:p w14:paraId="6918C22C" w14:textId="77777777" w:rsidR="0059687A" w:rsidRPr="007D2AC6" w:rsidRDefault="0059687A" w:rsidP="008139DE">
      <w:pPr>
        <w:rPr>
          <w:lang w:val="fr-FR"/>
        </w:rPr>
      </w:pPr>
    </w:p>
    <w:p w14:paraId="41313805" w14:textId="667BA0AB" w:rsidR="00C135A9" w:rsidRPr="007D2AC6" w:rsidRDefault="00C135A9" w:rsidP="008139DE">
      <w:pPr>
        <w:pStyle w:val="ONUMFS"/>
        <w:rPr>
          <w:lang w:val="fr-FR"/>
        </w:rPr>
      </w:pPr>
      <w:r w:rsidRPr="007D2AC6">
        <w:rPr>
          <w:lang w:val="fr-FR"/>
        </w:rPr>
        <w:t>Il n</w:t>
      </w:r>
      <w:r w:rsidR="002A5696" w:rsidRPr="007D2AC6">
        <w:rPr>
          <w:lang w:val="fr-FR"/>
        </w:rPr>
        <w:t>’</w:t>
      </w:r>
      <w:r w:rsidRPr="007D2AC6">
        <w:rPr>
          <w:lang w:val="fr-FR"/>
        </w:rPr>
        <w:t>existe pas de directives</w:t>
      </w:r>
      <w:r w:rsidR="00276C7D" w:rsidRPr="007D2AC6">
        <w:rPr>
          <w:lang w:val="fr-FR"/>
        </w:rPr>
        <w:t xml:space="preserve"> écrites détaillées sur la mani</w:t>
      </w:r>
      <w:r w:rsidRPr="007D2AC6">
        <w:rPr>
          <w:lang w:val="fr-FR"/>
        </w:rPr>
        <w:t>ère d</w:t>
      </w:r>
      <w:r w:rsidR="002A5696" w:rsidRPr="007D2AC6">
        <w:rPr>
          <w:lang w:val="fr-FR"/>
        </w:rPr>
        <w:t>’</w:t>
      </w:r>
      <w:r w:rsidRPr="007D2AC6">
        <w:rPr>
          <w:lang w:val="fr-FR"/>
        </w:rPr>
        <w:t>appliquer des normes de gestion axée sur les résultats aux stades de la planification et du sui</w:t>
      </w:r>
      <w:r w:rsidR="001B6E2D" w:rsidRPr="007D2AC6">
        <w:rPr>
          <w:lang w:val="fr-FR"/>
        </w:rPr>
        <w:t>vi.  Le</w:t>
      </w:r>
      <w:r w:rsidRPr="007D2AC6">
        <w:rPr>
          <w:lang w:val="fr-FR"/>
        </w:rPr>
        <w:t xml:space="preserve"> descriptif de projet </w:t>
      </w:r>
      <w:r w:rsidR="00853937" w:rsidRPr="007D2AC6">
        <w:rPr>
          <w:lang w:val="fr-FR"/>
        </w:rPr>
        <w:t>(</w:t>
      </w:r>
      <w:r w:rsidRPr="007D2AC6">
        <w:rPr>
          <w:lang w:val="fr-FR"/>
        </w:rPr>
        <w:t xml:space="preserve">document </w:t>
      </w:r>
      <w:proofErr w:type="spellStart"/>
      <w:r w:rsidRPr="007D2AC6">
        <w:rPr>
          <w:lang w:val="fr-FR"/>
        </w:rPr>
        <w:t>CDIP</w:t>
      </w:r>
      <w:proofErr w:type="spellEnd"/>
      <w:r w:rsidR="00B57560" w:rsidRPr="007D2AC6">
        <w:rPr>
          <w:lang w:val="fr-FR"/>
        </w:rPr>
        <w:t> </w:t>
      </w:r>
      <w:r w:rsidRPr="007D2AC6">
        <w:rPr>
          <w:lang w:val="fr-FR"/>
        </w:rPr>
        <w:t>12/6) respecte les modèles standard de préparation des projets et de présentation de rapports, qui ne suivent pas l</w:t>
      </w:r>
      <w:r w:rsidR="002A5696" w:rsidRPr="007D2AC6">
        <w:rPr>
          <w:lang w:val="fr-FR"/>
        </w:rPr>
        <w:t>’</w:t>
      </w:r>
      <w:r w:rsidRPr="007D2AC6">
        <w:rPr>
          <w:lang w:val="fr-FR"/>
        </w:rPr>
        <w:t>approche du cadre logiq</w:t>
      </w:r>
      <w:r w:rsidR="001B6E2D" w:rsidRPr="007D2AC6">
        <w:rPr>
          <w:lang w:val="fr-FR"/>
        </w:rPr>
        <w:t>ue.  Le</w:t>
      </w:r>
      <w:r w:rsidRPr="007D2AC6">
        <w:rPr>
          <w:lang w:val="fr-FR"/>
        </w:rPr>
        <w:t>s cadres logiques sont désormais des outils couramment utilisés pour la planification, le suivi et les évaluations de projets d</w:t>
      </w:r>
      <w:r w:rsidR="002A5696" w:rsidRPr="007D2AC6">
        <w:rPr>
          <w:lang w:val="fr-FR"/>
        </w:rPr>
        <w:t>’</w:t>
      </w:r>
      <w:r w:rsidRPr="007D2AC6">
        <w:rPr>
          <w:lang w:val="fr-FR"/>
        </w:rPr>
        <w:t xml:space="preserve">aide au développement, </w:t>
      </w:r>
      <w:r w:rsidR="002A5696" w:rsidRPr="007D2AC6">
        <w:rPr>
          <w:lang w:val="fr-FR"/>
        </w:rPr>
        <w:t>y compris</w:t>
      </w:r>
      <w:r w:rsidRPr="007D2AC6">
        <w:rPr>
          <w:lang w:val="fr-FR"/>
        </w:rPr>
        <w:t xml:space="preserve"> dans le système des </w:t>
      </w:r>
      <w:r w:rsidR="002A5696" w:rsidRPr="007D2AC6">
        <w:rPr>
          <w:lang w:val="fr-FR"/>
        </w:rPr>
        <w:t>Nations Unies</w:t>
      </w:r>
      <w:r w:rsidRPr="007D2AC6">
        <w:rPr>
          <w:lang w:val="fr-FR"/>
        </w:rPr>
        <w:t>.</w:t>
      </w:r>
    </w:p>
    <w:p w14:paraId="253CEFC0" w14:textId="1547DFB7" w:rsidR="008324C7" w:rsidRPr="007D2AC6" w:rsidRDefault="008324C7" w:rsidP="008139DE">
      <w:pPr>
        <w:pStyle w:val="ONUMFS"/>
        <w:rPr>
          <w:lang w:val="fr-FR"/>
        </w:rPr>
      </w:pPr>
      <w:r w:rsidRPr="007D2AC6">
        <w:rPr>
          <w:lang w:val="fr-FR"/>
        </w:rPr>
        <w:t>Au niveau des extrants</w:t>
      </w:r>
      <w:r w:rsidRPr="007D2AC6">
        <w:rPr>
          <w:rStyle w:val="FootnoteReference"/>
          <w:rFonts w:cs="Arial"/>
          <w:lang w:val="fr-FR"/>
        </w:rPr>
        <w:footnoteReference w:id="17"/>
      </w:r>
      <w:r w:rsidRPr="007D2AC6">
        <w:rPr>
          <w:lang w:val="fr-FR"/>
        </w:rPr>
        <w:t xml:space="preserve">, les objectifs du projet sont raisonnablement clairs, bien que certains des </w:t>
      </w:r>
      <w:r w:rsidR="009F77AF" w:rsidRPr="007D2AC6">
        <w:rPr>
          <w:lang w:val="fr-FR"/>
        </w:rPr>
        <w:t>“</w:t>
      </w:r>
      <w:r w:rsidRPr="007D2AC6">
        <w:rPr>
          <w:lang w:val="fr-FR"/>
        </w:rPr>
        <w:t>extrants</w:t>
      </w:r>
      <w:r w:rsidR="009F77AF" w:rsidRPr="007D2AC6">
        <w:rPr>
          <w:lang w:val="fr-FR"/>
        </w:rPr>
        <w:t>”</w:t>
      </w:r>
      <w:r w:rsidRPr="007D2AC6">
        <w:rPr>
          <w:lang w:val="fr-FR"/>
        </w:rPr>
        <w:t xml:space="preserve"> définis s</w:t>
      </w:r>
      <w:r w:rsidR="00276C7D" w:rsidRPr="007D2AC6">
        <w:rPr>
          <w:lang w:val="fr-FR"/>
        </w:rPr>
        <w:t>o</w:t>
      </w:r>
      <w:r w:rsidRPr="007D2AC6">
        <w:rPr>
          <w:lang w:val="fr-FR"/>
        </w:rPr>
        <w:t xml:space="preserve">ient plutôt à considérer comme des </w:t>
      </w:r>
      <w:r w:rsidR="009F77AF" w:rsidRPr="007D2AC6">
        <w:rPr>
          <w:lang w:val="fr-FR"/>
        </w:rPr>
        <w:t>“</w:t>
      </w:r>
      <w:r w:rsidRPr="007D2AC6">
        <w:rPr>
          <w:lang w:val="fr-FR"/>
        </w:rPr>
        <w:t>réalisations</w:t>
      </w:r>
      <w:r w:rsidR="009F77AF" w:rsidRPr="007D2AC6">
        <w:rPr>
          <w:lang w:val="fr-FR"/>
        </w:rPr>
        <w:t>”.</w:t>
      </w:r>
      <w:r w:rsidRPr="007D2AC6">
        <w:rPr>
          <w:lang w:val="fr-FR"/>
        </w:rPr>
        <w:t xml:space="preserve">  Les niveaux d</w:t>
      </w:r>
      <w:r w:rsidR="002A5696" w:rsidRPr="007D2AC6">
        <w:rPr>
          <w:lang w:val="fr-FR"/>
        </w:rPr>
        <w:t>’</w:t>
      </w:r>
      <w:r w:rsidRPr="007D2AC6">
        <w:rPr>
          <w:lang w:val="fr-FR"/>
        </w:rPr>
        <w:t>extrants et de réalisations</w:t>
      </w:r>
      <w:r w:rsidRPr="007D2AC6">
        <w:rPr>
          <w:rStyle w:val="FootnoteReference"/>
          <w:rFonts w:cs="Arial"/>
          <w:lang w:val="fr-FR"/>
        </w:rPr>
        <w:footnoteReference w:id="18"/>
      </w:r>
      <w:r w:rsidRPr="007D2AC6">
        <w:rPr>
          <w:lang w:val="fr-FR"/>
        </w:rPr>
        <w:t xml:space="preserve"> sont partiellement mélang</w:t>
      </w:r>
      <w:r w:rsidR="001B6E2D" w:rsidRPr="007D2AC6">
        <w:rPr>
          <w:lang w:val="fr-FR"/>
        </w:rPr>
        <w:t>és.  Le</w:t>
      </w:r>
      <w:r w:rsidRPr="007D2AC6">
        <w:rPr>
          <w:lang w:val="fr-FR"/>
        </w:rPr>
        <w:t xml:space="preserve"> dépôt de demandes d</w:t>
      </w:r>
      <w:r w:rsidR="002A5696" w:rsidRPr="007D2AC6">
        <w:rPr>
          <w:lang w:val="fr-FR"/>
        </w:rPr>
        <w:t>’</w:t>
      </w:r>
      <w:r w:rsidRPr="007D2AC6">
        <w:rPr>
          <w:lang w:val="fr-FR"/>
        </w:rPr>
        <w:t xml:space="preserve">enregistrement, en vue de la protection de dessins et modèles industriels, par des entreprises participantes </w:t>
      </w:r>
      <w:r w:rsidR="00853937" w:rsidRPr="007D2AC6">
        <w:rPr>
          <w:lang w:val="fr-FR"/>
        </w:rPr>
        <w:t>(</w:t>
      </w:r>
      <w:r w:rsidRPr="007D2AC6">
        <w:rPr>
          <w:lang w:val="fr-FR"/>
        </w:rPr>
        <w:t>et non le Secrétariat) est un effet de l</w:t>
      </w:r>
      <w:r w:rsidR="002A5696" w:rsidRPr="007D2AC6">
        <w:rPr>
          <w:lang w:val="fr-FR"/>
        </w:rPr>
        <w:t>’</w:t>
      </w:r>
      <w:r w:rsidRPr="007D2AC6">
        <w:rPr>
          <w:lang w:val="fr-FR"/>
        </w:rPr>
        <w:t>aide apportée, et non une tâche à exécuter ou un service à fournir dans le cadre du proj</w:t>
      </w:r>
      <w:r w:rsidR="001B6E2D" w:rsidRPr="007D2AC6">
        <w:rPr>
          <w:lang w:val="fr-FR"/>
        </w:rPr>
        <w:t>et.  De</w:t>
      </w:r>
      <w:r w:rsidRPr="007D2AC6">
        <w:rPr>
          <w:lang w:val="fr-FR"/>
        </w:rPr>
        <w:t xml:space="preserve"> même, la diffusion d</w:t>
      </w:r>
      <w:r w:rsidR="002A5696" w:rsidRPr="007D2AC6">
        <w:rPr>
          <w:lang w:val="fr-FR"/>
        </w:rPr>
        <w:t>’</w:t>
      </w:r>
      <w:r w:rsidRPr="007D2AC6">
        <w:rPr>
          <w:lang w:val="fr-FR"/>
        </w:rPr>
        <w:t xml:space="preserve">informations en direction des marchés internationaux </w:t>
      </w:r>
      <w:r w:rsidR="00853937" w:rsidRPr="007D2AC6">
        <w:rPr>
          <w:lang w:val="fr-FR"/>
        </w:rPr>
        <w:t>(</w:t>
      </w:r>
      <w:r w:rsidRPr="007D2AC6">
        <w:rPr>
          <w:lang w:val="fr-FR"/>
        </w:rPr>
        <w:t>telle qu</w:t>
      </w:r>
      <w:r w:rsidR="002A5696" w:rsidRPr="007D2AC6">
        <w:rPr>
          <w:lang w:val="fr-FR"/>
        </w:rPr>
        <w:t>’</w:t>
      </w:r>
      <w:r w:rsidRPr="007D2AC6">
        <w:rPr>
          <w:lang w:val="fr-FR"/>
        </w:rPr>
        <w:t>elle ressort de la participation à des foires et salons professionnels), qui n</w:t>
      </w:r>
      <w:r w:rsidR="002A5696" w:rsidRPr="007D2AC6">
        <w:rPr>
          <w:lang w:val="fr-FR"/>
        </w:rPr>
        <w:t>’</w:t>
      </w:r>
      <w:r w:rsidRPr="007D2AC6">
        <w:rPr>
          <w:lang w:val="fr-FR"/>
        </w:rPr>
        <w:t xml:space="preserve">est pas financée par le projet, est une réalisation découlant des activités du projet </w:t>
      </w:r>
      <w:r w:rsidR="00853937" w:rsidRPr="007D2AC6">
        <w:rPr>
          <w:lang w:val="fr-FR"/>
        </w:rPr>
        <w:t>(</w:t>
      </w:r>
      <w:r w:rsidRPr="007D2AC6">
        <w:rPr>
          <w:lang w:val="fr-FR"/>
        </w:rPr>
        <w:t xml:space="preserve">sensibilisation, formations, etc.) et non une tâche à exécuter ou un service à fournir dans le cadre du projet </w:t>
      </w:r>
      <w:r w:rsidR="00853937" w:rsidRPr="007D2AC6">
        <w:rPr>
          <w:lang w:val="fr-FR"/>
        </w:rPr>
        <w:t>(</w:t>
      </w:r>
      <w:r w:rsidRPr="007D2AC6">
        <w:rPr>
          <w:lang w:val="fr-FR"/>
        </w:rPr>
        <w:t>extra</w:t>
      </w:r>
      <w:r w:rsidR="001B6E2D" w:rsidRPr="007D2AC6">
        <w:rPr>
          <w:lang w:val="fr-FR"/>
        </w:rPr>
        <w:t>nt).  Le</w:t>
      </w:r>
      <w:r w:rsidRPr="007D2AC6">
        <w:rPr>
          <w:lang w:val="fr-FR"/>
        </w:rPr>
        <w:t xml:space="preserve"> descriptif de projet souligne les changements positifs de plus grande ampleur auxquels le projet devrait contribuer </w:t>
      </w:r>
      <w:r w:rsidR="00853937" w:rsidRPr="007D2AC6">
        <w:rPr>
          <w:lang w:val="fr-FR"/>
        </w:rPr>
        <w:t>(</w:t>
      </w:r>
      <w:r w:rsidRPr="007D2AC6">
        <w:rPr>
          <w:lang w:val="fr-FR"/>
        </w:rPr>
        <w:t>objectifs généraux de développement, niveau d</w:t>
      </w:r>
      <w:r w:rsidR="002A5696" w:rsidRPr="007D2AC6">
        <w:rPr>
          <w:lang w:val="fr-FR"/>
        </w:rPr>
        <w:t>’</w:t>
      </w:r>
      <w:r w:rsidRPr="007D2AC6">
        <w:rPr>
          <w:lang w:val="fr-FR"/>
        </w:rPr>
        <w:t>impact)</w:t>
      </w:r>
      <w:r w:rsidRPr="007D2AC6">
        <w:rPr>
          <w:vertAlign w:val="superscript"/>
          <w:lang w:val="fr-FR"/>
        </w:rPr>
        <w:footnoteReference w:id="19"/>
      </w:r>
      <w:r w:rsidR="009F77AF" w:rsidRPr="007D2AC6">
        <w:rPr>
          <w:lang w:val="fr-FR"/>
        </w:rPr>
        <w:t>.</w:t>
      </w:r>
    </w:p>
    <w:p w14:paraId="0392311C" w14:textId="4908AA73" w:rsidR="00DA139C" w:rsidRPr="007D2AC6" w:rsidRDefault="00DA139C" w:rsidP="008139DE">
      <w:pPr>
        <w:pStyle w:val="ONUMFS"/>
        <w:rPr>
          <w:lang w:val="fr-FR"/>
        </w:rPr>
      </w:pPr>
      <w:r w:rsidRPr="007D2AC6">
        <w:rPr>
          <w:lang w:val="fr-FR"/>
        </w:rPr>
        <w:t>Une bonne pratique de la gestion axée sur les résultats consiste à corréler les objectifs, à tous niveaux, à des indicateurs précis, mesurables, ambitieux, pertinents et assortis de déla</w:t>
      </w:r>
      <w:r w:rsidR="001B6E2D" w:rsidRPr="007D2AC6">
        <w:rPr>
          <w:lang w:val="fr-FR"/>
        </w:rPr>
        <w:t>is.  Le</w:t>
      </w:r>
      <w:r w:rsidRPr="007D2AC6">
        <w:rPr>
          <w:lang w:val="fr-FR"/>
        </w:rPr>
        <w:t>s moyens de vérification doivent être définis et budgétés si la collecte de données nécessite des ressources.</w:t>
      </w:r>
    </w:p>
    <w:p w14:paraId="7C74AA57" w14:textId="15081050" w:rsidR="00DA139C" w:rsidRPr="007D2AC6" w:rsidRDefault="00DA139C" w:rsidP="008139DE">
      <w:pPr>
        <w:pStyle w:val="ONUMFS"/>
        <w:rPr>
          <w:lang w:val="fr-FR"/>
        </w:rPr>
      </w:pPr>
      <w:r w:rsidRPr="007D2AC6">
        <w:rPr>
          <w:lang w:val="fr-FR"/>
        </w:rPr>
        <w:t>La plupart des indicateurs d</w:t>
      </w:r>
      <w:r w:rsidR="002A5696" w:rsidRPr="007D2AC6">
        <w:rPr>
          <w:lang w:val="fr-FR"/>
        </w:rPr>
        <w:t>’</w:t>
      </w:r>
      <w:r w:rsidRPr="007D2AC6">
        <w:rPr>
          <w:lang w:val="fr-FR"/>
        </w:rPr>
        <w:t>extrants et de réalisations ont été choisis et appliqués de manière appropri</w:t>
      </w:r>
      <w:r w:rsidR="001B6E2D" w:rsidRPr="007D2AC6">
        <w:rPr>
          <w:lang w:val="fr-FR"/>
        </w:rPr>
        <w:t>ée.  L’i</w:t>
      </w:r>
      <w:r w:rsidRPr="007D2AC6">
        <w:rPr>
          <w:lang w:val="fr-FR"/>
        </w:rPr>
        <w:t xml:space="preserve">ndicateur de performance qui traduit le </w:t>
      </w:r>
      <w:r w:rsidR="009F77AF" w:rsidRPr="007D2AC6">
        <w:rPr>
          <w:lang w:val="fr-FR"/>
        </w:rPr>
        <w:t>“</w:t>
      </w:r>
      <w:r w:rsidRPr="007D2AC6">
        <w:rPr>
          <w:lang w:val="fr-FR"/>
        </w:rPr>
        <w:t>développement commercial</w:t>
      </w:r>
      <w:r w:rsidR="002A5696" w:rsidRPr="007D2AC6">
        <w:rPr>
          <w:lang w:val="fr-FR"/>
        </w:rPr>
        <w:t xml:space="preserve"> des PME</w:t>
      </w:r>
      <w:r w:rsidR="009F77AF" w:rsidRPr="007D2AC6">
        <w:rPr>
          <w:lang w:val="fr-FR"/>
        </w:rPr>
        <w:t>”</w:t>
      </w:r>
      <w:r w:rsidRPr="007D2AC6">
        <w:rPr>
          <w:lang w:val="fr-FR"/>
        </w:rPr>
        <w:t xml:space="preserve"> dans les pays participants </w:t>
      </w:r>
      <w:r w:rsidR="00853937" w:rsidRPr="007D2AC6">
        <w:rPr>
          <w:lang w:val="fr-FR"/>
        </w:rPr>
        <w:t>(</w:t>
      </w:r>
      <w:r w:rsidRPr="007D2AC6">
        <w:rPr>
          <w:lang w:val="fr-FR"/>
        </w:rPr>
        <w:t>une réalisation prévue) mesure le chiffre d</w:t>
      </w:r>
      <w:r w:rsidR="002A5696" w:rsidRPr="007D2AC6">
        <w:rPr>
          <w:lang w:val="fr-FR"/>
        </w:rPr>
        <w:t>’</w:t>
      </w:r>
      <w:r w:rsidRPr="007D2AC6">
        <w:rPr>
          <w:lang w:val="fr-FR"/>
        </w:rPr>
        <w:t>affaires</w:t>
      </w:r>
      <w:r w:rsidR="002A5696" w:rsidRPr="007D2AC6">
        <w:rPr>
          <w:lang w:val="fr-FR"/>
        </w:rPr>
        <w:t xml:space="preserve"> </w:t>
      </w:r>
      <w:r w:rsidR="002A5696" w:rsidRPr="007D2AC6">
        <w:rPr>
          <w:lang w:val="fr-FR"/>
        </w:rPr>
        <w:lastRenderedPageBreak/>
        <w:t>des PME</w:t>
      </w:r>
      <w:r w:rsidRPr="007D2AC6">
        <w:rPr>
          <w:lang w:val="fr-FR"/>
        </w:rPr>
        <w:t xml:space="preserve"> qui protègent leurs dessins et modèles, avant et après le proj</w:t>
      </w:r>
      <w:r w:rsidR="001B6E2D" w:rsidRPr="007D2AC6">
        <w:rPr>
          <w:lang w:val="fr-FR"/>
        </w:rPr>
        <w:t>et.  Le</w:t>
      </w:r>
      <w:r w:rsidRPr="007D2AC6">
        <w:rPr>
          <w:lang w:val="fr-FR"/>
        </w:rPr>
        <w:t xml:space="preserve"> seul chiffre d</w:t>
      </w:r>
      <w:r w:rsidR="002A5696" w:rsidRPr="007D2AC6">
        <w:rPr>
          <w:lang w:val="fr-FR"/>
        </w:rPr>
        <w:t>’</w:t>
      </w:r>
      <w:r w:rsidRPr="007D2AC6">
        <w:rPr>
          <w:lang w:val="fr-FR"/>
        </w:rPr>
        <w:t>affaires ne reflète pas le succès commercial et n</w:t>
      </w:r>
      <w:r w:rsidR="002A5696" w:rsidRPr="007D2AC6">
        <w:rPr>
          <w:lang w:val="fr-FR"/>
        </w:rPr>
        <w:t>’</w:t>
      </w:r>
      <w:r w:rsidRPr="007D2AC6">
        <w:rPr>
          <w:lang w:val="fr-FR"/>
        </w:rPr>
        <w:t>indique pas une valeur ajoutée grâce à la protection des dessins et modèl</w:t>
      </w:r>
      <w:r w:rsidR="001B6E2D" w:rsidRPr="007D2AC6">
        <w:rPr>
          <w:lang w:val="fr-FR"/>
        </w:rPr>
        <w:t>es.  L’a</w:t>
      </w:r>
      <w:r w:rsidRPr="007D2AC6">
        <w:rPr>
          <w:lang w:val="fr-FR"/>
        </w:rPr>
        <w:t>ugmentation du volume des ventes de produits à faible valeur ajoutée peut aussi conduire à une augmentation du chiffre d</w:t>
      </w:r>
      <w:r w:rsidR="002A5696" w:rsidRPr="007D2AC6">
        <w:rPr>
          <w:lang w:val="fr-FR"/>
        </w:rPr>
        <w:t>’</w:t>
      </w:r>
      <w:r w:rsidRPr="007D2AC6">
        <w:rPr>
          <w:lang w:val="fr-FR"/>
        </w:rPr>
        <w:t>affair</w:t>
      </w:r>
      <w:r w:rsidR="001B6E2D" w:rsidRPr="007D2AC6">
        <w:rPr>
          <w:lang w:val="fr-FR"/>
        </w:rPr>
        <w:t>es.  L’a</w:t>
      </w:r>
      <w:r w:rsidRPr="007D2AC6">
        <w:rPr>
          <w:lang w:val="fr-FR"/>
        </w:rPr>
        <w:t>ugmentation de la rentabilité des entreprises serait un indicateur plus approprié pour mesurer une augmentation d</w:t>
      </w:r>
      <w:r w:rsidR="00991D2B" w:rsidRPr="007D2AC6">
        <w:rPr>
          <w:lang w:val="fr-FR"/>
        </w:rPr>
        <w:t>e la valeur ajoutée à des projets qui s</w:t>
      </w:r>
      <w:r w:rsidR="002A5696" w:rsidRPr="007D2AC6">
        <w:rPr>
          <w:lang w:val="fr-FR"/>
        </w:rPr>
        <w:t>’</w:t>
      </w:r>
      <w:r w:rsidR="00991D2B" w:rsidRPr="007D2AC6">
        <w:rPr>
          <w:lang w:val="fr-FR"/>
        </w:rPr>
        <w:t>expliquerait par les dessins et modèl</w:t>
      </w:r>
      <w:r w:rsidR="001B6E2D" w:rsidRPr="007D2AC6">
        <w:rPr>
          <w:lang w:val="fr-FR"/>
        </w:rPr>
        <w:t>es.  Il</w:t>
      </w:r>
      <w:r w:rsidR="00991D2B" w:rsidRPr="007D2AC6">
        <w:rPr>
          <w:lang w:val="fr-FR"/>
        </w:rPr>
        <w:t xml:space="preserve"> est souvent difficile d</w:t>
      </w:r>
      <w:r w:rsidR="002A5696" w:rsidRPr="007D2AC6">
        <w:rPr>
          <w:lang w:val="fr-FR"/>
        </w:rPr>
        <w:t>’</w:t>
      </w:r>
      <w:r w:rsidR="00991D2B" w:rsidRPr="007D2AC6">
        <w:rPr>
          <w:lang w:val="fr-FR"/>
        </w:rPr>
        <w:t>obtenir des chiffres financiers</w:t>
      </w:r>
      <w:r w:rsidR="002A5696" w:rsidRPr="007D2AC6">
        <w:rPr>
          <w:lang w:val="fr-FR"/>
        </w:rPr>
        <w:t xml:space="preserve"> des PME</w:t>
      </w:r>
      <w:r w:rsidR="00991D2B" w:rsidRPr="007D2AC6">
        <w:rPr>
          <w:lang w:val="fr-FR"/>
        </w:rPr>
        <w:t xml:space="preserve"> car de nombreuses entreprises préfèrent ne pas divulguer de chiffres financiers si la loi ne l</w:t>
      </w:r>
      <w:r w:rsidR="002A5696" w:rsidRPr="007D2AC6">
        <w:rPr>
          <w:lang w:val="fr-FR"/>
        </w:rPr>
        <w:t>’</w:t>
      </w:r>
      <w:r w:rsidR="00991D2B" w:rsidRPr="007D2AC6">
        <w:rPr>
          <w:lang w:val="fr-FR"/>
        </w:rPr>
        <w:t>exige pas.</w:t>
      </w:r>
    </w:p>
    <w:p w14:paraId="7245C25B" w14:textId="02A748B1" w:rsidR="00991D2B" w:rsidRPr="007D2AC6" w:rsidRDefault="00991D2B" w:rsidP="008139DE">
      <w:pPr>
        <w:pStyle w:val="ONUMFS"/>
        <w:rPr>
          <w:lang w:val="fr-FR"/>
        </w:rPr>
      </w:pPr>
      <w:r w:rsidRPr="007D2AC6">
        <w:rPr>
          <w:lang w:val="fr-FR"/>
        </w:rPr>
        <w:t>L</w:t>
      </w:r>
      <w:r w:rsidR="002A5696" w:rsidRPr="007D2AC6">
        <w:rPr>
          <w:lang w:val="fr-FR"/>
        </w:rPr>
        <w:t>’</w:t>
      </w:r>
      <w:r w:rsidRPr="007D2AC6">
        <w:rPr>
          <w:lang w:val="fr-FR"/>
        </w:rPr>
        <w:t>identification d</w:t>
      </w:r>
      <w:r w:rsidR="002A5696" w:rsidRPr="007D2AC6">
        <w:rPr>
          <w:lang w:val="fr-FR"/>
        </w:rPr>
        <w:t>’</w:t>
      </w:r>
      <w:r w:rsidRPr="007D2AC6">
        <w:rPr>
          <w:lang w:val="fr-FR"/>
        </w:rPr>
        <w:t xml:space="preserve">hypothèses et des risques </w:t>
      </w:r>
      <w:r w:rsidR="00853937" w:rsidRPr="007D2AC6">
        <w:rPr>
          <w:lang w:val="fr-FR"/>
        </w:rPr>
        <w:t>(</w:t>
      </w:r>
      <w:r w:rsidR="002A5696" w:rsidRPr="007D2AC6">
        <w:rPr>
          <w:lang w:val="fr-FR"/>
        </w:rPr>
        <w:t>y compris</w:t>
      </w:r>
      <w:r w:rsidRPr="007D2AC6">
        <w:rPr>
          <w:lang w:val="fr-FR"/>
        </w:rPr>
        <w:t xml:space="preserve"> la définition de stratégies d</w:t>
      </w:r>
      <w:r w:rsidR="002A5696" w:rsidRPr="007D2AC6">
        <w:rPr>
          <w:lang w:val="fr-FR"/>
        </w:rPr>
        <w:t>’</w:t>
      </w:r>
      <w:r w:rsidRPr="007D2AC6">
        <w:rPr>
          <w:lang w:val="fr-FR"/>
        </w:rPr>
        <w:t>atténuation) fait également partie d</w:t>
      </w:r>
      <w:r w:rsidR="002A5696" w:rsidRPr="007D2AC6">
        <w:rPr>
          <w:lang w:val="fr-FR"/>
        </w:rPr>
        <w:t>’</w:t>
      </w:r>
      <w:r w:rsidRPr="007D2AC6">
        <w:rPr>
          <w:lang w:val="fr-FR"/>
        </w:rPr>
        <w:t>une préparation rationnelle d</w:t>
      </w:r>
      <w:r w:rsidR="002A5696" w:rsidRPr="007D2AC6">
        <w:rPr>
          <w:lang w:val="fr-FR"/>
        </w:rPr>
        <w:t>’</w:t>
      </w:r>
      <w:r w:rsidRPr="007D2AC6">
        <w:rPr>
          <w:lang w:val="fr-FR"/>
        </w:rPr>
        <w:t>un proj</w:t>
      </w:r>
      <w:r w:rsidR="001B6E2D" w:rsidRPr="007D2AC6">
        <w:rPr>
          <w:lang w:val="fr-FR"/>
        </w:rPr>
        <w:t>et.  Le</w:t>
      </w:r>
      <w:r w:rsidRPr="007D2AC6">
        <w:rPr>
          <w:lang w:val="fr-FR"/>
        </w:rPr>
        <w:t>s hypothèses et les risques doivent cerner les facteurs extérieurs pertinents afin que les extrants puissent être traduits en réalisations et les réalisations en impact</w:t>
      </w:r>
      <w:r w:rsidRPr="007D2AC6">
        <w:rPr>
          <w:vertAlign w:val="superscript"/>
          <w:lang w:val="fr-FR"/>
        </w:rPr>
        <w:footnoteReference w:id="20"/>
      </w:r>
      <w:r w:rsidRPr="007D2AC6">
        <w:rPr>
          <w:lang w:val="fr-FR"/>
        </w:rPr>
        <w:t>.</w:t>
      </w:r>
    </w:p>
    <w:p w14:paraId="35A7FAB9" w14:textId="2F4014F6" w:rsidR="0059687A" w:rsidRPr="007D2AC6" w:rsidRDefault="00991D2B" w:rsidP="008139DE">
      <w:pPr>
        <w:pStyle w:val="ONUMFS"/>
        <w:rPr>
          <w:lang w:val="fr-FR"/>
        </w:rPr>
      </w:pPr>
      <w:r w:rsidRPr="007D2AC6">
        <w:rPr>
          <w:lang w:val="fr-FR"/>
        </w:rPr>
        <w:t xml:space="preserve">Le descriptif du projet ne </w:t>
      </w:r>
      <w:r w:rsidR="006E160A" w:rsidRPr="007D2AC6">
        <w:rPr>
          <w:lang w:val="fr-FR"/>
        </w:rPr>
        <w:t>fait pas état des risques et hypothèses relatifs à l</w:t>
      </w:r>
      <w:r w:rsidR="002A5696" w:rsidRPr="007D2AC6">
        <w:rPr>
          <w:lang w:val="fr-FR"/>
        </w:rPr>
        <w:t>’</w:t>
      </w:r>
      <w:r w:rsidR="006E160A" w:rsidRPr="007D2AC6">
        <w:rPr>
          <w:lang w:val="fr-FR"/>
        </w:rPr>
        <w:t>ensemble du projet, mais il se réfère à une analyse des risques et à un plan d</w:t>
      </w:r>
      <w:r w:rsidR="002A5696" w:rsidRPr="007D2AC6">
        <w:rPr>
          <w:lang w:val="fr-FR"/>
        </w:rPr>
        <w:t>’</w:t>
      </w:r>
      <w:r w:rsidR="006E160A" w:rsidRPr="007D2AC6">
        <w:rPr>
          <w:lang w:val="fr-FR"/>
        </w:rPr>
        <w:t xml:space="preserve">atténuation qui </w:t>
      </w:r>
      <w:proofErr w:type="gramStart"/>
      <w:r w:rsidR="006E160A" w:rsidRPr="007D2AC6">
        <w:rPr>
          <w:lang w:val="fr-FR"/>
        </w:rPr>
        <w:t>doivent</w:t>
      </w:r>
      <w:proofErr w:type="gramEnd"/>
      <w:r w:rsidR="006E160A" w:rsidRPr="007D2AC6">
        <w:rPr>
          <w:lang w:val="fr-FR"/>
        </w:rPr>
        <w:t xml:space="preserve"> être </w:t>
      </w:r>
      <w:r w:rsidR="00C21D2C" w:rsidRPr="007D2AC6">
        <w:rPr>
          <w:lang w:val="fr-FR"/>
        </w:rPr>
        <w:t>établis</w:t>
      </w:r>
      <w:r w:rsidR="006E160A" w:rsidRPr="007D2AC6">
        <w:rPr>
          <w:lang w:val="fr-FR"/>
        </w:rPr>
        <w:t xml:space="preserve"> dans le cadre de la planification détaillée de chaque composan</w:t>
      </w:r>
      <w:r w:rsidR="001B6E2D" w:rsidRPr="007D2AC6">
        <w:rPr>
          <w:lang w:val="fr-FR"/>
        </w:rPr>
        <w:t>te.  C’e</w:t>
      </w:r>
      <w:r w:rsidR="006E160A" w:rsidRPr="007D2AC6">
        <w:rPr>
          <w:lang w:val="fr-FR"/>
        </w:rPr>
        <w:t xml:space="preserve">st ce qui a été fait ultérieurement et inclus dans le </w:t>
      </w:r>
      <w:r w:rsidR="009F77AF" w:rsidRPr="007D2AC6">
        <w:rPr>
          <w:lang w:val="fr-FR"/>
        </w:rPr>
        <w:t>“</w:t>
      </w:r>
      <w:r w:rsidR="006E160A" w:rsidRPr="007D2AC6">
        <w:rPr>
          <w:lang w:val="fr-FR"/>
        </w:rPr>
        <w:t>Rapport relatif à l</w:t>
      </w:r>
      <w:r w:rsidR="002A5696" w:rsidRPr="007D2AC6">
        <w:rPr>
          <w:lang w:val="fr-FR"/>
        </w:rPr>
        <w:t>’</w:t>
      </w:r>
      <w:r w:rsidR="006E160A" w:rsidRPr="007D2AC6">
        <w:rPr>
          <w:lang w:val="fr-FR"/>
        </w:rPr>
        <w:t>énoncé du contenu du projet</w:t>
      </w:r>
      <w:r w:rsidR="009F77AF" w:rsidRPr="007D2AC6">
        <w:rPr>
          <w:lang w:val="fr-FR"/>
        </w:rPr>
        <w:t>”</w:t>
      </w:r>
      <w:r w:rsidR="00A0140F" w:rsidRPr="007D2AC6">
        <w:rPr>
          <w:rStyle w:val="FootnoteReference"/>
          <w:lang w:val="fr-FR"/>
        </w:rPr>
        <w:footnoteReference w:id="21"/>
      </w:r>
      <w:r w:rsidR="001C1C0F" w:rsidRPr="007D2AC6">
        <w:rPr>
          <w:lang w:val="fr-FR"/>
        </w:rPr>
        <w:t xml:space="preserve"> </w:t>
      </w:r>
      <w:r w:rsidR="00972890" w:rsidRPr="007D2AC6">
        <w:rPr>
          <w:lang w:val="fr-FR"/>
        </w:rPr>
        <w:t>(</w:t>
      </w:r>
      <w:r w:rsidR="006E160A" w:rsidRPr="007D2AC6">
        <w:rPr>
          <w:lang w:val="fr-FR"/>
        </w:rPr>
        <w:t>voir</w:t>
      </w:r>
      <w:r w:rsidR="001C1C0F" w:rsidRPr="007D2AC6">
        <w:rPr>
          <w:lang w:val="fr-FR"/>
        </w:rPr>
        <w:t xml:space="preserve"> </w:t>
      </w:r>
      <w:proofErr w:type="spellStart"/>
      <w:r w:rsidR="001C1C0F" w:rsidRPr="007D2AC6">
        <w:rPr>
          <w:lang w:val="fr-FR"/>
        </w:rPr>
        <w:t>2.A.iii</w:t>
      </w:r>
      <w:proofErr w:type="spellEnd"/>
      <w:r w:rsidR="001C1C0F" w:rsidRPr="007D2AC6">
        <w:rPr>
          <w:lang w:val="fr-FR"/>
        </w:rPr>
        <w:t xml:space="preserve"> </w:t>
      </w:r>
      <w:r w:rsidR="006E160A" w:rsidRPr="007D2AC6">
        <w:rPr>
          <w:lang w:val="fr-FR"/>
        </w:rPr>
        <w:t>ci</w:t>
      </w:r>
      <w:r w:rsidR="00B57560" w:rsidRPr="007D2AC6">
        <w:rPr>
          <w:lang w:val="fr-FR"/>
        </w:rPr>
        <w:noBreakHyphen/>
      </w:r>
      <w:r w:rsidR="006E160A" w:rsidRPr="007D2AC6">
        <w:rPr>
          <w:lang w:val="fr-FR"/>
        </w:rPr>
        <w:t>après</w:t>
      </w:r>
      <w:r w:rsidR="001C1C0F" w:rsidRPr="007D2AC6">
        <w:rPr>
          <w:lang w:val="fr-FR"/>
        </w:rPr>
        <w:t>).</w:t>
      </w:r>
    </w:p>
    <w:p w14:paraId="117AF8CC" w14:textId="22DAADE0" w:rsidR="006E160A" w:rsidRPr="007D2AC6" w:rsidRDefault="006E160A" w:rsidP="008139DE">
      <w:pPr>
        <w:pStyle w:val="ONUMFS"/>
        <w:rPr>
          <w:lang w:val="fr-FR"/>
        </w:rPr>
      </w:pPr>
      <w:r w:rsidRPr="007D2AC6">
        <w:rPr>
          <w:lang w:val="fr-FR"/>
        </w:rPr>
        <w:t xml:space="preserve">Les modèles </w:t>
      </w:r>
      <w:proofErr w:type="gramStart"/>
      <w:r w:rsidRPr="007D2AC6">
        <w:rPr>
          <w:lang w:val="fr-FR"/>
        </w:rPr>
        <w:t>standard</w:t>
      </w:r>
      <w:proofErr w:type="gramEnd"/>
      <w:r w:rsidRPr="007D2AC6">
        <w:rPr>
          <w:lang w:val="fr-FR"/>
        </w:rPr>
        <w:t xml:space="preserve"> de l</w:t>
      </w:r>
      <w:r w:rsidR="002A5696" w:rsidRPr="007D2AC6">
        <w:rPr>
          <w:lang w:val="fr-FR"/>
        </w:rPr>
        <w:t>’</w:t>
      </w:r>
      <w:r w:rsidRPr="007D2AC6">
        <w:rPr>
          <w:lang w:val="fr-FR"/>
        </w:rPr>
        <w:t>OMPI relatifs à la planification des projets ont été appliqués de manière adéqua</w:t>
      </w:r>
      <w:r w:rsidR="001B6E2D" w:rsidRPr="007D2AC6">
        <w:rPr>
          <w:lang w:val="fr-FR"/>
        </w:rPr>
        <w:t>te.  Ma</w:t>
      </w:r>
      <w:r w:rsidRPr="007D2AC6">
        <w:rPr>
          <w:lang w:val="fr-FR"/>
        </w:rPr>
        <w:t xml:space="preserve">is ces formulaires ne contiennent pas de cadres logiques, qui </w:t>
      </w:r>
      <w:r w:rsidR="00C21D2C" w:rsidRPr="007D2AC6">
        <w:rPr>
          <w:lang w:val="fr-FR"/>
        </w:rPr>
        <w:t>constituent désormais</w:t>
      </w:r>
      <w:r w:rsidRPr="007D2AC6">
        <w:rPr>
          <w:lang w:val="fr-FR"/>
        </w:rPr>
        <w:t xml:space="preserve"> l</w:t>
      </w:r>
      <w:r w:rsidR="002A5696" w:rsidRPr="007D2AC6">
        <w:rPr>
          <w:lang w:val="fr-FR"/>
        </w:rPr>
        <w:t>’</w:t>
      </w:r>
      <w:r w:rsidRPr="007D2AC6">
        <w:rPr>
          <w:lang w:val="fr-FR"/>
        </w:rPr>
        <w:t>outil standard couramment utilisé par presque tous les acteurs du développement en matière de coopération technique.</w:t>
      </w:r>
    </w:p>
    <w:p w14:paraId="3588511F" w14:textId="18BBDCD5" w:rsidR="006E160A" w:rsidRPr="007D2AC6" w:rsidRDefault="006E160A" w:rsidP="008139DE">
      <w:pPr>
        <w:pStyle w:val="ONUMFS"/>
        <w:rPr>
          <w:lang w:val="fr-FR"/>
        </w:rPr>
      </w:pPr>
      <w:r w:rsidRPr="007D2AC6">
        <w:rPr>
          <w:lang w:val="fr-FR"/>
        </w:rPr>
        <w:t>Le recours à un bon cadre logique ne garantit pas le succès d</w:t>
      </w:r>
      <w:r w:rsidR="002A5696" w:rsidRPr="007D2AC6">
        <w:rPr>
          <w:lang w:val="fr-FR"/>
        </w:rPr>
        <w:t>’</w:t>
      </w:r>
      <w:r w:rsidR="0082108D" w:rsidRPr="007D2AC6">
        <w:rPr>
          <w:lang w:val="fr-FR"/>
        </w:rPr>
        <w:t xml:space="preserve">un projet, mais il permet de déceler les failles éventuelles dans la logique du projet </w:t>
      </w:r>
      <w:r w:rsidR="00853937" w:rsidRPr="007D2AC6">
        <w:rPr>
          <w:lang w:val="fr-FR"/>
        </w:rPr>
        <w:t>(</w:t>
      </w:r>
      <w:r w:rsidR="0082108D" w:rsidRPr="007D2AC6">
        <w:rPr>
          <w:lang w:val="fr-FR"/>
        </w:rPr>
        <w:t xml:space="preserve">chaîne de résultats) qui pourraient </w:t>
      </w:r>
      <w:proofErr w:type="gramStart"/>
      <w:r w:rsidR="0082108D" w:rsidRPr="007D2AC6">
        <w:rPr>
          <w:lang w:val="fr-FR"/>
        </w:rPr>
        <w:t>passer</w:t>
      </w:r>
      <w:proofErr w:type="gramEnd"/>
      <w:r w:rsidR="0082108D" w:rsidRPr="007D2AC6">
        <w:rPr>
          <w:lang w:val="fr-FR"/>
        </w:rPr>
        <w:t xml:space="preserve"> inaperçu</w:t>
      </w:r>
      <w:r w:rsidR="001B6E2D" w:rsidRPr="007D2AC6">
        <w:rPr>
          <w:lang w:val="fr-FR"/>
        </w:rPr>
        <w:t>es.  Au</w:t>
      </w:r>
      <w:r w:rsidR="0082108D" w:rsidRPr="007D2AC6">
        <w:rPr>
          <w:lang w:val="fr-FR"/>
        </w:rPr>
        <w:t>trement dit, un projet peut être approuvé et des fonds décaissés avant que ne soient découverts des défauts logiques fondamenta</w:t>
      </w:r>
      <w:r w:rsidR="001B6E2D" w:rsidRPr="007D2AC6">
        <w:rPr>
          <w:lang w:val="fr-FR"/>
        </w:rPr>
        <w:t>ux.  L’é</w:t>
      </w:r>
      <w:r w:rsidR="0082108D" w:rsidRPr="007D2AC6">
        <w:rPr>
          <w:lang w:val="fr-FR"/>
        </w:rPr>
        <w:t>valuateur a examiné peu de projets mal planifiés qui aient débouché sur les résultats escomptés.</w:t>
      </w:r>
    </w:p>
    <w:p w14:paraId="2282457C" w14:textId="16FD5EDB" w:rsidR="006E160A" w:rsidRPr="007D2AC6" w:rsidRDefault="0082108D" w:rsidP="008139DE">
      <w:pPr>
        <w:pStyle w:val="ONUMFS"/>
        <w:rPr>
          <w:lang w:val="fr-FR"/>
        </w:rPr>
      </w:pPr>
      <w:r w:rsidRPr="007D2AC6">
        <w:rPr>
          <w:lang w:val="fr-FR"/>
        </w:rPr>
        <w:t>Il convient de souligner que, au cours de l</w:t>
      </w:r>
      <w:r w:rsidR="002A5696" w:rsidRPr="007D2AC6">
        <w:rPr>
          <w:lang w:val="fr-FR"/>
        </w:rPr>
        <w:t>’</w:t>
      </w:r>
      <w:r w:rsidRPr="007D2AC6">
        <w:rPr>
          <w:lang w:val="fr-FR"/>
        </w:rPr>
        <w:t>exécution du projet, un cadre logique a été établi pour les deux</w:t>
      </w:r>
      <w:r w:rsidR="009F77AF" w:rsidRPr="007D2AC6">
        <w:rPr>
          <w:lang w:val="fr-FR"/>
        </w:rPr>
        <w:t> </w:t>
      </w:r>
      <w:r w:rsidRPr="007D2AC6">
        <w:rPr>
          <w:lang w:val="fr-FR"/>
        </w:rPr>
        <w:t>pays concernés, en étroite collaboration avec les parties prenantes national</w:t>
      </w:r>
      <w:r w:rsidR="001B6E2D" w:rsidRPr="007D2AC6">
        <w:rPr>
          <w:lang w:val="fr-FR"/>
        </w:rPr>
        <w:t>es.  Ce</w:t>
      </w:r>
      <w:r w:rsidRPr="007D2AC6">
        <w:rPr>
          <w:lang w:val="fr-FR"/>
        </w:rPr>
        <w:t xml:space="preserve"> cadre logique a été servi au suivi interne et à l</w:t>
      </w:r>
      <w:r w:rsidR="002A5696" w:rsidRPr="007D2AC6">
        <w:rPr>
          <w:lang w:val="fr-FR"/>
        </w:rPr>
        <w:t>’</w:t>
      </w:r>
      <w:r w:rsidRPr="007D2AC6">
        <w:rPr>
          <w:lang w:val="fr-FR"/>
        </w:rPr>
        <w:t>évaluation à mi</w:t>
      </w:r>
      <w:r w:rsidR="00B57560" w:rsidRPr="007D2AC6">
        <w:rPr>
          <w:lang w:val="fr-FR"/>
        </w:rPr>
        <w:noBreakHyphen/>
      </w:r>
      <w:r w:rsidRPr="007D2AC6">
        <w:rPr>
          <w:lang w:val="fr-FR"/>
        </w:rPr>
        <w:t>parcours.</w:t>
      </w:r>
    </w:p>
    <w:p w14:paraId="4AA14D55" w14:textId="16A3F34E" w:rsidR="002A5696" w:rsidRPr="007D2AC6" w:rsidRDefault="0082108D" w:rsidP="00EE2E6E">
      <w:pPr>
        <w:pStyle w:val="ONUMFS"/>
        <w:rPr>
          <w:lang w:val="fr-FR"/>
        </w:rPr>
      </w:pPr>
      <w:r w:rsidRPr="007D2AC6">
        <w:rPr>
          <w:lang w:val="fr-FR"/>
        </w:rPr>
        <w:t>Une application cohérente et correcte des pratiques de gestion axée sur les résultats pour les projets en portefeuille menés dans le cadre du Plan d</w:t>
      </w:r>
      <w:r w:rsidR="002A5696" w:rsidRPr="007D2AC6">
        <w:rPr>
          <w:lang w:val="fr-FR"/>
        </w:rPr>
        <w:t>’</w:t>
      </w:r>
      <w:r w:rsidRPr="007D2AC6">
        <w:rPr>
          <w:lang w:val="fr-FR"/>
        </w:rPr>
        <w:t>action pour le développement nécessite des directives claires au regard desquelles la qualité des documents et rapports afférents au projet est vérifiée.</w:t>
      </w:r>
    </w:p>
    <w:p w14:paraId="399882C7" w14:textId="1D210184" w:rsidR="0059687A" w:rsidRPr="007D2AC6" w:rsidRDefault="00DE7E50" w:rsidP="004D11AE">
      <w:pPr>
        <w:pStyle w:val="Heading3"/>
        <w:rPr>
          <w:color w:val="auto"/>
        </w:rPr>
      </w:pPr>
      <w:bookmarkStart w:id="19" w:name="_Toc478372744"/>
      <w:r w:rsidRPr="007D2AC6">
        <w:rPr>
          <w:color w:val="auto"/>
        </w:rPr>
        <w:t>Gestion du projet</w:t>
      </w:r>
      <w:bookmarkEnd w:id="19"/>
    </w:p>
    <w:p w14:paraId="2ADDCD8F" w14:textId="77777777" w:rsidR="0059687A" w:rsidRPr="007D2AC6" w:rsidRDefault="0059687A" w:rsidP="008139DE">
      <w:pPr>
        <w:rPr>
          <w:lang w:val="fr-FR"/>
        </w:rPr>
      </w:pPr>
    </w:p>
    <w:p w14:paraId="678E23BA" w14:textId="0BC5D727" w:rsidR="0059687A" w:rsidRPr="007D2AC6" w:rsidRDefault="00EE2E6E" w:rsidP="008139DE">
      <w:pPr>
        <w:pStyle w:val="ONUMFS"/>
        <w:rPr>
          <w:lang w:val="fr-FR"/>
        </w:rPr>
      </w:pPr>
      <w:r w:rsidRPr="007D2AC6">
        <w:rPr>
          <w:lang w:val="fr-FR"/>
        </w:rPr>
        <w:t>Le projet a été géré de façon extrêmement satisfaisan</w:t>
      </w:r>
      <w:r w:rsidR="001B6E2D" w:rsidRPr="007D2AC6">
        <w:rPr>
          <w:lang w:val="fr-FR"/>
        </w:rPr>
        <w:t>te.  On</w:t>
      </w:r>
      <w:r w:rsidRPr="007D2AC6">
        <w:rPr>
          <w:lang w:val="fr-FR"/>
        </w:rPr>
        <w:t>t contribué à ce résultat</w:t>
      </w:r>
      <w:r w:rsidR="002A5696" w:rsidRPr="007D2AC6">
        <w:rPr>
          <w:lang w:val="fr-FR"/>
        </w:rPr>
        <w:t> :</w:t>
      </w:r>
    </w:p>
    <w:p w14:paraId="2EEE44BC" w14:textId="45DB28E9" w:rsidR="00EE2E6E" w:rsidRPr="007D2AC6" w:rsidRDefault="00972890" w:rsidP="008139DE">
      <w:pPr>
        <w:pStyle w:val="ONUMFS"/>
        <w:numPr>
          <w:ilvl w:val="1"/>
          <w:numId w:val="40"/>
        </w:numPr>
        <w:rPr>
          <w:lang w:val="fr-FR"/>
        </w:rPr>
      </w:pPr>
      <w:r w:rsidRPr="007D2AC6">
        <w:rPr>
          <w:lang w:val="fr-FR"/>
        </w:rPr>
        <w:t>L</w:t>
      </w:r>
      <w:r w:rsidR="00EE2E6E" w:rsidRPr="007D2AC6">
        <w:rPr>
          <w:lang w:val="fr-FR"/>
        </w:rPr>
        <w:t>e recrutement d</w:t>
      </w:r>
      <w:r w:rsidR="002A5696" w:rsidRPr="007D2AC6">
        <w:rPr>
          <w:lang w:val="fr-FR"/>
        </w:rPr>
        <w:t>’</w:t>
      </w:r>
      <w:r w:rsidR="00EE2E6E" w:rsidRPr="007D2AC6">
        <w:rPr>
          <w:lang w:val="fr-FR"/>
        </w:rPr>
        <w:t>une spécialiste de la coopération technique en qualité d</w:t>
      </w:r>
      <w:r w:rsidR="002A5696" w:rsidRPr="007D2AC6">
        <w:rPr>
          <w:lang w:val="fr-FR"/>
        </w:rPr>
        <w:t>’</w:t>
      </w:r>
      <w:r w:rsidR="00EE2E6E" w:rsidRPr="007D2AC6">
        <w:rPr>
          <w:lang w:val="fr-FR"/>
        </w:rPr>
        <w:t>administratrice du projet, employée à plein temps et chargée de l</w:t>
      </w:r>
      <w:r w:rsidR="002A5696" w:rsidRPr="007D2AC6">
        <w:rPr>
          <w:lang w:val="fr-FR"/>
        </w:rPr>
        <w:t>’</w:t>
      </w:r>
      <w:r w:rsidR="00EE2E6E" w:rsidRPr="007D2AC6">
        <w:rPr>
          <w:lang w:val="fr-FR"/>
        </w:rPr>
        <w:t>exécution courante du proj</w:t>
      </w:r>
      <w:r w:rsidR="001B6E2D" w:rsidRPr="007D2AC6">
        <w:rPr>
          <w:lang w:val="fr-FR"/>
        </w:rPr>
        <w:t>et.  L’i</w:t>
      </w:r>
      <w:r w:rsidR="00EE2E6E" w:rsidRPr="007D2AC6">
        <w:rPr>
          <w:lang w:val="fr-FR"/>
        </w:rPr>
        <w:t>nconvénient de la délégation de la gestion courante à une administratrice temporaire du projet est qu</w:t>
      </w:r>
      <w:r w:rsidR="002A5696" w:rsidRPr="007D2AC6">
        <w:rPr>
          <w:lang w:val="fr-FR"/>
        </w:rPr>
        <w:t>’</w:t>
      </w:r>
      <w:r w:rsidR="00EE2E6E" w:rsidRPr="007D2AC6">
        <w:rPr>
          <w:lang w:val="fr-FR"/>
        </w:rPr>
        <w:t>après son départ, l</w:t>
      </w:r>
      <w:r w:rsidR="002A5696" w:rsidRPr="007D2AC6">
        <w:rPr>
          <w:lang w:val="fr-FR"/>
        </w:rPr>
        <w:t>’</w:t>
      </w:r>
      <w:r w:rsidR="00EE2E6E" w:rsidRPr="007D2AC6">
        <w:rPr>
          <w:lang w:val="fr-FR"/>
        </w:rPr>
        <w:t>OMPI risque de perdr</w:t>
      </w:r>
      <w:r w:rsidRPr="007D2AC6">
        <w:rPr>
          <w:lang w:val="fr-FR"/>
        </w:rPr>
        <w:t>e une partie des savoirs acquis.</w:t>
      </w:r>
    </w:p>
    <w:p w14:paraId="6019D784" w14:textId="64ADF9CB" w:rsidR="00EE2E6E" w:rsidRPr="007D2AC6" w:rsidRDefault="00EE2E6E" w:rsidP="008139DE">
      <w:pPr>
        <w:pStyle w:val="ONUMFS"/>
        <w:numPr>
          <w:ilvl w:val="1"/>
          <w:numId w:val="40"/>
        </w:numPr>
        <w:rPr>
          <w:lang w:val="fr-FR"/>
        </w:rPr>
      </w:pPr>
      <w:r w:rsidRPr="007D2AC6">
        <w:rPr>
          <w:lang w:val="fr-FR"/>
        </w:rPr>
        <w:lastRenderedPageBreak/>
        <w:t xml:space="preserve">La mise en place de comités de pilotage du projet </w:t>
      </w:r>
      <w:r w:rsidR="00853937" w:rsidRPr="007D2AC6">
        <w:rPr>
          <w:lang w:val="fr-FR"/>
        </w:rPr>
        <w:t>(</w:t>
      </w:r>
      <w:r w:rsidRPr="007D2AC6">
        <w:rPr>
          <w:lang w:val="fr-FR"/>
        </w:rPr>
        <w:t>au niveau stratégique) et d</w:t>
      </w:r>
      <w:r w:rsidR="002A5696" w:rsidRPr="007D2AC6">
        <w:rPr>
          <w:lang w:val="fr-FR"/>
        </w:rPr>
        <w:t>’</w:t>
      </w:r>
      <w:r w:rsidRPr="007D2AC6">
        <w:rPr>
          <w:lang w:val="fr-FR"/>
        </w:rPr>
        <w:t xml:space="preserve">équipes spéciales chargées du projet </w:t>
      </w:r>
      <w:r w:rsidR="00853937" w:rsidRPr="007D2AC6">
        <w:rPr>
          <w:lang w:val="fr-FR"/>
        </w:rPr>
        <w:t>(</w:t>
      </w:r>
      <w:r w:rsidRPr="007D2AC6">
        <w:rPr>
          <w:lang w:val="fr-FR"/>
        </w:rPr>
        <w:t>sur le plan opérationnel) au niveau des offices de propriété intellectuelle bénéficiaires, qui ont tous deux</w:t>
      </w:r>
      <w:r w:rsidR="009F77AF" w:rsidRPr="007D2AC6">
        <w:rPr>
          <w:lang w:val="fr-FR"/>
        </w:rPr>
        <w:t> </w:t>
      </w:r>
      <w:r w:rsidRPr="007D2AC6">
        <w:rPr>
          <w:lang w:val="fr-FR"/>
        </w:rPr>
        <w:t>beaucoup contribué à l</w:t>
      </w:r>
      <w:r w:rsidR="002A5696" w:rsidRPr="007D2AC6">
        <w:rPr>
          <w:lang w:val="fr-FR"/>
        </w:rPr>
        <w:t>’</w:t>
      </w:r>
      <w:r w:rsidRPr="007D2AC6">
        <w:rPr>
          <w:lang w:val="fr-FR"/>
        </w:rPr>
        <w:t>exécution du projet.</w:t>
      </w:r>
    </w:p>
    <w:p w14:paraId="3BD8326D" w14:textId="4D1A2DF7" w:rsidR="00EE2E6E" w:rsidRPr="007D2AC6" w:rsidRDefault="00EE2E6E" w:rsidP="008139DE">
      <w:pPr>
        <w:pStyle w:val="ONUMFS"/>
        <w:numPr>
          <w:ilvl w:val="1"/>
          <w:numId w:val="40"/>
        </w:numPr>
        <w:rPr>
          <w:lang w:val="fr-FR"/>
        </w:rPr>
      </w:pPr>
      <w:r w:rsidRPr="007D2AC6">
        <w:rPr>
          <w:lang w:val="fr-FR"/>
        </w:rPr>
        <w:t xml:space="preserve">Une phase de démarrage approfondie visant à mettre en œuvre le projet, qui a débouché sur un accord clair </w:t>
      </w:r>
      <w:r w:rsidR="00CE659F" w:rsidRPr="007D2AC6">
        <w:rPr>
          <w:lang w:val="fr-FR"/>
        </w:rPr>
        <w:t xml:space="preserve">passé </w:t>
      </w:r>
      <w:r w:rsidRPr="007D2AC6">
        <w:rPr>
          <w:lang w:val="fr-FR"/>
        </w:rPr>
        <w:t>entre le Secrétariat et les comités de pilotage du projet des organismes chefs de file</w:t>
      </w:r>
      <w:r w:rsidR="00CE659F" w:rsidRPr="007D2AC6">
        <w:rPr>
          <w:lang w:val="fr-FR"/>
        </w:rPr>
        <w:t xml:space="preserve"> et </w:t>
      </w:r>
      <w:r w:rsidRPr="007D2AC6">
        <w:rPr>
          <w:lang w:val="fr-FR"/>
        </w:rPr>
        <w:t xml:space="preserve">concernant un </w:t>
      </w:r>
      <w:r w:rsidR="009F77AF" w:rsidRPr="007D2AC6">
        <w:rPr>
          <w:lang w:val="fr-FR"/>
        </w:rPr>
        <w:t>“</w:t>
      </w:r>
      <w:r w:rsidR="00CE659F" w:rsidRPr="007D2AC6">
        <w:rPr>
          <w:lang w:val="fr-FR"/>
        </w:rPr>
        <w:t>rapport relatif à l</w:t>
      </w:r>
      <w:r w:rsidR="002A5696" w:rsidRPr="007D2AC6">
        <w:rPr>
          <w:lang w:val="fr-FR"/>
        </w:rPr>
        <w:t>’</w:t>
      </w:r>
      <w:r w:rsidR="00CE659F" w:rsidRPr="007D2AC6">
        <w:rPr>
          <w:lang w:val="fr-FR"/>
        </w:rPr>
        <w:t>énoncé du contenu du projet</w:t>
      </w:r>
      <w:r w:rsidR="009F77AF" w:rsidRPr="007D2AC6">
        <w:rPr>
          <w:lang w:val="fr-FR"/>
        </w:rPr>
        <w:t>”</w:t>
      </w:r>
      <w:r w:rsidR="00CE659F" w:rsidRPr="007D2AC6">
        <w:rPr>
          <w:rStyle w:val="FootnoteReference"/>
          <w:lang w:val="fr-FR"/>
        </w:rPr>
        <w:footnoteReference w:id="22"/>
      </w:r>
      <w:r w:rsidR="00CE659F" w:rsidRPr="007D2AC6">
        <w:rPr>
          <w:lang w:val="fr-FR"/>
        </w:rPr>
        <w:t xml:space="preserve">. </w:t>
      </w:r>
      <w:r w:rsidR="00E45BFC" w:rsidRPr="007D2AC6">
        <w:rPr>
          <w:lang w:val="fr-FR"/>
        </w:rPr>
        <w:t xml:space="preserve"> </w:t>
      </w:r>
      <w:r w:rsidR="00CE659F" w:rsidRPr="007D2AC6">
        <w:rPr>
          <w:lang w:val="fr-FR"/>
        </w:rPr>
        <w:t>Ce rapport énonçait les responsabilités particulières de toutes les parties concernées.</w:t>
      </w:r>
    </w:p>
    <w:p w14:paraId="1A4E5D45" w14:textId="77777777" w:rsidR="00E45BFC" w:rsidRPr="007D2AC6" w:rsidRDefault="00E45BFC" w:rsidP="008139DE">
      <w:pPr>
        <w:pStyle w:val="ONUMFS"/>
        <w:numPr>
          <w:ilvl w:val="1"/>
          <w:numId w:val="40"/>
        </w:numPr>
        <w:rPr>
          <w:lang w:val="fr-FR"/>
        </w:rPr>
      </w:pPr>
      <w:r w:rsidRPr="007D2AC6">
        <w:rPr>
          <w:lang w:val="fr-FR"/>
        </w:rPr>
        <w:t>Une planification opérationnelle détaillée, régulièrement mise à jour en étroite coordination entre le Secrétariat et les offices de propriété intellectuelle bénéficiaires.</w:t>
      </w:r>
    </w:p>
    <w:p w14:paraId="3A5B8A9C" w14:textId="2C332AE5" w:rsidR="0059687A" w:rsidRPr="007D2AC6" w:rsidRDefault="00E45BFC" w:rsidP="008139DE">
      <w:pPr>
        <w:pStyle w:val="ONUMFS"/>
        <w:numPr>
          <w:ilvl w:val="1"/>
          <w:numId w:val="40"/>
        </w:numPr>
        <w:rPr>
          <w:lang w:val="fr-FR"/>
        </w:rPr>
      </w:pPr>
      <w:r w:rsidRPr="007D2AC6">
        <w:rPr>
          <w:lang w:val="fr-FR"/>
        </w:rPr>
        <w:t>La sélection d</w:t>
      </w:r>
      <w:r w:rsidR="002A5696" w:rsidRPr="007D2AC6">
        <w:rPr>
          <w:lang w:val="fr-FR"/>
        </w:rPr>
        <w:t>’</w:t>
      </w:r>
      <w:r w:rsidRPr="007D2AC6">
        <w:rPr>
          <w:lang w:val="fr-FR"/>
        </w:rPr>
        <w:t xml:space="preserve">experts nationaux qualifiés </w:t>
      </w:r>
      <w:r w:rsidR="00853937" w:rsidRPr="007D2AC6">
        <w:rPr>
          <w:lang w:val="fr-FR"/>
        </w:rPr>
        <w:t>(</w:t>
      </w:r>
      <w:r w:rsidRPr="007D2AC6">
        <w:rPr>
          <w:lang w:val="fr-FR"/>
        </w:rPr>
        <w:t>deux équipes nationales de huit</w:t>
      </w:r>
      <w:r w:rsidR="009F77AF" w:rsidRPr="007D2AC6">
        <w:rPr>
          <w:lang w:val="fr-FR"/>
        </w:rPr>
        <w:t> </w:t>
      </w:r>
      <w:r w:rsidRPr="007D2AC6">
        <w:rPr>
          <w:lang w:val="fr-FR"/>
        </w:rPr>
        <w:t>experts spécialisés dans les dessins et modèles et la propriété intellectuelle, chargés de perfectionner des outils de diagnostic et de formation et d</w:t>
      </w:r>
      <w:r w:rsidR="002A5696" w:rsidRPr="007D2AC6">
        <w:rPr>
          <w:lang w:val="fr-FR"/>
        </w:rPr>
        <w:t>’</w:t>
      </w:r>
      <w:r w:rsidRPr="007D2AC6">
        <w:rPr>
          <w:lang w:val="fr-FR"/>
        </w:rPr>
        <w:t>élaborer des stratégies de protection des dessin</w:t>
      </w:r>
      <w:r w:rsidR="00252DB3" w:rsidRPr="007D2AC6">
        <w:rPr>
          <w:lang w:val="fr-FR"/>
        </w:rPr>
        <w:t xml:space="preserve">s </w:t>
      </w:r>
      <w:r w:rsidRPr="007D2AC6">
        <w:rPr>
          <w:lang w:val="fr-FR"/>
        </w:rPr>
        <w:t>et modèles adaptées aux entreprises).</w:t>
      </w:r>
    </w:p>
    <w:p w14:paraId="70F69F64" w14:textId="16464C3C" w:rsidR="00E45BFC" w:rsidRPr="007D2AC6" w:rsidRDefault="00E45BFC" w:rsidP="008139DE">
      <w:pPr>
        <w:pStyle w:val="ONUMFS"/>
        <w:rPr>
          <w:lang w:val="fr-FR"/>
        </w:rPr>
      </w:pPr>
      <w:r w:rsidRPr="007D2AC6">
        <w:rPr>
          <w:lang w:val="fr-FR"/>
        </w:rPr>
        <w:t>Au lieu de présenter simplement un rapport de mise en œuvre à mi</w:t>
      </w:r>
      <w:r w:rsidR="00B57560" w:rsidRPr="007D2AC6">
        <w:rPr>
          <w:lang w:val="fr-FR"/>
        </w:rPr>
        <w:noBreakHyphen/>
      </w:r>
      <w:r w:rsidRPr="007D2AC6">
        <w:rPr>
          <w:lang w:val="fr-FR"/>
        </w:rPr>
        <w:t>parcours, à l</w:t>
      </w:r>
      <w:r w:rsidR="002A5696" w:rsidRPr="007D2AC6">
        <w:rPr>
          <w:lang w:val="fr-FR"/>
        </w:rPr>
        <w:t>’</w:t>
      </w:r>
      <w:r w:rsidRPr="007D2AC6">
        <w:rPr>
          <w:lang w:val="fr-FR"/>
        </w:rPr>
        <w:t>aide du code d</w:t>
      </w:r>
      <w:r w:rsidR="002A5696" w:rsidRPr="007D2AC6">
        <w:rPr>
          <w:lang w:val="fr-FR"/>
        </w:rPr>
        <w:t>’</w:t>
      </w:r>
      <w:r w:rsidRPr="007D2AC6">
        <w:rPr>
          <w:lang w:val="fr-FR"/>
        </w:rPr>
        <w:t>évaluation fourni dans le modèle de présentation de rapports de l</w:t>
      </w:r>
      <w:r w:rsidR="002A5696" w:rsidRPr="007D2AC6">
        <w:rPr>
          <w:lang w:val="fr-FR"/>
        </w:rPr>
        <w:t>’</w:t>
      </w:r>
      <w:r w:rsidRPr="007D2AC6">
        <w:rPr>
          <w:lang w:val="fr-FR"/>
        </w:rPr>
        <w:t>OMPI, l</w:t>
      </w:r>
      <w:r w:rsidR="002A5696" w:rsidRPr="007D2AC6">
        <w:rPr>
          <w:lang w:val="fr-FR"/>
        </w:rPr>
        <w:t>’</w:t>
      </w:r>
      <w:r w:rsidRPr="007D2AC6">
        <w:rPr>
          <w:lang w:val="fr-FR"/>
        </w:rPr>
        <w:t>équipe chargée du projet a effectué un examen interne à mi</w:t>
      </w:r>
      <w:r w:rsidR="00B57560" w:rsidRPr="007D2AC6">
        <w:rPr>
          <w:lang w:val="fr-FR"/>
        </w:rPr>
        <w:noBreakHyphen/>
      </w:r>
      <w:r w:rsidRPr="007D2AC6">
        <w:rPr>
          <w:lang w:val="fr-FR"/>
        </w:rPr>
        <w:t>parcours</w:t>
      </w:r>
      <w:r w:rsidR="00796C9B" w:rsidRPr="007D2AC6">
        <w:rPr>
          <w:lang w:val="fr-FR"/>
        </w:rPr>
        <w:t xml:space="preserve"> exhaustif</w:t>
      </w:r>
      <w:r w:rsidRPr="007D2AC6">
        <w:rPr>
          <w:lang w:val="fr-FR"/>
        </w:rPr>
        <w:t>, approfondi et de grande quali</w:t>
      </w:r>
      <w:r w:rsidR="001B6E2D" w:rsidRPr="007D2AC6">
        <w:rPr>
          <w:lang w:val="fr-FR"/>
        </w:rPr>
        <w:t>té.  Le</w:t>
      </w:r>
      <w:r w:rsidRPr="007D2AC6">
        <w:rPr>
          <w:lang w:val="fr-FR"/>
        </w:rPr>
        <w:t xml:space="preserve"> travail effectué est aussi complet, approfondi et rationnel sur le plan méthodologique qu</w:t>
      </w:r>
      <w:r w:rsidR="002A5696" w:rsidRPr="007D2AC6">
        <w:rPr>
          <w:lang w:val="fr-FR"/>
        </w:rPr>
        <w:t>’</w:t>
      </w:r>
      <w:r w:rsidRPr="007D2AC6">
        <w:rPr>
          <w:lang w:val="fr-FR"/>
        </w:rPr>
        <w:t>on peut l</w:t>
      </w:r>
      <w:r w:rsidR="002A5696" w:rsidRPr="007D2AC6">
        <w:rPr>
          <w:lang w:val="fr-FR"/>
        </w:rPr>
        <w:t>’</w:t>
      </w:r>
      <w:r w:rsidRPr="007D2AC6">
        <w:rPr>
          <w:lang w:val="fr-FR"/>
        </w:rPr>
        <w:t>attendre de la part d</w:t>
      </w:r>
      <w:r w:rsidR="002A5696" w:rsidRPr="007D2AC6">
        <w:rPr>
          <w:lang w:val="fr-FR"/>
        </w:rPr>
        <w:t>’</w:t>
      </w:r>
      <w:r w:rsidRPr="007D2AC6">
        <w:rPr>
          <w:lang w:val="fr-FR"/>
        </w:rPr>
        <w:t>un évaluateur exter</w:t>
      </w:r>
      <w:r w:rsidR="001B6E2D" w:rsidRPr="007D2AC6">
        <w:rPr>
          <w:lang w:val="fr-FR"/>
        </w:rPr>
        <w:t>ne.  Le</w:t>
      </w:r>
      <w:r w:rsidRPr="007D2AC6">
        <w:rPr>
          <w:lang w:val="fr-FR"/>
        </w:rPr>
        <w:t>s enseignements tirés ont été extrêmement util</w:t>
      </w:r>
      <w:r w:rsidR="001B6E2D" w:rsidRPr="007D2AC6">
        <w:rPr>
          <w:lang w:val="fr-FR"/>
        </w:rPr>
        <w:t>es.  La</w:t>
      </w:r>
      <w:r w:rsidRPr="007D2AC6">
        <w:rPr>
          <w:lang w:val="fr-FR"/>
        </w:rPr>
        <w:t xml:space="preserve"> réalisation de ce type d</w:t>
      </w:r>
      <w:r w:rsidR="002A5696" w:rsidRPr="007D2AC6">
        <w:rPr>
          <w:lang w:val="fr-FR"/>
        </w:rPr>
        <w:t>’</w:t>
      </w:r>
      <w:r w:rsidRPr="007D2AC6">
        <w:rPr>
          <w:lang w:val="fr-FR"/>
        </w:rPr>
        <w:t>examen approfondi demande une expertise en matière de gestion du cycle de projet et du temps, ce dont disposent peu de chefs de projet exerçant à plein temps d</w:t>
      </w:r>
      <w:r w:rsidR="002A5696" w:rsidRPr="007D2AC6">
        <w:rPr>
          <w:lang w:val="fr-FR"/>
        </w:rPr>
        <w:t>’</w:t>
      </w:r>
      <w:r w:rsidRPr="007D2AC6">
        <w:rPr>
          <w:lang w:val="fr-FR"/>
        </w:rPr>
        <w:t>autres fonctions au sein du Secrétariat.</w:t>
      </w:r>
    </w:p>
    <w:p w14:paraId="4F59CA5F" w14:textId="7C85B915" w:rsidR="00E45BFC" w:rsidRPr="007D2AC6" w:rsidRDefault="00E45BFC" w:rsidP="008139DE">
      <w:pPr>
        <w:pStyle w:val="ONUMFS"/>
        <w:rPr>
          <w:lang w:val="fr-FR"/>
        </w:rPr>
      </w:pPr>
      <w:r w:rsidRPr="007D2AC6">
        <w:rPr>
          <w:lang w:val="fr-FR"/>
        </w:rPr>
        <w:t>Les rapports présentés à la Division de la coordination du Plan d</w:t>
      </w:r>
      <w:r w:rsidR="002A5696" w:rsidRPr="007D2AC6">
        <w:rPr>
          <w:lang w:val="fr-FR"/>
        </w:rPr>
        <w:t>’</w:t>
      </w:r>
      <w:r w:rsidRPr="007D2AC6">
        <w:rPr>
          <w:lang w:val="fr-FR"/>
        </w:rPr>
        <w:t xml:space="preserve">action pour le développement </w:t>
      </w:r>
      <w:r w:rsidR="00853937" w:rsidRPr="007D2AC6">
        <w:rPr>
          <w:lang w:val="fr-FR"/>
        </w:rPr>
        <w:t>(</w:t>
      </w:r>
      <w:r w:rsidRPr="007D2AC6">
        <w:rPr>
          <w:lang w:val="fr-FR"/>
        </w:rPr>
        <w:t>en interne) et</w:t>
      </w:r>
      <w:r w:rsidR="002A5696" w:rsidRPr="007D2AC6">
        <w:rPr>
          <w:lang w:val="fr-FR"/>
        </w:rPr>
        <w:t xml:space="preserve"> au </w:t>
      </w:r>
      <w:proofErr w:type="spellStart"/>
      <w:r w:rsidR="002A5696" w:rsidRPr="007D2AC6">
        <w:rPr>
          <w:lang w:val="fr-FR"/>
        </w:rPr>
        <w:t>CDI</w:t>
      </w:r>
      <w:r w:rsidRPr="007D2AC6">
        <w:rPr>
          <w:lang w:val="fr-FR"/>
        </w:rPr>
        <w:t>P</w:t>
      </w:r>
      <w:proofErr w:type="spellEnd"/>
      <w:r w:rsidRPr="007D2AC6">
        <w:rPr>
          <w:lang w:val="fr-FR"/>
        </w:rPr>
        <w:t xml:space="preserve"> </w:t>
      </w:r>
      <w:r w:rsidR="00853937" w:rsidRPr="007D2AC6">
        <w:rPr>
          <w:lang w:val="fr-FR"/>
        </w:rPr>
        <w:t>(</w:t>
      </w:r>
      <w:r w:rsidRPr="007D2AC6">
        <w:rPr>
          <w:lang w:val="fr-FR"/>
        </w:rPr>
        <w:t>aux États membres) étaient exhaustifs, exacts et clairs.</w:t>
      </w:r>
    </w:p>
    <w:p w14:paraId="64191647" w14:textId="1D334BF0" w:rsidR="002A5696" w:rsidRPr="007D2AC6" w:rsidRDefault="00E45BFC" w:rsidP="008139DE">
      <w:pPr>
        <w:pStyle w:val="ONUMFS"/>
        <w:rPr>
          <w:lang w:val="fr-FR"/>
        </w:rPr>
      </w:pPr>
      <w:r w:rsidRPr="007D2AC6">
        <w:rPr>
          <w:lang w:val="fr-FR"/>
        </w:rPr>
        <w:t xml:space="preserve">Tous les bénéficiaires interrogés ont souligné la bonne coopération établie avec le Secrétariat et la direction du projet, </w:t>
      </w:r>
      <w:r w:rsidR="002A5696" w:rsidRPr="007D2AC6">
        <w:rPr>
          <w:lang w:val="fr-FR"/>
        </w:rPr>
        <w:t>y compris</w:t>
      </w:r>
      <w:r w:rsidR="007622DC" w:rsidRPr="007D2AC6">
        <w:rPr>
          <w:lang w:val="fr-FR"/>
        </w:rPr>
        <w:t xml:space="preserve"> la réactivité de l</w:t>
      </w:r>
      <w:r w:rsidR="002A5696" w:rsidRPr="007D2AC6">
        <w:rPr>
          <w:lang w:val="fr-FR"/>
        </w:rPr>
        <w:t>’</w:t>
      </w:r>
      <w:r w:rsidR="007622DC" w:rsidRPr="007D2AC6">
        <w:rPr>
          <w:lang w:val="fr-FR"/>
        </w:rPr>
        <w:t>équipe chargée du projet à leurs besoins.</w:t>
      </w:r>
    </w:p>
    <w:p w14:paraId="0872331C" w14:textId="2920A2FA" w:rsidR="0059687A" w:rsidRPr="007D2AC6" w:rsidRDefault="00DE7E50" w:rsidP="00DE7E50">
      <w:pPr>
        <w:pStyle w:val="Heading2"/>
        <w:rPr>
          <w:lang w:val="fr-FR"/>
        </w:rPr>
      </w:pPr>
      <w:bookmarkStart w:id="20" w:name="_Toc478372745"/>
      <w:r w:rsidRPr="007D2AC6">
        <w:rPr>
          <w:lang w:val="fr-FR"/>
        </w:rPr>
        <w:t>B)</w:t>
      </w:r>
      <w:r w:rsidRPr="007D2AC6">
        <w:rPr>
          <w:lang w:val="fr-FR"/>
        </w:rPr>
        <w:tab/>
        <w:t>Pertinence</w:t>
      </w:r>
      <w:bookmarkEnd w:id="20"/>
    </w:p>
    <w:p w14:paraId="201F6276" w14:textId="77777777" w:rsidR="0059687A" w:rsidRPr="007D2AC6" w:rsidRDefault="0059687A" w:rsidP="008139DE">
      <w:pPr>
        <w:rPr>
          <w:lang w:val="fr-FR"/>
        </w:rPr>
      </w:pPr>
    </w:p>
    <w:p w14:paraId="7A292814" w14:textId="2EC820DD" w:rsidR="0059687A" w:rsidRPr="007D2AC6" w:rsidRDefault="008F30EA" w:rsidP="008139DE">
      <w:pPr>
        <w:pStyle w:val="ONUMFS"/>
        <w:rPr>
          <w:lang w:val="fr-FR"/>
        </w:rPr>
      </w:pPr>
      <w:r w:rsidRPr="007D2AC6">
        <w:rPr>
          <w:lang w:val="fr-FR"/>
        </w:rPr>
        <w:t>L</w:t>
      </w:r>
      <w:r w:rsidR="002A5696" w:rsidRPr="007D2AC6">
        <w:rPr>
          <w:lang w:val="fr-FR"/>
        </w:rPr>
        <w:t>’</w:t>
      </w:r>
      <w:r w:rsidRPr="007D2AC6">
        <w:rPr>
          <w:lang w:val="fr-FR"/>
        </w:rPr>
        <w:t>évaluation de la pertinence permet de savoir dans quelle mesure les objectifs du projet répondaient aux exigences des bénéficiaires, aux besoins des pays membres, aux priorités mondiales et aux politiques de l</w:t>
      </w:r>
      <w:r w:rsidR="002A5696" w:rsidRPr="007D2AC6">
        <w:rPr>
          <w:lang w:val="fr-FR"/>
        </w:rPr>
        <w:t>’</w:t>
      </w:r>
      <w:r w:rsidRPr="007D2AC6">
        <w:rPr>
          <w:lang w:val="fr-FR"/>
        </w:rPr>
        <w:t>OMPI</w:t>
      </w:r>
      <w:r w:rsidR="004B2AB7" w:rsidRPr="007D2AC6">
        <w:rPr>
          <w:lang w:val="fr-FR"/>
        </w:rPr>
        <w:t>.</w:t>
      </w:r>
    </w:p>
    <w:p w14:paraId="710341FB" w14:textId="6847C5DA" w:rsidR="0059687A" w:rsidRPr="007D2AC6" w:rsidRDefault="00DE7E50" w:rsidP="004D11AE">
      <w:pPr>
        <w:pStyle w:val="Heading3"/>
        <w:numPr>
          <w:ilvl w:val="0"/>
          <w:numId w:val="46"/>
        </w:numPr>
        <w:ind w:left="1701" w:hanging="567"/>
        <w:rPr>
          <w:color w:val="auto"/>
        </w:rPr>
      </w:pPr>
      <w:bookmarkStart w:id="21" w:name="_Toc478372746"/>
      <w:r w:rsidRPr="007D2AC6">
        <w:rPr>
          <w:color w:val="auto"/>
        </w:rPr>
        <w:t>Pertinence générale</w:t>
      </w:r>
      <w:bookmarkEnd w:id="21"/>
    </w:p>
    <w:p w14:paraId="2507312C" w14:textId="77777777" w:rsidR="0059687A" w:rsidRPr="007D2AC6" w:rsidRDefault="0059687A" w:rsidP="00F1587E">
      <w:pPr>
        <w:rPr>
          <w:lang w:val="fr-FR"/>
        </w:rPr>
      </w:pPr>
    </w:p>
    <w:p w14:paraId="6E5F8041" w14:textId="1984250A" w:rsidR="008F30EA" w:rsidRPr="007D2AC6" w:rsidRDefault="008F30EA" w:rsidP="00F1587E">
      <w:pPr>
        <w:pStyle w:val="ONUMFS"/>
        <w:rPr>
          <w:lang w:val="fr-FR"/>
        </w:rPr>
      </w:pPr>
      <w:r w:rsidRPr="007D2AC6">
        <w:rPr>
          <w:lang w:val="fr-FR"/>
        </w:rPr>
        <w:t xml:space="preserve">Le </w:t>
      </w:r>
      <w:proofErr w:type="spellStart"/>
      <w:r w:rsidRPr="007D2AC6">
        <w:rPr>
          <w:lang w:val="fr-FR"/>
        </w:rPr>
        <w:t>CDIP</w:t>
      </w:r>
      <w:proofErr w:type="spellEnd"/>
      <w:r w:rsidRPr="007D2AC6">
        <w:rPr>
          <w:lang w:val="fr-FR"/>
        </w:rPr>
        <w:t xml:space="preserve"> a approuvé le projet par consensus, ce qui témoigne de la pertinence de la politique stratégique aux yeux des États membr</w:t>
      </w:r>
      <w:r w:rsidR="001B6E2D" w:rsidRPr="007D2AC6">
        <w:rPr>
          <w:lang w:val="fr-FR"/>
        </w:rPr>
        <w:t>es.  Le</w:t>
      </w:r>
      <w:r w:rsidRPr="007D2AC6">
        <w:rPr>
          <w:lang w:val="fr-FR"/>
        </w:rPr>
        <w:t xml:space="preserve"> projet visait à démontrer les avantages de l</w:t>
      </w:r>
      <w:r w:rsidR="002A5696" w:rsidRPr="007D2AC6">
        <w:rPr>
          <w:lang w:val="fr-FR"/>
        </w:rPr>
        <w:t>’</w:t>
      </w:r>
      <w:r w:rsidRPr="007D2AC6">
        <w:rPr>
          <w:lang w:val="fr-FR"/>
        </w:rPr>
        <w:t>assistance apportée aux titulaires de droits soucieux de protéger et valoriser leurs dessins et modèl</w:t>
      </w:r>
      <w:r w:rsidR="001B6E2D" w:rsidRPr="007D2AC6">
        <w:rPr>
          <w:lang w:val="fr-FR"/>
        </w:rPr>
        <w:t>es.  L’i</w:t>
      </w:r>
      <w:r w:rsidRPr="007D2AC6">
        <w:rPr>
          <w:lang w:val="fr-FR"/>
        </w:rPr>
        <w:t>dée n</w:t>
      </w:r>
      <w:r w:rsidR="002A5696" w:rsidRPr="007D2AC6">
        <w:rPr>
          <w:lang w:val="fr-FR"/>
        </w:rPr>
        <w:t>’</w:t>
      </w:r>
      <w:r w:rsidRPr="007D2AC6">
        <w:rPr>
          <w:lang w:val="fr-FR"/>
        </w:rPr>
        <w:t>était pas d</w:t>
      </w:r>
      <w:r w:rsidR="002A5696" w:rsidRPr="007D2AC6">
        <w:rPr>
          <w:lang w:val="fr-FR"/>
        </w:rPr>
        <w:t>’</w:t>
      </w:r>
      <w:r w:rsidRPr="007D2AC6">
        <w:rPr>
          <w:lang w:val="fr-FR"/>
        </w:rPr>
        <w:t>apporter un soutien global en faveur du développement du secteur des dessins et modèles</w:t>
      </w:r>
      <w:r w:rsidR="000B15E1" w:rsidRPr="007D2AC6">
        <w:rPr>
          <w:lang w:val="fr-FR"/>
        </w:rPr>
        <w:t>, ce qui aurait dépassé le mandat de l</w:t>
      </w:r>
      <w:r w:rsidR="002A5696" w:rsidRPr="007D2AC6">
        <w:rPr>
          <w:lang w:val="fr-FR"/>
        </w:rPr>
        <w:t>’</w:t>
      </w:r>
      <w:r w:rsidR="000B15E1" w:rsidRPr="007D2AC6">
        <w:rPr>
          <w:lang w:val="fr-FR"/>
        </w:rPr>
        <w:t>OMPI.</w:t>
      </w:r>
    </w:p>
    <w:p w14:paraId="785C4E4D" w14:textId="54E538EA" w:rsidR="002A5696" w:rsidRPr="007D2AC6" w:rsidRDefault="000B15E1" w:rsidP="00F1587E">
      <w:pPr>
        <w:pStyle w:val="ONUMFS"/>
        <w:rPr>
          <w:lang w:val="fr-FR"/>
        </w:rPr>
      </w:pPr>
      <w:r w:rsidRPr="007D2AC6">
        <w:rPr>
          <w:lang w:val="fr-FR"/>
        </w:rPr>
        <w:lastRenderedPageBreak/>
        <w:t>Les objectifs du projet sont bien alignés sur la quatrième recommandation du Plan d</w:t>
      </w:r>
      <w:r w:rsidR="002A5696" w:rsidRPr="007D2AC6">
        <w:rPr>
          <w:lang w:val="fr-FR"/>
        </w:rPr>
        <w:t>’</w:t>
      </w:r>
      <w:r w:rsidRPr="007D2AC6">
        <w:rPr>
          <w:lang w:val="fr-FR"/>
        </w:rPr>
        <w:t>action pour le développement, qui met l</w:t>
      </w:r>
      <w:r w:rsidR="002A5696" w:rsidRPr="007D2AC6">
        <w:rPr>
          <w:lang w:val="fr-FR"/>
        </w:rPr>
        <w:t>’</w:t>
      </w:r>
      <w:r w:rsidRPr="007D2AC6">
        <w:rPr>
          <w:lang w:val="fr-FR"/>
        </w:rPr>
        <w:t>accent sur l</w:t>
      </w:r>
      <w:r w:rsidR="002A5696" w:rsidRPr="007D2AC6">
        <w:rPr>
          <w:lang w:val="fr-FR"/>
        </w:rPr>
        <w:t>’</w:t>
      </w:r>
      <w:r w:rsidRPr="007D2AC6">
        <w:rPr>
          <w:lang w:val="fr-FR"/>
        </w:rPr>
        <w:t>adaptation de la coopération technique de l</w:t>
      </w:r>
      <w:r w:rsidR="002A5696" w:rsidRPr="007D2AC6">
        <w:rPr>
          <w:lang w:val="fr-FR"/>
        </w:rPr>
        <w:t>’</w:t>
      </w:r>
      <w:r w:rsidRPr="007D2AC6">
        <w:rPr>
          <w:lang w:val="fr-FR"/>
        </w:rPr>
        <w:t>OMPI aux besoins</w:t>
      </w:r>
      <w:r w:rsidR="002A5696" w:rsidRPr="007D2AC6">
        <w:rPr>
          <w:lang w:val="fr-FR"/>
        </w:rPr>
        <w:t xml:space="preserve"> des PME</w:t>
      </w:r>
      <w:r w:rsidRPr="007D2AC6">
        <w:rPr>
          <w:lang w:val="fr-FR"/>
        </w:rPr>
        <w:t>.  L</w:t>
      </w:r>
      <w:r w:rsidR="002A5696" w:rsidRPr="007D2AC6">
        <w:rPr>
          <w:lang w:val="fr-FR"/>
        </w:rPr>
        <w:t>’</w:t>
      </w:r>
      <w:r w:rsidRPr="007D2AC6">
        <w:rPr>
          <w:lang w:val="fr-FR"/>
        </w:rPr>
        <w:t>aide apportée par les deux</w:t>
      </w:r>
      <w:r w:rsidR="009F77AF" w:rsidRPr="007D2AC6">
        <w:rPr>
          <w:lang w:val="fr-FR"/>
        </w:rPr>
        <w:t> </w:t>
      </w:r>
      <w:r w:rsidRPr="007D2AC6">
        <w:rPr>
          <w:lang w:val="fr-FR"/>
        </w:rPr>
        <w:t>offices nationaux de propriété intellectuelle aux activités de sensibilisation et de renforcement des capacités répond bien à la dixième recommandation du Plan d</w:t>
      </w:r>
      <w:r w:rsidR="002A5696" w:rsidRPr="007D2AC6">
        <w:rPr>
          <w:lang w:val="fr-FR"/>
        </w:rPr>
        <w:t>’</w:t>
      </w:r>
      <w:r w:rsidRPr="007D2AC6">
        <w:rPr>
          <w:lang w:val="fr-FR"/>
        </w:rPr>
        <w:t>action pour le développement, qui met l</w:t>
      </w:r>
      <w:r w:rsidR="002A5696" w:rsidRPr="007D2AC6">
        <w:rPr>
          <w:lang w:val="fr-FR"/>
        </w:rPr>
        <w:t>’</w:t>
      </w:r>
      <w:r w:rsidRPr="007D2AC6">
        <w:rPr>
          <w:lang w:val="fr-FR"/>
        </w:rPr>
        <w:t>accent sur le renforcement des institutions nationales de</w:t>
      </w:r>
      <w:r w:rsidR="00A7131E" w:rsidRPr="007D2AC6">
        <w:rPr>
          <w:lang w:val="fr-FR"/>
        </w:rPr>
        <w:t xml:space="preserve"> propriété intellectuelle.</w:t>
      </w:r>
    </w:p>
    <w:p w14:paraId="3F6ED8EA" w14:textId="57AEB67E" w:rsidR="0059687A" w:rsidRPr="007D2AC6" w:rsidRDefault="00A7131E" w:rsidP="00F1587E">
      <w:pPr>
        <w:pStyle w:val="ONUMFS"/>
        <w:rPr>
          <w:lang w:val="fr-FR"/>
        </w:rPr>
      </w:pPr>
      <w:r w:rsidRPr="007D2AC6">
        <w:rPr>
          <w:lang w:val="fr-FR"/>
        </w:rPr>
        <w:t>Les objectif</w:t>
      </w:r>
      <w:r w:rsidR="00F24525" w:rsidRPr="007D2AC6">
        <w:rPr>
          <w:lang w:val="fr-FR"/>
        </w:rPr>
        <w:t xml:space="preserve">s </w:t>
      </w:r>
      <w:r w:rsidRPr="007D2AC6">
        <w:rPr>
          <w:lang w:val="fr-FR"/>
        </w:rPr>
        <w:t xml:space="preserve">du projet étaient conformes aux </w:t>
      </w:r>
      <w:r w:rsidR="00853937" w:rsidRPr="007D2AC6">
        <w:rPr>
          <w:lang w:val="fr-FR"/>
        </w:rPr>
        <w:t>o</w:t>
      </w:r>
      <w:r w:rsidRPr="007D2AC6">
        <w:rPr>
          <w:lang w:val="fr-FR"/>
        </w:rPr>
        <w:t>bjectifs stratégiques et programmes de l</w:t>
      </w:r>
      <w:r w:rsidR="002A5696" w:rsidRPr="007D2AC6">
        <w:rPr>
          <w:lang w:val="fr-FR"/>
        </w:rPr>
        <w:t>’</w:t>
      </w:r>
      <w:r w:rsidRPr="007D2AC6">
        <w:rPr>
          <w:lang w:val="fr-FR"/>
        </w:rPr>
        <w:t>OMPI</w:t>
      </w:r>
      <w:r w:rsidR="00171EAF" w:rsidRPr="007D2AC6">
        <w:rPr>
          <w:rStyle w:val="FootnoteReference"/>
          <w:lang w:val="fr-FR"/>
        </w:rPr>
        <w:footnoteReference w:id="23"/>
      </w:r>
      <w:r w:rsidR="00717481" w:rsidRPr="007D2AC6">
        <w:rPr>
          <w:lang w:val="fr-FR"/>
        </w:rPr>
        <w:t>.</w:t>
      </w:r>
    </w:p>
    <w:p w14:paraId="65A29B8D" w14:textId="4AC86E25" w:rsidR="0059687A" w:rsidRPr="007D2AC6" w:rsidRDefault="008A6CF1" w:rsidP="00F1587E">
      <w:pPr>
        <w:pStyle w:val="ONUMFS"/>
        <w:numPr>
          <w:ilvl w:val="1"/>
          <w:numId w:val="40"/>
        </w:numPr>
        <w:rPr>
          <w:lang w:val="fr-FR"/>
        </w:rPr>
      </w:pPr>
      <w:r w:rsidRPr="007D2AC6">
        <w:rPr>
          <w:lang w:val="fr-FR"/>
        </w:rPr>
        <w:t>Le p</w:t>
      </w:r>
      <w:r w:rsidR="00D13566" w:rsidRPr="007D2AC6">
        <w:rPr>
          <w:lang w:val="fr-FR"/>
        </w:rPr>
        <w:t>rojet contribu</w:t>
      </w:r>
      <w:r w:rsidRPr="007D2AC6">
        <w:rPr>
          <w:lang w:val="fr-FR"/>
        </w:rPr>
        <w:t>e au résultat</w:t>
      </w:r>
      <w:r w:rsidR="00D13566" w:rsidRPr="007D2AC6">
        <w:rPr>
          <w:lang w:val="fr-FR"/>
        </w:rPr>
        <w:t xml:space="preserve"> </w:t>
      </w:r>
      <w:r w:rsidRPr="007D2AC6">
        <w:rPr>
          <w:lang w:val="fr-FR"/>
        </w:rPr>
        <w:t>escompté</w:t>
      </w:r>
      <w:r w:rsidR="00B57560" w:rsidRPr="007D2AC6">
        <w:rPr>
          <w:lang w:val="fr-FR"/>
        </w:rPr>
        <w:t> </w:t>
      </w:r>
      <w:proofErr w:type="spellStart"/>
      <w:r w:rsidR="00D13566" w:rsidRPr="007D2AC6">
        <w:rPr>
          <w:lang w:val="fr-FR"/>
        </w:rPr>
        <w:t>III.2</w:t>
      </w:r>
      <w:proofErr w:type="spellEnd"/>
      <w:r w:rsidR="00D13566" w:rsidRPr="007D2AC6">
        <w:rPr>
          <w:lang w:val="fr-FR"/>
        </w:rPr>
        <w:t xml:space="preserve"> </w:t>
      </w:r>
      <w:r w:rsidRPr="007D2AC6">
        <w:rPr>
          <w:lang w:val="fr-FR"/>
        </w:rPr>
        <w:t>du</w:t>
      </w:r>
      <w:r w:rsidR="00B57560" w:rsidRPr="007D2AC6">
        <w:rPr>
          <w:lang w:val="fr-FR"/>
        </w:rPr>
        <w:t xml:space="preserve"> p</w:t>
      </w:r>
      <w:r w:rsidR="00D13566" w:rsidRPr="007D2AC6">
        <w:rPr>
          <w:lang w:val="fr-FR"/>
        </w:rPr>
        <w:t>rogram</w:t>
      </w:r>
      <w:r w:rsidRPr="007D2AC6">
        <w:rPr>
          <w:lang w:val="fr-FR"/>
        </w:rPr>
        <w:t>me et</w:t>
      </w:r>
      <w:r w:rsidR="00D13566" w:rsidRPr="007D2AC6">
        <w:rPr>
          <w:lang w:val="fr-FR"/>
        </w:rPr>
        <w:t xml:space="preserve"> Budget 2014</w:t>
      </w:r>
      <w:r w:rsidR="00B57560" w:rsidRPr="007D2AC6">
        <w:rPr>
          <w:lang w:val="fr-FR"/>
        </w:rPr>
        <w:noBreakHyphen/>
      </w:r>
      <w:r w:rsidR="00D13566" w:rsidRPr="007D2AC6">
        <w:rPr>
          <w:lang w:val="fr-FR"/>
        </w:rPr>
        <w:t xml:space="preserve">2015, </w:t>
      </w:r>
      <w:r w:rsidR="009F77AF" w:rsidRPr="007D2AC6">
        <w:rPr>
          <w:lang w:val="fr-FR"/>
        </w:rPr>
        <w:t>“</w:t>
      </w:r>
      <w:r w:rsidRPr="007D2AC6">
        <w:rPr>
          <w:lang w:val="fr-FR"/>
        </w:rPr>
        <w:t>Renforcement des capacités en matière de ressources humaines pour pouvoir répondre aux nombreuses exigences en ce qui concerne l</w:t>
      </w:r>
      <w:r w:rsidR="002A5696" w:rsidRPr="007D2AC6">
        <w:rPr>
          <w:lang w:val="fr-FR"/>
        </w:rPr>
        <w:t>’</w:t>
      </w:r>
      <w:r w:rsidRPr="007D2AC6">
        <w:rPr>
          <w:lang w:val="fr-FR"/>
        </w:rPr>
        <w:t>utilisation efficace de la propriété intellectuelle au service du développement dans les pays en développement,</w:t>
      </w:r>
      <w:r w:rsidR="002A5696" w:rsidRPr="007D2AC6">
        <w:rPr>
          <w:lang w:val="fr-FR"/>
        </w:rPr>
        <w:t xml:space="preserve"> les PMA</w:t>
      </w:r>
      <w:r w:rsidRPr="007D2AC6">
        <w:rPr>
          <w:lang w:val="fr-FR"/>
        </w:rPr>
        <w:t xml:space="preserve"> et les pays en transition</w:t>
      </w:r>
      <w:r w:rsidR="009F77AF" w:rsidRPr="007D2AC6">
        <w:rPr>
          <w:lang w:val="fr-FR"/>
        </w:rPr>
        <w:t>”</w:t>
      </w:r>
      <w:r w:rsidR="00171EAF" w:rsidRPr="007D2AC6">
        <w:rPr>
          <w:lang w:val="fr-FR"/>
        </w:rPr>
        <w:t>.</w:t>
      </w:r>
    </w:p>
    <w:p w14:paraId="6FC54D4D" w14:textId="67AB4C11" w:rsidR="002A5696" w:rsidRPr="007D2AC6" w:rsidRDefault="008A6CF1" w:rsidP="00F1587E">
      <w:pPr>
        <w:pStyle w:val="ONUMFS"/>
        <w:numPr>
          <w:ilvl w:val="1"/>
          <w:numId w:val="40"/>
        </w:numPr>
        <w:rPr>
          <w:lang w:val="fr-FR"/>
        </w:rPr>
      </w:pPr>
      <w:r w:rsidRPr="007D2AC6">
        <w:rPr>
          <w:lang w:val="fr-FR"/>
        </w:rPr>
        <w:t>Les résultats attendus au niveau des extrants sont essentiellement corrélés aux objectifs du programme</w:t>
      </w:r>
      <w:r w:rsidR="00B57560" w:rsidRPr="007D2AC6">
        <w:rPr>
          <w:lang w:val="fr-FR"/>
        </w:rPr>
        <w:t> </w:t>
      </w:r>
      <w:r w:rsidRPr="007D2AC6">
        <w:rPr>
          <w:lang w:val="fr-FR"/>
        </w:rPr>
        <w:t>2</w:t>
      </w:r>
      <w:r w:rsidR="00440167" w:rsidRPr="007D2AC6">
        <w:rPr>
          <w:rStyle w:val="FootnoteReference"/>
          <w:lang w:val="fr-FR"/>
        </w:rPr>
        <w:footnoteReference w:id="24"/>
      </w:r>
      <w:r w:rsidR="006001A3" w:rsidRPr="007D2AC6">
        <w:rPr>
          <w:lang w:val="fr-FR"/>
        </w:rPr>
        <w:t xml:space="preserve">, </w:t>
      </w:r>
      <w:r w:rsidR="00303D01" w:rsidRPr="007D2AC6">
        <w:rPr>
          <w:lang w:val="fr-FR"/>
        </w:rPr>
        <w:t>qui régissaient le proj</w:t>
      </w:r>
      <w:r w:rsidR="001B6E2D" w:rsidRPr="007D2AC6">
        <w:rPr>
          <w:lang w:val="fr-FR"/>
        </w:rPr>
        <w:t>et.  L’e</w:t>
      </w:r>
      <w:r w:rsidR="00303D01" w:rsidRPr="007D2AC6">
        <w:rPr>
          <w:lang w:val="fr-FR"/>
        </w:rPr>
        <w:t>ffet de démonstration du projet a facilité l</w:t>
      </w:r>
      <w:r w:rsidR="002A5696" w:rsidRPr="007D2AC6">
        <w:rPr>
          <w:lang w:val="fr-FR"/>
        </w:rPr>
        <w:t>’</w:t>
      </w:r>
      <w:r w:rsidR="00303D01" w:rsidRPr="007D2AC6">
        <w:rPr>
          <w:lang w:val="fr-FR"/>
        </w:rPr>
        <w:t>instauration d</w:t>
      </w:r>
      <w:r w:rsidR="002A5696" w:rsidRPr="007D2AC6">
        <w:rPr>
          <w:lang w:val="fr-FR"/>
        </w:rPr>
        <w:t>’</w:t>
      </w:r>
      <w:r w:rsidR="00303D01" w:rsidRPr="007D2AC6">
        <w:rPr>
          <w:lang w:val="fr-FR"/>
        </w:rPr>
        <w:t>un environnement propice au secteur des marques et des dessins et modèles.</w:t>
      </w:r>
    </w:p>
    <w:p w14:paraId="35F0EDD1" w14:textId="06BD05D4" w:rsidR="00303D01" w:rsidRPr="007D2AC6" w:rsidRDefault="00303D01" w:rsidP="00F1587E">
      <w:pPr>
        <w:pStyle w:val="ONUMFS"/>
        <w:numPr>
          <w:ilvl w:val="1"/>
          <w:numId w:val="40"/>
        </w:numPr>
        <w:rPr>
          <w:lang w:val="fr-FR"/>
        </w:rPr>
      </w:pPr>
      <w:r w:rsidRPr="007D2AC6">
        <w:rPr>
          <w:lang w:val="fr-FR"/>
        </w:rPr>
        <w:t>Bien qu</w:t>
      </w:r>
      <w:r w:rsidR="002A5696" w:rsidRPr="007D2AC6">
        <w:rPr>
          <w:lang w:val="fr-FR"/>
        </w:rPr>
        <w:t>’</w:t>
      </w:r>
      <w:r w:rsidRPr="007D2AC6">
        <w:rPr>
          <w:lang w:val="fr-FR"/>
        </w:rPr>
        <w:t>à un degré moindre, le projet contribue aussi potentiellement aux objectifs du programme</w:t>
      </w:r>
      <w:r w:rsidR="00B57560" w:rsidRPr="007D2AC6">
        <w:rPr>
          <w:lang w:val="fr-FR"/>
        </w:rPr>
        <w:t> </w:t>
      </w:r>
      <w:r w:rsidRPr="007D2AC6">
        <w:rPr>
          <w:lang w:val="fr-FR"/>
        </w:rPr>
        <w:t>9</w:t>
      </w:r>
      <w:r w:rsidRPr="007D2AC6">
        <w:rPr>
          <w:rStyle w:val="FootnoteReference"/>
          <w:lang w:val="fr-FR"/>
        </w:rPr>
        <w:footnoteReference w:id="25"/>
      </w:r>
      <w:r w:rsidRPr="007D2AC6">
        <w:rPr>
          <w:lang w:val="fr-FR"/>
        </w:rPr>
        <w:t xml:space="preserve"> </w:t>
      </w:r>
      <w:r w:rsidR="00972890" w:rsidRPr="007D2AC6">
        <w:rPr>
          <w:lang w:val="fr-FR"/>
        </w:rPr>
        <w:t>(</w:t>
      </w:r>
      <w:r w:rsidRPr="007D2AC6">
        <w:rPr>
          <w:lang w:val="fr-FR"/>
        </w:rPr>
        <w:t xml:space="preserve">des stratégies relatives à la propriété intellectuelle peuvent inclure des </w:t>
      </w:r>
      <w:r w:rsidR="009F77AF" w:rsidRPr="007D2AC6">
        <w:rPr>
          <w:lang w:val="fr-FR"/>
        </w:rPr>
        <w:t>“</w:t>
      </w:r>
      <w:r w:rsidRPr="007D2AC6">
        <w:rPr>
          <w:lang w:val="fr-FR"/>
        </w:rPr>
        <w:t>stratégies en matière de dessins et modèles</w:t>
      </w:r>
      <w:r w:rsidR="009F77AF" w:rsidRPr="007D2AC6">
        <w:rPr>
          <w:lang w:val="fr-FR"/>
        </w:rPr>
        <w:t>”</w:t>
      </w:r>
      <w:r w:rsidRPr="007D2AC6">
        <w:rPr>
          <w:lang w:val="fr-FR"/>
        </w:rPr>
        <w:t>), du programme</w:t>
      </w:r>
      <w:r w:rsidR="00B57560" w:rsidRPr="007D2AC6">
        <w:rPr>
          <w:lang w:val="fr-FR"/>
        </w:rPr>
        <w:t> </w:t>
      </w:r>
      <w:r w:rsidRPr="007D2AC6">
        <w:rPr>
          <w:lang w:val="fr-FR"/>
        </w:rPr>
        <w:t>30</w:t>
      </w:r>
      <w:r w:rsidRPr="007D2AC6">
        <w:rPr>
          <w:rStyle w:val="FootnoteReference"/>
          <w:lang w:val="fr-FR"/>
        </w:rPr>
        <w:footnoteReference w:id="26"/>
      </w:r>
      <w:r w:rsidRPr="007D2AC6">
        <w:rPr>
          <w:lang w:val="fr-FR"/>
        </w:rPr>
        <w:t xml:space="preserve"> </w:t>
      </w:r>
      <w:r w:rsidR="00972890" w:rsidRPr="007D2AC6">
        <w:rPr>
          <w:lang w:val="fr-FR"/>
        </w:rPr>
        <w:t>(</w:t>
      </w:r>
      <w:r w:rsidRPr="007D2AC6">
        <w:rPr>
          <w:lang w:val="fr-FR"/>
        </w:rPr>
        <w:t>au travers de l</w:t>
      </w:r>
      <w:r w:rsidR="002A5696" w:rsidRPr="007D2AC6">
        <w:rPr>
          <w:lang w:val="fr-FR"/>
        </w:rPr>
        <w:t>’</w:t>
      </w:r>
      <w:r w:rsidRPr="007D2AC6">
        <w:rPr>
          <w:lang w:val="fr-FR"/>
        </w:rPr>
        <w:t>élaboration de supports de formation ciblant également</w:t>
      </w:r>
      <w:r w:rsidR="002A5696" w:rsidRPr="007D2AC6">
        <w:rPr>
          <w:lang w:val="fr-FR"/>
        </w:rPr>
        <w:t xml:space="preserve"> des PME</w:t>
      </w:r>
      <w:r w:rsidRPr="007D2AC6">
        <w:rPr>
          <w:lang w:val="fr-FR"/>
        </w:rPr>
        <w:t>) et du programme</w:t>
      </w:r>
      <w:r w:rsidR="00B57560" w:rsidRPr="007D2AC6">
        <w:rPr>
          <w:lang w:val="fr-FR"/>
        </w:rPr>
        <w:t> </w:t>
      </w:r>
      <w:r w:rsidRPr="007D2AC6">
        <w:rPr>
          <w:lang w:val="fr-FR"/>
        </w:rPr>
        <w:t>31</w:t>
      </w:r>
      <w:r w:rsidRPr="007D2AC6">
        <w:rPr>
          <w:rStyle w:val="FootnoteReference"/>
          <w:lang w:val="fr-FR"/>
        </w:rPr>
        <w:footnoteReference w:id="27"/>
      </w:r>
      <w:r w:rsidRPr="007D2AC6">
        <w:rPr>
          <w:lang w:val="fr-FR"/>
        </w:rPr>
        <w:t xml:space="preserve"> </w:t>
      </w:r>
      <w:r w:rsidR="00972890" w:rsidRPr="007D2AC6">
        <w:rPr>
          <w:lang w:val="fr-FR"/>
        </w:rPr>
        <w:t>(</w:t>
      </w:r>
      <w:r w:rsidRPr="007D2AC6">
        <w:rPr>
          <w:lang w:val="fr-FR"/>
        </w:rPr>
        <w:t>dans la mesure où il encourage les titulaires de droits de deux</w:t>
      </w:r>
      <w:r w:rsidR="009F77AF" w:rsidRPr="007D2AC6">
        <w:rPr>
          <w:lang w:val="fr-FR"/>
        </w:rPr>
        <w:t> </w:t>
      </w:r>
      <w:r w:rsidRPr="007D2AC6">
        <w:rPr>
          <w:lang w:val="fr-FR"/>
        </w:rPr>
        <w:t>pays en développement à envisager l</w:t>
      </w:r>
      <w:r w:rsidR="002A5696" w:rsidRPr="007D2AC6">
        <w:rPr>
          <w:lang w:val="fr-FR"/>
        </w:rPr>
        <w:t>’</w:t>
      </w:r>
      <w:r w:rsidRPr="007D2AC6">
        <w:rPr>
          <w:lang w:val="fr-FR"/>
        </w:rPr>
        <w:t>enregistrement international de leurs dessins et modèles).</w:t>
      </w:r>
    </w:p>
    <w:p w14:paraId="3BB72ABF" w14:textId="79667957" w:rsidR="0059687A" w:rsidRPr="007D2AC6" w:rsidRDefault="00303D01" w:rsidP="00F1587E">
      <w:pPr>
        <w:pStyle w:val="ONUMFS"/>
        <w:numPr>
          <w:ilvl w:val="1"/>
          <w:numId w:val="40"/>
        </w:numPr>
        <w:rPr>
          <w:lang w:val="fr-FR"/>
        </w:rPr>
      </w:pPr>
      <w:r w:rsidRPr="007D2AC6">
        <w:rPr>
          <w:lang w:val="fr-FR"/>
        </w:rPr>
        <w:t xml:space="preserve">Bien que pertinents, les aspects </w:t>
      </w:r>
      <w:r w:rsidR="002215CB" w:rsidRPr="007D2AC6">
        <w:rPr>
          <w:lang w:val="fr-FR"/>
        </w:rPr>
        <w:t>liés aux contraintes</w:t>
      </w:r>
      <w:r w:rsidRPr="007D2AC6">
        <w:rPr>
          <w:lang w:val="fr-FR"/>
        </w:rPr>
        <w:t xml:space="preserve"> juridiques et institutionnelles éventuelles à l</w:t>
      </w:r>
      <w:r w:rsidR="002A5696" w:rsidRPr="007D2AC6">
        <w:rPr>
          <w:lang w:val="fr-FR"/>
        </w:rPr>
        <w:t>’</w:t>
      </w:r>
      <w:r w:rsidRPr="007D2AC6">
        <w:rPr>
          <w:lang w:val="fr-FR"/>
        </w:rPr>
        <w:t>utilisation de dessins et modèles pour faire valoir</w:t>
      </w:r>
      <w:r w:rsidR="002A5696" w:rsidRPr="007D2AC6">
        <w:rPr>
          <w:lang w:val="fr-FR"/>
        </w:rPr>
        <w:t xml:space="preserve"> des </w:t>
      </w:r>
      <w:r w:rsidR="00CE6067" w:rsidRPr="007D2AC6">
        <w:rPr>
          <w:lang w:val="fr-FR"/>
        </w:rPr>
        <w:t>droits de propriété intellectuelle</w:t>
      </w:r>
      <w:r w:rsidRPr="007D2AC6">
        <w:rPr>
          <w:lang w:val="fr-FR"/>
        </w:rPr>
        <w:t xml:space="preserve"> n</w:t>
      </w:r>
      <w:r w:rsidR="002A5696" w:rsidRPr="007D2AC6">
        <w:rPr>
          <w:lang w:val="fr-FR"/>
        </w:rPr>
        <w:t>’</w:t>
      </w:r>
      <w:r w:rsidRPr="007D2AC6">
        <w:rPr>
          <w:lang w:val="fr-FR"/>
        </w:rPr>
        <w:t>ont pas été abordés.</w:t>
      </w:r>
    </w:p>
    <w:p w14:paraId="1424E3C6" w14:textId="17DC56E7" w:rsidR="0059687A" w:rsidRPr="007D2AC6" w:rsidRDefault="00303D01" w:rsidP="004D11AE">
      <w:pPr>
        <w:pStyle w:val="Heading3"/>
        <w:rPr>
          <w:color w:val="auto"/>
        </w:rPr>
      </w:pPr>
      <w:bookmarkStart w:id="22" w:name="_Toc478372747"/>
      <w:r w:rsidRPr="007D2AC6">
        <w:rPr>
          <w:color w:val="auto"/>
        </w:rPr>
        <w:t>Pertinence pour les bénéficiaires</w:t>
      </w:r>
      <w:bookmarkEnd w:id="22"/>
    </w:p>
    <w:p w14:paraId="6642D401" w14:textId="77777777" w:rsidR="0059687A" w:rsidRPr="007D2AC6" w:rsidRDefault="0059687A" w:rsidP="00F1587E">
      <w:pPr>
        <w:rPr>
          <w:lang w:val="fr-FR"/>
        </w:rPr>
      </w:pPr>
    </w:p>
    <w:p w14:paraId="3D9AFB33" w14:textId="281B1E29" w:rsidR="002215CB" w:rsidRPr="007D2AC6" w:rsidRDefault="002215CB" w:rsidP="00F1587E">
      <w:pPr>
        <w:pStyle w:val="ONUMFS"/>
        <w:rPr>
          <w:lang w:val="fr-FR"/>
        </w:rPr>
      </w:pPr>
      <w:r w:rsidRPr="007D2AC6">
        <w:rPr>
          <w:lang w:val="fr-FR"/>
        </w:rPr>
        <w:t>En règle générale, les dessins et modèles présentent un intérêt important et croissant pour les entreprises, en tant qu</w:t>
      </w:r>
      <w:r w:rsidR="002A5696" w:rsidRPr="007D2AC6">
        <w:rPr>
          <w:lang w:val="fr-FR"/>
        </w:rPr>
        <w:t>’</w:t>
      </w:r>
      <w:r w:rsidRPr="007D2AC6">
        <w:rPr>
          <w:lang w:val="fr-FR"/>
        </w:rPr>
        <w:t>outils qui leur permettent d</w:t>
      </w:r>
      <w:r w:rsidR="002A5696" w:rsidRPr="007D2AC6">
        <w:rPr>
          <w:lang w:val="fr-FR"/>
        </w:rPr>
        <w:t>’</w:t>
      </w:r>
      <w:r w:rsidRPr="007D2AC6">
        <w:rPr>
          <w:lang w:val="fr-FR"/>
        </w:rPr>
        <w:t>ajouter de la valeur à leurs produits et de se démarqu</w:t>
      </w:r>
      <w:r w:rsidR="001B6E2D" w:rsidRPr="007D2AC6">
        <w:rPr>
          <w:lang w:val="fr-FR"/>
        </w:rPr>
        <w:t>er.  De</w:t>
      </w:r>
      <w:r w:rsidRPr="007D2AC6">
        <w:rPr>
          <w:lang w:val="fr-FR"/>
        </w:rPr>
        <w:t xml:space="preserve">s statistiques internationales en matière de propriété intellectuelle se </w:t>
      </w:r>
      <w:proofErr w:type="gramStart"/>
      <w:r w:rsidRPr="007D2AC6">
        <w:rPr>
          <w:lang w:val="fr-FR"/>
        </w:rPr>
        <w:t>dégage</w:t>
      </w:r>
      <w:proofErr w:type="gramEnd"/>
      <w:r w:rsidRPr="007D2AC6">
        <w:rPr>
          <w:lang w:val="fr-FR"/>
        </w:rPr>
        <w:t xml:space="preserve"> une tendance à l</w:t>
      </w:r>
      <w:r w:rsidR="002A5696" w:rsidRPr="007D2AC6">
        <w:rPr>
          <w:lang w:val="fr-FR"/>
        </w:rPr>
        <w:t>’</w:t>
      </w:r>
      <w:r w:rsidRPr="007D2AC6">
        <w:rPr>
          <w:lang w:val="fr-FR"/>
        </w:rPr>
        <w:t>augmentation des demandes et des enregistremen</w:t>
      </w:r>
      <w:r w:rsidR="001B6E2D" w:rsidRPr="007D2AC6">
        <w:rPr>
          <w:lang w:val="fr-FR"/>
        </w:rPr>
        <w:t>ts.  Le</w:t>
      </w:r>
      <w:r w:rsidRPr="007D2AC6">
        <w:rPr>
          <w:lang w:val="fr-FR"/>
        </w:rPr>
        <w:t xml:space="preserve"> projet venait à point nommé pour répondre à cette tendance.</w:t>
      </w:r>
    </w:p>
    <w:p w14:paraId="2A009A45" w14:textId="2639D80F" w:rsidR="002215CB" w:rsidRPr="007D2AC6" w:rsidRDefault="001D34DC" w:rsidP="00F1587E">
      <w:pPr>
        <w:pStyle w:val="ONUMFS"/>
        <w:rPr>
          <w:lang w:val="fr-FR"/>
        </w:rPr>
      </w:pPr>
      <w:r w:rsidRPr="007D2AC6">
        <w:rPr>
          <w:lang w:val="fr-FR"/>
        </w:rPr>
        <w:t>Toutes les parties prenantes nationales interrogées ont confirmé que l</w:t>
      </w:r>
      <w:r w:rsidR="002A5696" w:rsidRPr="007D2AC6">
        <w:rPr>
          <w:lang w:val="fr-FR"/>
        </w:rPr>
        <w:t>’</w:t>
      </w:r>
      <w:r w:rsidRPr="007D2AC6">
        <w:rPr>
          <w:lang w:val="fr-FR"/>
        </w:rPr>
        <w:t>assistance de l</w:t>
      </w:r>
      <w:r w:rsidR="002A5696" w:rsidRPr="007D2AC6">
        <w:rPr>
          <w:lang w:val="fr-FR"/>
        </w:rPr>
        <w:t>’</w:t>
      </w:r>
      <w:r w:rsidRPr="007D2AC6">
        <w:rPr>
          <w:lang w:val="fr-FR"/>
        </w:rPr>
        <w:t>OMPI avait pleinement satisfait leurs besoi</w:t>
      </w:r>
      <w:r w:rsidR="001B6E2D" w:rsidRPr="007D2AC6">
        <w:rPr>
          <w:lang w:val="fr-FR"/>
        </w:rPr>
        <w:t>ns.  En</w:t>
      </w:r>
      <w:r w:rsidRPr="007D2AC6">
        <w:rPr>
          <w:lang w:val="fr-FR"/>
        </w:rPr>
        <w:t xml:space="preserve"> règle générale, le projet visait les pays, </w:t>
      </w:r>
      <w:r w:rsidRPr="007D2AC6">
        <w:rPr>
          <w:lang w:val="fr-FR"/>
        </w:rPr>
        <w:lastRenderedPageBreak/>
        <w:t>industries et secteurs intéressés par les dessins et modèl</w:t>
      </w:r>
      <w:r w:rsidR="001B6E2D" w:rsidRPr="007D2AC6">
        <w:rPr>
          <w:lang w:val="fr-FR"/>
        </w:rPr>
        <w:t>es.  Le</w:t>
      </w:r>
      <w:r w:rsidRPr="007D2AC6">
        <w:rPr>
          <w:lang w:val="fr-FR"/>
        </w:rPr>
        <w:t>s dessins et modèles étaient moins intéressants que d</w:t>
      </w:r>
      <w:r w:rsidR="002A5696" w:rsidRPr="007D2AC6">
        <w:rPr>
          <w:lang w:val="fr-FR"/>
        </w:rPr>
        <w:t>’</w:t>
      </w:r>
      <w:r w:rsidRPr="007D2AC6">
        <w:rPr>
          <w:lang w:val="fr-FR"/>
        </w:rPr>
        <w:t xml:space="preserve">autres types de </w:t>
      </w:r>
      <w:r w:rsidR="00CE6067" w:rsidRPr="007D2AC6">
        <w:rPr>
          <w:lang w:val="fr-FR"/>
        </w:rPr>
        <w:t xml:space="preserve">droits de propriété intellectuelle </w:t>
      </w:r>
      <w:r w:rsidR="00972890" w:rsidRPr="007D2AC6">
        <w:rPr>
          <w:lang w:val="fr-FR"/>
        </w:rPr>
        <w:t>(</w:t>
      </w:r>
      <w:r w:rsidRPr="007D2AC6">
        <w:rPr>
          <w:lang w:val="fr-FR"/>
        </w:rPr>
        <w:t>les brevets, par exemple), pour des producteurs de machines agricoles, l</w:t>
      </w:r>
      <w:r w:rsidR="002A5696" w:rsidRPr="007D2AC6">
        <w:rPr>
          <w:lang w:val="fr-FR"/>
        </w:rPr>
        <w:t>’</w:t>
      </w:r>
      <w:r w:rsidRPr="007D2AC6">
        <w:rPr>
          <w:lang w:val="fr-FR"/>
        </w:rPr>
        <w:t>une des industries clés identifiées et traitées en Argentine.</w:t>
      </w:r>
    </w:p>
    <w:p w14:paraId="41FE18B9" w14:textId="0B410BAC" w:rsidR="001D34DC" w:rsidRPr="007D2AC6" w:rsidRDefault="001D34DC" w:rsidP="00332C18">
      <w:pPr>
        <w:pStyle w:val="ONUMFS"/>
        <w:rPr>
          <w:lang w:val="fr-FR"/>
        </w:rPr>
      </w:pPr>
      <w:r w:rsidRPr="007D2AC6">
        <w:rPr>
          <w:lang w:val="fr-FR"/>
        </w:rPr>
        <w:t>Une forte adhésion au projet de la part des deux</w:t>
      </w:r>
      <w:r w:rsidR="009F77AF" w:rsidRPr="007D2AC6">
        <w:rPr>
          <w:lang w:val="fr-FR"/>
        </w:rPr>
        <w:t> </w:t>
      </w:r>
      <w:r w:rsidRPr="007D2AC6">
        <w:rPr>
          <w:lang w:val="fr-FR"/>
        </w:rPr>
        <w:t xml:space="preserve">offices de propriété intellectuelle </w:t>
      </w:r>
      <w:r w:rsidR="00972890" w:rsidRPr="007D2AC6">
        <w:t>(</w:t>
      </w:r>
      <w:r w:rsidRPr="007D2AC6">
        <w:rPr>
          <w:lang w:val="fr-FR"/>
        </w:rPr>
        <w:t>et à d</w:t>
      </w:r>
      <w:r w:rsidR="002A5696" w:rsidRPr="007D2AC6">
        <w:rPr>
          <w:lang w:val="fr-FR"/>
        </w:rPr>
        <w:t>’</w:t>
      </w:r>
      <w:r w:rsidRPr="007D2AC6">
        <w:rPr>
          <w:lang w:val="fr-FR"/>
        </w:rPr>
        <w:t>autres parties prenantes nationales), qui s</w:t>
      </w:r>
      <w:r w:rsidR="002A5696" w:rsidRPr="007D2AC6">
        <w:rPr>
          <w:lang w:val="fr-FR"/>
        </w:rPr>
        <w:t>’</w:t>
      </w:r>
      <w:r w:rsidRPr="007D2AC6">
        <w:rPr>
          <w:lang w:val="fr-FR"/>
        </w:rPr>
        <w:t>est traduite notamment par leurs contributions en nature substantielles, témoigne aussi d</w:t>
      </w:r>
      <w:r w:rsidR="002A5696" w:rsidRPr="007D2AC6">
        <w:rPr>
          <w:lang w:val="fr-FR"/>
        </w:rPr>
        <w:t>’</w:t>
      </w:r>
      <w:r w:rsidRPr="007D2AC6">
        <w:rPr>
          <w:lang w:val="fr-FR"/>
        </w:rPr>
        <w:t>un degré de pertinence éle</w:t>
      </w:r>
      <w:r w:rsidR="001B6E2D" w:rsidRPr="007D2AC6">
        <w:rPr>
          <w:lang w:val="fr-FR"/>
        </w:rPr>
        <w:t>vé.  To</w:t>
      </w:r>
      <w:r w:rsidRPr="007D2AC6">
        <w:rPr>
          <w:lang w:val="fr-FR"/>
        </w:rPr>
        <w:t>utes les parties prenantes nationales interrogées ont manifesté un vif enthousiasme et une forte déterminati</w:t>
      </w:r>
      <w:r w:rsidR="001B6E2D" w:rsidRPr="007D2AC6">
        <w:rPr>
          <w:lang w:val="fr-FR"/>
        </w:rPr>
        <w:t>on.  Le</w:t>
      </w:r>
      <w:r w:rsidR="00B64CE6" w:rsidRPr="007D2AC6">
        <w:rPr>
          <w:lang w:val="fr-FR"/>
        </w:rPr>
        <w:t>ur adhésion et leur engagement ont contribué à l</w:t>
      </w:r>
      <w:r w:rsidR="002A5696" w:rsidRPr="007D2AC6">
        <w:rPr>
          <w:lang w:val="fr-FR"/>
        </w:rPr>
        <w:t>’</w:t>
      </w:r>
      <w:r w:rsidR="00B64CE6" w:rsidRPr="007D2AC6">
        <w:rPr>
          <w:lang w:val="fr-FR"/>
        </w:rPr>
        <w:t>obtention de résultats.</w:t>
      </w:r>
    </w:p>
    <w:p w14:paraId="49B7590D" w14:textId="445807E6" w:rsidR="00B64CE6" w:rsidRPr="007D2AC6" w:rsidRDefault="00B64CE6" w:rsidP="00F1587E">
      <w:pPr>
        <w:pStyle w:val="ONUMFS"/>
        <w:rPr>
          <w:lang w:val="fr-FR"/>
        </w:rPr>
      </w:pPr>
      <w:r w:rsidRPr="007D2AC6">
        <w:rPr>
          <w:lang w:val="fr-FR"/>
        </w:rPr>
        <w:t>Intervention pilote de par sa conception, ce projet ne marquait qu</w:t>
      </w:r>
      <w:r w:rsidR="002A5696" w:rsidRPr="007D2AC6">
        <w:rPr>
          <w:lang w:val="fr-FR"/>
        </w:rPr>
        <w:t>’</w:t>
      </w:r>
      <w:r w:rsidRPr="007D2AC6">
        <w:rPr>
          <w:lang w:val="fr-FR"/>
        </w:rPr>
        <w:t>une première étape vers la réalisation de succès plus généraux, au</w:t>
      </w:r>
      <w:r w:rsidR="00B57560" w:rsidRPr="007D2AC6">
        <w:rPr>
          <w:lang w:val="fr-FR"/>
        </w:rPr>
        <w:noBreakHyphen/>
      </w:r>
      <w:r w:rsidRPr="007D2AC6">
        <w:rPr>
          <w:lang w:val="fr-FR"/>
        </w:rPr>
        <w:t>delà de l</w:t>
      </w:r>
      <w:r w:rsidR="002A5696" w:rsidRPr="007D2AC6">
        <w:rPr>
          <w:lang w:val="fr-FR"/>
        </w:rPr>
        <w:t>’</w:t>
      </w:r>
      <w:r w:rsidRPr="007D2AC6">
        <w:rPr>
          <w:lang w:val="fr-FR"/>
        </w:rPr>
        <w:t>Argentine et du Mar</w:t>
      </w:r>
      <w:r w:rsidR="001B6E2D" w:rsidRPr="007D2AC6">
        <w:rPr>
          <w:lang w:val="fr-FR"/>
        </w:rPr>
        <w:t>oc.  Sa</w:t>
      </w:r>
      <w:r w:rsidRPr="007D2AC6">
        <w:rPr>
          <w:lang w:val="fr-FR"/>
        </w:rPr>
        <w:t xml:space="preserve"> pertinence pratique pour d</w:t>
      </w:r>
      <w:r w:rsidR="002A5696" w:rsidRPr="007D2AC6">
        <w:rPr>
          <w:lang w:val="fr-FR"/>
        </w:rPr>
        <w:t>’</w:t>
      </w:r>
      <w:r w:rsidRPr="007D2AC6">
        <w:rPr>
          <w:lang w:val="fr-FR"/>
        </w:rPr>
        <w:t>autres États membres se limitait donc aux savoirs acquis et diffus</w:t>
      </w:r>
      <w:r w:rsidR="001B6E2D" w:rsidRPr="007D2AC6">
        <w:rPr>
          <w:lang w:val="fr-FR"/>
        </w:rPr>
        <w:t>és.  Le</w:t>
      </w:r>
      <w:r w:rsidRPr="007D2AC6">
        <w:rPr>
          <w:lang w:val="fr-FR"/>
        </w:rPr>
        <w:t xml:space="preserve"> passage à une vitesse supérieure, par reproduction du projet dans d</w:t>
      </w:r>
      <w:r w:rsidR="002A5696" w:rsidRPr="007D2AC6">
        <w:rPr>
          <w:lang w:val="fr-FR"/>
        </w:rPr>
        <w:t>’</w:t>
      </w:r>
      <w:r w:rsidRPr="007D2AC6">
        <w:rPr>
          <w:lang w:val="fr-FR"/>
        </w:rPr>
        <w:t>autres pays, nécessiterait un soutien supplémentaire substantiel.</w:t>
      </w:r>
    </w:p>
    <w:p w14:paraId="7EE6D34B" w14:textId="089D0B8B" w:rsidR="0059687A" w:rsidRPr="007D2AC6" w:rsidRDefault="00DE7E50" w:rsidP="00DE7E50">
      <w:pPr>
        <w:pStyle w:val="Heading2"/>
        <w:rPr>
          <w:lang w:val="fr-FR"/>
        </w:rPr>
      </w:pPr>
      <w:bookmarkStart w:id="23" w:name="_Toc478372748"/>
      <w:r w:rsidRPr="007D2AC6">
        <w:rPr>
          <w:lang w:val="fr-FR"/>
        </w:rPr>
        <w:t>C)</w:t>
      </w:r>
      <w:r w:rsidRPr="007D2AC6">
        <w:rPr>
          <w:lang w:val="fr-FR"/>
        </w:rPr>
        <w:tab/>
        <w:t>Efficacité</w:t>
      </w:r>
      <w:bookmarkEnd w:id="23"/>
    </w:p>
    <w:p w14:paraId="7844DE4D" w14:textId="77777777" w:rsidR="0059687A" w:rsidRPr="007D2AC6" w:rsidRDefault="0059687A" w:rsidP="00F1587E">
      <w:pPr>
        <w:rPr>
          <w:lang w:val="fr-FR"/>
        </w:rPr>
      </w:pPr>
    </w:p>
    <w:p w14:paraId="74B258BC" w14:textId="719FACEA" w:rsidR="002A5696" w:rsidRPr="007D2AC6" w:rsidRDefault="00C41A14" w:rsidP="00F1587E">
      <w:pPr>
        <w:pStyle w:val="ONUMFS"/>
        <w:rPr>
          <w:b/>
          <w:lang w:val="fr-FR"/>
        </w:rPr>
      </w:pPr>
      <w:r w:rsidRPr="007D2AC6">
        <w:rPr>
          <w:lang w:val="fr-FR"/>
        </w:rPr>
        <w:t>Du</w:t>
      </w:r>
      <w:r w:rsidR="00B64CE6" w:rsidRPr="007D2AC6">
        <w:rPr>
          <w:lang w:val="fr-FR"/>
        </w:rPr>
        <w:t xml:space="preserve"> fait des réserves exprimées ci</w:t>
      </w:r>
      <w:r w:rsidR="00B57560" w:rsidRPr="007D2AC6">
        <w:rPr>
          <w:lang w:val="fr-FR"/>
        </w:rPr>
        <w:noBreakHyphen/>
      </w:r>
      <w:r w:rsidR="00B64CE6" w:rsidRPr="007D2AC6">
        <w:rPr>
          <w:lang w:val="fr-FR"/>
        </w:rPr>
        <w:t>dessus, l</w:t>
      </w:r>
      <w:r w:rsidR="002A5696" w:rsidRPr="007D2AC6">
        <w:rPr>
          <w:lang w:val="fr-FR"/>
        </w:rPr>
        <w:t>’</w:t>
      </w:r>
      <w:r w:rsidR="00B64CE6" w:rsidRPr="007D2AC6">
        <w:rPr>
          <w:lang w:val="fr-FR"/>
        </w:rPr>
        <w:t>évaluation a essentiellement porté sur la comparaison des résultats prévus et des résultats escomptés au niveau des extran</w:t>
      </w:r>
      <w:r w:rsidR="001B6E2D" w:rsidRPr="007D2AC6">
        <w:rPr>
          <w:lang w:val="fr-FR"/>
        </w:rPr>
        <w:t>ts.  Da</w:t>
      </w:r>
      <w:r w:rsidR="002A4208" w:rsidRPr="007D2AC6">
        <w:rPr>
          <w:lang w:val="fr-FR"/>
        </w:rPr>
        <w:t>ns l</w:t>
      </w:r>
      <w:r w:rsidR="002A5696" w:rsidRPr="007D2AC6">
        <w:rPr>
          <w:lang w:val="fr-FR"/>
        </w:rPr>
        <w:t>’</w:t>
      </w:r>
      <w:r w:rsidR="002A4208" w:rsidRPr="007D2AC6">
        <w:rPr>
          <w:lang w:val="fr-FR"/>
        </w:rPr>
        <w:t>ensemble, l</w:t>
      </w:r>
      <w:r w:rsidR="002A5696" w:rsidRPr="007D2AC6">
        <w:rPr>
          <w:lang w:val="fr-FR"/>
        </w:rPr>
        <w:t>’</w:t>
      </w:r>
      <w:r w:rsidR="002A4208" w:rsidRPr="007D2AC6">
        <w:rPr>
          <w:lang w:val="fr-FR"/>
        </w:rPr>
        <w:t xml:space="preserve">évaluateur approuve les résultats consignés dans le rapport final présenté à la </w:t>
      </w:r>
      <w:r w:rsidR="006F2775" w:rsidRPr="007D2AC6">
        <w:rPr>
          <w:lang w:val="fr-FR"/>
        </w:rPr>
        <w:t>dix</w:t>
      </w:r>
      <w:r w:rsidR="006F2775" w:rsidRPr="007D2AC6">
        <w:rPr>
          <w:lang w:val="fr-FR"/>
        </w:rPr>
        <w:noBreakHyphen/>
        <w:t>huitième</w:t>
      </w:r>
      <w:r w:rsidR="00B57560" w:rsidRPr="007D2AC6">
        <w:rPr>
          <w:lang w:val="fr-FR"/>
        </w:rPr>
        <w:t> </w:t>
      </w:r>
      <w:r w:rsidR="002A4208" w:rsidRPr="007D2AC6">
        <w:rPr>
          <w:lang w:val="fr-FR"/>
        </w:rPr>
        <w:t>session</w:t>
      </w:r>
      <w:r w:rsidR="002A5696" w:rsidRPr="007D2AC6">
        <w:rPr>
          <w:lang w:val="fr-FR"/>
        </w:rPr>
        <w:t xml:space="preserve"> du </w:t>
      </w:r>
      <w:proofErr w:type="spellStart"/>
      <w:r w:rsidR="002A5696" w:rsidRPr="007D2AC6">
        <w:rPr>
          <w:lang w:val="fr-FR"/>
        </w:rPr>
        <w:t>C</w:t>
      </w:r>
      <w:r w:rsidR="001B6E2D" w:rsidRPr="007D2AC6">
        <w:rPr>
          <w:lang w:val="fr-FR"/>
        </w:rPr>
        <w:t>DIP</w:t>
      </w:r>
      <w:proofErr w:type="spellEnd"/>
      <w:r w:rsidR="001B6E2D" w:rsidRPr="007D2AC6">
        <w:rPr>
          <w:lang w:val="fr-FR"/>
        </w:rPr>
        <w:t>.  To</w:t>
      </w:r>
      <w:r w:rsidR="002A4208" w:rsidRPr="007D2AC6">
        <w:rPr>
          <w:lang w:val="fr-FR"/>
        </w:rPr>
        <w:t>us les résultats escomptés ont été obtenus, la plupart d</w:t>
      </w:r>
      <w:r w:rsidR="002A5696" w:rsidRPr="007D2AC6">
        <w:rPr>
          <w:lang w:val="fr-FR"/>
        </w:rPr>
        <w:t>’</w:t>
      </w:r>
      <w:r w:rsidR="002A4208" w:rsidRPr="007D2AC6">
        <w:rPr>
          <w:lang w:val="fr-FR"/>
        </w:rPr>
        <w:t>entre eux dans les délais requis et tous de bonne quali</w:t>
      </w:r>
      <w:r w:rsidR="001B6E2D" w:rsidRPr="007D2AC6">
        <w:rPr>
          <w:lang w:val="fr-FR"/>
        </w:rPr>
        <w:t>té.  L’é</w:t>
      </w:r>
      <w:r w:rsidR="002A4208" w:rsidRPr="007D2AC6">
        <w:rPr>
          <w:lang w:val="fr-FR"/>
        </w:rPr>
        <w:t>valuateur a validé la fourniture des principaux extrants suivants par l</w:t>
      </w:r>
      <w:r w:rsidR="002A5696" w:rsidRPr="007D2AC6">
        <w:rPr>
          <w:lang w:val="fr-FR"/>
        </w:rPr>
        <w:t>’</w:t>
      </w:r>
      <w:r w:rsidR="002A4208" w:rsidRPr="007D2AC6">
        <w:rPr>
          <w:lang w:val="fr-FR"/>
        </w:rPr>
        <w:t>étude sur table des rapports d</w:t>
      </w:r>
      <w:r w:rsidR="002A5696" w:rsidRPr="007D2AC6">
        <w:rPr>
          <w:lang w:val="fr-FR"/>
        </w:rPr>
        <w:t>’</w:t>
      </w:r>
      <w:r w:rsidR="002A4208" w:rsidRPr="007D2AC6">
        <w:rPr>
          <w:lang w:val="fr-FR"/>
        </w:rPr>
        <w:t>avancement, l</w:t>
      </w:r>
      <w:r w:rsidR="002A5696" w:rsidRPr="007D2AC6">
        <w:rPr>
          <w:lang w:val="fr-FR"/>
        </w:rPr>
        <w:t>’</w:t>
      </w:r>
      <w:r w:rsidR="002A4208" w:rsidRPr="007D2AC6">
        <w:rPr>
          <w:lang w:val="fr-FR"/>
        </w:rPr>
        <w:t>examen des documents produits, des enquêtes internes, le rapport d</w:t>
      </w:r>
      <w:r w:rsidR="002A5696" w:rsidRPr="007D2AC6">
        <w:rPr>
          <w:lang w:val="fr-FR"/>
        </w:rPr>
        <w:t>’</w:t>
      </w:r>
      <w:r w:rsidR="002A4208" w:rsidRPr="007D2AC6">
        <w:rPr>
          <w:lang w:val="fr-FR"/>
        </w:rPr>
        <w:t>examen interne à mi</w:t>
      </w:r>
      <w:r w:rsidR="00B57560" w:rsidRPr="007D2AC6">
        <w:rPr>
          <w:lang w:val="fr-FR"/>
        </w:rPr>
        <w:noBreakHyphen/>
      </w:r>
      <w:r w:rsidR="002A4208" w:rsidRPr="007D2AC6">
        <w:rPr>
          <w:lang w:val="fr-FR"/>
        </w:rPr>
        <w:t>parcours et des entretiens</w:t>
      </w:r>
      <w:r w:rsidR="002A5696" w:rsidRPr="007D2AC6">
        <w:rPr>
          <w:lang w:val="fr-FR"/>
        </w:rPr>
        <w:t> :</w:t>
      </w:r>
    </w:p>
    <w:p w14:paraId="6A6AD36B" w14:textId="24AF65C1" w:rsidR="0059687A" w:rsidRPr="007D2AC6" w:rsidRDefault="00536CA6" w:rsidP="004D11AE">
      <w:pPr>
        <w:pStyle w:val="Heading3"/>
        <w:numPr>
          <w:ilvl w:val="0"/>
          <w:numId w:val="47"/>
        </w:numPr>
        <w:ind w:left="1701" w:hanging="567"/>
        <w:rPr>
          <w:color w:val="auto"/>
        </w:rPr>
      </w:pPr>
      <w:bookmarkStart w:id="24" w:name="_Toc478372749"/>
      <w:r w:rsidRPr="007D2AC6">
        <w:rPr>
          <w:color w:val="auto"/>
        </w:rPr>
        <w:t>Début du projet</w:t>
      </w:r>
      <w:bookmarkEnd w:id="24"/>
    </w:p>
    <w:p w14:paraId="7B4E04B0" w14:textId="77777777" w:rsidR="00972890" w:rsidRPr="007D2AC6" w:rsidRDefault="00972890" w:rsidP="00972890">
      <w:pPr>
        <w:rPr>
          <w:lang w:val="fr-FR"/>
        </w:rPr>
      </w:pPr>
    </w:p>
    <w:p w14:paraId="570C0734" w14:textId="3008A873" w:rsidR="0059687A" w:rsidRPr="007D2AC6" w:rsidRDefault="00332C18" w:rsidP="00F1587E">
      <w:pPr>
        <w:pStyle w:val="ONUMFS"/>
        <w:rPr>
          <w:lang w:val="fr-FR"/>
        </w:rPr>
      </w:pPr>
      <w:r w:rsidRPr="007D2AC6">
        <w:rPr>
          <w:lang w:val="fr-FR"/>
        </w:rPr>
        <w:t>Après un travail préparatoire</w:t>
      </w:r>
      <w:r w:rsidR="00C427C5" w:rsidRPr="007D2AC6">
        <w:rPr>
          <w:lang w:val="fr-FR"/>
        </w:rPr>
        <w:t xml:space="preserve"> initial </w:t>
      </w:r>
      <w:r w:rsidR="00972890" w:rsidRPr="007D2AC6">
        <w:rPr>
          <w:lang w:val="fr-FR"/>
        </w:rPr>
        <w:t>(</w:t>
      </w:r>
      <w:r w:rsidRPr="007D2AC6">
        <w:rPr>
          <w:lang w:val="fr-FR"/>
        </w:rPr>
        <w:t>recrute</w:t>
      </w:r>
      <w:r w:rsidR="00C427C5" w:rsidRPr="007D2AC6">
        <w:rPr>
          <w:lang w:val="fr-FR"/>
        </w:rPr>
        <w:t>ments, s</w:t>
      </w:r>
      <w:r w:rsidRPr="007D2AC6">
        <w:rPr>
          <w:lang w:val="fr-FR"/>
        </w:rPr>
        <w:t>é</w:t>
      </w:r>
      <w:r w:rsidR="00C427C5" w:rsidRPr="007D2AC6">
        <w:rPr>
          <w:lang w:val="fr-FR"/>
        </w:rPr>
        <w:t xml:space="preserve">lection </w:t>
      </w:r>
      <w:r w:rsidRPr="007D2AC6">
        <w:rPr>
          <w:lang w:val="fr-FR"/>
        </w:rPr>
        <w:t>des deux</w:t>
      </w:r>
      <w:r w:rsidR="009F77AF" w:rsidRPr="007D2AC6">
        <w:rPr>
          <w:lang w:val="fr-FR"/>
        </w:rPr>
        <w:t> </w:t>
      </w:r>
      <w:r w:rsidRPr="007D2AC6">
        <w:rPr>
          <w:lang w:val="fr-FR"/>
        </w:rPr>
        <w:t xml:space="preserve">pays pilotes et mise en place de la structure de gestion du projet, voir la </w:t>
      </w:r>
      <w:r w:rsidR="002A5696" w:rsidRPr="007D2AC6">
        <w:rPr>
          <w:lang w:val="fr-FR"/>
        </w:rPr>
        <w:t>section 2</w:t>
      </w:r>
      <w:r w:rsidR="00C427C5" w:rsidRPr="007D2AC6">
        <w:rPr>
          <w:lang w:val="fr-FR"/>
        </w:rPr>
        <w:t>.</w:t>
      </w:r>
      <w:r w:rsidR="00B57560" w:rsidRPr="007D2AC6">
        <w:rPr>
          <w:lang w:val="fr-FR"/>
        </w:rPr>
        <w:t xml:space="preserve">  </w:t>
      </w:r>
      <w:proofErr w:type="spellStart"/>
      <w:r w:rsidR="00B57560" w:rsidRPr="007D2AC6">
        <w:rPr>
          <w:lang w:val="fr-FR"/>
        </w:rPr>
        <w:t>A</w:t>
      </w:r>
      <w:proofErr w:type="spellEnd"/>
      <w:r w:rsidR="00C427C5" w:rsidRPr="007D2AC6">
        <w:rPr>
          <w:lang w:val="fr-FR"/>
        </w:rPr>
        <w:t xml:space="preserve"> </w:t>
      </w:r>
      <w:r w:rsidRPr="007D2AC6">
        <w:rPr>
          <w:lang w:val="fr-FR"/>
        </w:rPr>
        <w:t>ci</w:t>
      </w:r>
      <w:r w:rsidR="00B57560" w:rsidRPr="007D2AC6">
        <w:rPr>
          <w:lang w:val="fr-FR"/>
        </w:rPr>
        <w:noBreakHyphen/>
      </w:r>
      <w:r w:rsidRPr="007D2AC6">
        <w:rPr>
          <w:lang w:val="fr-FR"/>
        </w:rPr>
        <w:t>dessus), l</w:t>
      </w:r>
      <w:r w:rsidR="00BA20AA" w:rsidRPr="007D2AC6">
        <w:rPr>
          <w:lang w:val="fr-FR"/>
        </w:rPr>
        <w:t>e Secr</w:t>
      </w:r>
      <w:r w:rsidRPr="007D2AC6">
        <w:rPr>
          <w:lang w:val="fr-FR"/>
        </w:rPr>
        <w:t>é</w:t>
      </w:r>
      <w:r w:rsidR="00BA20AA" w:rsidRPr="007D2AC6">
        <w:rPr>
          <w:lang w:val="fr-FR"/>
        </w:rPr>
        <w:t xml:space="preserve">tariat </w:t>
      </w:r>
      <w:r w:rsidRPr="007D2AC6">
        <w:rPr>
          <w:lang w:val="fr-FR"/>
        </w:rPr>
        <w:t>a établi les quatre</w:t>
      </w:r>
      <w:r w:rsidR="009F77AF" w:rsidRPr="007D2AC6">
        <w:rPr>
          <w:lang w:val="fr-FR"/>
        </w:rPr>
        <w:t> </w:t>
      </w:r>
      <w:r w:rsidR="00BA20AA" w:rsidRPr="007D2AC6">
        <w:rPr>
          <w:lang w:val="fr-FR"/>
        </w:rPr>
        <w:t>documents</w:t>
      </w:r>
      <w:r w:rsidRPr="007D2AC6">
        <w:rPr>
          <w:lang w:val="fr-FR"/>
        </w:rPr>
        <w:t xml:space="preserve"> suivants</w:t>
      </w:r>
      <w:r w:rsidR="002A5696" w:rsidRPr="007D2AC6">
        <w:rPr>
          <w:lang w:val="fr-FR"/>
        </w:rPr>
        <w:t> :</w:t>
      </w:r>
    </w:p>
    <w:p w14:paraId="789C3C90" w14:textId="1DAEFE7B" w:rsidR="0059687A" w:rsidRPr="007D2AC6" w:rsidRDefault="00332C18" w:rsidP="00F1587E">
      <w:pPr>
        <w:pStyle w:val="ONUMFS"/>
        <w:numPr>
          <w:ilvl w:val="1"/>
          <w:numId w:val="40"/>
        </w:numPr>
        <w:rPr>
          <w:lang w:val="fr-FR"/>
        </w:rPr>
      </w:pPr>
      <w:r w:rsidRPr="007D2AC6">
        <w:rPr>
          <w:lang w:val="fr-FR"/>
        </w:rPr>
        <w:t>une stratégie</w:t>
      </w:r>
      <w:r w:rsidR="00BA20AA" w:rsidRPr="007D2AC6">
        <w:rPr>
          <w:lang w:val="fr-FR"/>
        </w:rPr>
        <w:t xml:space="preserve"> national</w:t>
      </w:r>
      <w:r w:rsidRPr="007D2AC6">
        <w:rPr>
          <w:lang w:val="fr-FR"/>
        </w:rPr>
        <w:t>e de protection des dessins et modèles pour l</w:t>
      </w:r>
      <w:r w:rsidR="002A5696" w:rsidRPr="007D2AC6">
        <w:rPr>
          <w:lang w:val="fr-FR"/>
        </w:rPr>
        <w:t>’</w:t>
      </w:r>
      <w:r w:rsidR="00972890" w:rsidRPr="007D2AC6">
        <w:rPr>
          <w:lang w:val="fr-FR"/>
        </w:rPr>
        <w:t>Argentine et le Maroc;</w:t>
      </w:r>
    </w:p>
    <w:p w14:paraId="45447997" w14:textId="34BD564A" w:rsidR="00332C18" w:rsidRPr="007D2AC6" w:rsidRDefault="00332C18" w:rsidP="00F1587E">
      <w:pPr>
        <w:pStyle w:val="ONUMFS"/>
        <w:numPr>
          <w:ilvl w:val="1"/>
          <w:numId w:val="40"/>
        </w:numPr>
        <w:rPr>
          <w:lang w:val="fr-FR"/>
        </w:rPr>
      </w:pPr>
      <w:r w:rsidRPr="007D2AC6">
        <w:rPr>
          <w:lang w:val="fr-FR"/>
        </w:rPr>
        <w:t>un plan de sensibilisation servant de base pour la sélection des entreprises bénéficiaires;  ce plan énumérait les secteurs industriels présentant une importance stratégique sous l</w:t>
      </w:r>
      <w:r w:rsidR="002A5696" w:rsidRPr="007D2AC6">
        <w:rPr>
          <w:lang w:val="fr-FR"/>
        </w:rPr>
        <w:t>’</w:t>
      </w:r>
      <w:r w:rsidR="00972890" w:rsidRPr="007D2AC6">
        <w:rPr>
          <w:lang w:val="fr-FR"/>
        </w:rPr>
        <w:t xml:space="preserve">angle </w:t>
      </w:r>
      <w:proofErr w:type="spellStart"/>
      <w:r w:rsidR="00972890" w:rsidRPr="007D2AC6">
        <w:rPr>
          <w:lang w:val="fr-FR"/>
        </w:rPr>
        <w:t>socioéconomique</w:t>
      </w:r>
      <w:proofErr w:type="spellEnd"/>
      <w:r w:rsidR="00972890" w:rsidRPr="007D2AC6">
        <w:rPr>
          <w:lang w:val="fr-FR"/>
        </w:rPr>
        <w:t>;</w:t>
      </w:r>
    </w:p>
    <w:p w14:paraId="6629CA83" w14:textId="5D8DD27D" w:rsidR="0059687A" w:rsidRPr="007D2AC6" w:rsidRDefault="00332C18" w:rsidP="00F1587E">
      <w:pPr>
        <w:pStyle w:val="ONUMFS"/>
        <w:numPr>
          <w:ilvl w:val="1"/>
          <w:numId w:val="40"/>
        </w:numPr>
        <w:rPr>
          <w:lang w:val="fr-FR"/>
        </w:rPr>
      </w:pPr>
      <w:r w:rsidRPr="007D2AC6">
        <w:rPr>
          <w:lang w:val="fr-FR"/>
        </w:rPr>
        <w:t xml:space="preserve">une stratégie de sortie, </w:t>
      </w:r>
      <w:r w:rsidR="002A5696" w:rsidRPr="007D2AC6">
        <w:rPr>
          <w:lang w:val="fr-FR"/>
        </w:rPr>
        <w:t>y compris</w:t>
      </w:r>
      <w:r w:rsidRPr="007D2AC6">
        <w:rPr>
          <w:lang w:val="fr-FR"/>
        </w:rPr>
        <w:t xml:space="preserve"> l</w:t>
      </w:r>
      <w:r w:rsidR="002A5696" w:rsidRPr="007D2AC6">
        <w:rPr>
          <w:lang w:val="fr-FR"/>
        </w:rPr>
        <w:t>’</w:t>
      </w:r>
      <w:r w:rsidRPr="007D2AC6">
        <w:rPr>
          <w:lang w:val="fr-FR"/>
        </w:rPr>
        <w:t>intégration de l</w:t>
      </w:r>
      <w:r w:rsidR="002A5696" w:rsidRPr="007D2AC6">
        <w:rPr>
          <w:lang w:val="fr-FR"/>
        </w:rPr>
        <w:t>’</w:t>
      </w:r>
      <w:r w:rsidRPr="007D2AC6">
        <w:rPr>
          <w:lang w:val="fr-FR"/>
        </w:rPr>
        <w:t xml:space="preserve">assistance fournie au titre du projet dans les institutions nationales pertinentes </w:t>
      </w:r>
      <w:r w:rsidR="00D7700E" w:rsidRPr="007D2AC6">
        <w:rPr>
          <w:lang w:val="fr-FR"/>
        </w:rPr>
        <w:t>(</w:t>
      </w:r>
      <w:r w:rsidRPr="007D2AC6">
        <w:rPr>
          <w:lang w:val="fr-FR"/>
        </w:rPr>
        <w:t>non seulement les offices de propriété intellectuelle, mais aussi des</w:t>
      </w:r>
      <w:r w:rsidR="00972890" w:rsidRPr="007D2AC6">
        <w:rPr>
          <w:lang w:val="fr-FR"/>
        </w:rPr>
        <w:t xml:space="preserve"> associations professionnelles);</w:t>
      </w:r>
    </w:p>
    <w:p w14:paraId="0FE3EDB6" w14:textId="75928F3A" w:rsidR="0059687A" w:rsidRPr="007D2AC6" w:rsidRDefault="00332C18" w:rsidP="00F1587E">
      <w:pPr>
        <w:pStyle w:val="ONUMFS"/>
        <w:numPr>
          <w:ilvl w:val="1"/>
          <w:numId w:val="40"/>
        </w:numPr>
        <w:rPr>
          <w:lang w:val="fr-FR"/>
        </w:rPr>
      </w:pPr>
      <w:r w:rsidRPr="007D2AC6">
        <w:rPr>
          <w:lang w:val="fr-FR"/>
        </w:rPr>
        <w:t>des études de faisabilité pour chaque pays, sur la base d</w:t>
      </w:r>
      <w:r w:rsidR="002A5696" w:rsidRPr="007D2AC6">
        <w:rPr>
          <w:lang w:val="fr-FR"/>
        </w:rPr>
        <w:t>’</w:t>
      </w:r>
      <w:r w:rsidRPr="007D2AC6">
        <w:rPr>
          <w:lang w:val="fr-FR"/>
        </w:rPr>
        <w:t>une évaluation des besoins réalisée auprès d</w:t>
      </w:r>
      <w:r w:rsidR="002A5696" w:rsidRPr="007D2AC6">
        <w:rPr>
          <w:lang w:val="fr-FR"/>
        </w:rPr>
        <w:t>’</w:t>
      </w:r>
      <w:r w:rsidRPr="007D2AC6">
        <w:rPr>
          <w:lang w:val="fr-FR"/>
        </w:rPr>
        <w:t xml:space="preserve">environ </w:t>
      </w:r>
      <w:r w:rsidR="009F77AF" w:rsidRPr="007D2AC6">
        <w:rPr>
          <w:lang w:val="fr-FR"/>
        </w:rPr>
        <w:t>2000</w:t>
      </w:r>
      <w:r w:rsidR="00B57560" w:rsidRPr="007D2AC6">
        <w:rPr>
          <w:lang w:val="fr-FR"/>
        </w:rPr>
        <w:t> </w:t>
      </w:r>
      <w:r w:rsidRPr="007D2AC6">
        <w:rPr>
          <w:lang w:val="fr-FR"/>
        </w:rPr>
        <w:t xml:space="preserve">entreprises </w:t>
      </w:r>
      <w:r w:rsidR="00D7700E" w:rsidRPr="007D2AC6">
        <w:rPr>
          <w:lang w:val="fr-FR"/>
        </w:rPr>
        <w:t>(</w:t>
      </w:r>
      <w:r w:rsidRPr="007D2AC6">
        <w:rPr>
          <w:lang w:val="fr-FR"/>
        </w:rPr>
        <w:t>au moyen d</w:t>
      </w:r>
      <w:r w:rsidR="002A5696" w:rsidRPr="007D2AC6">
        <w:rPr>
          <w:lang w:val="fr-FR"/>
        </w:rPr>
        <w:t>’</w:t>
      </w:r>
      <w:r w:rsidRPr="007D2AC6">
        <w:rPr>
          <w:lang w:val="fr-FR"/>
        </w:rPr>
        <w:t>une enquête</w:t>
      </w:r>
      <w:r w:rsidRPr="007D2AC6">
        <w:rPr>
          <w:rStyle w:val="FootnoteReference"/>
          <w:lang w:val="fr-FR"/>
        </w:rPr>
        <w:footnoteReference w:id="28"/>
      </w:r>
      <w:r w:rsidRPr="007D2AC6">
        <w:rPr>
          <w:lang w:val="fr-FR"/>
        </w:rPr>
        <w:t>).</w:t>
      </w:r>
    </w:p>
    <w:p w14:paraId="0EE814AA" w14:textId="22FD49ED" w:rsidR="0059687A" w:rsidRPr="007D2AC6" w:rsidRDefault="00536CA6" w:rsidP="004D11AE">
      <w:pPr>
        <w:pStyle w:val="Heading3"/>
        <w:rPr>
          <w:color w:val="auto"/>
        </w:rPr>
      </w:pPr>
      <w:bookmarkStart w:id="25" w:name="_Toc474988788"/>
      <w:bookmarkStart w:id="26" w:name="_Toc478372750"/>
      <w:r w:rsidRPr="007D2AC6">
        <w:rPr>
          <w:color w:val="auto"/>
        </w:rPr>
        <w:lastRenderedPageBreak/>
        <w:t>Manifestations de lancement en Argentine et au Maroc</w:t>
      </w:r>
      <w:bookmarkEnd w:id="25"/>
      <w:bookmarkEnd w:id="26"/>
    </w:p>
    <w:p w14:paraId="786D89E2" w14:textId="77777777" w:rsidR="0059687A" w:rsidRPr="007D2AC6" w:rsidRDefault="0059687A" w:rsidP="00F1587E">
      <w:pPr>
        <w:rPr>
          <w:u w:val="single"/>
          <w:lang w:val="fr-FR"/>
        </w:rPr>
      </w:pPr>
    </w:p>
    <w:p w14:paraId="556362D0" w14:textId="58DE83D2" w:rsidR="00332C18" w:rsidRPr="007D2AC6" w:rsidRDefault="002A6AD3" w:rsidP="00F1587E">
      <w:pPr>
        <w:pStyle w:val="ONUMFS"/>
        <w:rPr>
          <w:lang w:val="fr-FR"/>
        </w:rPr>
      </w:pPr>
      <w:r w:rsidRPr="007D2AC6">
        <w:rPr>
          <w:lang w:val="fr-FR"/>
        </w:rPr>
        <w:t>Le projet a organisé u</w:t>
      </w:r>
      <w:r w:rsidR="00332C18" w:rsidRPr="007D2AC6">
        <w:rPr>
          <w:lang w:val="fr-FR"/>
        </w:rPr>
        <w:t>n colloque international sur la protection des d</w:t>
      </w:r>
      <w:r w:rsidRPr="007D2AC6">
        <w:rPr>
          <w:lang w:val="fr-FR"/>
        </w:rPr>
        <w:t xml:space="preserve">essins et modèles industriels </w:t>
      </w:r>
      <w:r w:rsidR="00332C18" w:rsidRPr="007D2AC6">
        <w:rPr>
          <w:lang w:val="fr-FR"/>
        </w:rPr>
        <w:t xml:space="preserve">à Buenos Aires les 3 et </w:t>
      </w:r>
      <w:r w:rsidR="002A5696" w:rsidRPr="007D2AC6">
        <w:rPr>
          <w:lang w:val="fr-FR"/>
        </w:rPr>
        <w:t>4 septembre 20</w:t>
      </w:r>
      <w:r w:rsidR="00332C18" w:rsidRPr="007D2AC6">
        <w:rPr>
          <w:lang w:val="fr-FR"/>
        </w:rPr>
        <w:t>14</w:t>
      </w:r>
      <w:r w:rsidRPr="007D2AC6">
        <w:rPr>
          <w:lang w:val="fr-FR"/>
        </w:rPr>
        <w:t xml:space="preserve">. </w:t>
      </w:r>
      <w:r w:rsidR="00796C9B" w:rsidRPr="007D2AC6">
        <w:rPr>
          <w:lang w:val="fr-FR"/>
        </w:rPr>
        <w:t xml:space="preserve"> </w:t>
      </w:r>
      <w:r w:rsidRPr="007D2AC6">
        <w:rPr>
          <w:lang w:val="fr-FR"/>
        </w:rPr>
        <w:t>Au Maroc, le projet a été présenté à des créateurs de dessins et modèles industriels et à</w:t>
      </w:r>
      <w:r w:rsidR="002A5696" w:rsidRPr="007D2AC6">
        <w:rPr>
          <w:lang w:val="fr-FR"/>
        </w:rPr>
        <w:t xml:space="preserve"> des PME</w:t>
      </w:r>
      <w:r w:rsidRPr="007D2AC6">
        <w:rPr>
          <w:lang w:val="fr-FR"/>
        </w:rPr>
        <w:t xml:space="preserve"> potentiellement bénéficiaires les 15 et 1</w:t>
      </w:r>
      <w:r w:rsidR="002A5696" w:rsidRPr="007D2AC6">
        <w:rPr>
          <w:lang w:val="fr-FR"/>
        </w:rPr>
        <w:t>6 octobre 20</w:t>
      </w:r>
      <w:r w:rsidRPr="007D2AC6">
        <w:rPr>
          <w:lang w:val="fr-FR"/>
        </w:rPr>
        <w:t>14, ainsi que lors d</w:t>
      </w:r>
      <w:r w:rsidR="002A5696" w:rsidRPr="007D2AC6">
        <w:rPr>
          <w:lang w:val="fr-FR"/>
        </w:rPr>
        <w:t>’</w:t>
      </w:r>
      <w:r w:rsidRPr="007D2AC6">
        <w:rPr>
          <w:lang w:val="fr-FR"/>
        </w:rPr>
        <w:t>une table ronde qui réunissait différents ministères, des établissements scolaires, des associations professionnelles et d</w:t>
      </w:r>
      <w:r w:rsidR="002A5696" w:rsidRPr="007D2AC6">
        <w:rPr>
          <w:lang w:val="fr-FR"/>
        </w:rPr>
        <w:t>’</w:t>
      </w:r>
      <w:r w:rsidRPr="007D2AC6">
        <w:rPr>
          <w:lang w:val="fr-FR"/>
        </w:rPr>
        <w:t>autres parties prenant</w:t>
      </w:r>
      <w:r w:rsidR="001B6E2D" w:rsidRPr="007D2AC6">
        <w:rPr>
          <w:lang w:val="fr-FR"/>
        </w:rPr>
        <w:t>es.  Ce</w:t>
      </w:r>
      <w:r w:rsidRPr="007D2AC6">
        <w:rPr>
          <w:lang w:val="fr-FR"/>
        </w:rPr>
        <w:t>s manifestations ont contribué à créer de la visibilité, à informer le public intéressé et à assurer un soutien politique.</w:t>
      </w:r>
    </w:p>
    <w:p w14:paraId="52B816F9" w14:textId="5956482C" w:rsidR="0059687A" w:rsidRPr="007D2AC6" w:rsidRDefault="00853017" w:rsidP="004D11AE">
      <w:pPr>
        <w:pStyle w:val="Heading3"/>
        <w:rPr>
          <w:color w:val="auto"/>
        </w:rPr>
      </w:pPr>
      <w:bookmarkStart w:id="27" w:name="_Toc478372751"/>
      <w:r w:rsidRPr="007D2AC6">
        <w:rPr>
          <w:color w:val="auto"/>
        </w:rPr>
        <w:t>S</w:t>
      </w:r>
      <w:r w:rsidR="00536CA6" w:rsidRPr="007D2AC6">
        <w:rPr>
          <w:color w:val="auto"/>
        </w:rPr>
        <w:t>é</w:t>
      </w:r>
      <w:r w:rsidRPr="007D2AC6">
        <w:rPr>
          <w:color w:val="auto"/>
        </w:rPr>
        <w:t xml:space="preserve">lection </w:t>
      </w:r>
      <w:r w:rsidR="00536CA6" w:rsidRPr="007D2AC6">
        <w:rPr>
          <w:color w:val="auto"/>
        </w:rPr>
        <w:t>d</w:t>
      </w:r>
      <w:r w:rsidR="002A5696" w:rsidRPr="007D2AC6">
        <w:rPr>
          <w:color w:val="auto"/>
        </w:rPr>
        <w:t>’</w:t>
      </w:r>
      <w:r w:rsidR="00536CA6" w:rsidRPr="007D2AC6">
        <w:rPr>
          <w:color w:val="auto"/>
        </w:rPr>
        <w:t>entreprises</w:t>
      </w:r>
      <w:bookmarkEnd w:id="27"/>
    </w:p>
    <w:p w14:paraId="7B5625F8" w14:textId="77777777" w:rsidR="0059687A" w:rsidRPr="007D2AC6" w:rsidRDefault="0059687A" w:rsidP="00F1587E">
      <w:pPr>
        <w:rPr>
          <w:lang w:val="fr-FR"/>
        </w:rPr>
      </w:pPr>
    </w:p>
    <w:p w14:paraId="7A677A02" w14:textId="39DC5BA2" w:rsidR="0059687A" w:rsidRPr="007D2AC6" w:rsidRDefault="00C048E9" w:rsidP="00F1587E">
      <w:pPr>
        <w:pStyle w:val="ONUMFS"/>
        <w:rPr>
          <w:lang w:val="fr-FR"/>
        </w:rPr>
      </w:pPr>
      <w:r w:rsidRPr="007D2AC6">
        <w:rPr>
          <w:lang w:val="fr-FR"/>
        </w:rPr>
        <w:t>À l</w:t>
      </w:r>
      <w:r w:rsidR="002A5696" w:rsidRPr="007D2AC6">
        <w:rPr>
          <w:lang w:val="fr-FR"/>
        </w:rPr>
        <w:t>’</w:t>
      </w:r>
      <w:r w:rsidRPr="007D2AC6">
        <w:rPr>
          <w:lang w:val="fr-FR"/>
        </w:rPr>
        <w:t>issue d</w:t>
      </w:r>
      <w:r w:rsidR="002A5696" w:rsidRPr="007D2AC6">
        <w:rPr>
          <w:lang w:val="fr-FR"/>
        </w:rPr>
        <w:t>’</w:t>
      </w:r>
      <w:r w:rsidRPr="007D2AC6">
        <w:rPr>
          <w:lang w:val="fr-FR"/>
        </w:rPr>
        <w:t>un processus rigoureux assorti de critères de sélection bien définis, 42</w:t>
      </w:r>
      <w:r w:rsidR="003569D3" w:rsidRPr="007D2AC6">
        <w:rPr>
          <w:lang w:val="fr-FR"/>
        </w:rPr>
        <w:t> </w:t>
      </w:r>
      <w:r w:rsidRPr="007D2AC6">
        <w:rPr>
          <w:lang w:val="fr-FR"/>
        </w:rPr>
        <w:t>entreprises ont été sélectionnées en Argentine, et 26 au Maroc</w:t>
      </w:r>
      <w:r w:rsidR="003569D3" w:rsidRPr="007D2AC6">
        <w:rPr>
          <w:lang w:val="fr-FR"/>
        </w:rPr>
        <w:t xml:space="preserve"> et ainsi admises à bénéficier de l</w:t>
      </w:r>
      <w:r w:rsidR="002A5696" w:rsidRPr="007D2AC6">
        <w:rPr>
          <w:lang w:val="fr-FR"/>
        </w:rPr>
        <w:t>’</w:t>
      </w:r>
      <w:r w:rsidR="003569D3" w:rsidRPr="007D2AC6">
        <w:rPr>
          <w:lang w:val="fr-FR"/>
        </w:rPr>
        <w:t>appui direct d</w:t>
      </w:r>
      <w:r w:rsidR="002A5696" w:rsidRPr="007D2AC6">
        <w:rPr>
          <w:lang w:val="fr-FR"/>
        </w:rPr>
        <w:t>’</w:t>
      </w:r>
      <w:r w:rsidR="003569D3" w:rsidRPr="007D2AC6">
        <w:rPr>
          <w:lang w:val="fr-FR"/>
        </w:rPr>
        <w:t>experts du proj</w:t>
      </w:r>
      <w:r w:rsidR="001B6E2D" w:rsidRPr="007D2AC6">
        <w:rPr>
          <w:lang w:val="fr-FR"/>
        </w:rPr>
        <w:t>et.  De</w:t>
      </w:r>
      <w:r w:rsidR="003569D3" w:rsidRPr="007D2AC6">
        <w:rPr>
          <w:lang w:val="fr-FR"/>
        </w:rPr>
        <w:t xml:space="preserve">s renseignements sur les entreprises ont été </w:t>
      </w:r>
      <w:r w:rsidR="00796C9B" w:rsidRPr="007D2AC6">
        <w:rPr>
          <w:lang w:val="fr-FR"/>
        </w:rPr>
        <w:t>recueillis</w:t>
      </w:r>
      <w:r w:rsidR="003569D3" w:rsidRPr="007D2AC6">
        <w:rPr>
          <w:lang w:val="fr-FR"/>
        </w:rPr>
        <w:t xml:space="preserve"> à l</w:t>
      </w:r>
      <w:r w:rsidR="002A5696" w:rsidRPr="007D2AC6">
        <w:rPr>
          <w:lang w:val="fr-FR"/>
        </w:rPr>
        <w:t>’</w:t>
      </w:r>
      <w:r w:rsidR="003569D3" w:rsidRPr="007D2AC6">
        <w:rPr>
          <w:lang w:val="fr-FR"/>
        </w:rPr>
        <w:t>aide de formulaires de candidature</w:t>
      </w:r>
      <w:r w:rsidR="00853017" w:rsidRPr="007D2AC6">
        <w:rPr>
          <w:iCs/>
          <w:lang w:val="fr-FR"/>
        </w:rPr>
        <w:t>.</w:t>
      </w:r>
    </w:p>
    <w:p w14:paraId="6C2E1E32" w14:textId="2680EF55" w:rsidR="0059687A" w:rsidRPr="007D2AC6" w:rsidRDefault="0064321A" w:rsidP="004D11AE">
      <w:pPr>
        <w:pStyle w:val="Heading3"/>
        <w:rPr>
          <w:color w:val="auto"/>
        </w:rPr>
      </w:pPr>
      <w:bookmarkStart w:id="28" w:name="_Toc478372752"/>
      <w:r w:rsidRPr="007D2AC6">
        <w:rPr>
          <w:color w:val="auto"/>
        </w:rPr>
        <w:t>Pr</w:t>
      </w:r>
      <w:r w:rsidR="00536CA6" w:rsidRPr="007D2AC6">
        <w:rPr>
          <w:color w:val="auto"/>
        </w:rPr>
        <w:t>é</w:t>
      </w:r>
      <w:r w:rsidRPr="007D2AC6">
        <w:rPr>
          <w:color w:val="auto"/>
        </w:rPr>
        <w:t xml:space="preserve">paration </w:t>
      </w:r>
      <w:r w:rsidR="00536CA6" w:rsidRPr="007D2AC6">
        <w:rPr>
          <w:color w:val="auto"/>
        </w:rPr>
        <w:t>d</w:t>
      </w:r>
      <w:r w:rsidR="002A5696" w:rsidRPr="007D2AC6">
        <w:rPr>
          <w:color w:val="auto"/>
        </w:rPr>
        <w:t>’</w:t>
      </w:r>
      <w:r w:rsidR="00536CA6" w:rsidRPr="007D2AC6">
        <w:rPr>
          <w:color w:val="auto"/>
        </w:rPr>
        <w:t>outils</w:t>
      </w:r>
      <w:bookmarkEnd w:id="28"/>
    </w:p>
    <w:p w14:paraId="4049498B" w14:textId="77777777" w:rsidR="0059687A" w:rsidRPr="007D2AC6" w:rsidRDefault="0059687A" w:rsidP="00F1587E">
      <w:pPr>
        <w:rPr>
          <w:lang w:val="fr-FR"/>
        </w:rPr>
      </w:pPr>
    </w:p>
    <w:p w14:paraId="61576485" w14:textId="688DCA69" w:rsidR="003569D3" w:rsidRPr="007D2AC6" w:rsidRDefault="003569D3" w:rsidP="00F1587E">
      <w:pPr>
        <w:pStyle w:val="ONUMFS"/>
        <w:rPr>
          <w:lang w:val="fr-FR"/>
        </w:rPr>
      </w:pPr>
      <w:r w:rsidRPr="007D2AC6">
        <w:rPr>
          <w:lang w:val="fr-FR"/>
        </w:rPr>
        <w:t>Le projet a mis au point l</w:t>
      </w:r>
      <w:r w:rsidR="002A5696" w:rsidRPr="007D2AC6">
        <w:rPr>
          <w:lang w:val="fr-FR"/>
        </w:rPr>
        <w:t>’</w:t>
      </w:r>
      <w:r w:rsidRPr="007D2AC6">
        <w:rPr>
          <w:lang w:val="fr-FR"/>
        </w:rPr>
        <w:t xml:space="preserve">outil </w:t>
      </w:r>
      <w:r w:rsidR="009F77AF" w:rsidRPr="007D2AC6">
        <w:rPr>
          <w:lang w:val="fr-FR"/>
        </w:rPr>
        <w:t>“</w:t>
      </w:r>
      <w:r w:rsidRPr="007D2AC6">
        <w:rPr>
          <w:lang w:val="fr-FR"/>
        </w:rPr>
        <w:t>La protection stratégique des dessins et modèles industriels en cinq</w:t>
      </w:r>
      <w:r w:rsidR="009F77AF" w:rsidRPr="007D2AC6">
        <w:rPr>
          <w:lang w:val="fr-FR"/>
        </w:rPr>
        <w:t> </w:t>
      </w:r>
      <w:r w:rsidR="00972890" w:rsidRPr="007D2AC6">
        <w:rPr>
          <w:lang w:val="fr-FR"/>
        </w:rPr>
        <w:t>(</w:t>
      </w:r>
      <w:r w:rsidRPr="007D2AC6">
        <w:rPr>
          <w:lang w:val="fr-FR"/>
        </w:rPr>
        <w:t>5) étapes</w:t>
      </w:r>
      <w:r w:rsidR="009F77AF" w:rsidRPr="007D2AC6">
        <w:rPr>
          <w:lang w:val="fr-FR"/>
        </w:rPr>
        <w:t>”</w:t>
      </w:r>
      <w:r w:rsidRPr="007D2AC6">
        <w:rPr>
          <w:lang w:val="fr-FR"/>
        </w:rPr>
        <w:t>, qui a servi à apporter un soutien direct aux entrepris</w:t>
      </w:r>
      <w:r w:rsidR="001B6E2D" w:rsidRPr="007D2AC6">
        <w:rPr>
          <w:lang w:val="fr-FR"/>
        </w:rPr>
        <w:t>es.  Il</w:t>
      </w:r>
      <w:r w:rsidR="004771D6" w:rsidRPr="007D2AC6">
        <w:rPr>
          <w:lang w:val="fr-FR"/>
        </w:rPr>
        <w:t xml:space="preserve"> comporte les chapitres suivants</w:t>
      </w:r>
      <w:r w:rsidR="002A5696" w:rsidRPr="007D2AC6">
        <w:rPr>
          <w:lang w:val="fr-FR"/>
        </w:rPr>
        <w:t> </w:t>
      </w:r>
      <w:proofErr w:type="gramStart"/>
      <w:r w:rsidR="002A5696" w:rsidRPr="007D2AC6">
        <w:rPr>
          <w:lang w:val="fr-FR"/>
        </w:rPr>
        <w:t>:</w:t>
      </w:r>
      <w:r w:rsidR="004771D6" w:rsidRPr="007D2AC6">
        <w:rPr>
          <w:lang w:val="fr-FR"/>
        </w:rPr>
        <w:t xml:space="preserve"> 1</w:t>
      </w:r>
      <w:proofErr w:type="gramEnd"/>
      <w:r w:rsidR="004771D6" w:rsidRPr="007D2AC6">
        <w:rPr>
          <w:lang w:val="fr-FR"/>
        </w:rPr>
        <w:t>)</w:t>
      </w:r>
      <w:r w:rsidR="00D7700E" w:rsidRPr="007D2AC6">
        <w:rPr>
          <w:lang w:val="fr-FR"/>
        </w:rPr>
        <w:t> </w:t>
      </w:r>
      <w:r w:rsidR="004771D6" w:rsidRPr="007D2AC6">
        <w:rPr>
          <w:lang w:val="fr-FR"/>
        </w:rPr>
        <w:t>l</w:t>
      </w:r>
      <w:r w:rsidR="002A5696" w:rsidRPr="007D2AC6">
        <w:rPr>
          <w:lang w:val="fr-FR"/>
        </w:rPr>
        <w:t>’</w:t>
      </w:r>
      <w:r w:rsidR="004771D6" w:rsidRPr="007D2AC6">
        <w:rPr>
          <w:lang w:val="fr-FR"/>
        </w:rPr>
        <w:t>entreprise et sa stratégie commerciale;  2)</w:t>
      </w:r>
      <w:r w:rsidR="00D7700E" w:rsidRPr="007D2AC6">
        <w:rPr>
          <w:lang w:val="fr-FR"/>
        </w:rPr>
        <w:t> </w:t>
      </w:r>
      <w:r w:rsidR="004771D6" w:rsidRPr="007D2AC6">
        <w:rPr>
          <w:lang w:val="fr-FR"/>
        </w:rPr>
        <w:t>le portefeuille de dessins et modèles industriels de l</w:t>
      </w:r>
      <w:r w:rsidR="002A5696" w:rsidRPr="007D2AC6">
        <w:rPr>
          <w:lang w:val="fr-FR"/>
        </w:rPr>
        <w:t>’</w:t>
      </w:r>
      <w:r w:rsidR="004771D6" w:rsidRPr="007D2AC6">
        <w:rPr>
          <w:lang w:val="fr-FR"/>
        </w:rPr>
        <w:t>entreprise;  3)</w:t>
      </w:r>
      <w:r w:rsidR="00D7700E" w:rsidRPr="007D2AC6">
        <w:rPr>
          <w:lang w:val="fr-FR"/>
        </w:rPr>
        <w:t> </w:t>
      </w:r>
      <w:r w:rsidR="004771D6" w:rsidRPr="007D2AC6">
        <w:rPr>
          <w:lang w:val="fr-FR"/>
        </w:rPr>
        <w:t>la stratégie en matière de propriété intellectuelle, en particulier la protection des dessins et modèles à des fins de développement des activités, et</w:t>
      </w:r>
      <w:r w:rsidR="00D7700E" w:rsidRPr="007D2AC6">
        <w:rPr>
          <w:lang w:val="fr-FR"/>
        </w:rPr>
        <w:t> </w:t>
      </w:r>
      <w:r w:rsidR="004771D6" w:rsidRPr="007D2AC6">
        <w:rPr>
          <w:lang w:val="fr-FR"/>
        </w:rPr>
        <w:t>4)</w:t>
      </w:r>
      <w:r w:rsidR="00D7700E" w:rsidRPr="007D2AC6">
        <w:rPr>
          <w:lang w:val="fr-FR"/>
        </w:rPr>
        <w:t> </w:t>
      </w:r>
      <w:r w:rsidR="004771D6" w:rsidRPr="007D2AC6">
        <w:rPr>
          <w:lang w:val="fr-FR"/>
        </w:rPr>
        <w:t>l</w:t>
      </w:r>
      <w:r w:rsidR="002A5696" w:rsidRPr="007D2AC6">
        <w:rPr>
          <w:lang w:val="fr-FR"/>
        </w:rPr>
        <w:t>’</w:t>
      </w:r>
      <w:r w:rsidR="004771D6" w:rsidRPr="007D2AC6">
        <w:rPr>
          <w:lang w:val="fr-FR"/>
        </w:rPr>
        <w:t>égalité hommes</w:t>
      </w:r>
      <w:r w:rsidR="00B57560" w:rsidRPr="007D2AC6">
        <w:rPr>
          <w:lang w:val="fr-FR"/>
        </w:rPr>
        <w:noBreakHyphen/>
      </w:r>
      <w:r w:rsidR="004771D6" w:rsidRPr="007D2AC6">
        <w:rPr>
          <w:lang w:val="fr-FR"/>
        </w:rPr>
        <w:t>femmes et la diversi</w:t>
      </w:r>
      <w:r w:rsidR="001B6E2D" w:rsidRPr="007D2AC6">
        <w:rPr>
          <w:lang w:val="fr-FR"/>
        </w:rPr>
        <w:t>té.  Au</w:t>
      </w:r>
      <w:r w:rsidR="004771D6" w:rsidRPr="007D2AC6">
        <w:rPr>
          <w:lang w:val="fr-FR"/>
        </w:rPr>
        <w:t xml:space="preserve"> cours de leur application pratique, les outils de </w:t>
      </w:r>
      <w:proofErr w:type="spellStart"/>
      <w:r w:rsidR="004771D6" w:rsidRPr="007D2AC6">
        <w:rPr>
          <w:lang w:val="fr-FR"/>
        </w:rPr>
        <w:t>prédiagnostic</w:t>
      </w:r>
      <w:proofErr w:type="spellEnd"/>
      <w:r w:rsidR="004771D6" w:rsidRPr="007D2AC6">
        <w:rPr>
          <w:lang w:val="fr-FR"/>
        </w:rPr>
        <w:t xml:space="preserve"> et de diagnostic ont été perfectionné</w:t>
      </w:r>
      <w:r w:rsidR="00276C7D" w:rsidRPr="007D2AC6">
        <w:rPr>
          <w:lang w:val="fr-FR"/>
        </w:rPr>
        <w:t>s</w:t>
      </w:r>
      <w:r w:rsidR="004771D6" w:rsidRPr="007D2AC6">
        <w:rPr>
          <w:lang w:val="fr-FR"/>
        </w:rPr>
        <w:t xml:space="preserve"> avec l</w:t>
      </w:r>
      <w:r w:rsidR="002A5696" w:rsidRPr="007D2AC6">
        <w:rPr>
          <w:lang w:val="fr-FR"/>
        </w:rPr>
        <w:t>’</w:t>
      </w:r>
      <w:r w:rsidR="004771D6" w:rsidRPr="007D2AC6">
        <w:rPr>
          <w:lang w:val="fr-FR"/>
        </w:rPr>
        <w:t>aide d</w:t>
      </w:r>
      <w:r w:rsidR="002A5696" w:rsidRPr="007D2AC6">
        <w:rPr>
          <w:lang w:val="fr-FR"/>
        </w:rPr>
        <w:t>’</w:t>
      </w:r>
      <w:r w:rsidR="004771D6" w:rsidRPr="007D2AC6">
        <w:rPr>
          <w:lang w:val="fr-FR"/>
        </w:rPr>
        <w:t>experts nationaux.</w:t>
      </w:r>
    </w:p>
    <w:p w14:paraId="2180E9AD" w14:textId="4579A845" w:rsidR="00536CA6" w:rsidRPr="007D2AC6" w:rsidRDefault="00536CA6" w:rsidP="004D11AE">
      <w:pPr>
        <w:pStyle w:val="Heading3"/>
        <w:rPr>
          <w:color w:val="auto"/>
        </w:rPr>
      </w:pPr>
      <w:bookmarkStart w:id="29" w:name="_Toc474988791"/>
      <w:bookmarkStart w:id="30" w:name="_Toc478372753"/>
      <w:r w:rsidRPr="007D2AC6">
        <w:rPr>
          <w:color w:val="auto"/>
        </w:rPr>
        <w:t>Manifestations de lancement du projet et formation d</w:t>
      </w:r>
      <w:r w:rsidR="002A5696" w:rsidRPr="007D2AC6">
        <w:rPr>
          <w:color w:val="auto"/>
        </w:rPr>
        <w:t>’</w:t>
      </w:r>
      <w:r w:rsidRPr="007D2AC6">
        <w:rPr>
          <w:color w:val="auto"/>
        </w:rPr>
        <w:t>experts nationaux</w:t>
      </w:r>
      <w:bookmarkEnd w:id="29"/>
      <w:bookmarkEnd w:id="30"/>
    </w:p>
    <w:p w14:paraId="24863D48" w14:textId="77777777" w:rsidR="0059687A" w:rsidRPr="007D2AC6" w:rsidRDefault="0059687A" w:rsidP="00F1587E">
      <w:pPr>
        <w:rPr>
          <w:lang w:val="fr-FR"/>
        </w:rPr>
      </w:pPr>
    </w:p>
    <w:p w14:paraId="3AE9A3AE" w14:textId="1A100FD5" w:rsidR="0059687A" w:rsidRPr="007D2AC6" w:rsidRDefault="004771D6" w:rsidP="00F1587E">
      <w:pPr>
        <w:pStyle w:val="ONUMFS"/>
        <w:rPr>
          <w:lang w:val="fr-FR"/>
        </w:rPr>
      </w:pPr>
      <w:r w:rsidRPr="007D2AC6">
        <w:rPr>
          <w:lang w:val="fr-FR"/>
        </w:rPr>
        <w:t>Une manifestation de lancement, associée à une session de renforcement des capacités à l</w:t>
      </w:r>
      <w:r w:rsidR="002A5696" w:rsidRPr="007D2AC6">
        <w:rPr>
          <w:lang w:val="fr-FR"/>
        </w:rPr>
        <w:t>’</w:t>
      </w:r>
      <w:r w:rsidRPr="007D2AC6">
        <w:rPr>
          <w:lang w:val="fr-FR"/>
        </w:rPr>
        <w:t xml:space="preserve">intention des experts nationaux, a eu lieu le </w:t>
      </w:r>
      <w:r w:rsidR="002A5696" w:rsidRPr="007D2AC6">
        <w:rPr>
          <w:lang w:val="fr-FR"/>
        </w:rPr>
        <w:t>7 avril 20</w:t>
      </w:r>
      <w:r w:rsidRPr="007D2AC6">
        <w:rPr>
          <w:lang w:val="fr-FR"/>
        </w:rPr>
        <w:t xml:space="preserve">15 </w:t>
      </w:r>
      <w:r w:rsidR="00F81C2A" w:rsidRPr="007D2AC6">
        <w:rPr>
          <w:lang w:val="fr-FR"/>
        </w:rPr>
        <w:t>à Buenos Aires et les 3</w:t>
      </w:r>
      <w:r w:rsidR="002A5696" w:rsidRPr="007D2AC6">
        <w:rPr>
          <w:lang w:val="fr-FR"/>
        </w:rPr>
        <w:t>1 mars</w:t>
      </w:r>
      <w:r w:rsidR="00F81C2A" w:rsidRPr="007D2AC6">
        <w:rPr>
          <w:lang w:val="fr-FR"/>
        </w:rPr>
        <w:t xml:space="preserve"> et</w:t>
      </w:r>
      <w:r w:rsidR="002A5696" w:rsidRPr="007D2AC6">
        <w:rPr>
          <w:lang w:val="fr-FR"/>
        </w:rPr>
        <w:t xml:space="preserve"> 1</w:t>
      </w:r>
      <w:r w:rsidR="002A5696" w:rsidRPr="007D2AC6">
        <w:rPr>
          <w:vertAlign w:val="superscript"/>
          <w:lang w:val="fr-FR"/>
        </w:rPr>
        <w:t>er</w:t>
      </w:r>
      <w:r w:rsidR="002A5696" w:rsidRPr="007D2AC6">
        <w:rPr>
          <w:lang w:val="fr-FR"/>
        </w:rPr>
        <w:t> avril 20</w:t>
      </w:r>
      <w:r w:rsidR="00F81C2A" w:rsidRPr="007D2AC6">
        <w:rPr>
          <w:lang w:val="fr-FR"/>
        </w:rPr>
        <w:t>14 à Casablanca, avec 70</w:t>
      </w:r>
      <w:r w:rsidR="00B57560" w:rsidRPr="007D2AC6">
        <w:rPr>
          <w:lang w:val="fr-FR"/>
        </w:rPr>
        <w:t> </w:t>
      </w:r>
      <w:r w:rsidR="00F81C2A" w:rsidRPr="007D2AC6">
        <w:rPr>
          <w:lang w:val="fr-FR"/>
        </w:rPr>
        <w:t>participants environ</w:t>
      </w:r>
      <w:r w:rsidR="00432898" w:rsidRPr="007D2AC6">
        <w:rPr>
          <w:lang w:val="fr-FR"/>
        </w:rPr>
        <w:t>.</w:t>
      </w:r>
    </w:p>
    <w:p w14:paraId="1900F13A" w14:textId="36ED7F58" w:rsidR="0059687A" w:rsidRPr="007D2AC6" w:rsidRDefault="00F81C2A" w:rsidP="00F1587E">
      <w:pPr>
        <w:pStyle w:val="ONUMFS"/>
        <w:rPr>
          <w:lang w:val="fr-FR"/>
        </w:rPr>
      </w:pPr>
      <w:r w:rsidRPr="007D2AC6">
        <w:rPr>
          <w:lang w:val="fr-FR"/>
        </w:rPr>
        <w:t>Le 2</w:t>
      </w:r>
      <w:r w:rsidR="002A5696" w:rsidRPr="007D2AC6">
        <w:rPr>
          <w:lang w:val="fr-FR"/>
        </w:rPr>
        <w:t>7 octobre 20</w:t>
      </w:r>
      <w:r w:rsidR="00853017" w:rsidRPr="007D2AC6">
        <w:rPr>
          <w:lang w:val="fr-FR"/>
        </w:rPr>
        <w:t xml:space="preserve">15, </w:t>
      </w:r>
      <w:r w:rsidRPr="007D2AC6">
        <w:rPr>
          <w:lang w:val="fr-FR"/>
        </w:rPr>
        <w:t>une autre conférence de renforcement des capacités tenue à Casablanca a été jugée très importante par les autorités marocaines</w:t>
      </w:r>
      <w:r w:rsidR="00432898" w:rsidRPr="007D2AC6">
        <w:rPr>
          <w:lang w:val="fr-FR"/>
        </w:rPr>
        <w:t>.</w:t>
      </w:r>
    </w:p>
    <w:p w14:paraId="44EFF0EC" w14:textId="7336ECDE" w:rsidR="0059687A" w:rsidRPr="007D2AC6" w:rsidRDefault="00536CA6" w:rsidP="004D11AE">
      <w:pPr>
        <w:pStyle w:val="Heading3"/>
        <w:rPr>
          <w:color w:val="auto"/>
        </w:rPr>
      </w:pPr>
      <w:bookmarkStart w:id="31" w:name="_Toc478372754"/>
      <w:r w:rsidRPr="007D2AC6">
        <w:rPr>
          <w:color w:val="auto"/>
        </w:rPr>
        <w:t>Soutien direct apporté aux entreprises</w:t>
      </w:r>
      <w:bookmarkEnd w:id="31"/>
    </w:p>
    <w:p w14:paraId="43FA7177" w14:textId="77777777" w:rsidR="0059687A" w:rsidRPr="007D2AC6" w:rsidRDefault="0059687A" w:rsidP="00F1587E">
      <w:pPr>
        <w:rPr>
          <w:u w:val="single"/>
          <w:lang w:val="fr-FR"/>
        </w:rPr>
      </w:pPr>
    </w:p>
    <w:p w14:paraId="2291F133" w14:textId="3D66C1BB" w:rsidR="00F81C2A" w:rsidRPr="007D2AC6" w:rsidRDefault="00F81C2A" w:rsidP="00F1587E">
      <w:pPr>
        <w:pStyle w:val="ONUMFS"/>
        <w:rPr>
          <w:lang w:val="fr-FR"/>
        </w:rPr>
      </w:pPr>
      <w:r w:rsidRPr="007D2AC6">
        <w:rPr>
          <w:lang w:val="fr-FR"/>
        </w:rPr>
        <w:t>À l</w:t>
      </w:r>
      <w:r w:rsidR="002A5696" w:rsidRPr="007D2AC6">
        <w:rPr>
          <w:lang w:val="fr-FR"/>
        </w:rPr>
        <w:t>’</w:t>
      </w:r>
      <w:r w:rsidRPr="007D2AC6">
        <w:rPr>
          <w:lang w:val="fr-FR"/>
        </w:rPr>
        <w:t xml:space="preserve">aide des trousses à outils mises au point </w:t>
      </w:r>
      <w:r w:rsidR="00853937" w:rsidRPr="007D2AC6">
        <w:rPr>
          <w:lang w:val="fr-FR"/>
        </w:rPr>
        <w:t>(</w:t>
      </w:r>
      <w:r w:rsidRPr="007D2AC6">
        <w:rPr>
          <w:lang w:val="fr-FR"/>
        </w:rPr>
        <w:t>voir ci</w:t>
      </w:r>
      <w:r w:rsidR="00B57560" w:rsidRPr="007D2AC6">
        <w:rPr>
          <w:lang w:val="fr-FR"/>
        </w:rPr>
        <w:noBreakHyphen/>
      </w:r>
      <w:r w:rsidRPr="007D2AC6">
        <w:rPr>
          <w:lang w:val="fr-FR"/>
        </w:rPr>
        <w:t>dessus), des experts nationaux du projet ont apporté un soutien direct</w:t>
      </w:r>
      <w:r w:rsidR="002A5696" w:rsidRPr="007D2AC6">
        <w:rPr>
          <w:lang w:val="fr-FR"/>
        </w:rPr>
        <w:t xml:space="preserve"> aux PME</w:t>
      </w:r>
      <w:r w:rsidRPr="007D2AC6">
        <w:rPr>
          <w:lang w:val="fr-FR"/>
        </w:rPr>
        <w:t xml:space="preserve"> bénéficiair</w:t>
      </w:r>
      <w:r w:rsidR="001B6E2D" w:rsidRPr="007D2AC6">
        <w:rPr>
          <w:lang w:val="fr-FR"/>
        </w:rPr>
        <w:t>es.  Pa</w:t>
      </w:r>
      <w:r w:rsidRPr="007D2AC6">
        <w:rPr>
          <w:lang w:val="fr-FR"/>
        </w:rPr>
        <w:t xml:space="preserve">rmi les sujets abordés figuraient les entretiens de </w:t>
      </w:r>
      <w:proofErr w:type="spellStart"/>
      <w:r w:rsidRPr="007D2AC6">
        <w:rPr>
          <w:lang w:val="fr-FR"/>
        </w:rPr>
        <w:t>prédiagnostic</w:t>
      </w:r>
      <w:proofErr w:type="spellEnd"/>
      <w:r w:rsidRPr="007D2AC6">
        <w:rPr>
          <w:lang w:val="fr-FR"/>
        </w:rPr>
        <w:t xml:space="preserve"> et de diagnostic, l</w:t>
      </w:r>
      <w:r w:rsidR="002A5696" w:rsidRPr="007D2AC6">
        <w:rPr>
          <w:lang w:val="fr-FR"/>
        </w:rPr>
        <w:t>’</w:t>
      </w:r>
      <w:r w:rsidRPr="007D2AC6">
        <w:rPr>
          <w:lang w:val="fr-FR"/>
        </w:rPr>
        <w:t>analyse du portefeuille de dessins et modèles, et des conseils sur la stratégie de protection des dessins et modèles, adaptée à chaque entreprise en vue du développement de ses activit</w:t>
      </w:r>
      <w:r w:rsidR="001B6E2D" w:rsidRPr="007D2AC6">
        <w:rPr>
          <w:lang w:val="fr-FR"/>
        </w:rPr>
        <w:t>és.  L’a</w:t>
      </w:r>
      <w:r w:rsidRPr="007D2AC6">
        <w:rPr>
          <w:lang w:val="fr-FR"/>
        </w:rPr>
        <w:t>ssistance a également porté sur les aspects de la gestion en rapport avec la mise en œuvre de la stratégie de protection des dessins et modèles</w:t>
      </w:r>
      <w:r w:rsidRPr="007D2AC6">
        <w:rPr>
          <w:rStyle w:val="FootnoteReference"/>
          <w:lang w:val="fr-FR"/>
        </w:rPr>
        <w:footnoteReference w:id="29"/>
      </w:r>
      <w:r w:rsidR="009F77AF" w:rsidRPr="007D2AC6">
        <w:rPr>
          <w:lang w:val="fr-FR"/>
        </w:rPr>
        <w:t>.</w:t>
      </w:r>
    </w:p>
    <w:p w14:paraId="29BFAE79" w14:textId="488DB8D8" w:rsidR="00F81C2A" w:rsidRPr="007D2AC6" w:rsidRDefault="00F81C2A" w:rsidP="00F1587E">
      <w:pPr>
        <w:pStyle w:val="ONUMFS"/>
        <w:rPr>
          <w:lang w:val="fr-FR"/>
        </w:rPr>
      </w:pPr>
      <w:r w:rsidRPr="007D2AC6">
        <w:rPr>
          <w:lang w:val="fr-FR"/>
        </w:rPr>
        <w:lastRenderedPageBreak/>
        <w:t>Une enquête interne réalisée par le Secrétariat a montré que les entreprises bénéficiaires étaient extrêmement satisfaites du soutien re</w:t>
      </w:r>
      <w:r w:rsidR="001B6E2D" w:rsidRPr="007D2AC6">
        <w:rPr>
          <w:lang w:val="fr-FR"/>
        </w:rPr>
        <w:t>çu.  C’e</w:t>
      </w:r>
      <w:r w:rsidRPr="007D2AC6">
        <w:rPr>
          <w:lang w:val="fr-FR"/>
        </w:rPr>
        <w:t>st ce qu</w:t>
      </w:r>
      <w:r w:rsidR="002A5696" w:rsidRPr="007D2AC6">
        <w:rPr>
          <w:lang w:val="fr-FR"/>
        </w:rPr>
        <w:t>’</w:t>
      </w:r>
      <w:r w:rsidRPr="007D2AC6">
        <w:rPr>
          <w:lang w:val="fr-FR"/>
        </w:rPr>
        <w:t>ont aussi confirmé des entretiens entre les parties prenantes et l</w:t>
      </w:r>
      <w:r w:rsidR="002A5696" w:rsidRPr="007D2AC6">
        <w:rPr>
          <w:lang w:val="fr-FR"/>
        </w:rPr>
        <w:t>’</w:t>
      </w:r>
      <w:r w:rsidRPr="007D2AC6">
        <w:rPr>
          <w:lang w:val="fr-FR"/>
        </w:rPr>
        <w:t>évaluateur.</w:t>
      </w:r>
    </w:p>
    <w:p w14:paraId="30CCFA32" w14:textId="7266A18A" w:rsidR="0059687A" w:rsidRPr="007D2AC6" w:rsidRDefault="00DE7E50" w:rsidP="004D11AE">
      <w:pPr>
        <w:pStyle w:val="Heading3"/>
        <w:rPr>
          <w:color w:val="auto"/>
        </w:rPr>
      </w:pPr>
      <w:bookmarkStart w:id="32" w:name="_Toc478372755"/>
      <w:r w:rsidRPr="007D2AC6">
        <w:rPr>
          <w:color w:val="auto"/>
        </w:rPr>
        <w:t>Manifestations de clôture du projet et récompenses</w:t>
      </w:r>
      <w:bookmarkEnd w:id="32"/>
    </w:p>
    <w:p w14:paraId="42A70AAF" w14:textId="77777777" w:rsidR="0059687A" w:rsidRPr="007D2AC6" w:rsidRDefault="0059687A" w:rsidP="00F1587E">
      <w:pPr>
        <w:rPr>
          <w:u w:val="single"/>
          <w:lang w:val="fr-FR"/>
        </w:rPr>
      </w:pPr>
    </w:p>
    <w:p w14:paraId="5C2F5DDA" w14:textId="4833C804" w:rsidR="00F81C2A" w:rsidRPr="007D2AC6" w:rsidRDefault="00F81C2A" w:rsidP="00F1587E">
      <w:pPr>
        <w:pStyle w:val="ONUMFS"/>
        <w:rPr>
          <w:lang w:val="fr-FR"/>
        </w:rPr>
      </w:pPr>
      <w:r w:rsidRPr="007D2AC6">
        <w:rPr>
          <w:lang w:val="fr-FR"/>
        </w:rPr>
        <w:t xml:space="preserve">Une manifestation de clôture </w:t>
      </w:r>
      <w:r w:rsidR="009F77AF" w:rsidRPr="007D2AC6">
        <w:rPr>
          <w:lang w:val="fr-FR"/>
        </w:rPr>
        <w:t>“</w:t>
      </w:r>
      <w:proofErr w:type="spellStart"/>
      <w:r w:rsidRPr="007D2AC6">
        <w:rPr>
          <w:lang w:val="fr-FR"/>
        </w:rPr>
        <w:t>DiseñAr</w:t>
      </w:r>
      <w:proofErr w:type="spellEnd"/>
      <w:r w:rsidR="009F77AF" w:rsidRPr="007D2AC6">
        <w:rPr>
          <w:lang w:val="fr-FR"/>
        </w:rPr>
        <w:t>”</w:t>
      </w:r>
      <w:r w:rsidRPr="007D2AC6">
        <w:rPr>
          <w:lang w:val="fr-FR"/>
        </w:rPr>
        <w:t xml:space="preserve"> a eu lieu le 2</w:t>
      </w:r>
      <w:r w:rsidR="002A5696" w:rsidRPr="007D2AC6">
        <w:rPr>
          <w:lang w:val="fr-FR"/>
        </w:rPr>
        <w:t>6 novembre 20</w:t>
      </w:r>
      <w:r w:rsidR="00D7700E" w:rsidRPr="007D2AC6">
        <w:rPr>
          <w:lang w:val="fr-FR"/>
        </w:rPr>
        <w:t>15 à Buenos </w:t>
      </w:r>
      <w:r w:rsidRPr="007D2AC6">
        <w:rPr>
          <w:lang w:val="fr-FR"/>
        </w:rPr>
        <w:t>Aires, suivie de l</w:t>
      </w:r>
      <w:r w:rsidR="002A5696" w:rsidRPr="007D2AC6">
        <w:rPr>
          <w:lang w:val="fr-FR"/>
        </w:rPr>
        <w:t>’</w:t>
      </w:r>
      <w:r w:rsidRPr="007D2AC6">
        <w:rPr>
          <w:lang w:val="fr-FR"/>
        </w:rPr>
        <w:t>attribution d</w:t>
      </w:r>
      <w:r w:rsidR="002A5696" w:rsidRPr="007D2AC6">
        <w:rPr>
          <w:lang w:val="fr-FR"/>
        </w:rPr>
        <w:t>’</w:t>
      </w:r>
      <w:r w:rsidRPr="007D2AC6">
        <w:rPr>
          <w:lang w:val="fr-FR"/>
        </w:rPr>
        <w:t>un trophée d</w:t>
      </w:r>
      <w:r w:rsidR="002A5696" w:rsidRPr="007D2AC6">
        <w:rPr>
          <w:lang w:val="fr-FR"/>
        </w:rPr>
        <w:t>’</w:t>
      </w:r>
      <w:r w:rsidRPr="007D2AC6">
        <w:rPr>
          <w:lang w:val="fr-FR"/>
        </w:rPr>
        <w:t>entreprise OMPI</w:t>
      </w:r>
      <w:r w:rsidR="00B74E13" w:rsidRPr="007D2AC6">
        <w:rPr>
          <w:lang w:val="fr-FR"/>
        </w:rPr>
        <w:t xml:space="preserve">, le prix </w:t>
      </w:r>
      <w:r w:rsidR="00544B48" w:rsidRPr="007D2AC6">
        <w:rPr>
          <w:lang w:val="fr-FR"/>
        </w:rPr>
        <w:t xml:space="preserve">de la réflexion sur les dessins et modèles </w:t>
      </w:r>
      <w:r w:rsidR="00D7700E" w:rsidRPr="007D2AC6">
        <w:rPr>
          <w:lang w:val="fr-FR"/>
        </w:rPr>
        <w:t>(</w:t>
      </w:r>
      <w:r w:rsidR="00B74E13" w:rsidRPr="007D2AC6">
        <w:rPr>
          <w:lang w:val="fr-FR"/>
        </w:rPr>
        <w:t xml:space="preserve">Design </w:t>
      </w:r>
      <w:proofErr w:type="spellStart"/>
      <w:r w:rsidR="00B74E13" w:rsidRPr="007D2AC6">
        <w:rPr>
          <w:lang w:val="fr-FR"/>
        </w:rPr>
        <w:t>Thinki</w:t>
      </w:r>
      <w:r w:rsidR="001B6E2D" w:rsidRPr="007D2AC6">
        <w:rPr>
          <w:lang w:val="fr-FR"/>
        </w:rPr>
        <w:t>ng</w:t>
      </w:r>
      <w:proofErr w:type="spellEnd"/>
      <w:r w:rsidR="001B6E2D" w:rsidRPr="007D2AC6">
        <w:rPr>
          <w:lang w:val="fr-FR"/>
        </w:rPr>
        <w:t>).  Au</w:t>
      </w:r>
      <w:r w:rsidR="00B74E13" w:rsidRPr="007D2AC6">
        <w:rPr>
          <w:lang w:val="fr-FR"/>
        </w:rPr>
        <w:t xml:space="preserve"> Maroc, la manifestation de clôture s</w:t>
      </w:r>
      <w:r w:rsidR="002A5696" w:rsidRPr="007D2AC6">
        <w:rPr>
          <w:lang w:val="fr-FR"/>
        </w:rPr>
        <w:t>’</w:t>
      </w:r>
      <w:r w:rsidR="00B74E13" w:rsidRPr="007D2AC6">
        <w:rPr>
          <w:lang w:val="fr-FR"/>
        </w:rPr>
        <w:t>est déroulée le 1</w:t>
      </w:r>
      <w:r w:rsidR="002A5696" w:rsidRPr="007D2AC6">
        <w:rPr>
          <w:lang w:val="fr-FR"/>
        </w:rPr>
        <w:t>7 mai 20</w:t>
      </w:r>
      <w:r w:rsidR="00B74E13" w:rsidRPr="007D2AC6">
        <w:rPr>
          <w:lang w:val="fr-FR"/>
        </w:rPr>
        <w:t xml:space="preserve">16 au cours de la </w:t>
      </w:r>
      <w:r w:rsidR="009F77AF" w:rsidRPr="007D2AC6">
        <w:rPr>
          <w:lang w:val="fr-FR"/>
        </w:rPr>
        <w:t>“</w:t>
      </w:r>
      <w:r w:rsidR="00B74E13" w:rsidRPr="007D2AC6">
        <w:rPr>
          <w:lang w:val="fr-FR"/>
        </w:rPr>
        <w:t>semaine de la propriété intellectuelle de Casablanca</w:t>
      </w:r>
      <w:r w:rsidR="009F77AF" w:rsidRPr="007D2AC6">
        <w:rPr>
          <w:lang w:val="fr-FR"/>
        </w:rPr>
        <w:t>”</w:t>
      </w:r>
      <w:r w:rsidR="00B74E13" w:rsidRPr="007D2AC6">
        <w:rPr>
          <w:lang w:val="fr-FR"/>
        </w:rPr>
        <w:t>, suivie de l</w:t>
      </w:r>
      <w:r w:rsidR="002A5696" w:rsidRPr="007D2AC6">
        <w:rPr>
          <w:lang w:val="fr-FR"/>
        </w:rPr>
        <w:t>’</w:t>
      </w:r>
      <w:r w:rsidR="00B74E13" w:rsidRPr="007D2AC6">
        <w:rPr>
          <w:lang w:val="fr-FR"/>
        </w:rPr>
        <w:t xml:space="preserve">attribution du prix africain du dessin </w:t>
      </w:r>
      <w:r w:rsidR="00972890" w:rsidRPr="007D2AC6">
        <w:rPr>
          <w:lang w:val="fr-FR"/>
        </w:rPr>
        <w:t>(</w:t>
      </w:r>
      <w:proofErr w:type="spellStart"/>
      <w:r w:rsidR="00B74E13" w:rsidRPr="007D2AC6">
        <w:rPr>
          <w:lang w:val="fr-FR"/>
        </w:rPr>
        <w:t>Africa</w:t>
      </w:r>
      <w:proofErr w:type="spellEnd"/>
      <w:r w:rsidR="00B74E13" w:rsidRPr="007D2AC6">
        <w:rPr>
          <w:lang w:val="fr-FR"/>
        </w:rPr>
        <w:t xml:space="preserve"> Design </w:t>
      </w:r>
      <w:proofErr w:type="spellStart"/>
      <w:r w:rsidR="00B74E13" w:rsidRPr="007D2AC6">
        <w:rPr>
          <w:lang w:val="fr-FR"/>
        </w:rPr>
        <w:t>Award</w:t>
      </w:r>
      <w:proofErr w:type="spellEnd"/>
      <w:r w:rsidR="00B74E13" w:rsidRPr="007D2AC6">
        <w:rPr>
          <w:lang w:val="fr-FR"/>
        </w:rPr>
        <w:t>).</w:t>
      </w:r>
    </w:p>
    <w:p w14:paraId="52B45846" w14:textId="36F1BB31" w:rsidR="0059687A" w:rsidRPr="007D2AC6" w:rsidRDefault="00536CA6" w:rsidP="004D11AE">
      <w:pPr>
        <w:pStyle w:val="Heading3"/>
        <w:rPr>
          <w:color w:val="auto"/>
        </w:rPr>
      </w:pPr>
      <w:bookmarkStart w:id="33" w:name="_Toc478372756"/>
      <w:r w:rsidRPr="007D2AC6">
        <w:rPr>
          <w:color w:val="auto"/>
        </w:rPr>
        <w:t>Sensibilisation à l</w:t>
      </w:r>
      <w:r w:rsidR="002A5696" w:rsidRPr="007D2AC6">
        <w:rPr>
          <w:color w:val="auto"/>
        </w:rPr>
        <w:t>’</w:t>
      </w:r>
      <w:r w:rsidRPr="007D2AC6">
        <w:rPr>
          <w:color w:val="auto"/>
        </w:rPr>
        <w:t>échelon</w:t>
      </w:r>
      <w:r w:rsidR="00120364" w:rsidRPr="007D2AC6">
        <w:rPr>
          <w:color w:val="auto"/>
        </w:rPr>
        <w:t xml:space="preserve"> international</w:t>
      </w:r>
      <w:bookmarkEnd w:id="33"/>
    </w:p>
    <w:p w14:paraId="6BAB5509" w14:textId="77777777" w:rsidR="0059687A" w:rsidRPr="007D2AC6" w:rsidRDefault="0059687A" w:rsidP="00F1587E">
      <w:pPr>
        <w:rPr>
          <w:lang w:val="fr-FR"/>
        </w:rPr>
      </w:pPr>
    </w:p>
    <w:p w14:paraId="7864328A" w14:textId="4ADC8126" w:rsidR="00544B48" w:rsidRPr="007D2AC6" w:rsidRDefault="00544B48" w:rsidP="00F1587E">
      <w:pPr>
        <w:pStyle w:val="ONUMFS"/>
        <w:rPr>
          <w:lang w:val="fr-FR"/>
        </w:rPr>
      </w:pPr>
      <w:r w:rsidRPr="007D2AC6">
        <w:rPr>
          <w:lang w:val="fr-FR"/>
        </w:rPr>
        <w:t>Une exposition de dessins et modèles en Argentine et au Maroc, “Libérer le potentiel des pays en matière de dessins et modèles</w:t>
      </w:r>
      <w:r w:rsidR="002A5696" w:rsidRPr="007D2AC6">
        <w:rPr>
          <w:lang w:val="fr-FR"/>
        </w:rPr>
        <w:t> </w:t>
      </w:r>
      <w:proofErr w:type="gramStart"/>
      <w:r w:rsidR="002A5696" w:rsidRPr="007D2AC6">
        <w:rPr>
          <w:lang w:val="fr-FR"/>
        </w:rPr>
        <w:t>:</w:t>
      </w:r>
      <w:r w:rsidRPr="007D2AC6">
        <w:rPr>
          <w:lang w:val="fr-FR"/>
        </w:rPr>
        <w:t xml:space="preserve"> Investir</w:t>
      </w:r>
      <w:proofErr w:type="gramEnd"/>
      <w:r w:rsidRPr="007D2AC6">
        <w:rPr>
          <w:lang w:val="fr-FR"/>
        </w:rPr>
        <w:t xml:space="preserve"> dans l</w:t>
      </w:r>
      <w:r w:rsidR="002A5696" w:rsidRPr="007D2AC6">
        <w:rPr>
          <w:lang w:val="fr-FR"/>
        </w:rPr>
        <w:t>’</w:t>
      </w:r>
      <w:r w:rsidRPr="007D2AC6">
        <w:rPr>
          <w:lang w:val="fr-FR"/>
        </w:rPr>
        <w:t>innovation à l</w:t>
      </w:r>
      <w:r w:rsidR="002A5696" w:rsidRPr="007D2AC6">
        <w:rPr>
          <w:lang w:val="fr-FR"/>
        </w:rPr>
        <w:t>’</w:t>
      </w:r>
      <w:r w:rsidRPr="007D2AC6">
        <w:rPr>
          <w:lang w:val="fr-FR"/>
        </w:rPr>
        <w:t>échelle nationale par le biais des dessins et modèles et dans l</w:t>
      </w:r>
      <w:r w:rsidR="002A5696" w:rsidRPr="007D2AC6">
        <w:rPr>
          <w:lang w:val="fr-FR"/>
        </w:rPr>
        <w:t>’</w:t>
      </w:r>
      <w:r w:rsidRPr="007D2AC6">
        <w:rPr>
          <w:lang w:val="fr-FR"/>
        </w:rPr>
        <w:t>utilisation stratégique des droits sur les dessins et modèles”, a été inaugurée le 1</w:t>
      </w:r>
      <w:r w:rsidR="002A5696" w:rsidRPr="007D2AC6">
        <w:rPr>
          <w:lang w:val="fr-FR"/>
        </w:rPr>
        <w:t>6 novembre 20</w:t>
      </w:r>
      <w:r w:rsidRPr="007D2AC6">
        <w:rPr>
          <w:lang w:val="fr-FR"/>
        </w:rPr>
        <w:t>16 à Genève.</w:t>
      </w:r>
    </w:p>
    <w:p w14:paraId="63DBFA55" w14:textId="7B879642" w:rsidR="0059687A" w:rsidRPr="007D2AC6" w:rsidRDefault="00544B48" w:rsidP="00DE7E50">
      <w:pPr>
        <w:pStyle w:val="ONUMFS"/>
        <w:rPr>
          <w:lang w:val="fr-FR"/>
        </w:rPr>
      </w:pPr>
      <w:r w:rsidRPr="007D2AC6">
        <w:rPr>
          <w:lang w:val="fr-FR"/>
        </w:rPr>
        <w:t xml:space="preserve">En </w:t>
      </w:r>
      <w:r w:rsidR="002A5696" w:rsidRPr="007D2AC6">
        <w:rPr>
          <w:lang w:val="fr-FR"/>
        </w:rPr>
        <w:t>novembre 20</w:t>
      </w:r>
      <w:r w:rsidR="00DE7E50" w:rsidRPr="007D2AC6">
        <w:rPr>
          <w:lang w:val="fr-FR"/>
        </w:rPr>
        <w:t xml:space="preserve">16, </w:t>
      </w:r>
      <w:r w:rsidRPr="007D2AC6">
        <w:rPr>
          <w:lang w:val="fr-FR"/>
        </w:rPr>
        <w:t xml:space="preserve">le projet a organisé un atelier </w:t>
      </w:r>
      <w:proofErr w:type="spellStart"/>
      <w:r w:rsidRPr="007D2AC6">
        <w:rPr>
          <w:lang w:val="fr-FR"/>
        </w:rPr>
        <w:t>interpays</w:t>
      </w:r>
      <w:proofErr w:type="spellEnd"/>
      <w:r w:rsidRPr="007D2AC6">
        <w:rPr>
          <w:lang w:val="fr-FR"/>
        </w:rPr>
        <w:t xml:space="preserve"> de partage de connaissances </w:t>
      </w:r>
      <w:r w:rsidR="00D7700E" w:rsidRPr="007D2AC6">
        <w:rPr>
          <w:lang w:val="fr-FR"/>
        </w:rPr>
        <w:t>(</w:t>
      </w:r>
      <w:r w:rsidRPr="007D2AC6">
        <w:rPr>
          <w:lang w:val="fr-FR"/>
        </w:rPr>
        <w:t>avec la participation des équipes des deux</w:t>
      </w:r>
      <w:r w:rsidR="009F77AF" w:rsidRPr="007D2AC6">
        <w:rPr>
          <w:lang w:val="fr-FR"/>
        </w:rPr>
        <w:t> </w:t>
      </w:r>
      <w:r w:rsidRPr="007D2AC6">
        <w:rPr>
          <w:lang w:val="fr-FR"/>
        </w:rPr>
        <w:t xml:space="preserve">pays en charge du projet), une exposition de dessins et modèles et une manifestation tenue en marge de la </w:t>
      </w:r>
      <w:r w:rsidR="006F2775" w:rsidRPr="007D2AC6">
        <w:rPr>
          <w:lang w:val="fr-FR"/>
        </w:rPr>
        <w:t>trente</w:t>
      </w:r>
      <w:r w:rsidR="006F2775" w:rsidRPr="007D2AC6">
        <w:rPr>
          <w:lang w:val="fr-FR"/>
        </w:rPr>
        <w:noBreakHyphen/>
        <w:t>quatrième</w:t>
      </w:r>
      <w:r w:rsidR="00B57560" w:rsidRPr="007D2AC6">
        <w:rPr>
          <w:lang w:val="fr-FR"/>
        </w:rPr>
        <w:t> </w:t>
      </w:r>
      <w:r w:rsidRPr="007D2AC6">
        <w:rPr>
          <w:lang w:val="fr-FR"/>
        </w:rPr>
        <w:t>session du</w:t>
      </w:r>
      <w:r w:rsidRPr="007D2AC6">
        <w:rPr>
          <w:rFonts w:ascii="Segoe UI" w:hAnsi="Segoe UI" w:cs="Segoe UI"/>
          <w:sz w:val="20"/>
          <w:lang w:val="fr-FR"/>
        </w:rPr>
        <w:t xml:space="preserve"> </w:t>
      </w:r>
      <w:r w:rsidR="00DE7E50" w:rsidRPr="007D2AC6">
        <w:rPr>
          <w:lang w:val="fr-FR"/>
        </w:rPr>
        <w:t xml:space="preserve">Comité permanent du droit des marques, des dessins et modèles industriels et des indications géographiques </w:t>
      </w:r>
      <w:r w:rsidR="00972890" w:rsidRPr="007D2AC6">
        <w:rPr>
          <w:lang w:val="fr-FR"/>
        </w:rPr>
        <w:t>(</w:t>
      </w:r>
      <w:proofErr w:type="spellStart"/>
      <w:r w:rsidR="00DE7E50" w:rsidRPr="007D2AC6">
        <w:rPr>
          <w:lang w:val="fr-FR"/>
        </w:rPr>
        <w:t>SCT</w:t>
      </w:r>
      <w:proofErr w:type="spellEnd"/>
      <w:r w:rsidR="00DE7E50" w:rsidRPr="007D2AC6">
        <w:rPr>
          <w:lang w:val="fr-FR"/>
        </w:rPr>
        <w:t>)</w:t>
      </w:r>
      <w:r w:rsidRPr="007D2AC6">
        <w:rPr>
          <w:lang w:val="fr-FR"/>
        </w:rPr>
        <w:t>.</w:t>
      </w:r>
    </w:p>
    <w:p w14:paraId="18654576" w14:textId="6CB55215" w:rsidR="0059687A" w:rsidRPr="007D2AC6" w:rsidRDefault="00DE7E50" w:rsidP="00DE7E50">
      <w:pPr>
        <w:pStyle w:val="ONUMFS"/>
        <w:rPr>
          <w:lang w:val="fr-FR"/>
        </w:rPr>
      </w:pPr>
      <w:r w:rsidRPr="007D2AC6">
        <w:rPr>
          <w:lang w:val="fr-FR"/>
        </w:rPr>
        <w:t>Lors d</w:t>
      </w:r>
      <w:r w:rsidR="002A5696" w:rsidRPr="007D2AC6">
        <w:rPr>
          <w:lang w:val="fr-FR"/>
        </w:rPr>
        <w:t>’</w:t>
      </w:r>
      <w:r w:rsidRPr="007D2AC6">
        <w:rPr>
          <w:lang w:val="fr-FR"/>
        </w:rPr>
        <w:t>une manifestation tenue en marge de la trente</w:t>
      </w:r>
      <w:r w:rsidR="00B57560" w:rsidRPr="007D2AC6">
        <w:rPr>
          <w:lang w:val="fr-FR"/>
        </w:rPr>
        <w:noBreakHyphen/>
      </w:r>
      <w:r w:rsidRPr="007D2AC6">
        <w:rPr>
          <w:lang w:val="fr-FR"/>
        </w:rPr>
        <w:t>quatr</w:t>
      </w:r>
      <w:r w:rsidR="002A5696" w:rsidRPr="007D2AC6">
        <w:rPr>
          <w:lang w:val="fr-FR"/>
        </w:rPr>
        <w:t>ième session du </w:t>
      </w:r>
      <w:proofErr w:type="spellStart"/>
      <w:r w:rsidR="002A5696" w:rsidRPr="007D2AC6">
        <w:rPr>
          <w:lang w:val="fr-FR"/>
        </w:rPr>
        <w:t>SCT</w:t>
      </w:r>
      <w:proofErr w:type="spellEnd"/>
      <w:r w:rsidRPr="007D2AC6">
        <w:rPr>
          <w:lang w:val="fr-FR"/>
        </w:rPr>
        <w:t>, le 1</w:t>
      </w:r>
      <w:r w:rsidR="002A5696" w:rsidRPr="007D2AC6">
        <w:rPr>
          <w:lang w:val="fr-FR"/>
        </w:rPr>
        <w:t>7 novembre 20</w:t>
      </w:r>
      <w:r w:rsidRPr="007D2AC6">
        <w:rPr>
          <w:lang w:val="fr-FR"/>
        </w:rPr>
        <w:t>16, le Secrétariat, les délégations d</w:t>
      </w:r>
      <w:r w:rsidR="002A5696" w:rsidRPr="007D2AC6">
        <w:rPr>
          <w:lang w:val="fr-FR"/>
        </w:rPr>
        <w:t>’</w:t>
      </w:r>
      <w:r w:rsidRPr="007D2AC6">
        <w:rPr>
          <w:lang w:val="fr-FR"/>
        </w:rPr>
        <w:t>Argentine et du Maroc et les équipes nationales chargées du projet ont présenté le projet pilote et des études de cas des deux</w:t>
      </w:r>
      <w:r w:rsidR="009F77AF" w:rsidRPr="007D2AC6">
        <w:rPr>
          <w:lang w:val="fr-FR"/>
        </w:rPr>
        <w:t> </w:t>
      </w:r>
      <w:r w:rsidRPr="007D2AC6">
        <w:rPr>
          <w:lang w:val="fr-FR"/>
        </w:rPr>
        <w:t>pays aux États membres.</w:t>
      </w:r>
    </w:p>
    <w:p w14:paraId="7B027C42" w14:textId="17F574B3" w:rsidR="00544B48" w:rsidRPr="007D2AC6" w:rsidRDefault="00544B48" w:rsidP="00F1587E">
      <w:pPr>
        <w:pStyle w:val="ONUMFS"/>
        <w:rPr>
          <w:lang w:val="fr-FR"/>
        </w:rPr>
      </w:pPr>
      <w:r w:rsidRPr="007D2AC6">
        <w:rPr>
          <w:lang w:val="fr-FR"/>
        </w:rPr>
        <w:t>Outre les avantages découlant d</w:t>
      </w:r>
      <w:r w:rsidR="002A5696" w:rsidRPr="007D2AC6">
        <w:rPr>
          <w:lang w:val="fr-FR"/>
        </w:rPr>
        <w:t>’</w:t>
      </w:r>
      <w:r w:rsidRPr="007D2AC6">
        <w:rPr>
          <w:lang w:val="fr-FR"/>
        </w:rPr>
        <w:t>une visibilité accrue et d</w:t>
      </w:r>
      <w:r w:rsidR="002A5696" w:rsidRPr="007D2AC6">
        <w:rPr>
          <w:lang w:val="fr-FR"/>
        </w:rPr>
        <w:t>’</w:t>
      </w:r>
      <w:r w:rsidRPr="007D2AC6">
        <w:rPr>
          <w:lang w:val="fr-FR"/>
        </w:rPr>
        <w:t>une meilleure information, les participants ont apprécié les échanges avec leurs collègues de l</w:t>
      </w:r>
      <w:r w:rsidR="002A5696" w:rsidRPr="007D2AC6">
        <w:rPr>
          <w:lang w:val="fr-FR"/>
        </w:rPr>
        <w:t>’</w:t>
      </w:r>
      <w:r w:rsidRPr="007D2AC6">
        <w:rPr>
          <w:lang w:val="fr-FR"/>
        </w:rPr>
        <w:t>autre pays bénéficiaire.</w:t>
      </w:r>
    </w:p>
    <w:p w14:paraId="2E0A037B" w14:textId="76EE0E8C" w:rsidR="0059687A" w:rsidRPr="007D2AC6" w:rsidRDefault="00536CA6" w:rsidP="004D11AE">
      <w:pPr>
        <w:pStyle w:val="Heading3"/>
        <w:rPr>
          <w:color w:val="auto"/>
        </w:rPr>
      </w:pPr>
      <w:bookmarkStart w:id="34" w:name="_Toc478372757"/>
      <w:r w:rsidRPr="007D2AC6">
        <w:rPr>
          <w:color w:val="auto"/>
        </w:rPr>
        <w:t>Premiers résultats observés</w:t>
      </w:r>
      <w:bookmarkEnd w:id="34"/>
    </w:p>
    <w:p w14:paraId="51345807" w14:textId="77777777" w:rsidR="0059687A" w:rsidRPr="007D2AC6" w:rsidRDefault="0059687A" w:rsidP="00F1587E">
      <w:pPr>
        <w:rPr>
          <w:lang w:val="fr-FR"/>
        </w:rPr>
      </w:pPr>
    </w:p>
    <w:p w14:paraId="4E7985C2" w14:textId="0CD60362" w:rsidR="00544B48" w:rsidRPr="007D2AC6" w:rsidRDefault="00544B48" w:rsidP="00F1587E">
      <w:pPr>
        <w:pStyle w:val="ONUMFS"/>
        <w:rPr>
          <w:lang w:val="fr-FR"/>
        </w:rPr>
      </w:pPr>
      <w:r w:rsidRPr="007D2AC6">
        <w:rPr>
          <w:lang w:val="fr-FR"/>
        </w:rPr>
        <w:t>Le projet semble avoir accru la visibilité et obtenu un effet de démonstration auprès des principales parties prenantes des deux</w:t>
      </w:r>
      <w:r w:rsidR="009F77AF" w:rsidRPr="007D2AC6">
        <w:rPr>
          <w:lang w:val="fr-FR"/>
        </w:rPr>
        <w:t> </w:t>
      </w:r>
      <w:r w:rsidRPr="007D2AC6">
        <w:rPr>
          <w:lang w:val="fr-FR"/>
        </w:rPr>
        <w:t>pays bénéficiair</w:t>
      </w:r>
      <w:r w:rsidR="001B6E2D" w:rsidRPr="007D2AC6">
        <w:rPr>
          <w:lang w:val="fr-FR"/>
        </w:rPr>
        <w:t>es.  Le</w:t>
      </w:r>
      <w:r w:rsidRPr="007D2AC6">
        <w:rPr>
          <w:lang w:val="fr-FR"/>
        </w:rPr>
        <w:t>s deux</w:t>
      </w:r>
      <w:r w:rsidR="009F77AF" w:rsidRPr="007D2AC6">
        <w:rPr>
          <w:lang w:val="fr-FR"/>
        </w:rPr>
        <w:t> </w:t>
      </w:r>
      <w:r w:rsidRPr="007D2AC6">
        <w:rPr>
          <w:lang w:val="fr-FR"/>
        </w:rPr>
        <w:t>offices de propriété intellectuelle ont souligné le fait que le projet a resserré les liens avec les principaux utilisateurs de propriété intellectuelle</w:t>
      </w:r>
      <w:r w:rsidR="003E2EAE" w:rsidRPr="007D2AC6">
        <w:rPr>
          <w:lang w:val="fr-FR"/>
        </w:rPr>
        <w:t>, notamment au travers des relations établies lors des différentes manifestatio</w:t>
      </w:r>
      <w:r w:rsidR="001B6E2D" w:rsidRPr="007D2AC6">
        <w:rPr>
          <w:lang w:val="fr-FR"/>
        </w:rPr>
        <w:t>ns.  Le</w:t>
      </w:r>
      <w:r w:rsidR="003E2EAE" w:rsidRPr="007D2AC6">
        <w:rPr>
          <w:lang w:val="fr-FR"/>
        </w:rPr>
        <w:t>s actions de sensibilisation semblent avoir été fructueuses dans la mesure où elles ont informé les titulaires de droits des avantages découlant de la protection de leurs dessins et modèles grâce à leur enregistrement.</w:t>
      </w:r>
    </w:p>
    <w:p w14:paraId="4036D395" w14:textId="1CF45656" w:rsidR="003E2EAE" w:rsidRPr="007D2AC6" w:rsidRDefault="003E2EAE" w:rsidP="00F1587E">
      <w:pPr>
        <w:pStyle w:val="ONUMFS"/>
        <w:rPr>
          <w:lang w:val="fr-FR"/>
        </w:rPr>
      </w:pPr>
      <w:r w:rsidRPr="007D2AC6">
        <w:rPr>
          <w:lang w:val="fr-FR"/>
        </w:rPr>
        <w:t>Au cours du projet, l</w:t>
      </w:r>
      <w:r w:rsidR="002A5696" w:rsidRPr="007D2AC6">
        <w:rPr>
          <w:lang w:val="fr-FR"/>
        </w:rPr>
        <w:t>’</w:t>
      </w:r>
      <w:r w:rsidRPr="007D2AC6">
        <w:rPr>
          <w:lang w:val="fr-FR"/>
        </w:rPr>
        <w:t>enregistrement de dessins et modèles dans les deux</w:t>
      </w:r>
      <w:r w:rsidR="009F77AF" w:rsidRPr="007D2AC6">
        <w:rPr>
          <w:lang w:val="fr-FR"/>
        </w:rPr>
        <w:t> </w:t>
      </w:r>
      <w:r w:rsidR="00D7700E" w:rsidRPr="007D2AC6">
        <w:rPr>
          <w:lang w:val="fr-FR"/>
        </w:rPr>
        <w:t>pays a augmenté entre 2015 et </w:t>
      </w:r>
      <w:r w:rsidRPr="007D2AC6">
        <w:rPr>
          <w:lang w:val="fr-FR"/>
        </w:rPr>
        <w:t xml:space="preserve">2016.  </w:t>
      </w:r>
      <w:r w:rsidR="002A5696" w:rsidRPr="007D2AC6">
        <w:rPr>
          <w:lang w:val="fr-FR"/>
        </w:rPr>
        <w:t>En 2016</w:t>
      </w:r>
      <w:r w:rsidRPr="007D2AC6">
        <w:rPr>
          <w:lang w:val="fr-FR"/>
        </w:rPr>
        <w:t>, 45</w:t>
      </w:r>
      <w:r w:rsidR="00B57560" w:rsidRPr="007D2AC6">
        <w:rPr>
          <w:lang w:val="fr-FR"/>
        </w:rPr>
        <w:t> </w:t>
      </w:r>
      <w:r w:rsidRPr="007D2AC6">
        <w:rPr>
          <w:lang w:val="fr-FR"/>
        </w:rPr>
        <w:t xml:space="preserve">enregistrements ont été effectués en Argentine contre 40 </w:t>
      </w:r>
      <w:r w:rsidR="002A5696" w:rsidRPr="007D2AC6">
        <w:rPr>
          <w:lang w:val="fr-FR"/>
        </w:rPr>
        <w:t>en 2015</w:t>
      </w:r>
      <w:r w:rsidRPr="007D2AC6">
        <w:rPr>
          <w:lang w:val="fr-FR"/>
        </w:rPr>
        <w:t>, tandis qu</w:t>
      </w:r>
      <w:r w:rsidR="002A5696" w:rsidRPr="007D2AC6">
        <w:rPr>
          <w:lang w:val="fr-FR"/>
        </w:rPr>
        <w:t>’</w:t>
      </w:r>
      <w:r w:rsidRPr="007D2AC6">
        <w:rPr>
          <w:lang w:val="fr-FR"/>
        </w:rPr>
        <w:t>au Maroc ces chiffres étai</w:t>
      </w:r>
      <w:r w:rsidR="00276C7D" w:rsidRPr="007D2AC6">
        <w:rPr>
          <w:lang w:val="fr-FR"/>
        </w:rPr>
        <w:t>en</w:t>
      </w:r>
      <w:r w:rsidR="00D7700E" w:rsidRPr="007D2AC6">
        <w:rPr>
          <w:lang w:val="fr-FR"/>
        </w:rPr>
        <w:t>t de 119 contre </w:t>
      </w:r>
      <w:r w:rsidRPr="007D2AC6">
        <w:rPr>
          <w:lang w:val="fr-FR"/>
        </w:rPr>
        <w:t xml:space="preserve">77. </w:t>
      </w:r>
      <w:r w:rsidR="00796C9B" w:rsidRPr="007D2AC6">
        <w:rPr>
          <w:lang w:val="fr-FR"/>
        </w:rPr>
        <w:t xml:space="preserve"> </w:t>
      </w:r>
      <w:r w:rsidRPr="007D2AC6">
        <w:rPr>
          <w:lang w:val="fr-FR"/>
        </w:rPr>
        <w:t>En Argentine, le nombre d</w:t>
      </w:r>
      <w:r w:rsidR="002A5696" w:rsidRPr="007D2AC6">
        <w:rPr>
          <w:lang w:val="fr-FR"/>
        </w:rPr>
        <w:t>’</w:t>
      </w:r>
      <w:r w:rsidRPr="007D2AC6">
        <w:rPr>
          <w:lang w:val="fr-FR"/>
        </w:rPr>
        <w:t>enregistremen</w:t>
      </w:r>
      <w:r w:rsidR="00D7700E" w:rsidRPr="007D2AC6">
        <w:rPr>
          <w:lang w:val="fr-FR"/>
        </w:rPr>
        <w:t>ts de marques est passé de 29 à </w:t>
      </w:r>
      <w:r w:rsidRPr="007D2AC6">
        <w:rPr>
          <w:lang w:val="fr-FR"/>
        </w:rPr>
        <w:t xml:space="preserve">41 </w:t>
      </w:r>
      <w:r w:rsidR="00853937" w:rsidRPr="007D2AC6">
        <w:rPr>
          <w:lang w:val="fr-FR"/>
        </w:rPr>
        <w:t>(</w:t>
      </w:r>
      <w:r w:rsidRPr="007D2AC6">
        <w:rPr>
          <w:lang w:val="fr-FR"/>
        </w:rPr>
        <w:t>on ne dispose pas encore des chiffres correspondants au Maroc)</w:t>
      </w:r>
      <w:r w:rsidRPr="007D2AC6">
        <w:rPr>
          <w:rStyle w:val="FootnoteReference"/>
          <w:lang w:val="fr-FR"/>
        </w:rPr>
        <w:footnoteReference w:id="30"/>
      </w:r>
      <w:r w:rsidR="009F77AF" w:rsidRPr="007D2AC6">
        <w:rPr>
          <w:lang w:val="fr-FR"/>
        </w:rPr>
        <w:t>.</w:t>
      </w:r>
      <w:r w:rsidRPr="007D2AC6">
        <w:rPr>
          <w:lang w:val="fr-FR"/>
        </w:rPr>
        <w:t xml:space="preserve">  Les statistiques sur deux</w:t>
      </w:r>
      <w:r w:rsidR="009F77AF" w:rsidRPr="007D2AC6">
        <w:rPr>
          <w:lang w:val="fr-FR"/>
        </w:rPr>
        <w:t> </w:t>
      </w:r>
      <w:r w:rsidRPr="007D2AC6">
        <w:rPr>
          <w:lang w:val="fr-FR"/>
        </w:rPr>
        <w:t>ans ne permettent pas de dégager une tendance nette, mais elles peuvent indiquer que la sensibilisation et le soutien apporté par le projet ont incité les entreprises à protéger leurs dessins et modèles.</w:t>
      </w:r>
    </w:p>
    <w:p w14:paraId="7C102CE2" w14:textId="2AD94A4F" w:rsidR="0059687A" w:rsidRPr="007D2AC6" w:rsidRDefault="00DE7E50" w:rsidP="004D11AE">
      <w:pPr>
        <w:pStyle w:val="Heading3"/>
        <w:rPr>
          <w:color w:val="auto"/>
        </w:rPr>
      </w:pPr>
      <w:bookmarkStart w:id="35" w:name="_Toc478372758"/>
      <w:r w:rsidRPr="007D2AC6">
        <w:rPr>
          <w:color w:val="auto"/>
        </w:rPr>
        <w:lastRenderedPageBreak/>
        <w:t>Impact</w:t>
      </w:r>
      <w:bookmarkEnd w:id="35"/>
    </w:p>
    <w:p w14:paraId="1396D117" w14:textId="77777777" w:rsidR="0059687A" w:rsidRPr="007D2AC6" w:rsidRDefault="0059687A" w:rsidP="00F1587E">
      <w:pPr>
        <w:rPr>
          <w:lang w:val="fr-FR"/>
        </w:rPr>
      </w:pPr>
    </w:p>
    <w:p w14:paraId="0758D3A0" w14:textId="1BA26374" w:rsidR="002A5696" w:rsidRPr="007D2AC6" w:rsidRDefault="003E2EAE" w:rsidP="00F1587E">
      <w:pPr>
        <w:pStyle w:val="ONUMFS"/>
        <w:rPr>
          <w:lang w:val="fr-FR"/>
        </w:rPr>
      </w:pPr>
      <w:r w:rsidRPr="007D2AC6">
        <w:rPr>
          <w:lang w:val="fr-FR"/>
        </w:rPr>
        <w:t>Il est prématuré d</w:t>
      </w:r>
      <w:r w:rsidR="002A5696" w:rsidRPr="007D2AC6">
        <w:rPr>
          <w:lang w:val="fr-FR"/>
        </w:rPr>
        <w:t>’</w:t>
      </w:r>
      <w:r w:rsidRPr="007D2AC6">
        <w:rPr>
          <w:lang w:val="fr-FR"/>
        </w:rPr>
        <w:t>évaluer les résultats au niveau des impacts</w:t>
      </w:r>
      <w:r w:rsidR="009C5AE9" w:rsidRPr="007D2AC6">
        <w:rPr>
          <w:lang w:val="fr-FR"/>
        </w:rPr>
        <w:t>.</w:t>
      </w:r>
    </w:p>
    <w:p w14:paraId="61CA6FFE" w14:textId="6A115866" w:rsidR="0059687A" w:rsidRPr="007D2AC6" w:rsidRDefault="00DE7E50" w:rsidP="00DE7E50">
      <w:pPr>
        <w:pStyle w:val="Heading2"/>
        <w:rPr>
          <w:lang w:val="fr-FR"/>
        </w:rPr>
      </w:pPr>
      <w:bookmarkStart w:id="36" w:name="_Toc478372759"/>
      <w:r w:rsidRPr="007D2AC6">
        <w:rPr>
          <w:lang w:val="fr-FR"/>
        </w:rPr>
        <w:t>D)</w:t>
      </w:r>
      <w:r w:rsidRPr="007D2AC6">
        <w:rPr>
          <w:lang w:val="fr-FR"/>
        </w:rPr>
        <w:tab/>
        <w:t>E</w:t>
      </w:r>
      <w:r w:rsidR="00D7700E" w:rsidRPr="007D2AC6">
        <w:rPr>
          <w:lang w:val="fr-FR"/>
        </w:rPr>
        <w:t>fficience</w:t>
      </w:r>
      <w:bookmarkEnd w:id="36"/>
    </w:p>
    <w:p w14:paraId="1834A30E" w14:textId="1CE8DCD2" w:rsidR="0059687A" w:rsidRPr="007D2AC6" w:rsidRDefault="001F05C4" w:rsidP="00917E82">
      <w:pPr>
        <w:pStyle w:val="Heading3"/>
        <w:numPr>
          <w:ilvl w:val="0"/>
          <w:numId w:val="48"/>
        </w:numPr>
        <w:ind w:left="1701" w:hanging="567"/>
        <w:rPr>
          <w:color w:val="auto"/>
        </w:rPr>
      </w:pPr>
      <w:bookmarkStart w:id="37" w:name="_Toc478372760"/>
      <w:r w:rsidRPr="007D2AC6">
        <w:rPr>
          <w:color w:val="auto"/>
        </w:rPr>
        <w:t>Exécution financière</w:t>
      </w:r>
      <w:bookmarkEnd w:id="37"/>
    </w:p>
    <w:p w14:paraId="3660006A" w14:textId="77777777" w:rsidR="0059687A" w:rsidRPr="007D2AC6" w:rsidRDefault="0059687A" w:rsidP="00F1587E">
      <w:pPr>
        <w:rPr>
          <w:lang w:val="fr-FR"/>
        </w:rPr>
      </w:pPr>
    </w:p>
    <w:p w14:paraId="4ABB4987" w14:textId="58DC0FAD" w:rsidR="0059687A" w:rsidRPr="007D2AC6" w:rsidRDefault="00BA51BC" w:rsidP="00F1587E">
      <w:pPr>
        <w:pStyle w:val="ONUMFS"/>
        <w:rPr>
          <w:lang w:val="fr-FR"/>
        </w:rPr>
      </w:pPr>
      <w:r w:rsidRPr="007D2AC6">
        <w:rPr>
          <w:lang w:val="fr-FR"/>
        </w:rPr>
        <w:t>D</w:t>
      </w:r>
      <w:r w:rsidR="002A5696" w:rsidRPr="007D2AC6">
        <w:rPr>
          <w:lang w:val="fr-FR"/>
        </w:rPr>
        <w:t>’</w:t>
      </w:r>
      <w:r w:rsidRPr="007D2AC6">
        <w:rPr>
          <w:lang w:val="fr-FR"/>
        </w:rPr>
        <w:t xml:space="preserve">après le dernier rapport financier officiel daté de fin </w:t>
      </w:r>
      <w:r w:rsidR="002A5696" w:rsidRPr="007D2AC6">
        <w:rPr>
          <w:lang w:val="fr-FR"/>
        </w:rPr>
        <w:t>août 20</w:t>
      </w:r>
      <w:r w:rsidRPr="007D2AC6">
        <w:rPr>
          <w:lang w:val="fr-FR"/>
        </w:rPr>
        <w:t xml:space="preserve">16 </w:t>
      </w:r>
      <w:r w:rsidR="00972890" w:rsidRPr="007D2AC6">
        <w:rPr>
          <w:lang w:val="fr-FR"/>
        </w:rPr>
        <w:t>(</w:t>
      </w:r>
      <w:r w:rsidRPr="007D2AC6">
        <w:rPr>
          <w:lang w:val="fr-FR"/>
        </w:rPr>
        <w:t xml:space="preserve">document </w:t>
      </w:r>
      <w:proofErr w:type="spellStart"/>
      <w:r w:rsidR="00A503F0" w:rsidRPr="007D2AC6">
        <w:rPr>
          <w:lang w:val="fr-FR"/>
        </w:rPr>
        <w:t>CDIP</w:t>
      </w:r>
      <w:proofErr w:type="spellEnd"/>
      <w:r w:rsidR="00B57560" w:rsidRPr="007D2AC6">
        <w:rPr>
          <w:lang w:val="fr-FR"/>
        </w:rPr>
        <w:t> </w:t>
      </w:r>
      <w:r w:rsidR="00A503F0" w:rsidRPr="007D2AC6">
        <w:rPr>
          <w:lang w:val="fr-FR"/>
        </w:rPr>
        <w:t>18/2</w:t>
      </w:r>
      <w:r w:rsidR="00C06C58" w:rsidRPr="007D2AC6">
        <w:rPr>
          <w:lang w:val="fr-FR"/>
        </w:rPr>
        <w:t>,</w:t>
      </w:r>
      <w:r w:rsidR="00A503F0" w:rsidRPr="007D2AC6">
        <w:rPr>
          <w:lang w:val="fr-FR"/>
        </w:rPr>
        <w:t xml:space="preserve"> </w:t>
      </w:r>
      <w:r w:rsidRPr="007D2AC6">
        <w:rPr>
          <w:lang w:val="fr-FR"/>
        </w:rPr>
        <w:t>annexe</w:t>
      </w:r>
      <w:r w:rsidR="003572D0" w:rsidRPr="007D2AC6">
        <w:rPr>
          <w:lang w:val="fr-FR"/>
        </w:rPr>
        <w:t> </w:t>
      </w:r>
      <w:r w:rsidR="00A503F0" w:rsidRPr="007D2AC6">
        <w:rPr>
          <w:lang w:val="fr-FR"/>
        </w:rPr>
        <w:t>VII</w:t>
      </w:r>
      <w:r w:rsidR="00A02AB6" w:rsidRPr="007D2AC6">
        <w:rPr>
          <w:lang w:val="fr-FR"/>
        </w:rPr>
        <w:t xml:space="preserve">, </w:t>
      </w:r>
      <w:r w:rsidR="002A5696" w:rsidRPr="007D2AC6">
        <w:rPr>
          <w:lang w:val="fr-FR"/>
        </w:rPr>
        <w:t>page 1</w:t>
      </w:r>
      <w:r w:rsidR="00A503F0" w:rsidRPr="007D2AC6">
        <w:rPr>
          <w:lang w:val="fr-FR"/>
        </w:rPr>
        <w:t>1</w:t>
      </w:r>
      <w:r w:rsidR="001B4B12" w:rsidRPr="007D2AC6">
        <w:rPr>
          <w:lang w:val="fr-FR"/>
        </w:rPr>
        <w:t>)</w:t>
      </w:r>
      <w:r w:rsidR="007B031B" w:rsidRPr="007D2AC6">
        <w:rPr>
          <w:lang w:val="fr-FR"/>
        </w:rPr>
        <w:t>,</w:t>
      </w:r>
      <w:r w:rsidR="001B4B12" w:rsidRPr="007D2AC6">
        <w:rPr>
          <w:lang w:val="fr-FR"/>
        </w:rPr>
        <w:t xml:space="preserve"> </w:t>
      </w:r>
      <w:r w:rsidR="00C610D1" w:rsidRPr="007D2AC6">
        <w:rPr>
          <w:lang w:val="fr-FR"/>
        </w:rPr>
        <w:t>86</w:t>
      </w:r>
      <w:r w:rsidR="00A02AB6" w:rsidRPr="007D2AC6">
        <w:rPr>
          <w:lang w:val="fr-FR"/>
        </w:rPr>
        <w:t xml:space="preserve">% </w:t>
      </w:r>
      <w:r w:rsidRPr="007D2AC6">
        <w:rPr>
          <w:lang w:val="fr-FR"/>
        </w:rPr>
        <w:t>du budget total d</w:t>
      </w:r>
      <w:r w:rsidR="002A5696" w:rsidRPr="007D2AC6">
        <w:rPr>
          <w:lang w:val="fr-FR"/>
        </w:rPr>
        <w:t>’</w:t>
      </w:r>
      <w:r w:rsidRPr="007D2AC6">
        <w:rPr>
          <w:lang w:val="fr-FR"/>
        </w:rPr>
        <w:t>un montant de</w:t>
      </w:r>
      <w:r w:rsidR="001B4B12" w:rsidRPr="007D2AC6">
        <w:rPr>
          <w:lang w:val="fr-FR"/>
        </w:rPr>
        <w:t xml:space="preserve"> </w:t>
      </w:r>
      <w:r w:rsidRPr="007D2AC6">
        <w:rPr>
          <w:lang w:val="fr-FR"/>
        </w:rPr>
        <w:t>487 </w:t>
      </w:r>
      <w:r w:rsidR="00C610D1" w:rsidRPr="007D2AC6">
        <w:rPr>
          <w:lang w:val="fr-FR"/>
        </w:rPr>
        <w:t>000</w:t>
      </w:r>
      <w:r w:rsidR="00B57560" w:rsidRPr="007D2AC6">
        <w:rPr>
          <w:lang w:val="fr-FR"/>
        </w:rPr>
        <w:t> </w:t>
      </w:r>
      <w:r w:rsidR="006F2775" w:rsidRPr="007D2AC6">
        <w:rPr>
          <w:lang w:val="fr-FR"/>
        </w:rPr>
        <w:t xml:space="preserve">francs suisses </w:t>
      </w:r>
      <w:r w:rsidR="00972890" w:rsidRPr="007D2AC6">
        <w:rPr>
          <w:lang w:val="fr-FR"/>
        </w:rPr>
        <w:t>(</w:t>
      </w:r>
      <w:r w:rsidRPr="007D2AC6">
        <w:rPr>
          <w:lang w:val="fr-FR"/>
        </w:rPr>
        <w:t>dont</w:t>
      </w:r>
      <w:r w:rsidR="001B4B12" w:rsidRPr="007D2AC6">
        <w:rPr>
          <w:lang w:val="fr-FR"/>
        </w:rPr>
        <w:t xml:space="preserve"> </w:t>
      </w:r>
      <w:r w:rsidR="00C610D1" w:rsidRPr="007D2AC6">
        <w:rPr>
          <w:lang w:val="fr-FR"/>
        </w:rPr>
        <w:t>237</w:t>
      </w:r>
      <w:r w:rsidRPr="007D2AC6">
        <w:rPr>
          <w:lang w:val="fr-FR"/>
        </w:rPr>
        <w:t> </w:t>
      </w:r>
      <w:r w:rsidR="001B4B12" w:rsidRPr="007D2AC6">
        <w:rPr>
          <w:lang w:val="fr-FR"/>
        </w:rPr>
        <w:t>000</w:t>
      </w:r>
      <w:r w:rsidRPr="007D2AC6">
        <w:rPr>
          <w:lang w:val="fr-FR"/>
        </w:rPr>
        <w:t> </w:t>
      </w:r>
      <w:r w:rsidR="006F2775" w:rsidRPr="007D2AC6">
        <w:rPr>
          <w:lang w:val="fr-FR"/>
        </w:rPr>
        <w:t>francs suisses</w:t>
      </w:r>
      <w:r w:rsidRPr="007D2AC6">
        <w:rPr>
          <w:lang w:val="fr-FR"/>
        </w:rPr>
        <w:t xml:space="preserve"> de dépenses de personnel</w:t>
      </w:r>
      <w:r w:rsidR="00B11A51" w:rsidRPr="007D2AC6">
        <w:rPr>
          <w:lang w:val="fr-FR"/>
        </w:rPr>
        <w:t xml:space="preserve"> </w:t>
      </w:r>
      <w:r w:rsidRPr="007D2AC6">
        <w:rPr>
          <w:lang w:val="fr-FR"/>
        </w:rPr>
        <w:t>et</w:t>
      </w:r>
      <w:r w:rsidR="00B11A51" w:rsidRPr="007D2AC6">
        <w:rPr>
          <w:lang w:val="fr-FR"/>
        </w:rPr>
        <w:t xml:space="preserve"> </w:t>
      </w:r>
      <w:r w:rsidR="00C610D1" w:rsidRPr="007D2AC6">
        <w:rPr>
          <w:lang w:val="fr-FR"/>
        </w:rPr>
        <w:t>250</w:t>
      </w:r>
      <w:r w:rsidRPr="007D2AC6">
        <w:rPr>
          <w:lang w:val="fr-FR"/>
        </w:rPr>
        <w:t> </w:t>
      </w:r>
      <w:r w:rsidR="00B11A51" w:rsidRPr="007D2AC6">
        <w:rPr>
          <w:lang w:val="fr-FR"/>
        </w:rPr>
        <w:t>000</w:t>
      </w:r>
      <w:r w:rsidR="00B57560" w:rsidRPr="007D2AC6">
        <w:rPr>
          <w:lang w:val="fr-FR"/>
        </w:rPr>
        <w:t> </w:t>
      </w:r>
      <w:r w:rsidR="006F2775" w:rsidRPr="007D2AC6">
        <w:rPr>
          <w:lang w:val="fr-FR"/>
        </w:rPr>
        <w:t>francs suisses</w:t>
      </w:r>
      <w:r w:rsidRPr="007D2AC6">
        <w:rPr>
          <w:lang w:val="fr-FR"/>
        </w:rPr>
        <w:t xml:space="preserve"> de dépenses autres que des dépenses de personnel</w:t>
      </w:r>
      <w:r w:rsidR="00B11A51" w:rsidRPr="007D2AC6">
        <w:rPr>
          <w:lang w:val="fr-FR"/>
        </w:rPr>
        <w:t>)</w:t>
      </w:r>
      <w:r w:rsidR="001B4B12" w:rsidRPr="007D2AC6">
        <w:rPr>
          <w:lang w:val="fr-FR"/>
        </w:rPr>
        <w:t xml:space="preserve"> </w:t>
      </w:r>
      <w:r w:rsidRPr="007D2AC6">
        <w:rPr>
          <w:lang w:val="fr-FR"/>
        </w:rPr>
        <w:t>ont été décaissés</w:t>
      </w:r>
      <w:r w:rsidR="00C610D1" w:rsidRPr="007D2AC6">
        <w:rPr>
          <w:lang w:val="fr-FR"/>
        </w:rPr>
        <w:t>.</w:t>
      </w:r>
    </w:p>
    <w:p w14:paraId="71583665" w14:textId="06FCF9A8" w:rsidR="00BA51BC" w:rsidRPr="007D2AC6" w:rsidRDefault="00BA51BC" w:rsidP="00F1587E">
      <w:pPr>
        <w:pStyle w:val="ONUMFS"/>
        <w:rPr>
          <w:lang w:val="fr-FR"/>
        </w:rPr>
      </w:pPr>
      <w:r w:rsidRPr="007D2AC6">
        <w:rPr>
          <w:lang w:val="fr-FR"/>
        </w:rPr>
        <w:t>Le projet a présenté les dépenses totales par ligne budgétaire et par activi</w:t>
      </w:r>
      <w:r w:rsidR="001B6E2D" w:rsidRPr="007D2AC6">
        <w:rPr>
          <w:lang w:val="fr-FR"/>
        </w:rPr>
        <w:t>té.  On</w:t>
      </w:r>
      <w:r w:rsidRPr="007D2AC6">
        <w:rPr>
          <w:lang w:val="fr-FR"/>
        </w:rPr>
        <w:t xml:space="preserve"> ne dispose pas de rapport financier mettant en évidence les dépenses par rapport aux différentes lignes budgétair</w:t>
      </w:r>
      <w:r w:rsidR="001B6E2D" w:rsidRPr="007D2AC6">
        <w:rPr>
          <w:lang w:val="fr-FR"/>
        </w:rPr>
        <w:t>es.  Il</w:t>
      </w:r>
      <w:r w:rsidRPr="007D2AC6">
        <w:rPr>
          <w:lang w:val="fr-FR"/>
        </w:rPr>
        <w:t xml:space="preserve"> n</w:t>
      </w:r>
      <w:r w:rsidR="002A5696" w:rsidRPr="007D2AC6">
        <w:rPr>
          <w:lang w:val="fr-FR"/>
        </w:rPr>
        <w:t>’</w:t>
      </w:r>
      <w:r w:rsidRPr="007D2AC6">
        <w:rPr>
          <w:lang w:val="fr-FR"/>
        </w:rPr>
        <w:t>est donc pas possible d</w:t>
      </w:r>
      <w:r w:rsidR="002A5696" w:rsidRPr="007D2AC6">
        <w:rPr>
          <w:lang w:val="fr-FR"/>
        </w:rPr>
        <w:t>’</w:t>
      </w:r>
      <w:r w:rsidRPr="007D2AC6">
        <w:rPr>
          <w:lang w:val="fr-FR"/>
        </w:rPr>
        <w:t>analyser en détail les fonds décaissés par catégorie de coûts et par extrant.</w:t>
      </w:r>
    </w:p>
    <w:p w14:paraId="03A0507E" w14:textId="497A515E" w:rsidR="006A7AE9" w:rsidRPr="007D2AC6" w:rsidRDefault="006A7AE9" w:rsidP="00F1587E">
      <w:pPr>
        <w:pStyle w:val="ONUMFS"/>
        <w:rPr>
          <w:lang w:val="fr-FR"/>
        </w:rPr>
      </w:pPr>
      <w:r w:rsidRPr="007D2AC6">
        <w:rPr>
          <w:lang w:val="fr-FR"/>
        </w:rPr>
        <w:t xml:space="preserve">La comparaison des coûts totaux </w:t>
      </w:r>
      <w:r w:rsidR="00853937" w:rsidRPr="007D2AC6">
        <w:rPr>
          <w:lang w:val="fr-FR"/>
        </w:rPr>
        <w:t>(</w:t>
      </w:r>
      <w:r w:rsidRPr="007D2AC6">
        <w:rPr>
          <w:lang w:val="fr-FR"/>
        </w:rPr>
        <w:t>intrants) et des produits obtenus avec les données financières publiées d</w:t>
      </w:r>
      <w:r w:rsidR="002A5696" w:rsidRPr="007D2AC6">
        <w:rPr>
          <w:lang w:val="fr-FR"/>
        </w:rPr>
        <w:t>’</w:t>
      </w:r>
      <w:r w:rsidRPr="007D2AC6">
        <w:rPr>
          <w:lang w:val="fr-FR"/>
        </w:rPr>
        <w:t>autres projets conduits dans le cadre du Plan d</w:t>
      </w:r>
      <w:r w:rsidR="002A5696" w:rsidRPr="007D2AC6">
        <w:rPr>
          <w:lang w:val="fr-FR"/>
        </w:rPr>
        <w:t>’</w:t>
      </w:r>
      <w:r w:rsidRPr="007D2AC6">
        <w:rPr>
          <w:lang w:val="fr-FR"/>
        </w:rPr>
        <w:t>action pour le développement fait apparaître l</w:t>
      </w:r>
      <w:r w:rsidR="002A5696" w:rsidRPr="007D2AC6">
        <w:rPr>
          <w:lang w:val="fr-FR"/>
        </w:rPr>
        <w:t>’</w:t>
      </w:r>
      <w:r w:rsidRPr="007D2AC6">
        <w:rPr>
          <w:lang w:val="fr-FR"/>
        </w:rPr>
        <w:t>efficience de l</w:t>
      </w:r>
      <w:r w:rsidR="002A5696" w:rsidRPr="007D2AC6">
        <w:rPr>
          <w:lang w:val="fr-FR"/>
        </w:rPr>
        <w:t>’</w:t>
      </w:r>
      <w:r w:rsidRPr="007D2AC6">
        <w:rPr>
          <w:lang w:val="fr-FR"/>
        </w:rPr>
        <w:t>utilisation des fonds par le Secrétari</w:t>
      </w:r>
      <w:r w:rsidR="001B6E2D" w:rsidRPr="007D2AC6">
        <w:rPr>
          <w:lang w:val="fr-FR"/>
        </w:rPr>
        <w:t>at.  Il</w:t>
      </w:r>
      <w:r w:rsidRPr="007D2AC6">
        <w:rPr>
          <w:lang w:val="fr-FR"/>
        </w:rPr>
        <w:t xml:space="preserve"> faut toutefois noter que les intrants du projet </w:t>
      </w:r>
      <w:r w:rsidR="00853937" w:rsidRPr="007D2AC6">
        <w:rPr>
          <w:lang w:val="fr-FR"/>
        </w:rPr>
        <w:t>(</w:t>
      </w:r>
      <w:r w:rsidRPr="007D2AC6">
        <w:rPr>
          <w:lang w:val="fr-FR"/>
        </w:rPr>
        <w:t>ressources employées) seraient beaucoup plus élevés que les chiffres mentionnés dans le rapport s</w:t>
      </w:r>
      <w:r w:rsidR="002A5696" w:rsidRPr="007D2AC6">
        <w:rPr>
          <w:lang w:val="fr-FR"/>
        </w:rPr>
        <w:t>’</w:t>
      </w:r>
      <w:r w:rsidRPr="007D2AC6">
        <w:rPr>
          <w:lang w:val="fr-FR"/>
        </w:rPr>
        <w:t>il avait été tenu compte des substantielles contributions en nature faites par les deux</w:t>
      </w:r>
      <w:r w:rsidR="009F77AF" w:rsidRPr="007D2AC6">
        <w:rPr>
          <w:lang w:val="fr-FR"/>
        </w:rPr>
        <w:t> </w:t>
      </w:r>
      <w:r w:rsidRPr="007D2AC6">
        <w:rPr>
          <w:lang w:val="fr-FR"/>
        </w:rPr>
        <w:t>offices de propriété intellectuelle bénéficiaires, qui ne ressortent pas des états financiers.</w:t>
      </w:r>
    </w:p>
    <w:p w14:paraId="06ECE7A6" w14:textId="4B915A4D" w:rsidR="002A5696" w:rsidRPr="007D2AC6" w:rsidRDefault="006A7AE9" w:rsidP="00286B0C">
      <w:pPr>
        <w:pStyle w:val="ONUMFS"/>
        <w:rPr>
          <w:lang w:val="fr-FR"/>
        </w:rPr>
      </w:pPr>
      <w:r w:rsidRPr="007D2AC6">
        <w:rPr>
          <w:lang w:val="fr-FR"/>
        </w:rPr>
        <w:t>Le</w:t>
      </w:r>
      <w:r w:rsidR="00610A71" w:rsidRPr="007D2AC6">
        <w:rPr>
          <w:lang w:val="fr-FR"/>
        </w:rPr>
        <w:t xml:space="preserve"> budget </w:t>
      </w:r>
      <w:r w:rsidRPr="007D2AC6">
        <w:rPr>
          <w:lang w:val="fr-FR"/>
        </w:rPr>
        <w:t>alloué au projet était ser</w:t>
      </w:r>
      <w:r w:rsidR="001B6E2D" w:rsidRPr="007D2AC6">
        <w:rPr>
          <w:lang w:val="fr-FR"/>
        </w:rPr>
        <w:t>ré.  Ce</w:t>
      </w:r>
      <w:r w:rsidR="00286B0C" w:rsidRPr="007D2AC6">
        <w:rPr>
          <w:lang w:val="fr-FR"/>
        </w:rPr>
        <w:t>rtains détails semblent montrer que les fonds ont été utilisés de façon économiq</w:t>
      </w:r>
      <w:r w:rsidR="001B6E2D" w:rsidRPr="007D2AC6">
        <w:rPr>
          <w:lang w:val="fr-FR"/>
        </w:rPr>
        <w:t>ue.  Ai</w:t>
      </w:r>
      <w:r w:rsidR="00286B0C" w:rsidRPr="007D2AC6">
        <w:rPr>
          <w:lang w:val="fr-FR"/>
        </w:rPr>
        <w:t xml:space="preserve">nsi, les voyages internationaux ont été limités au minimum nécessaire, notamment grâce à la </w:t>
      </w:r>
      <w:proofErr w:type="spellStart"/>
      <w:r w:rsidR="00286B0C" w:rsidRPr="007D2AC6">
        <w:rPr>
          <w:lang w:val="fr-FR"/>
        </w:rPr>
        <w:t>visioconféren</w:t>
      </w:r>
      <w:r w:rsidR="001B6E2D" w:rsidRPr="007D2AC6">
        <w:rPr>
          <w:lang w:val="fr-FR"/>
        </w:rPr>
        <w:t>ce</w:t>
      </w:r>
      <w:proofErr w:type="spellEnd"/>
      <w:r w:rsidR="001B6E2D" w:rsidRPr="007D2AC6">
        <w:rPr>
          <w:lang w:val="fr-FR"/>
        </w:rPr>
        <w:t>.  Le</w:t>
      </w:r>
      <w:r w:rsidR="00286B0C" w:rsidRPr="007D2AC6">
        <w:rPr>
          <w:lang w:val="fr-FR"/>
        </w:rPr>
        <w:t xml:space="preserve"> recours extensif à l</w:t>
      </w:r>
      <w:r w:rsidR="002A5696" w:rsidRPr="007D2AC6">
        <w:rPr>
          <w:lang w:val="fr-FR"/>
        </w:rPr>
        <w:t>’</w:t>
      </w:r>
      <w:r w:rsidR="00286B0C" w:rsidRPr="007D2AC6">
        <w:rPr>
          <w:lang w:val="fr-FR"/>
        </w:rPr>
        <w:t>expertise locale n</w:t>
      </w:r>
      <w:r w:rsidR="002A5696" w:rsidRPr="007D2AC6">
        <w:rPr>
          <w:lang w:val="fr-FR"/>
        </w:rPr>
        <w:t>’</w:t>
      </w:r>
      <w:r w:rsidR="00286B0C" w:rsidRPr="007D2AC6">
        <w:rPr>
          <w:lang w:val="fr-FR"/>
        </w:rPr>
        <w:t>est pas seulement rationnel sur le plan financier, mais il contribue à la pérennisation des résultats.</w:t>
      </w:r>
    </w:p>
    <w:p w14:paraId="6C7CB682" w14:textId="5DBA913A" w:rsidR="0059687A" w:rsidRPr="007D2AC6" w:rsidRDefault="00536CA6" w:rsidP="004D11AE">
      <w:pPr>
        <w:pStyle w:val="Heading3"/>
        <w:rPr>
          <w:color w:val="auto"/>
        </w:rPr>
      </w:pPr>
      <w:bookmarkStart w:id="38" w:name="_Toc478372761"/>
      <w:r w:rsidRPr="007D2AC6">
        <w:rPr>
          <w:color w:val="auto"/>
        </w:rPr>
        <w:t>Évaluation de l</w:t>
      </w:r>
      <w:r w:rsidR="002A5696" w:rsidRPr="007D2AC6">
        <w:rPr>
          <w:color w:val="auto"/>
        </w:rPr>
        <w:t>’</w:t>
      </w:r>
      <w:r w:rsidRPr="007D2AC6">
        <w:rPr>
          <w:color w:val="auto"/>
        </w:rPr>
        <w:t>approche</w:t>
      </w:r>
      <w:bookmarkEnd w:id="38"/>
    </w:p>
    <w:p w14:paraId="077299BB" w14:textId="77777777" w:rsidR="0059687A" w:rsidRPr="007D2AC6" w:rsidRDefault="0059687A" w:rsidP="00F1587E">
      <w:pPr>
        <w:rPr>
          <w:lang w:val="fr-FR"/>
        </w:rPr>
      </w:pPr>
    </w:p>
    <w:p w14:paraId="375E1C5A" w14:textId="528654FB" w:rsidR="00A15019" w:rsidRPr="007D2AC6" w:rsidRDefault="00A15019" w:rsidP="00F1587E">
      <w:pPr>
        <w:pStyle w:val="ONUMFS"/>
        <w:rPr>
          <w:lang w:val="fr-FR"/>
        </w:rPr>
      </w:pPr>
      <w:r w:rsidRPr="007D2AC6">
        <w:rPr>
          <w:lang w:val="fr-FR"/>
        </w:rPr>
        <w:t>L</w:t>
      </w:r>
      <w:r w:rsidR="002A5696" w:rsidRPr="007D2AC6">
        <w:rPr>
          <w:lang w:val="fr-FR"/>
        </w:rPr>
        <w:t>’</w:t>
      </w:r>
      <w:r w:rsidRPr="007D2AC6">
        <w:rPr>
          <w:lang w:val="fr-FR"/>
        </w:rPr>
        <w:t xml:space="preserve">approche décrite au </w:t>
      </w:r>
      <w:r w:rsidR="002A5696" w:rsidRPr="007D2AC6">
        <w:rPr>
          <w:lang w:val="fr-FR"/>
        </w:rPr>
        <w:t>chapitre </w:t>
      </w:r>
      <w:proofErr w:type="spellStart"/>
      <w:r w:rsidR="002A5696" w:rsidRPr="007D2AC6">
        <w:rPr>
          <w:lang w:val="fr-FR"/>
        </w:rPr>
        <w:t>2</w:t>
      </w:r>
      <w:r w:rsidRPr="007D2AC6">
        <w:rPr>
          <w:lang w:val="fr-FR"/>
        </w:rPr>
        <w:t>.</w:t>
      </w:r>
      <w:r w:rsidR="00B95346">
        <w:rPr>
          <w:lang w:val="fr-FR"/>
        </w:rPr>
        <w:t>A</w:t>
      </w:r>
      <w:proofErr w:type="spellEnd"/>
      <w:r w:rsidRPr="007D2AC6">
        <w:rPr>
          <w:lang w:val="fr-FR"/>
        </w:rPr>
        <w:t xml:space="preserve"> convenait bien à une première intervention pilote visant à obtenir un effet de démonstrati</w:t>
      </w:r>
      <w:r w:rsidR="001B6E2D" w:rsidRPr="007D2AC6">
        <w:rPr>
          <w:lang w:val="fr-FR"/>
        </w:rPr>
        <w:t>on.  Il</w:t>
      </w:r>
      <w:r w:rsidRPr="007D2AC6">
        <w:rPr>
          <w:lang w:val="fr-FR"/>
        </w:rPr>
        <w:t xml:space="preserve"> s</w:t>
      </w:r>
      <w:r w:rsidR="002A5696" w:rsidRPr="007D2AC6">
        <w:rPr>
          <w:lang w:val="fr-FR"/>
        </w:rPr>
        <w:t>’</w:t>
      </w:r>
      <w:r w:rsidR="00796C9B" w:rsidRPr="007D2AC6">
        <w:rPr>
          <w:lang w:val="fr-FR"/>
        </w:rPr>
        <w:t>est</w:t>
      </w:r>
      <w:r w:rsidRPr="007D2AC6">
        <w:rPr>
          <w:lang w:val="fr-FR"/>
        </w:rPr>
        <w:t xml:space="preserve"> avéré judicieux de choisir d</w:t>
      </w:r>
      <w:r w:rsidR="002A5696" w:rsidRPr="007D2AC6">
        <w:rPr>
          <w:lang w:val="fr-FR"/>
        </w:rPr>
        <w:t>’</w:t>
      </w:r>
      <w:r w:rsidRPr="007D2AC6">
        <w:rPr>
          <w:lang w:val="fr-FR"/>
        </w:rPr>
        <w:t>aider</w:t>
      </w:r>
      <w:r w:rsidR="002A5696" w:rsidRPr="007D2AC6">
        <w:rPr>
          <w:lang w:val="fr-FR"/>
        </w:rPr>
        <w:t xml:space="preserve"> des PME</w:t>
      </w:r>
      <w:r w:rsidRPr="007D2AC6">
        <w:rPr>
          <w:lang w:val="fr-FR"/>
        </w:rPr>
        <w:t xml:space="preserve"> ayant de l</w:t>
      </w:r>
      <w:r w:rsidR="002A5696" w:rsidRPr="007D2AC6">
        <w:rPr>
          <w:lang w:val="fr-FR"/>
        </w:rPr>
        <w:t>’</w:t>
      </w:r>
      <w:r w:rsidRPr="007D2AC6">
        <w:rPr>
          <w:lang w:val="fr-FR"/>
        </w:rPr>
        <w:t>expérience en matière de création ou d</w:t>
      </w:r>
      <w:r w:rsidR="002A5696" w:rsidRPr="007D2AC6">
        <w:rPr>
          <w:lang w:val="fr-FR"/>
        </w:rPr>
        <w:t>’</w:t>
      </w:r>
      <w:r w:rsidRPr="007D2AC6">
        <w:rPr>
          <w:lang w:val="fr-FR"/>
        </w:rPr>
        <w:t xml:space="preserve">utilisation de dessins et modèles à des fins </w:t>
      </w:r>
      <w:r w:rsidR="00593133" w:rsidRPr="007D2AC6">
        <w:rPr>
          <w:lang w:val="fr-FR"/>
        </w:rPr>
        <w:t>de commerciali</w:t>
      </w:r>
      <w:r w:rsidRPr="007D2AC6">
        <w:rPr>
          <w:lang w:val="fr-FR"/>
        </w:rPr>
        <w:t>s</w:t>
      </w:r>
      <w:r w:rsidR="00593133" w:rsidRPr="007D2AC6">
        <w:rPr>
          <w:lang w:val="fr-FR"/>
        </w:rPr>
        <w:t>ation</w:t>
      </w:r>
      <w:r w:rsidR="00C821DA" w:rsidRPr="007D2AC6">
        <w:rPr>
          <w:lang w:val="fr-FR"/>
        </w:rPr>
        <w:t xml:space="preserve"> de ceux</w:t>
      </w:r>
      <w:r w:rsidR="00B57560" w:rsidRPr="007D2AC6">
        <w:rPr>
          <w:lang w:val="fr-FR"/>
        </w:rPr>
        <w:noBreakHyphen/>
      </w:r>
      <w:r w:rsidR="00C821DA" w:rsidRPr="007D2AC6">
        <w:rPr>
          <w:lang w:val="fr-FR"/>
        </w:rPr>
        <w:t>ci</w:t>
      </w:r>
      <w:r w:rsidRPr="007D2AC6">
        <w:rPr>
          <w:lang w:val="fr-FR"/>
        </w:rPr>
        <w:t xml:space="preserve"> plutôt que de travailler avec</w:t>
      </w:r>
      <w:r w:rsidR="002A5696" w:rsidRPr="007D2AC6">
        <w:rPr>
          <w:lang w:val="fr-FR"/>
        </w:rPr>
        <w:t xml:space="preserve"> des PME</w:t>
      </w:r>
      <w:r w:rsidRPr="007D2AC6">
        <w:rPr>
          <w:lang w:val="fr-FR"/>
        </w:rPr>
        <w:t xml:space="preserve"> sans expérience préalab</w:t>
      </w:r>
      <w:r w:rsidR="001B6E2D" w:rsidRPr="007D2AC6">
        <w:rPr>
          <w:lang w:val="fr-FR"/>
        </w:rPr>
        <w:t>le.  Il</w:t>
      </w:r>
      <w:r w:rsidRPr="007D2AC6">
        <w:rPr>
          <w:lang w:val="fr-FR"/>
        </w:rPr>
        <w:t xml:space="preserve"> en </w:t>
      </w:r>
      <w:r w:rsidR="00796C9B" w:rsidRPr="007D2AC6">
        <w:rPr>
          <w:lang w:val="fr-FR"/>
        </w:rPr>
        <w:t>va</w:t>
      </w:r>
      <w:r w:rsidRPr="007D2AC6">
        <w:rPr>
          <w:lang w:val="fr-FR"/>
        </w:rPr>
        <w:t xml:space="preserve"> de même pour la sélection de pays ayant des offices de propriété intellectuelle bien établis</w:t>
      </w:r>
      <w:r w:rsidR="00593133" w:rsidRPr="007D2AC6">
        <w:rPr>
          <w:lang w:val="fr-FR"/>
        </w:rPr>
        <w:t xml:space="preserve"> et une forte capacité d</w:t>
      </w:r>
      <w:r w:rsidR="002A5696" w:rsidRPr="007D2AC6">
        <w:rPr>
          <w:lang w:val="fr-FR"/>
        </w:rPr>
        <w:t>’</w:t>
      </w:r>
      <w:r w:rsidR="00593133" w:rsidRPr="007D2AC6">
        <w:rPr>
          <w:lang w:val="fr-FR"/>
        </w:rPr>
        <w:t>absorpti</w:t>
      </w:r>
      <w:r w:rsidR="001B6E2D" w:rsidRPr="007D2AC6">
        <w:rPr>
          <w:lang w:val="fr-FR"/>
        </w:rPr>
        <w:t>on.  S’a</w:t>
      </w:r>
      <w:r w:rsidR="00593133" w:rsidRPr="007D2AC6">
        <w:rPr>
          <w:lang w:val="fr-FR"/>
        </w:rPr>
        <w:t>gissant des ressources techniques engagées par le Secrétariat, la conjugaison de la propriété intellectuelle et d</w:t>
      </w:r>
      <w:r w:rsidR="002A5696" w:rsidRPr="007D2AC6">
        <w:rPr>
          <w:lang w:val="fr-FR"/>
        </w:rPr>
        <w:t>’</w:t>
      </w:r>
      <w:r w:rsidR="00593133" w:rsidRPr="007D2AC6">
        <w:rPr>
          <w:lang w:val="fr-FR"/>
        </w:rPr>
        <w:t xml:space="preserve">une expertise commerciale </w:t>
      </w:r>
      <w:r w:rsidR="00796C9B" w:rsidRPr="007D2AC6">
        <w:rPr>
          <w:lang w:val="fr-FR"/>
        </w:rPr>
        <w:t>a été</w:t>
      </w:r>
      <w:r w:rsidR="00593133" w:rsidRPr="007D2AC6">
        <w:rPr>
          <w:lang w:val="fr-FR"/>
        </w:rPr>
        <w:t xml:space="preserve"> importante.</w:t>
      </w:r>
    </w:p>
    <w:p w14:paraId="596234A2" w14:textId="48EAFCCB" w:rsidR="00593133" w:rsidRPr="007D2AC6" w:rsidRDefault="00593133" w:rsidP="00F1587E">
      <w:pPr>
        <w:pStyle w:val="ONUMFS"/>
        <w:rPr>
          <w:lang w:val="fr-FR"/>
        </w:rPr>
      </w:pPr>
      <w:r w:rsidRPr="007D2AC6">
        <w:rPr>
          <w:lang w:val="fr-FR"/>
        </w:rPr>
        <w:t>Bien que le projet ait permis de piloter un modèle applicable à des pays plus avancés, il n</w:t>
      </w:r>
      <w:r w:rsidR="002A5696" w:rsidRPr="007D2AC6">
        <w:rPr>
          <w:lang w:val="fr-FR"/>
        </w:rPr>
        <w:t>’</w:t>
      </w:r>
      <w:r w:rsidRPr="007D2AC6">
        <w:rPr>
          <w:lang w:val="fr-FR"/>
        </w:rPr>
        <w:t>est pas possible de tirer de conclusions</w:t>
      </w:r>
      <w:r w:rsidR="00C821DA" w:rsidRPr="007D2AC6">
        <w:rPr>
          <w:lang w:val="fr-FR"/>
        </w:rPr>
        <w:t xml:space="preserve"> quant à l</w:t>
      </w:r>
      <w:r w:rsidR="002A5696" w:rsidRPr="007D2AC6">
        <w:rPr>
          <w:lang w:val="fr-FR"/>
        </w:rPr>
        <w:t>’</w:t>
      </w:r>
      <w:r w:rsidR="00C821DA" w:rsidRPr="007D2AC6">
        <w:rPr>
          <w:lang w:val="fr-FR"/>
        </w:rPr>
        <w:t>approche qui conviendrait à des pays en développement moins avancés, à</w:t>
      </w:r>
      <w:r w:rsidR="002A5696" w:rsidRPr="007D2AC6">
        <w:rPr>
          <w:lang w:val="fr-FR"/>
        </w:rPr>
        <w:t xml:space="preserve"> des PMA</w:t>
      </w:r>
      <w:r w:rsidR="00C821DA" w:rsidRPr="007D2AC6">
        <w:rPr>
          <w:lang w:val="fr-FR"/>
        </w:rPr>
        <w:t xml:space="preserve"> et des pays en transiti</w:t>
      </w:r>
      <w:r w:rsidR="001B6E2D" w:rsidRPr="007D2AC6">
        <w:rPr>
          <w:lang w:val="fr-FR"/>
        </w:rPr>
        <w:t>on.  Il</w:t>
      </w:r>
      <w:r w:rsidR="00C821DA" w:rsidRPr="007D2AC6">
        <w:rPr>
          <w:lang w:val="fr-FR"/>
        </w:rPr>
        <w:t xml:space="preserve"> faudrait piloter une intervention, similaire ou adaptée, dans un éventail plus large de pays avant de décider s</w:t>
      </w:r>
      <w:r w:rsidR="002A5696" w:rsidRPr="007D2AC6">
        <w:rPr>
          <w:lang w:val="fr-FR"/>
        </w:rPr>
        <w:t>’</w:t>
      </w:r>
      <w:r w:rsidR="00C821DA" w:rsidRPr="007D2AC6">
        <w:rPr>
          <w:lang w:val="fr-FR"/>
        </w:rPr>
        <w:t>il convient d</w:t>
      </w:r>
      <w:r w:rsidR="002A5696" w:rsidRPr="007D2AC6">
        <w:rPr>
          <w:lang w:val="fr-FR"/>
        </w:rPr>
        <w:t>’</w:t>
      </w:r>
      <w:r w:rsidR="00C821DA" w:rsidRPr="007D2AC6">
        <w:rPr>
          <w:lang w:val="fr-FR"/>
        </w:rPr>
        <w:t>apporter systématiquement un soutien à la commercialisation des dessins et modèles, et, si oui, sous quelle forme.</w:t>
      </w:r>
    </w:p>
    <w:p w14:paraId="50032947" w14:textId="73D03030" w:rsidR="0059687A" w:rsidRPr="007D2AC6" w:rsidRDefault="00536CA6" w:rsidP="004D11AE">
      <w:pPr>
        <w:pStyle w:val="Heading3"/>
        <w:rPr>
          <w:color w:val="auto"/>
        </w:rPr>
      </w:pPr>
      <w:bookmarkStart w:id="39" w:name="_Toc478372762"/>
      <w:r w:rsidRPr="007D2AC6">
        <w:rPr>
          <w:color w:val="auto"/>
        </w:rPr>
        <w:lastRenderedPageBreak/>
        <w:t>Évaluation de la qualité des produits</w:t>
      </w:r>
      <w:bookmarkEnd w:id="39"/>
    </w:p>
    <w:p w14:paraId="19791AED" w14:textId="77777777" w:rsidR="00C821DA" w:rsidRPr="007D2AC6" w:rsidRDefault="00C821DA" w:rsidP="00D7700E">
      <w:pPr>
        <w:keepNext/>
        <w:keepLines/>
        <w:rPr>
          <w:lang w:val="fr-FR"/>
        </w:rPr>
      </w:pPr>
    </w:p>
    <w:p w14:paraId="560AAD3E" w14:textId="63EFC031" w:rsidR="00C821DA" w:rsidRPr="007D2AC6" w:rsidRDefault="00FF6CD4" w:rsidP="00D7700E">
      <w:pPr>
        <w:pStyle w:val="ONUMFS"/>
        <w:keepNext/>
        <w:keepLines/>
        <w:rPr>
          <w:lang w:val="fr-FR"/>
        </w:rPr>
      </w:pPr>
      <w:r w:rsidRPr="007D2AC6">
        <w:rPr>
          <w:lang w:val="fr-FR"/>
        </w:rPr>
        <w:t>Un examen approfondi de la documentation et des entretiens avec des experts ont confirmé la grande qualité de toutes les tâches à exécuter et services à fourn</w:t>
      </w:r>
      <w:r w:rsidR="001B6E2D" w:rsidRPr="007D2AC6">
        <w:rPr>
          <w:lang w:val="fr-FR"/>
        </w:rPr>
        <w:t>ir.  Le</w:t>
      </w:r>
      <w:r w:rsidRPr="007D2AC6">
        <w:rPr>
          <w:lang w:val="fr-FR"/>
        </w:rPr>
        <w:t>s commentaires unanimement positifs recueillis par le Secrétariat lors de l</w:t>
      </w:r>
      <w:r w:rsidR="002A5696" w:rsidRPr="007D2AC6">
        <w:rPr>
          <w:lang w:val="fr-FR"/>
        </w:rPr>
        <w:t>’</w:t>
      </w:r>
      <w:r w:rsidRPr="007D2AC6">
        <w:rPr>
          <w:lang w:val="fr-FR"/>
        </w:rPr>
        <w:t>évaluation interne ont été confirmés par des entretiens avec un échantillon de bénéficiair</w:t>
      </w:r>
      <w:r w:rsidR="001B6E2D" w:rsidRPr="007D2AC6">
        <w:rPr>
          <w:lang w:val="fr-FR"/>
        </w:rPr>
        <w:t>es.  To</w:t>
      </w:r>
      <w:r w:rsidRPr="007D2AC6">
        <w:rPr>
          <w:lang w:val="fr-FR"/>
        </w:rPr>
        <w:t xml:space="preserve">utes les manifestations tenues dans chaque pays </w:t>
      </w:r>
      <w:r w:rsidR="00853937" w:rsidRPr="007D2AC6">
        <w:rPr>
          <w:lang w:val="fr-FR"/>
        </w:rPr>
        <w:t>(</w:t>
      </w:r>
      <w:r w:rsidRPr="007D2AC6">
        <w:rPr>
          <w:lang w:val="fr-FR"/>
        </w:rPr>
        <w:t>réunions de démarrage, manifestations de lancement, sessions de renforcement des capacités, manifestations de clôture), ainsi que celles qui ont eu lieu à Genève, ont été bien organisées.</w:t>
      </w:r>
    </w:p>
    <w:p w14:paraId="2C32A716" w14:textId="4FF89BFF" w:rsidR="0059687A" w:rsidRPr="007D2AC6" w:rsidRDefault="00FF6CD4" w:rsidP="00F1587E">
      <w:pPr>
        <w:pStyle w:val="ONUMFS"/>
        <w:rPr>
          <w:lang w:val="fr-FR"/>
        </w:rPr>
      </w:pPr>
      <w:r w:rsidRPr="007D2AC6">
        <w:rPr>
          <w:lang w:val="fr-FR"/>
        </w:rPr>
        <w:t>La contribution de l</w:t>
      </w:r>
      <w:r w:rsidR="002A5696" w:rsidRPr="007D2AC6">
        <w:rPr>
          <w:lang w:val="fr-FR"/>
        </w:rPr>
        <w:t>’</w:t>
      </w:r>
      <w:r w:rsidRPr="007D2AC6">
        <w:rPr>
          <w:lang w:val="fr-FR"/>
        </w:rPr>
        <w:t>OMPI ne s</w:t>
      </w:r>
      <w:r w:rsidR="002A5696" w:rsidRPr="007D2AC6">
        <w:rPr>
          <w:lang w:val="fr-FR"/>
        </w:rPr>
        <w:t>’</w:t>
      </w:r>
      <w:r w:rsidRPr="007D2AC6">
        <w:rPr>
          <w:lang w:val="fr-FR"/>
        </w:rPr>
        <w:t>est pas limitée à la mise en œuvre de ressources techniques et financièr</w:t>
      </w:r>
      <w:r w:rsidR="001B6E2D" w:rsidRPr="007D2AC6">
        <w:rPr>
          <w:lang w:val="fr-FR"/>
        </w:rPr>
        <w:t>es.  Sa</w:t>
      </w:r>
      <w:r w:rsidRPr="007D2AC6">
        <w:rPr>
          <w:lang w:val="fr-FR"/>
        </w:rPr>
        <w:t xml:space="preserve"> réputation en tant qu</w:t>
      </w:r>
      <w:r w:rsidR="002A5696" w:rsidRPr="007D2AC6">
        <w:rPr>
          <w:lang w:val="fr-FR"/>
        </w:rPr>
        <w:t>’</w:t>
      </w:r>
      <w:r w:rsidRPr="007D2AC6">
        <w:rPr>
          <w:lang w:val="fr-FR"/>
        </w:rPr>
        <w:t>organisation internationale et sa crédibilité ont renforcé l</w:t>
      </w:r>
      <w:r w:rsidR="002A5696" w:rsidRPr="007D2AC6">
        <w:rPr>
          <w:lang w:val="fr-FR"/>
        </w:rPr>
        <w:t>’</w:t>
      </w:r>
      <w:r w:rsidRPr="007D2AC6">
        <w:rPr>
          <w:lang w:val="fr-FR"/>
        </w:rPr>
        <w:t xml:space="preserve">intérêt des parties prenantes clés, </w:t>
      </w:r>
      <w:r w:rsidR="002A5696" w:rsidRPr="007D2AC6">
        <w:rPr>
          <w:lang w:val="fr-FR"/>
        </w:rPr>
        <w:t>y compris</w:t>
      </w:r>
      <w:r w:rsidRPr="007D2AC6">
        <w:rPr>
          <w:lang w:val="fr-FR"/>
        </w:rPr>
        <w:t xml:space="preserve"> au niveau de la politique générale.</w:t>
      </w:r>
    </w:p>
    <w:p w14:paraId="6F95AEDB" w14:textId="42F49BA3" w:rsidR="0059687A" w:rsidRPr="007D2AC6" w:rsidRDefault="001F05C4" w:rsidP="004D11AE">
      <w:pPr>
        <w:pStyle w:val="Heading3"/>
        <w:rPr>
          <w:color w:val="auto"/>
        </w:rPr>
      </w:pPr>
      <w:bookmarkStart w:id="40" w:name="_Toc478372763"/>
      <w:r w:rsidRPr="007D2AC6">
        <w:rPr>
          <w:color w:val="auto"/>
        </w:rPr>
        <w:t>Synergies avec d</w:t>
      </w:r>
      <w:r w:rsidR="002A5696" w:rsidRPr="007D2AC6">
        <w:rPr>
          <w:color w:val="auto"/>
        </w:rPr>
        <w:t>’</w:t>
      </w:r>
      <w:r w:rsidRPr="007D2AC6">
        <w:rPr>
          <w:color w:val="auto"/>
        </w:rPr>
        <w:t>autres activités menées par le Secrétariat</w:t>
      </w:r>
      <w:bookmarkEnd w:id="40"/>
    </w:p>
    <w:p w14:paraId="5C61F181" w14:textId="77777777" w:rsidR="0059687A" w:rsidRPr="007D2AC6" w:rsidRDefault="0059687A" w:rsidP="00F1587E">
      <w:pPr>
        <w:rPr>
          <w:lang w:val="fr-FR"/>
        </w:rPr>
      </w:pPr>
    </w:p>
    <w:p w14:paraId="6853C273" w14:textId="1C0753A8" w:rsidR="0059687A" w:rsidRPr="007D2AC6" w:rsidRDefault="00FF6CD4" w:rsidP="00F1587E">
      <w:pPr>
        <w:pStyle w:val="ONUMFS"/>
        <w:rPr>
          <w:lang w:val="fr-FR"/>
        </w:rPr>
      </w:pPr>
      <w:r w:rsidRPr="007D2AC6">
        <w:rPr>
          <w:lang w:val="fr-FR"/>
        </w:rPr>
        <w:t>L</w:t>
      </w:r>
      <w:r w:rsidR="002A5696" w:rsidRPr="007D2AC6">
        <w:rPr>
          <w:lang w:val="fr-FR"/>
        </w:rPr>
        <w:t>’</w:t>
      </w:r>
      <w:r w:rsidRPr="007D2AC6">
        <w:rPr>
          <w:lang w:val="fr-FR"/>
        </w:rPr>
        <w:t>é</w:t>
      </w:r>
      <w:r w:rsidR="001C0654" w:rsidRPr="007D2AC6">
        <w:rPr>
          <w:lang w:val="fr-FR"/>
        </w:rPr>
        <w:t xml:space="preserve">valuation </w:t>
      </w:r>
      <w:r w:rsidRPr="007D2AC6">
        <w:rPr>
          <w:lang w:val="fr-FR"/>
        </w:rPr>
        <w:t>n</w:t>
      </w:r>
      <w:r w:rsidR="002A5696" w:rsidRPr="007D2AC6">
        <w:rPr>
          <w:lang w:val="fr-FR"/>
        </w:rPr>
        <w:t>’</w:t>
      </w:r>
      <w:r w:rsidRPr="007D2AC6">
        <w:rPr>
          <w:lang w:val="fr-FR"/>
        </w:rPr>
        <w:t>a décelé ni</w:t>
      </w:r>
      <w:r w:rsidR="00150131" w:rsidRPr="007D2AC6">
        <w:rPr>
          <w:lang w:val="fr-FR"/>
        </w:rPr>
        <w:t xml:space="preserve"> synergies</w:t>
      </w:r>
      <w:r w:rsidRPr="007D2AC6">
        <w:rPr>
          <w:lang w:val="fr-FR"/>
        </w:rPr>
        <w:t xml:space="preserve"> considérables ni doubles emplois</w:t>
      </w:r>
      <w:r w:rsidR="00150131" w:rsidRPr="007D2AC6">
        <w:rPr>
          <w:lang w:val="fr-FR"/>
        </w:rPr>
        <w:t xml:space="preserve"> </w:t>
      </w:r>
      <w:r w:rsidRPr="007D2AC6">
        <w:rPr>
          <w:lang w:val="fr-FR"/>
        </w:rPr>
        <w:t>avec d</w:t>
      </w:r>
      <w:r w:rsidR="002A5696" w:rsidRPr="007D2AC6">
        <w:rPr>
          <w:lang w:val="fr-FR"/>
        </w:rPr>
        <w:t>’</w:t>
      </w:r>
      <w:r w:rsidRPr="007D2AC6">
        <w:rPr>
          <w:lang w:val="fr-FR"/>
        </w:rPr>
        <w:t>autres activités menées par le Secrétari</w:t>
      </w:r>
      <w:r w:rsidR="001B6E2D" w:rsidRPr="007D2AC6">
        <w:rPr>
          <w:lang w:val="fr-FR"/>
        </w:rPr>
        <w:t>at.  Au</w:t>
      </w:r>
      <w:r w:rsidRPr="007D2AC6">
        <w:rPr>
          <w:lang w:val="fr-FR"/>
        </w:rPr>
        <w:t>cune autre entité interne de l</w:t>
      </w:r>
      <w:r w:rsidR="002A5696" w:rsidRPr="007D2AC6">
        <w:rPr>
          <w:lang w:val="fr-FR"/>
        </w:rPr>
        <w:t>’</w:t>
      </w:r>
      <w:r w:rsidRPr="007D2AC6">
        <w:rPr>
          <w:lang w:val="fr-FR"/>
        </w:rPr>
        <w:t>OMPI n</w:t>
      </w:r>
      <w:r w:rsidR="002A5696" w:rsidRPr="007D2AC6">
        <w:rPr>
          <w:lang w:val="fr-FR"/>
        </w:rPr>
        <w:t>’</w:t>
      </w:r>
      <w:r w:rsidRPr="007D2AC6">
        <w:rPr>
          <w:lang w:val="fr-FR"/>
        </w:rPr>
        <w:t>assure de renforcement des capacités spécifique au domaine de la valorisation des dessins et modèles protégés</w:t>
      </w:r>
      <w:r w:rsidR="00694598" w:rsidRPr="007D2AC6">
        <w:rPr>
          <w:lang w:val="fr-FR"/>
        </w:rPr>
        <w:t>.</w:t>
      </w:r>
    </w:p>
    <w:p w14:paraId="6EC23D4E" w14:textId="7A46F813" w:rsidR="0059687A" w:rsidRPr="007D2AC6" w:rsidRDefault="001F05C4" w:rsidP="001F05C4">
      <w:pPr>
        <w:pStyle w:val="Heading2"/>
        <w:rPr>
          <w:lang w:val="fr-FR"/>
        </w:rPr>
      </w:pPr>
      <w:bookmarkStart w:id="41" w:name="_Toc478372764"/>
      <w:r w:rsidRPr="007D2AC6">
        <w:rPr>
          <w:lang w:val="fr-FR"/>
        </w:rPr>
        <w:t>E)</w:t>
      </w:r>
      <w:r w:rsidRPr="007D2AC6">
        <w:rPr>
          <w:lang w:val="fr-FR"/>
        </w:rPr>
        <w:tab/>
        <w:t>Degré de viabilité des résultats</w:t>
      </w:r>
      <w:bookmarkEnd w:id="41"/>
    </w:p>
    <w:p w14:paraId="2CB6B952" w14:textId="77777777" w:rsidR="0059687A" w:rsidRPr="007D2AC6" w:rsidRDefault="0059687A" w:rsidP="00F1587E">
      <w:pPr>
        <w:rPr>
          <w:lang w:val="fr-FR"/>
        </w:rPr>
      </w:pPr>
    </w:p>
    <w:p w14:paraId="4E7C7544" w14:textId="639F693C" w:rsidR="00FF6CD4" w:rsidRPr="007D2AC6" w:rsidRDefault="00FF6CD4" w:rsidP="00F1587E">
      <w:pPr>
        <w:pStyle w:val="ONUMFS"/>
        <w:rPr>
          <w:lang w:val="fr-FR"/>
        </w:rPr>
      </w:pPr>
      <w:r w:rsidRPr="007D2AC6">
        <w:rPr>
          <w:lang w:val="fr-FR"/>
        </w:rPr>
        <w:t>Il serait prématuré d</w:t>
      </w:r>
      <w:r w:rsidR="002A5696" w:rsidRPr="007D2AC6">
        <w:rPr>
          <w:lang w:val="fr-FR"/>
        </w:rPr>
        <w:t>’</w:t>
      </w:r>
      <w:r w:rsidRPr="007D2AC6">
        <w:rPr>
          <w:lang w:val="fr-FR"/>
        </w:rPr>
        <w:t>essayer d</w:t>
      </w:r>
      <w:r w:rsidR="002A5696" w:rsidRPr="007D2AC6">
        <w:rPr>
          <w:lang w:val="fr-FR"/>
        </w:rPr>
        <w:t>’</w:t>
      </w:r>
      <w:r w:rsidRPr="007D2AC6">
        <w:rPr>
          <w:lang w:val="fr-FR"/>
        </w:rPr>
        <w:t>évaluer le degré de viabilité des résultats au niveau des pays, car la pérennité des avantages dépend dans une large mesure du suivi assuré par les offices de propriété intellectuelle concern</w:t>
      </w:r>
      <w:r w:rsidR="001B6E2D" w:rsidRPr="007D2AC6">
        <w:rPr>
          <w:lang w:val="fr-FR"/>
        </w:rPr>
        <w:t>és.  Co</w:t>
      </w:r>
      <w:r w:rsidR="00A80355" w:rsidRPr="007D2AC6">
        <w:rPr>
          <w:lang w:val="fr-FR"/>
        </w:rPr>
        <w:t>nformément aux engagements pris dans le cadre de la sélection, les deux</w:t>
      </w:r>
      <w:r w:rsidR="009F77AF" w:rsidRPr="007D2AC6">
        <w:rPr>
          <w:lang w:val="fr-FR"/>
        </w:rPr>
        <w:t> </w:t>
      </w:r>
      <w:r w:rsidR="00A80355" w:rsidRPr="007D2AC6">
        <w:rPr>
          <w:lang w:val="fr-FR"/>
        </w:rPr>
        <w:t>offices de propriété intellectuelle ont manifesté leur volonté de poursuivre des activités similaires visant à promouvoir les dessins et modèles comme outils de valorisation des produi</w:t>
      </w:r>
      <w:r w:rsidR="001B6E2D" w:rsidRPr="007D2AC6">
        <w:rPr>
          <w:lang w:val="fr-FR"/>
        </w:rPr>
        <w:t>ts.  Au</w:t>
      </w:r>
      <w:r w:rsidR="00A80355" w:rsidRPr="007D2AC6">
        <w:rPr>
          <w:lang w:val="fr-FR"/>
        </w:rPr>
        <w:t xml:space="preserve"> Maroc, l</w:t>
      </w:r>
      <w:r w:rsidR="002A5696" w:rsidRPr="007D2AC6">
        <w:rPr>
          <w:lang w:val="fr-FR"/>
        </w:rPr>
        <w:t>’</w:t>
      </w:r>
      <w:r w:rsidR="00A80355" w:rsidRPr="007D2AC6">
        <w:rPr>
          <w:lang w:val="fr-FR"/>
        </w:rPr>
        <w:t>office de propriété intellectuelle et un expert ont confirmé qu</w:t>
      </w:r>
      <w:r w:rsidR="002A5696" w:rsidRPr="007D2AC6">
        <w:rPr>
          <w:lang w:val="fr-FR"/>
        </w:rPr>
        <w:t>’</w:t>
      </w:r>
      <w:r w:rsidR="00A80355" w:rsidRPr="007D2AC6">
        <w:rPr>
          <w:lang w:val="fr-FR"/>
        </w:rPr>
        <w:t>un soutien était actuellement apporté</w:t>
      </w:r>
      <w:r w:rsidR="002A5696" w:rsidRPr="007D2AC6">
        <w:rPr>
          <w:lang w:val="fr-FR"/>
        </w:rPr>
        <w:t xml:space="preserve"> aux PME</w:t>
      </w:r>
      <w:r w:rsidR="00A80355" w:rsidRPr="007D2AC6">
        <w:rPr>
          <w:lang w:val="fr-FR"/>
        </w:rPr>
        <w:t xml:space="preserve"> pour commercialiser leurs dessins et modèles sur la base de </w:t>
      </w:r>
      <w:r w:rsidR="00CE6067" w:rsidRPr="007D2AC6">
        <w:rPr>
          <w:lang w:val="fr-FR"/>
        </w:rPr>
        <w:t>droits de propriété intellectuelle</w:t>
      </w:r>
      <w:r w:rsidR="00A80355" w:rsidRPr="007D2AC6">
        <w:rPr>
          <w:lang w:val="fr-FR"/>
        </w:rPr>
        <w:t xml:space="preserve"> protég</w:t>
      </w:r>
      <w:r w:rsidR="001B6E2D" w:rsidRPr="007D2AC6">
        <w:rPr>
          <w:lang w:val="fr-FR"/>
        </w:rPr>
        <w:t>és.  Un</w:t>
      </w:r>
      <w:r w:rsidR="00A80355" w:rsidRPr="007D2AC6">
        <w:rPr>
          <w:lang w:val="fr-FR"/>
        </w:rPr>
        <w:t xml:space="preserve"> projet de suivi national a été présenté dans le cadre de différentes expositio</w:t>
      </w:r>
      <w:r w:rsidR="001B6E2D" w:rsidRPr="007D2AC6">
        <w:rPr>
          <w:lang w:val="fr-FR"/>
        </w:rPr>
        <w:t>ns.  D’a</w:t>
      </w:r>
      <w:r w:rsidR="00A80355" w:rsidRPr="007D2AC6">
        <w:rPr>
          <w:lang w:val="fr-FR"/>
        </w:rPr>
        <w:t>utres entreprises et créateurs bénéficieront d</w:t>
      </w:r>
      <w:r w:rsidR="002A5696" w:rsidRPr="007D2AC6">
        <w:rPr>
          <w:lang w:val="fr-FR"/>
        </w:rPr>
        <w:t>’</w:t>
      </w:r>
      <w:r w:rsidR="00A80355" w:rsidRPr="007D2AC6">
        <w:rPr>
          <w:lang w:val="fr-FR"/>
        </w:rPr>
        <w:t xml:space="preserve">un soutien </w:t>
      </w:r>
      <w:r w:rsidR="002A5696" w:rsidRPr="007D2AC6">
        <w:rPr>
          <w:lang w:val="fr-FR"/>
        </w:rPr>
        <w:t>en 2017</w:t>
      </w:r>
      <w:r w:rsidR="00A80355" w:rsidRPr="007D2AC6">
        <w:rPr>
          <w:lang w:val="fr-FR"/>
        </w:rPr>
        <w:t>.  L</w:t>
      </w:r>
      <w:r w:rsidR="002A5696" w:rsidRPr="007D2AC6">
        <w:rPr>
          <w:lang w:val="fr-FR"/>
        </w:rPr>
        <w:t>’</w:t>
      </w:r>
      <w:r w:rsidR="00A80355" w:rsidRPr="007D2AC6">
        <w:rPr>
          <w:lang w:val="fr-FR"/>
        </w:rPr>
        <w:t>office de propriété intellectuelle appelle, paraît</w:t>
      </w:r>
      <w:r w:rsidR="00B57560" w:rsidRPr="007D2AC6">
        <w:rPr>
          <w:lang w:val="fr-FR"/>
        </w:rPr>
        <w:noBreakHyphen/>
      </w:r>
      <w:r w:rsidR="00A80355" w:rsidRPr="007D2AC6">
        <w:rPr>
          <w:lang w:val="fr-FR"/>
        </w:rPr>
        <w:t>il, des créateurs célèbres à témoign</w:t>
      </w:r>
      <w:r w:rsidR="001B6E2D" w:rsidRPr="007D2AC6">
        <w:rPr>
          <w:lang w:val="fr-FR"/>
        </w:rPr>
        <w:t>er.  En</w:t>
      </w:r>
      <w:r w:rsidR="00A80355" w:rsidRPr="007D2AC6">
        <w:rPr>
          <w:lang w:val="fr-FR"/>
        </w:rPr>
        <w:t xml:space="preserve"> outre, la Confédération générale des entreprises du Maroc et l</w:t>
      </w:r>
      <w:r w:rsidR="002A5696" w:rsidRPr="007D2AC6">
        <w:rPr>
          <w:lang w:val="fr-FR"/>
        </w:rPr>
        <w:t>’</w:t>
      </w:r>
      <w:r w:rsidR="00A80355" w:rsidRPr="007D2AC6">
        <w:rPr>
          <w:lang w:val="fr-FR"/>
        </w:rPr>
        <w:t>Association marocaine des exportateurs conduiront des activités de suivi en vertu d</w:t>
      </w:r>
      <w:r w:rsidR="002A5696" w:rsidRPr="007D2AC6">
        <w:rPr>
          <w:lang w:val="fr-FR"/>
        </w:rPr>
        <w:t>’</w:t>
      </w:r>
      <w:r w:rsidR="00A80355" w:rsidRPr="007D2AC6">
        <w:rPr>
          <w:lang w:val="fr-FR"/>
        </w:rPr>
        <w:t>un accord passé avec l</w:t>
      </w:r>
      <w:r w:rsidR="002A5696" w:rsidRPr="007D2AC6">
        <w:rPr>
          <w:lang w:val="fr-FR"/>
        </w:rPr>
        <w:t>’</w:t>
      </w:r>
      <w:proofErr w:type="spellStart"/>
      <w:r w:rsidR="00A80355" w:rsidRPr="007D2AC6">
        <w:rPr>
          <w:lang w:val="fr-FR"/>
        </w:rPr>
        <w:t>OMPIC</w:t>
      </w:r>
      <w:proofErr w:type="spellEnd"/>
      <w:r w:rsidR="00A80355" w:rsidRPr="007D2AC6">
        <w:rPr>
          <w:lang w:val="fr-FR"/>
        </w:rPr>
        <w:t>.</w:t>
      </w:r>
    </w:p>
    <w:p w14:paraId="7A84FDE5" w14:textId="55A94126" w:rsidR="0059687A" w:rsidRPr="007D2AC6" w:rsidRDefault="00A80355" w:rsidP="00F1587E">
      <w:pPr>
        <w:pStyle w:val="ONUMFS"/>
        <w:rPr>
          <w:lang w:val="fr-FR"/>
        </w:rPr>
      </w:pPr>
      <w:r w:rsidRPr="007D2AC6">
        <w:rPr>
          <w:lang w:val="fr-FR"/>
        </w:rPr>
        <w:t>Malgré quelques contraintes budgétaires, l</w:t>
      </w:r>
      <w:r w:rsidR="002A5696" w:rsidRPr="007D2AC6">
        <w:rPr>
          <w:lang w:val="fr-FR"/>
        </w:rPr>
        <w:t>’</w:t>
      </w:r>
      <w:r w:rsidRPr="007D2AC6">
        <w:rPr>
          <w:lang w:val="fr-FR"/>
        </w:rPr>
        <w:t>office de propriété intellectuelle d</w:t>
      </w:r>
      <w:r w:rsidR="002A5696" w:rsidRPr="007D2AC6">
        <w:rPr>
          <w:lang w:val="fr-FR"/>
        </w:rPr>
        <w:t>’</w:t>
      </w:r>
      <w:r w:rsidRPr="007D2AC6">
        <w:rPr>
          <w:lang w:val="fr-FR"/>
        </w:rPr>
        <w:t>Argentine semble conduire des activités de sensibilisation, notamment auprès d</w:t>
      </w:r>
      <w:r w:rsidR="002A5696" w:rsidRPr="007D2AC6">
        <w:rPr>
          <w:lang w:val="fr-FR"/>
        </w:rPr>
        <w:t>’</w:t>
      </w:r>
      <w:r w:rsidRPr="007D2AC6">
        <w:rPr>
          <w:lang w:val="fr-FR"/>
        </w:rPr>
        <w:t>universités.</w:t>
      </w:r>
    </w:p>
    <w:p w14:paraId="5C59ADDF" w14:textId="27210364" w:rsidR="00A80355" w:rsidRPr="007D2AC6" w:rsidRDefault="00A80355" w:rsidP="00F1587E">
      <w:pPr>
        <w:pStyle w:val="ONUMFS"/>
        <w:rPr>
          <w:lang w:val="fr-FR"/>
        </w:rPr>
      </w:pPr>
      <w:r w:rsidRPr="007D2AC6">
        <w:rPr>
          <w:lang w:val="fr-FR"/>
        </w:rPr>
        <w:t>Faute de feuille de route claire pour assurer le suivi à l</w:t>
      </w:r>
      <w:r w:rsidR="002A5696" w:rsidRPr="007D2AC6">
        <w:rPr>
          <w:lang w:val="fr-FR"/>
        </w:rPr>
        <w:t>’</w:t>
      </w:r>
      <w:r w:rsidRPr="007D2AC6">
        <w:rPr>
          <w:lang w:val="fr-FR"/>
        </w:rPr>
        <w:t>échelon international, l</w:t>
      </w:r>
      <w:r w:rsidR="002A5696" w:rsidRPr="007D2AC6">
        <w:rPr>
          <w:lang w:val="fr-FR"/>
        </w:rPr>
        <w:t>’</w:t>
      </w:r>
      <w:r w:rsidRPr="007D2AC6">
        <w:rPr>
          <w:lang w:val="fr-FR"/>
        </w:rPr>
        <w:t>intérêt et la visibilité hors des deux</w:t>
      </w:r>
      <w:r w:rsidR="009F77AF" w:rsidRPr="007D2AC6">
        <w:rPr>
          <w:lang w:val="fr-FR"/>
        </w:rPr>
        <w:t> </w:t>
      </w:r>
      <w:r w:rsidRPr="007D2AC6">
        <w:rPr>
          <w:lang w:val="fr-FR"/>
        </w:rPr>
        <w:t>pays bénéficiaires ont peu de chances de se maintenir sans un suivi systématique par le Secrétariat.</w:t>
      </w:r>
    </w:p>
    <w:p w14:paraId="010A3627" w14:textId="2BAA50A0" w:rsidR="00A80355" w:rsidRPr="007D2AC6" w:rsidRDefault="00363AA4" w:rsidP="00F1587E">
      <w:pPr>
        <w:pStyle w:val="ONUMFS"/>
        <w:rPr>
          <w:lang w:val="fr-FR"/>
        </w:rPr>
      </w:pPr>
      <w:r w:rsidRPr="007D2AC6">
        <w:rPr>
          <w:lang w:val="fr-FR"/>
        </w:rPr>
        <w:t>L</w:t>
      </w:r>
      <w:r w:rsidR="002A5696" w:rsidRPr="007D2AC6">
        <w:rPr>
          <w:lang w:val="fr-FR"/>
        </w:rPr>
        <w:t>’</w:t>
      </w:r>
      <w:r w:rsidRPr="007D2AC6">
        <w:rPr>
          <w:lang w:val="fr-FR"/>
        </w:rPr>
        <w:t xml:space="preserve">extension de ce projet pilote, globalement réussi, en particulier à des pays moins avancés, si possible aussi </w:t>
      </w:r>
      <w:r w:rsidR="00796C9B" w:rsidRPr="007D2AC6">
        <w:rPr>
          <w:lang w:val="fr-FR"/>
        </w:rPr>
        <w:t>à</w:t>
      </w:r>
      <w:r w:rsidRPr="007D2AC6">
        <w:rPr>
          <w:lang w:val="fr-FR"/>
        </w:rPr>
        <w:t xml:space="preserve"> d</w:t>
      </w:r>
      <w:r w:rsidR="002A5696" w:rsidRPr="007D2AC6">
        <w:rPr>
          <w:lang w:val="fr-FR"/>
        </w:rPr>
        <w:t>’</w:t>
      </w:r>
      <w:r w:rsidRPr="007D2AC6">
        <w:rPr>
          <w:lang w:val="fr-FR"/>
        </w:rPr>
        <w:t>autres régions, apporterait l</w:t>
      </w:r>
      <w:r w:rsidR="002A5696" w:rsidRPr="007D2AC6">
        <w:rPr>
          <w:lang w:val="fr-FR"/>
        </w:rPr>
        <w:t>’</w:t>
      </w:r>
      <w:r w:rsidRPr="007D2AC6">
        <w:rPr>
          <w:lang w:val="fr-FR"/>
        </w:rPr>
        <w:t>expérience supplémentaire nécessaire pour tirer des conclusions quant à la façon dont le Secrétariat pourrait continuer à renforcer les offices de propriété intellectuelle et fournir ainsi un soutien similaire aux entrepris</w:t>
      </w:r>
      <w:r w:rsidR="001B6E2D" w:rsidRPr="007D2AC6">
        <w:rPr>
          <w:lang w:val="fr-FR"/>
        </w:rPr>
        <w:t>es.  De</w:t>
      </w:r>
      <w:r w:rsidRPr="007D2AC6">
        <w:rPr>
          <w:lang w:val="fr-FR"/>
        </w:rPr>
        <w:t>s données concernant d</w:t>
      </w:r>
      <w:r w:rsidR="002A5696" w:rsidRPr="007D2AC6">
        <w:rPr>
          <w:lang w:val="fr-FR"/>
        </w:rPr>
        <w:t>’</w:t>
      </w:r>
      <w:r w:rsidRPr="007D2AC6">
        <w:rPr>
          <w:lang w:val="fr-FR"/>
        </w:rPr>
        <w:t>autres résultats obtenus dans les deux</w:t>
      </w:r>
      <w:r w:rsidR="009F77AF" w:rsidRPr="007D2AC6">
        <w:rPr>
          <w:lang w:val="fr-FR"/>
        </w:rPr>
        <w:t> </w:t>
      </w:r>
      <w:r w:rsidRPr="007D2AC6">
        <w:rPr>
          <w:lang w:val="fr-FR"/>
        </w:rPr>
        <w:t xml:space="preserve">pays </w:t>
      </w:r>
      <w:proofErr w:type="gramStart"/>
      <w:r w:rsidRPr="007D2AC6">
        <w:rPr>
          <w:lang w:val="fr-FR"/>
        </w:rPr>
        <w:t>pilotes</w:t>
      </w:r>
      <w:proofErr w:type="gramEnd"/>
      <w:r w:rsidRPr="007D2AC6">
        <w:rPr>
          <w:lang w:val="fr-FR"/>
        </w:rPr>
        <w:t xml:space="preserve">, </w:t>
      </w:r>
      <w:r w:rsidRPr="007D2AC6">
        <w:rPr>
          <w:bCs/>
          <w:iCs/>
          <w:szCs w:val="22"/>
          <w:lang w:val="fr-FR"/>
        </w:rPr>
        <w:t>par exemple</w:t>
      </w:r>
      <w:r w:rsidRPr="007D2AC6">
        <w:rPr>
          <w:lang w:val="fr-FR"/>
        </w:rPr>
        <w:t xml:space="preserve"> au niveau des entreprises </w:t>
      </w:r>
      <w:r w:rsidR="00853937" w:rsidRPr="007D2AC6">
        <w:rPr>
          <w:lang w:val="fr-FR"/>
        </w:rPr>
        <w:t>(</w:t>
      </w:r>
      <w:r w:rsidRPr="007D2AC6">
        <w:rPr>
          <w:lang w:val="fr-FR"/>
        </w:rPr>
        <w:t>le cas échéant), devraient être disponibles avant la fin d</w:t>
      </w:r>
      <w:r w:rsidR="002A5696" w:rsidRPr="007D2AC6">
        <w:rPr>
          <w:lang w:val="fr-FR"/>
        </w:rPr>
        <w:t>’</w:t>
      </w:r>
      <w:r w:rsidRPr="007D2AC6">
        <w:rPr>
          <w:lang w:val="fr-FR"/>
        </w:rPr>
        <w:t>une phase de suivi.</w:t>
      </w:r>
    </w:p>
    <w:p w14:paraId="462DB1C5" w14:textId="6733C90A" w:rsidR="00363AA4" w:rsidRPr="007D2AC6" w:rsidRDefault="00363AA4" w:rsidP="00F1587E">
      <w:pPr>
        <w:pStyle w:val="ONUMFS"/>
        <w:rPr>
          <w:lang w:val="fr-FR"/>
        </w:rPr>
      </w:pPr>
      <w:r w:rsidRPr="007D2AC6">
        <w:rPr>
          <w:lang w:val="fr-FR"/>
        </w:rPr>
        <w:t>Une reproduction du projet dans d</w:t>
      </w:r>
      <w:r w:rsidR="002A5696" w:rsidRPr="007D2AC6">
        <w:rPr>
          <w:lang w:val="fr-FR"/>
        </w:rPr>
        <w:t>’</w:t>
      </w:r>
      <w:r w:rsidRPr="007D2AC6">
        <w:rPr>
          <w:lang w:val="fr-FR"/>
        </w:rPr>
        <w:t>autres pays permettrait aussi à l</w:t>
      </w:r>
      <w:r w:rsidR="002A5696" w:rsidRPr="007D2AC6">
        <w:rPr>
          <w:lang w:val="fr-FR"/>
        </w:rPr>
        <w:t>’</w:t>
      </w:r>
      <w:r w:rsidRPr="007D2AC6">
        <w:rPr>
          <w:lang w:val="fr-FR"/>
        </w:rPr>
        <w:t>OMPI d</w:t>
      </w:r>
      <w:r w:rsidR="002A5696" w:rsidRPr="007D2AC6">
        <w:rPr>
          <w:lang w:val="fr-FR"/>
        </w:rPr>
        <w:t>’</w:t>
      </w:r>
      <w:r w:rsidRPr="007D2AC6">
        <w:rPr>
          <w:lang w:val="fr-FR"/>
        </w:rPr>
        <w:t>exploiter l</w:t>
      </w:r>
      <w:r w:rsidR="002A5696" w:rsidRPr="007D2AC6">
        <w:rPr>
          <w:lang w:val="fr-FR"/>
        </w:rPr>
        <w:t>’</w:t>
      </w:r>
      <w:r w:rsidRPr="007D2AC6">
        <w:rPr>
          <w:lang w:val="fr-FR"/>
        </w:rPr>
        <w:t>expertise existante en faisant appel aux experts nationaux formés dans d</w:t>
      </w:r>
      <w:r w:rsidR="002A5696" w:rsidRPr="007D2AC6">
        <w:rPr>
          <w:lang w:val="fr-FR"/>
        </w:rPr>
        <w:t>’</w:t>
      </w:r>
      <w:r w:rsidRPr="007D2AC6">
        <w:rPr>
          <w:lang w:val="fr-FR"/>
        </w:rPr>
        <w:t>autres pa</w:t>
      </w:r>
      <w:r w:rsidR="001B6E2D" w:rsidRPr="007D2AC6">
        <w:rPr>
          <w:lang w:val="fr-FR"/>
        </w:rPr>
        <w:t>ys.  Le</w:t>
      </w:r>
      <w:r w:rsidRPr="007D2AC6">
        <w:rPr>
          <w:lang w:val="fr-FR"/>
        </w:rPr>
        <w:t xml:space="preserve">s </w:t>
      </w:r>
      <w:r w:rsidRPr="007D2AC6">
        <w:rPr>
          <w:lang w:val="fr-FR"/>
        </w:rPr>
        <w:lastRenderedPageBreak/>
        <w:t>avantages liés aux investissements considérables consentis dans la mise au point de méthodes et d</w:t>
      </w:r>
      <w:r w:rsidR="002A5696" w:rsidRPr="007D2AC6">
        <w:rPr>
          <w:lang w:val="fr-FR"/>
        </w:rPr>
        <w:t>’</w:t>
      </w:r>
      <w:r w:rsidRPr="007D2AC6">
        <w:rPr>
          <w:lang w:val="fr-FR"/>
        </w:rPr>
        <w:t>outils ne seraient plus limités à deux</w:t>
      </w:r>
      <w:r w:rsidR="009F77AF" w:rsidRPr="007D2AC6">
        <w:rPr>
          <w:lang w:val="fr-FR"/>
        </w:rPr>
        <w:t> </w:t>
      </w:r>
      <w:r w:rsidRPr="007D2AC6">
        <w:rPr>
          <w:lang w:val="fr-FR"/>
        </w:rPr>
        <w:t>pays seuleme</w:t>
      </w:r>
      <w:r w:rsidR="001B6E2D" w:rsidRPr="007D2AC6">
        <w:rPr>
          <w:lang w:val="fr-FR"/>
        </w:rPr>
        <w:t>nt.  Ou</w:t>
      </w:r>
      <w:r w:rsidRPr="007D2AC6">
        <w:rPr>
          <w:lang w:val="fr-FR"/>
        </w:rPr>
        <w:t>tre des gains d</w:t>
      </w:r>
      <w:r w:rsidR="002A5696" w:rsidRPr="007D2AC6">
        <w:rPr>
          <w:lang w:val="fr-FR"/>
        </w:rPr>
        <w:t>’</w:t>
      </w:r>
      <w:r w:rsidRPr="007D2AC6">
        <w:rPr>
          <w:lang w:val="fr-FR"/>
        </w:rPr>
        <w:t>efficience, une sensibilisation de plus grande ampleur augmenterait les chances de créer et de maintenir les avantages à plus grande échelle.</w:t>
      </w:r>
    </w:p>
    <w:p w14:paraId="2338E5C1" w14:textId="16BC3EE8" w:rsidR="00363AA4" w:rsidRPr="007D2AC6" w:rsidRDefault="00363AA4" w:rsidP="00F1587E">
      <w:pPr>
        <w:pStyle w:val="ONUMFS"/>
        <w:rPr>
          <w:lang w:val="fr-FR"/>
        </w:rPr>
      </w:pPr>
      <w:r w:rsidRPr="007D2AC6">
        <w:rPr>
          <w:lang w:val="fr-FR"/>
        </w:rPr>
        <w:t>Une</w:t>
      </w:r>
      <w:r w:rsidR="00F116CD" w:rsidRPr="007D2AC6">
        <w:rPr>
          <w:lang w:val="fr-FR"/>
        </w:rPr>
        <w:t xml:space="preserve"> exp</w:t>
      </w:r>
      <w:r w:rsidRPr="007D2AC6">
        <w:rPr>
          <w:lang w:val="fr-FR"/>
        </w:rPr>
        <w:t>é</w:t>
      </w:r>
      <w:r w:rsidR="00F116CD" w:rsidRPr="007D2AC6">
        <w:rPr>
          <w:lang w:val="fr-FR"/>
        </w:rPr>
        <w:t xml:space="preserve">rience </w:t>
      </w:r>
      <w:r w:rsidRPr="007D2AC6">
        <w:rPr>
          <w:lang w:val="fr-FR"/>
        </w:rPr>
        <w:t>supplémentaire fournirait aux membres</w:t>
      </w:r>
      <w:r w:rsidR="002A5696" w:rsidRPr="007D2AC6">
        <w:rPr>
          <w:lang w:val="fr-FR"/>
        </w:rPr>
        <w:t xml:space="preserve"> du </w:t>
      </w:r>
      <w:proofErr w:type="spellStart"/>
      <w:r w:rsidR="002A5696" w:rsidRPr="007D2AC6">
        <w:rPr>
          <w:lang w:val="fr-FR"/>
        </w:rPr>
        <w:t>CDI</w:t>
      </w:r>
      <w:r w:rsidR="00F116CD" w:rsidRPr="007D2AC6">
        <w:rPr>
          <w:lang w:val="fr-FR"/>
        </w:rPr>
        <w:t>P</w:t>
      </w:r>
      <w:proofErr w:type="spellEnd"/>
      <w:r w:rsidR="00F116CD" w:rsidRPr="007D2AC6">
        <w:rPr>
          <w:lang w:val="fr-FR"/>
        </w:rPr>
        <w:t xml:space="preserve"> </w:t>
      </w:r>
      <w:r w:rsidRPr="007D2AC6">
        <w:rPr>
          <w:lang w:val="fr-FR"/>
        </w:rPr>
        <w:t xml:space="preserve">les moyens nécessaires de savoir </w:t>
      </w:r>
      <w:r w:rsidR="00466DEF" w:rsidRPr="007D2AC6">
        <w:rPr>
          <w:lang w:val="fr-FR"/>
        </w:rPr>
        <w:t>si d</w:t>
      </w:r>
      <w:r w:rsidR="002A5696" w:rsidRPr="007D2AC6">
        <w:rPr>
          <w:lang w:val="fr-FR"/>
        </w:rPr>
        <w:t>’</w:t>
      </w:r>
      <w:r w:rsidR="00466DEF" w:rsidRPr="007D2AC6">
        <w:rPr>
          <w:lang w:val="fr-FR"/>
        </w:rPr>
        <w:t>autres pays seraient intéressés par un soutien similaire apporté par le Secrétari</w:t>
      </w:r>
      <w:r w:rsidR="001B6E2D" w:rsidRPr="007D2AC6">
        <w:rPr>
          <w:lang w:val="fr-FR"/>
        </w:rPr>
        <w:t>at.  Pa</w:t>
      </w:r>
      <w:r w:rsidR="00466DEF" w:rsidRPr="007D2AC6">
        <w:rPr>
          <w:lang w:val="fr-FR"/>
        </w:rPr>
        <w:t>r ailleurs, cette approche pourrait être affin</w:t>
      </w:r>
      <w:r w:rsidR="001B6E2D" w:rsidRPr="007D2AC6">
        <w:rPr>
          <w:lang w:val="fr-FR"/>
        </w:rPr>
        <w:t>ée.  Ce</w:t>
      </w:r>
      <w:r w:rsidR="00466DEF" w:rsidRPr="007D2AC6">
        <w:rPr>
          <w:lang w:val="fr-FR"/>
        </w:rPr>
        <w:t>la permettrait</w:t>
      </w:r>
      <w:r w:rsidR="002A5696" w:rsidRPr="007D2AC6">
        <w:rPr>
          <w:lang w:val="fr-FR"/>
        </w:rPr>
        <w:t xml:space="preserve"> au </w:t>
      </w:r>
      <w:proofErr w:type="spellStart"/>
      <w:r w:rsidR="002A5696" w:rsidRPr="007D2AC6">
        <w:rPr>
          <w:lang w:val="fr-FR"/>
        </w:rPr>
        <w:t>CDI</w:t>
      </w:r>
      <w:r w:rsidR="00466DEF" w:rsidRPr="007D2AC6">
        <w:rPr>
          <w:lang w:val="fr-FR"/>
        </w:rPr>
        <w:t>P</w:t>
      </w:r>
      <w:proofErr w:type="spellEnd"/>
      <w:r w:rsidR="00466DEF" w:rsidRPr="007D2AC6">
        <w:rPr>
          <w:lang w:val="fr-FR"/>
        </w:rPr>
        <w:t xml:space="preserve"> de prendre une décision bien étayée sur l</w:t>
      </w:r>
      <w:r w:rsidR="002A5696" w:rsidRPr="007D2AC6">
        <w:rPr>
          <w:lang w:val="fr-FR"/>
        </w:rPr>
        <w:t>’</w:t>
      </w:r>
      <w:r w:rsidR="00466DEF" w:rsidRPr="007D2AC6">
        <w:rPr>
          <w:lang w:val="fr-FR"/>
        </w:rPr>
        <w:t>opportunité d</w:t>
      </w:r>
      <w:r w:rsidR="002A5696" w:rsidRPr="007D2AC6">
        <w:rPr>
          <w:lang w:val="fr-FR"/>
        </w:rPr>
        <w:t>’</w:t>
      </w:r>
      <w:r w:rsidR="00466DEF" w:rsidRPr="007D2AC6">
        <w:rPr>
          <w:lang w:val="fr-FR"/>
        </w:rPr>
        <w:t>intégrer par la suite des activités similaires dans l</w:t>
      </w:r>
      <w:r w:rsidR="002A5696" w:rsidRPr="007D2AC6">
        <w:rPr>
          <w:lang w:val="fr-FR"/>
        </w:rPr>
        <w:t>’</w:t>
      </w:r>
      <w:r w:rsidR="00466DEF" w:rsidRPr="007D2AC6">
        <w:rPr>
          <w:lang w:val="fr-FR"/>
        </w:rPr>
        <w:t>un des programmes existants.</w:t>
      </w:r>
    </w:p>
    <w:p w14:paraId="4D9ED509" w14:textId="0963B4EC" w:rsidR="0059687A" w:rsidRPr="007D2AC6" w:rsidRDefault="00F1587E" w:rsidP="00F1587E">
      <w:pPr>
        <w:pStyle w:val="Heading2"/>
        <w:rPr>
          <w:lang w:val="fr-FR"/>
        </w:rPr>
      </w:pPr>
      <w:bookmarkStart w:id="42" w:name="_Toc478372765"/>
      <w:r w:rsidRPr="007D2AC6">
        <w:rPr>
          <w:lang w:val="fr-FR"/>
        </w:rPr>
        <w:t>F)</w:t>
      </w:r>
      <w:r w:rsidRPr="007D2AC6">
        <w:rPr>
          <w:lang w:val="fr-FR"/>
        </w:rPr>
        <w:tab/>
      </w:r>
      <w:r w:rsidR="00536CA6" w:rsidRPr="007D2AC6">
        <w:rPr>
          <w:lang w:val="fr-FR"/>
        </w:rPr>
        <w:t>P</w:t>
      </w:r>
      <w:r w:rsidR="00D7700E" w:rsidRPr="007D2AC6">
        <w:rPr>
          <w:lang w:val="fr-FR"/>
        </w:rPr>
        <w:t>arité</w:t>
      </w:r>
      <w:bookmarkEnd w:id="42"/>
    </w:p>
    <w:p w14:paraId="615F9A2D" w14:textId="77777777" w:rsidR="0059687A" w:rsidRPr="007D2AC6" w:rsidRDefault="0059687A" w:rsidP="00F1587E">
      <w:pPr>
        <w:rPr>
          <w:lang w:val="fr-FR"/>
        </w:rPr>
      </w:pPr>
    </w:p>
    <w:p w14:paraId="3C8F1FBB" w14:textId="554DAFD3" w:rsidR="00466DEF" w:rsidRPr="007D2AC6" w:rsidRDefault="00466DEF" w:rsidP="00F1587E">
      <w:pPr>
        <w:pStyle w:val="ONUMFS"/>
        <w:rPr>
          <w:lang w:val="fr-FR"/>
        </w:rPr>
      </w:pPr>
      <w:r w:rsidRPr="007D2AC6">
        <w:rPr>
          <w:lang w:val="fr-FR"/>
        </w:rPr>
        <w:t>L</w:t>
      </w:r>
      <w:r w:rsidR="002A5696" w:rsidRPr="007D2AC6">
        <w:rPr>
          <w:lang w:val="fr-FR"/>
        </w:rPr>
        <w:t>’</w:t>
      </w:r>
      <w:r w:rsidRPr="007D2AC6">
        <w:rPr>
          <w:lang w:val="fr-FR"/>
        </w:rPr>
        <w:t>égalité hommes</w:t>
      </w:r>
      <w:r w:rsidR="00B57560" w:rsidRPr="007D2AC6">
        <w:rPr>
          <w:lang w:val="fr-FR"/>
        </w:rPr>
        <w:noBreakHyphen/>
      </w:r>
      <w:r w:rsidRPr="007D2AC6">
        <w:rPr>
          <w:lang w:val="fr-FR"/>
        </w:rPr>
        <w:t>femmes est une priorité de l</w:t>
      </w:r>
      <w:r w:rsidR="002A5696" w:rsidRPr="007D2AC6">
        <w:rPr>
          <w:lang w:val="fr-FR"/>
        </w:rPr>
        <w:t>’</w:t>
      </w:r>
      <w:r w:rsidRPr="007D2AC6">
        <w:rPr>
          <w:lang w:val="fr-FR"/>
        </w:rPr>
        <w:t>OMPI</w:t>
      </w:r>
      <w:r w:rsidRPr="007D2AC6">
        <w:rPr>
          <w:rStyle w:val="FootnoteReference"/>
          <w:lang w:val="fr-FR"/>
        </w:rPr>
        <w:footnoteReference w:id="31"/>
      </w:r>
      <w:r w:rsidRPr="007D2AC6">
        <w:rPr>
          <w:lang w:val="fr-FR"/>
        </w:rPr>
        <w:t>.  Il n</w:t>
      </w:r>
      <w:r w:rsidR="002A5696" w:rsidRPr="007D2AC6">
        <w:rPr>
          <w:lang w:val="fr-FR"/>
        </w:rPr>
        <w:t>’</w:t>
      </w:r>
      <w:r w:rsidRPr="007D2AC6">
        <w:rPr>
          <w:lang w:val="fr-FR"/>
        </w:rPr>
        <w:t>existe pas encore de directives précises sur la manière d</w:t>
      </w:r>
      <w:r w:rsidR="002A5696" w:rsidRPr="007D2AC6">
        <w:rPr>
          <w:lang w:val="fr-FR"/>
        </w:rPr>
        <w:t>’</w:t>
      </w:r>
      <w:r w:rsidRPr="007D2AC6">
        <w:rPr>
          <w:lang w:val="fr-FR"/>
        </w:rPr>
        <w:t>intégrer les questions relatives à la parité dans la préparation et l</w:t>
      </w:r>
      <w:r w:rsidR="002A5696" w:rsidRPr="007D2AC6">
        <w:rPr>
          <w:lang w:val="fr-FR"/>
        </w:rPr>
        <w:t>’</w:t>
      </w:r>
      <w:r w:rsidRPr="007D2AC6">
        <w:rPr>
          <w:lang w:val="fr-FR"/>
        </w:rPr>
        <w:t>exécution de projets menés dans le cadre du Plan d</w:t>
      </w:r>
      <w:r w:rsidR="002A5696" w:rsidRPr="007D2AC6">
        <w:rPr>
          <w:lang w:val="fr-FR"/>
        </w:rPr>
        <w:t>’</w:t>
      </w:r>
      <w:r w:rsidRPr="007D2AC6">
        <w:rPr>
          <w:lang w:val="fr-FR"/>
        </w:rPr>
        <w:t>action pour le développement.</w:t>
      </w:r>
    </w:p>
    <w:p w14:paraId="3CD33D72" w14:textId="48B46477" w:rsidR="002A5696" w:rsidRPr="007D2AC6" w:rsidRDefault="0059288D" w:rsidP="00F1587E">
      <w:pPr>
        <w:pStyle w:val="ONUMFS"/>
        <w:rPr>
          <w:lang w:val="fr-FR"/>
        </w:rPr>
      </w:pPr>
      <w:r w:rsidRPr="007D2AC6">
        <w:rPr>
          <w:lang w:val="fr-FR"/>
        </w:rPr>
        <w:t>Pour tenir compte des questions de parité dans l</w:t>
      </w:r>
      <w:r w:rsidR="002A5696" w:rsidRPr="007D2AC6">
        <w:rPr>
          <w:lang w:val="fr-FR"/>
        </w:rPr>
        <w:t>’</w:t>
      </w:r>
      <w:r w:rsidRPr="007D2AC6">
        <w:rPr>
          <w:lang w:val="fr-FR"/>
        </w:rPr>
        <w:t>assistance technique, il est essentiel de définir des objectifs spécifiques, fondés sur une analyse différenciée par sexe au stade de la conception du projet, puis de les surveiller, ce qui n</w:t>
      </w:r>
      <w:r w:rsidR="002A5696" w:rsidRPr="007D2AC6">
        <w:rPr>
          <w:lang w:val="fr-FR"/>
        </w:rPr>
        <w:t>’</w:t>
      </w:r>
      <w:r w:rsidRPr="007D2AC6">
        <w:rPr>
          <w:lang w:val="fr-FR"/>
        </w:rPr>
        <w:t>a pas encore été fa</w:t>
      </w:r>
      <w:r w:rsidR="001B6E2D" w:rsidRPr="007D2AC6">
        <w:rPr>
          <w:lang w:val="fr-FR"/>
        </w:rPr>
        <w:t>it.  L’i</w:t>
      </w:r>
      <w:r w:rsidRPr="007D2AC6">
        <w:rPr>
          <w:lang w:val="fr-FR"/>
        </w:rPr>
        <w:t>ntégration des questions d</w:t>
      </w:r>
      <w:r w:rsidR="002A5696" w:rsidRPr="007D2AC6">
        <w:rPr>
          <w:lang w:val="fr-FR"/>
        </w:rPr>
        <w:t>’</w:t>
      </w:r>
      <w:r w:rsidRPr="007D2AC6">
        <w:rPr>
          <w:lang w:val="fr-FR"/>
        </w:rPr>
        <w:t>égalité des sexes doit être systématique, et elle dépasse des actions ad</w:t>
      </w:r>
      <w:r w:rsidR="009F77AF" w:rsidRPr="007D2AC6">
        <w:rPr>
          <w:lang w:val="fr-FR"/>
        </w:rPr>
        <w:t> </w:t>
      </w:r>
      <w:r w:rsidRPr="007D2AC6">
        <w:rPr>
          <w:lang w:val="fr-FR"/>
        </w:rPr>
        <w:t>hoc telles que la sélection d</w:t>
      </w:r>
      <w:r w:rsidR="002A5696" w:rsidRPr="007D2AC6">
        <w:rPr>
          <w:lang w:val="fr-FR"/>
        </w:rPr>
        <w:t>’</w:t>
      </w:r>
      <w:r w:rsidRPr="007D2AC6">
        <w:rPr>
          <w:lang w:val="fr-FR"/>
        </w:rPr>
        <w:t>expertes et de participantes à des séminaires.</w:t>
      </w:r>
    </w:p>
    <w:p w14:paraId="56F39178" w14:textId="399087A5" w:rsidR="0059687A" w:rsidRPr="007D2AC6" w:rsidRDefault="0059288D" w:rsidP="00F1587E">
      <w:pPr>
        <w:pStyle w:val="ONUMFS"/>
        <w:rPr>
          <w:lang w:val="fr-FR"/>
        </w:rPr>
      </w:pPr>
      <w:r w:rsidRPr="007D2AC6">
        <w:rPr>
          <w:lang w:val="fr-FR"/>
        </w:rPr>
        <w:t>La plupart des chefs de projet ne sont pas des spécialistes du développement ni de la pari</w:t>
      </w:r>
      <w:r w:rsidR="001B6E2D" w:rsidRPr="007D2AC6">
        <w:rPr>
          <w:lang w:val="fr-FR"/>
        </w:rPr>
        <w:t>té.  Il</w:t>
      </w:r>
      <w:r w:rsidRPr="007D2AC6">
        <w:rPr>
          <w:lang w:val="fr-FR"/>
        </w:rPr>
        <w:t>s ont besoin de conseils pratiques particuliers sur la manière d</w:t>
      </w:r>
      <w:r w:rsidR="002A5696" w:rsidRPr="007D2AC6">
        <w:rPr>
          <w:lang w:val="fr-FR"/>
        </w:rPr>
        <w:t>’</w:t>
      </w:r>
      <w:r w:rsidRPr="007D2AC6">
        <w:rPr>
          <w:lang w:val="fr-FR"/>
        </w:rPr>
        <w:t>appliquer la politique générale de l</w:t>
      </w:r>
      <w:r w:rsidR="002A5696" w:rsidRPr="007D2AC6">
        <w:rPr>
          <w:lang w:val="fr-FR"/>
        </w:rPr>
        <w:t>’</w:t>
      </w:r>
      <w:r w:rsidRPr="007D2AC6">
        <w:rPr>
          <w:lang w:val="fr-FR"/>
        </w:rPr>
        <w:t>OMPI dans le travail de développement.</w:t>
      </w:r>
    </w:p>
    <w:p w14:paraId="4CBA104F" w14:textId="79EC8B12" w:rsidR="0059288D" w:rsidRPr="007D2AC6" w:rsidRDefault="00887C60" w:rsidP="00F1587E">
      <w:pPr>
        <w:pStyle w:val="ONUMFS"/>
        <w:rPr>
          <w:lang w:val="fr-FR"/>
        </w:rPr>
      </w:pPr>
      <w:r w:rsidRPr="007D2AC6">
        <w:rPr>
          <w:lang w:val="fr-FR"/>
        </w:rPr>
        <w:t>Les responsables du projet ont été sensibles à cette dimension du proj</w:t>
      </w:r>
      <w:r w:rsidR="001B6E2D" w:rsidRPr="007D2AC6">
        <w:rPr>
          <w:lang w:val="fr-FR"/>
        </w:rPr>
        <w:t>et.  De</w:t>
      </w:r>
      <w:r w:rsidRPr="007D2AC6">
        <w:rPr>
          <w:lang w:val="fr-FR"/>
        </w:rPr>
        <w:t>s mesures importantes ont été prises pour traiter les aspects liés à la parité, notamment une analyse du nombre de femmes employées dans les entreprises bénéficiaires, ce qui a permis de faire des constatations intéressantes sur celles</w:t>
      </w:r>
      <w:r w:rsidR="00B57560" w:rsidRPr="007D2AC6">
        <w:rPr>
          <w:lang w:val="fr-FR"/>
        </w:rPr>
        <w:noBreakHyphen/>
      </w:r>
      <w:r w:rsidR="001B6E2D" w:rsidRPr="007D2AC6">
        <w:rPr>
          <w:lang w:val="fr-FR"/>
        </w:rPr>
        <w:t>ci.  Au</w:t>
      </w:r>
      <w:r w:rsidRPr="007D2AC6">
        <w:rPr>
          <w:lang w:val="fr-FR"/>
        </w:rPr>
        <w:t xml:space="preserve"> Maroc, l</w:t>
      </w:r>
      <w:r w:rsidR="002A5696" w:rsidRPr="007D2AC6">
        <w:rPr>
          <w:lang w:val="fr-FR"/>
        </w:rPr>
        <w:t>’</w:t>
      </w:r>
      <w:r w:rsidRPr="007D2AC6">
        <w:rPr>
          <w:lang w:val="fr-FR"/>
        </w:rPr>
        <w:t>Association des femmes chefs d</w:t>
      </w:r>
      <w:r w:rsidR="002A5696" w:rsidRPr="007D2AC6">
        <w:rPr>
          <w:lang w:val="fr-FR"/>
        </w:rPr>
        <w:t>’</w:t>
      </w:r>
      <w:r w:rsidRPr="007D2AC6">
        <w:rPr>
          <w:lang w:val="fr-FR"/>
        </w:rPr>
        <w:t>entreprise était membre du comité de pilotage.</w:t>
      </w:r>
    </w:p>
    <w:p w14:paraId="59E9D147" w14:textId="55DAC09E" w:rsidR="00887C60" w:rsidRPr="007D2AC6" w:rsidRDefault="00887C60" w:rsidP="00F1587E">
      <w:pPr>
        <w:pStyle w:val="ONUMFS"/>
        <w:rPr>
          <w:lang w:val="fr-FR"/>
        </w:rPr>
      </w:pPr>
      <w:r w:rsidRPr="007D2AC6">
        <w:rPr>
          <w:lang w:val="fr-FR"/>
        </w:rPr>
        <w:t>L</w:t>
      </w:r>
      <w:r w:rsidR="002A5696" w:rsidRPr="007D2AC6">
        <w:rPr>
          <w:lang w:val="fr-FR"/>
        </w:rPr>
        <w:t>’</w:t>
      </w:r>
      <w:r w:rsidRPr="007D2AC6">
        <w:rPr>
          <w:lang w:val="fr-FR"/>
        </w:rPr>
        <w:t>évaluation n</w:t>
      </w:r>
      <w:r w:rsidR="002A5696" w:rsidRPr="007D2AC6">
        <w:rPr>
          <w:lang w:val="fr-FR"/>
        </w:rPr>
        <w:t>’</w:t>
      </w:r>
      <w:r w:rsidRPr="007D2AC6">
        <w:rPr>
          <w:lang w:val="fr-FR"/>
        </w:rPr>
        <w:t>a pas relevé d</w:t>
      </w:r>
      <w:r w:rsidR="002A5696" w:rsidRPr="007D2AC6">
        <w:rPr>
          <w:lang w:val="fr-FR"/>
        </w:rPr>
        <w:t>’</w:t>
      </w:r>
      <w:r w:rsidRPr="007D2AC6">
        <w:rPr>
          <w:lang w:val="fr-FR"/>
        </w:rPr>
        <w:t>insuffisance dans la participation des femmes au proj</w:t>
      </w:r>
      <w:r w:rsidR="001B6E2D" w:rsidRPr="007D2AC6">
        <w:rPr>
          <w:lang w:val="fr-FR"/>
        </w:rPr>
        <w:t>et.  Le</w:t>
      </w:r>
      <w:r w:rsidRPr="007D2AC6">
        <w:rPr>
          <w:lang w:val="fr-FR"/>
        </w:rPr>
        <w:t xml:space="preserve"> projet a essayé de respecter l</w:t>
      </w:r>
      <w:r w:rsidR="002A5696" w:rsidRPr="007D2AC6">
        <w:rPr>
          <w:lang w:val="fr-FR"/>
        </w:rPr>
        <w:t>’</w:t>
      </w:r>
      <w:r w:rsidRPr="007D2AC6">
        <w:rPr>
          <w:lang w:val="fr-FR"/>
        </w:rPr>
        <w:t>engagement de l</w:t>
      </w:r>
      <w:r w:rsidR="002A5696" w:rsidRPr="007D2AC6">
        <w:rPr>
          <w:lang w:val="fr-FR"/>
        </w:rPr>
        <w:t>’</w:t>
      </w:r>
      <w:r w:rsidRPr="007D2AC6">
        <w:rPr>
          <w:lang w:val="fr-FR"/>
        </w:rPr>
        <w:t>OMPI en faveur de l</w:t>
      </w:r>
      <w:r w:rsidR="002A5696" w:rsidRPr="007D2AC6">
        <w:rPr>
          <w:lang w:val="fr-FR"/>
        </w:rPr>
        <w:t>’</w:t>
      </w:r>
      <w:r w:rsidRPr="007D2AC6">
        <w:rPr>
          <w:lang w:val="fr-FR"/>
        </w:rPr>
        <w:t>égalité hommes</w:t>
      </w:r>
      <w:r w:rsidR="00B57560" w:rsidRPr="007D2AC6">
        <w:rPr>
          <w:lang w:val="fr-FR"/>
        </w:rPr>
        <w:noBreakHyphen/>
      </w:r>
      <w:r w:rsidRPr="007D2AC6">
        <w:rPr>
          <w:lang w:val="fr-FR"/>
        </w:rPr>
        <w:t>femmes, même si ce n</w:t>
      </w:r>
      <w:r w:rsidR="002A5696" w:rsidRPr="007D2AC6">
        <w:rPr>
          <w:lang w:val="fr-FR"/>
        </w:rPr>
        <w:t>’</w:t>
      </w:r>
      <w:r w:rsidRPr="007D2AC6">
        <w:rPr>
          <w:lang w:val="fr-FR"/>
        </w:rPr>
        <w:t>a pas été le cas dès le début.</w:t>
      </w:r>
    </w:p>
    <w:p w14:paraId="621C870D" w14:textId="3D79BCE8" w:rsidR="0059687A" w:rsidRPr="007D2AC6" w:rsidRDefault="00887C60" w:rsidP="00F1587E">
      <w:pPr>
        <w:pStyle w:val="ONUMFS"/>
        <w:rPr>
          <w:lang w:val="fr-FR"/>
        </w:rPr>
      </w:pPr>
      <w:r w:rsidRPr="007D2AC6">
        <w:rPr>
          <w:lang w:val="fr-FR"/>
        </w:rPr>
        <w:t>La prise en compte cohérente des questions d</w:t>
      </w:r>
      <w:r w:rsidR="002A5696" w:rsidRPr="007D2AC6">
        <w:rPr>
          <w:lang w:val="fr-FR"/>
        </w:rPr>
        <w:t>’</w:t>
      </w:r>
      <w:r w:rsidRPr="007D2AC6">
        <w:rPr>
          <w:lang w:val="fr-FR"/>
        </w:rPr>
        <w:t>égalité des sexes dans les projets conduits dans le cadre du Plan d</w:t>
      </w:r>
      <w:r w:rsidR="002A5696" w:rsidRPr="007D2AC6">
        <w:rPr>
          <w:lang w:val="fr-FR"/>
        </w:rPr>
        <w:t>’</w:t>
      </w:r>
      <w:r w:rsidRPr="007D2AC6">
        <w:rPr>
          <w:lang w:val="fr-FR"/>
        </w:rPr>
        <w:t>action pour le développement nécessite des directives claires et une formation de tous les chefs de projets.</w:t>
      </w:r>
    </w:p>
    <w:p w14:paraId="7317DE44" w14:textId="462EAA4E" w:rsidR="0059687A" w:rsidRPr="007D2AC6" w:rsidRDefault="001F05C4" w:rsidP="001F05C4">
      <w:pPr>
        <w:pStyle w:val="Heading1"/>
        <w:rPr>
          <w:lang w:val="fr-FR"/>
        </w:rPr>
      </w:pPr>
      <w:bookmarkStart w:id="43" w:name="_Toc478372766"/>
      <w:r w:rsidRPr="007D2AC6">
        <w:rPr>
          <w:lang w:val="fr-FR"/>
        </w:rPr>
        <w:t>3.</w:t>
      </w:r>
      <w:r w:rsidRPr="007D2AC6">
        <w:rPr>
          <w:b w:val="0"/>
          <w:lang w:val="fr-FR"/>
        </w:rPr>
        <w:tab/>
      </w:r>
      <w:r w:rsidRPr="007D2AC6">
        <w:rPr>
          <w:lang w:val="fr-FR"/>
        </w:rPr>
        <w:t>Conclusions</w:t>
      </w:r>
      <w:bookmarkEnd w:id="43"/>
    </w:p>
    <w:p w14:paraId="47283F4C" w14:textId="77777777" w:rsidR="001F05C4" w:rsidRPr="007D2AC6" w:rsidRDefault="001F05C4" w:rsidP="001F05C4">
      <w:pPr>
        <w:rPr>
          <w:lang w:val="fr-FR"/>
        </w:rPr>
      </w:pPr>
    </w:p>
    <w:p w14:paraId="00D8659F" w14:textId="38367DCB" w:rsidR="0059687A" w:rsidRPr="007D2AC6" w:rsidRDefault="001F05C4" w:rsidP="001F05C4">
      <w:pPr>
        <w:pStyle w:val="ONUMFS"/>
        <w:rPr>
          <w:lang w:val="fr-FR"/>
        </w:rPr>
      </w:pPr>
      <w:r w:rsidRPr="007D2AC6">
        <w:rPr>
          <w:lang w:val="fr-FR"/>
        </w:rPr>
        <w:t>Les conclusions et l</w:t>
      </w:r>
      <w:r w:rsidR="002A5696" w:rsidRPr="007D2AC6">
        <w:rPr>
          <w:lang w:val="fr-FR"/>
        </w:rPr>
        <w:t>’</w:t>
      </w:r>
      <w:r w:rsidRPr="007D2AC6">
        <w:rPr>
          <w:lang w:val="fr-FR"/>
        </w:rPr>
        <w:t>évaluation présentées ci</w:t>
      </w:r>
      <w:r w:rsidR="00B57560" w:rsidRPr="007D2AC6">
        <w:rPr>
          <w:lang w:val="fr-FR"/>
        </w:rPr>
        <w:noBreakHyphen/>
      </w:r>
      <w:r w:rsidRPr="007D2AC6">
        <w:rPr>
          <w:lang w:val="fr-FR"/>
        </w:rPr>
        <w:t>dessus ont abouti aux conclusions ci</w:t>
      </w:r>
      <w:r w:rsidR="00B57560" w:rsidRPr="007D2AC6">
        <w:rPr>
          <w:lang w:val="fr-FR"/>
        </w:rPr>
        <w:noBreakHyphen/>
      </w:r>
      <w:r w:rsidRPr="007D2AC6">
        <w:rPr>
          <w:lang w:val="fr-FR"/>
        </w:rPr>
        <w:t>après.</w:t>
      </w:r>
    </w:p>
    <w:p w14:paraId="2FBA5EDE" w14:textId="4DC3128C" w:rsidR="00DA4D70" w:rsidRPr="007D2AC6" w:rsidRDefault="00DA4D70" w:rsidP="00500172">
      <w:pPr>
        <w:pStyle w:val="ONUMFS"/>
        <w:numPr>
          <w:ilvl w:val="0"/>
          <w:numId w:val="0"/>
        </w:numPr>
        <w:rPr>
          <w:b/>
          <w:lang w:val="fr-FR"/>
        </w:rPr>
      </w:pPr>
      <w:r w:rsidRPr="007D2AC6">
        <w:rPr>
          <w:b/>
          <w:lang w:val="fr-FR"/>
        </w:rPr>
        <w:t>Conclusion n°</w:t>
      </w:r>
      <w:r w:rsidR="009F77AF" w:rsidRPr="007D2AC6">
        <w:rPr>
          <w:b/>
          <w:lang w:val="fr-FR"/>
        </w:rPr>
        <w:t> </w:t>
      </w:r>
      <w:r w:rsidRPr="007D2AC6">
        <w:rPr>
          <w:b/>
          <w:lang w:val="fr-FR"/>
        </w:rPr>
        <w:t>1 concernant la préparation et la pertinence du projet</w:t>
      </w:r>
      <w:r w:rsidR="002A5696" w:rsidRPr="007D2AC6">
        <w:rPr>
          <w:b/>
          <w:lang w:val="fr-FR"/>
        </w:rPr>
        <w:t> </w:t>
      </w:r>
      <w:proofErr w:type="gramStart"/>
      <w:r w:rsidR="002A5696" w:rsidRPr="007D2AC6">
        <w:rPr>
          <w:b/>
          <w:lang w:val="fr-FR"/>
        </w:rPr>
        <w:t>:</w:t>
      </w:r>
      <w:r w:rsidRPr="007D2AC6">
        <w:rPr>
          <w:b/>
          <w:lang w:val="fr-FR"/>
        </w:rPr>
        <w:t xml:space="preserve"> </w:t>
      </w:r>
      <w:r w:rsidR="00500172" w:rsidRPr="007D2AC6">
        <w:rPr>
          <w:b/>
          <w:lang w:val="fr-FR"/>
        </w:rPr>
        <w:t>l</w:t>
      </w:r>
      <w:r w:rsidRPr="007D2AC6">
        <w:rPr>
          <w:b/>
          <w:lang w:val="fr-FR"/>
        </w:rPr>
        <w:t>e</w:t>
      </w:r>
      <w:proofErr w:type="gramEnd"/>
      <w:r w:rsidRPr="007D2AC6">
        <w:rPr>
          <w:b/>
          <w:lang w:val="fr-FR"/>
        </w:rPr>
        <w:t xml:space="preserve"> projet préparé par le Secrétariat traite de façon adéquate la promotion de l</w:t>
      </w:r>
      <w:r w:rsidR="002A5696" w:rsidRPr="007D2AC6">
        <w:rPr>
          <w:b/>
          <w:lang w:val="fr-FR"/>
        </w:rPr>
        <w:t>’</w:t>
      </w:r>
      <w:r w:rsidRPr="007D2AC6">
        <w:rPr>
          <w:b/>
          <w:lang w:val="fr-FR"/>
        </w:rPr>
        <w:t>utilisation stratégique et de la protection des dessins et modèles industriels pour</w:t>
      </w:r>
      <w:r w:rsidR="002A5696" w:rsidRPr="007D2AC6">
        <w:rPr>
          <w:b/>
          <w:lang w:val="fr-FR"/>
        </w:rPr>
        <w:t xml:space="preserve"> les </w:t>
      </w:r>
      <w:r w:rsidR="001B6E2D" w:rsidRPr="007D2AC6">
        <w:rPr>
          <w:b/>
          <w:lang w:val="fr-FR"/>
        </w:rPr>
        <w:t>PME.  Un</w:t>
      </w:r>
      <w:r w:rsidRPr="007D2AC6">
        <w:rPr>
          <w:b/>
          <w:lang w:val="fr-FR"/>
        </w:rPr>
        <w:t>e excellente préparation, en étroite collaboration avec les principales parties prenantes des deux</w:t>
      </w:r>
      <w:r w:rsidR="009F77AF" w:rsidRPr="007D2AC6">
        <w:rPr>
          <w:b/>
          <w:lang w:val="fr-FR"/>
        </w:rPr>
        <w:t> </w:t>
      </w:r>
      <w:r w:rsidRPr="007D2AC6">
        <w:rPr>
          <w:b/>
          <w:lang w:val="fr-FR"/>
        </w:rPr>
        <w:t>pays bénéficiaires, a permis de parvenir à un degré élevé de pertinence.</w:t>
      </w:r>
    </w:p>
    <w:p w14:paraId="1BD62CBD" w14:textId="5F3F6CCA" w:rsidR="00DA4D70" w:rsidRPr="007D2AC6" w:rsidRDefault="00DA4D70" w:rsidP="00DA4D70">
      <w:pPr>
        <w:pStyle w:val="ONUMFS"/>
        <w:rPr>
          <w:lang w:val="fr-FR"/>
        </w:rPr>
      </w:pPr>
      <w:r w:rsidRPr="007D2AC6">
        <w:rPr>
          <w:lang w:val="fr-FR"/>
        </w:rPr>
        <w:lastRenderedPageBreak/>
        <w:t>Le Secrétariat a effectué du bon travail en traduisant la proposition relativement ouverte présentée par la République de Corée en un descriptif de projet clairement formulé, bien aligné sur le mandat de l</w:t>
      </w:r>
      <w:r w:rsidR="002A5696" w:rsidRPr="007D2AC6">
        <w:rPr>
          <w:lang w:val="fr-FR"/>
        </w:rPr>
        <w:t>’</w:t>
      </w:r>
      <w:r w:rsidRPr="007D2AC6">
        <w:rPr>
          <w:lang w:val="fr-FR"/>
        </w:rPr>
        <w:t>OMPI et sur les recommandations du Plan d</w:t>
      </w:r>
      <w:r w:rsidR="002A5696" w:rsidRPr="007D2AC6">
        <w:rPr>
          <w:lang w:val="fr-FR"/>
        </w:rPr>
        <w:t>’</w:t>
      </w:r>
      <w:r w:rsidRPr="007D2AC6">
        <w:rPr>
          <w:lang w:val="fr-FR"/>
        </w:rPr>
        <w:t>action pour le développement auxquelles il entend répond</w:t>
      </w:r>
      <w:r w:rsidR="001B6E2D" w:rsidRPr="007D2AC6">
        <w:rPr>
          <w:lang w:val="fr-FR"/>
        </w:rPr>
        <w:t>re.  Le</w:t>
      </w:r>
      <w:r w:rsidRPr="007D2AC6">
        <w:rPr>
          <w:lang w:val="fr-FR"/>
        </w:rPr>
        <w:t xml:space="preserve">s objectifs du projet tiennent parfaitement compte des besoins des principaux bénéficiaires </w:t>
      </w:r>
      <w:r w:rsidR="00500172" w:rsidRPr="007D2AC6">
        <w:rPr>
          <w:lang w:val="fr-FR"/>
        </w:rPr>
        <w:t>(</w:t>
      </w:r>
      <w:r w:rsidRPr="007D2AC6">
        <w:rPr>
          <w:lang w:val="fr-FR"/>
        </w:rPr>
        <w:t>les offices de propriété intellectuelle et les entrepris</w:t>
      </w:r>
      <w:r w:rsidR="001B6E2D" w:rsidRPr="007D2AC6">
        <w:rPr>
          <w:lang w:val="fr-FR"/>
        </w:rPr>
        <w:t>es</w:t>
      </w:r>
      <w:r w:rsidR="00500172" w:rsidRPr="007D2AC6">
        <w:rPr>
          <w:lang w:val="fr-FR"/>
        </w:rPr>
        <w:t>)</w:t>
      </w:r>
      <w:r w:rsidR="001B6E2D" w:rsidRPr="007D2AC6">
        <w:rPr>
          <w:lang w:val="fr-FR"/>
        </w:rPr>
        <w:t>.  Le</w:t>
      </w:r>
      <w:r w:rsidRPr="007D2AC6">
        <w:rPr>
          <w:lang w:val="fr-FR"/>
        </w:rPr>
        <w:t xml:space="preserve"> projet visait les pays, les industries et les secteurs qui utilisent des dessins et modèles.</w:t>
      </w:r>
    </w:p>
    <w:p w14:paraId="6E79078D" w14:textId="08023814" w:rsidR="00DA4D70" w:rsidRPr="007D2AC6" w:rsidRDefault="00DA4D70" w:rsidP="007865D4">
      <w:pPr>
        <w:pStyle w:val="ONUMFS"/>
        <w:rPr>
          <w:lang w:val="fr-FR"/>
        </w:rPr>
      </w:pPr>
      <w:r w:rsidRPr="007D2AC6">
        <w:rPr>
          <w:lang w:val="fr-FR"/>
        </w:rPr>
        <w:t xml:space="preserve">Les objectifs sont clairement définis, bien que la distinction entre les documents et services que le Secrétariat doit fournir et leur utilisation </w:t>
      </w:r>
      <w:r w:rsidR="00500172" w:rsidRPr="007D2AC6">
        <w:rPr>
          <w:lang w:val="fr-FR"/>
        </w:rPr>
        <w:t>(</w:t>
      </w:r>
      <w:r w:rsidRPr="007D2AC6">
        <w:rPr>
          <w:lang w:val="fr-FR"/>
        </w:rPr>
        <w:t>réalisations) ne soit pas toujours éviden</w:t>
      </w:r>
      <w:r w:rsidR="001B6E2D" w:rsidRPr="007D2AC6">
        <w:rPr>
          <w:lang w:val="fr-FR"/>
        </w:rPr>
        <w:t>te.  De</w:t>
      </w:r>
      <w:r w:rsidRPr="007D2AC6">
        <w:rPr>
          <w:lang w:val="fr-FR"/>
        </w:rPr>
        <w:t>s indicateurs sont définis pour chaque objectif, mais ils ne sont pas tous précis, mesurables, ambitieux, pertinents et assortis de délais.</w:t>
      </w:r>
    </w:p>
    <w:p w14:paraId="34239C8B" w14:textId="62851028" w:rsidR="00DA4D70" w:rsidRPr="007D2AC6" w:rsidRDefault="00DA4D70" w:rsidP="007865D4">
      <w:pPr>
        <w:pStyle w:val="ONUMFS"/>
        <w:rPr>
          <w:lang w:val="fr-FR"/>
        </w:rPr>
      </w:pPr>
      <w:r w:rsidRPr="007D2AC6">
        <w:rPr>
          <w:lang w:val="fr-FR"/>
        </w:rPr>
        <w:t>Le plan de mise en œuvre et les budgets sont ambitieux mais réalist</w:t>
      </w:r>
      <w:r w:rsidR="001B6E2D" w:rsidRPr="007D2AC6">
        <w:rPr>
          <w:lang w:val="fr-FR"/>
        </w:rPr>
        <w:t>es.  Le</w:t>
      </w:r>
      <w:r w:rsidRPr="007D2AC6">
        <w:rPr>
          <w:lang w:val="fr-FR"/>
        </w:rPr>
        <w:t xml:space="preserve"> plan de déroulement des activités est logique et facilite la réalisation des objecti</w:t>
      </w:r>
      <w:r w:rsidR="001B6E2D" w:rsidRPr="007D2AC6">
        <w:rPr>
          <w:lang w:val="fr-FR"/>
        </w:rPr>
        <w:t>fs.  La</w:t>
      </w:r>
      <w:r w:rsidRPr="007D2AC6">
        <w:rPr>
          <w:lang w:val="fr-FR"/>
        </w:rPr>
        <w:t xml:space="preserve"> structure de mise en œuvre, qui fait appel à des comités de pilotage </w:t>
      </w:r>
      <w:r w:rsidR="00500172" w:rsidRPr="007D2AC6">
        <w:rPr>
          <w:lang w:val="fr-FR"/>
        </w:rPr>
        <w:t>(</w:t>
      </w:r>
      <w:r w:rsidRPr="007D2AC6">
        <w:rPr>
          <w:lang w:val="fr-FR"/>
        </w:rPr>
        <w:t xml:space="preserve">pour la gestion stratégique) et à des équipes chargées de projet </w:t>
      </w:r>
      <w:r w:rsidR="00500172" w:rsidRPr="007D2AC6">
        <w:rPr>
          <w:lang w:val="fr-FR"/>
        </w:rPr>
        <w:t>(</w:t>
      </w:r>
      <w:r w:rsidRPr="007D2AC6">
        <w:rPr>
          <w:lang w:val="fr-FR"/>
        </w:rPr>
        <w:t>pour la gestion opérationnelle) dans chaque pays bénéficiaire est propice à la réalisation des objectifs.</w:t>
      </w:r>
    </w:p>
    <w:p w14:paraId="734DD760" w14:textId="010F28AC" w:rsidR="009B5981" w:rsidRPr="007D2AC6" w:rsidRDefault="00DA4D70" w:rsidP="007865D4">
      <w:pPr>
        <w:pStyle w:val="ONUMFS"/>
        <w:rPr>
          <w:lang w:val="fr-FR"/>
        </w:rPr>
      </w:pPr>
      <w:r w:rsidRPr="007D2AC6">
        <w:rPr>
          <w:lang w:val="fr-FR"/>
        </w:rPr>
        <w:t xml:space="preserve">Les modèles </w:t>
      </w:r>
      <w:proofErr w:type="gramStart"/>
      <w:r w:rsidRPr="007D2AC6">
        <w:rPr>
          <w:lang w:val="fr-FR"/>
        </w:rPr>
        <w:t>standard</w:t>
      </w:r>
      <w:proofErr w:type="gramEnd"/>
      <w:r w:rsidRPr="007D2AC6">
        <w:rPr>
          <w:lang w:val="fr-FR"/>
        </w:rPr>
        <w:t xml:space="preserve"> de l</w:t>
      </w:r>
      <w:r w:rsidR="002A5696" w:rsidRPr="007D2AC6">
        <w:rPr>
          <w:lang w:val="fr-FR"/>
        </w:rPr>
        <w:t>’</w:t>
      </w:r>
      <w:r w:rsidRPr="007D2AC6">
        <w:rPr>
          <w:lang w:val="fr-FR"/>
        </w:rPr>
        <w:t>OMPI pour la planification, le suivi et la présentation de rapports n</w:t>
      </w:r>
      <w:r w:rsidR="002A5696" w:rsidRPr="007D2AC6">
        <w:rPr>
          <w:lang w:val="fr-FR"/>
        </w:rPr>
        <w:t>’</w:t>
      </w:r>
      <w:r w:rsidRPr="007D2AC6">
        <w:rPr>
          <w:lang w:val="fr-FR"/>
        </w:rPr>
        <w:t>utilisent pas le cadre logique, qui constitue désormais le principal instrument de gestion de projets de coopération techniq</w:t>
      </w:r>
      <w:r w:rsidR="001B6E2D" w:rsidRPr="007D2AC6">
        <w:rPr>
          <w:lang w:val="fr-FR"/>
        </w:rPr>
        <w:t>ue.  Il</w:t>
      </w:r>
      <w:r w:rsidRPr="007D2AC6">
        <w:rPr>
          <w:lang w:val="fr-FR"/>
        </w:rPr>
        <w:t xml:space="preserve"> n</w:t>
      </w:r>
      <w:r w:rsidR="002A5696" w:rsidRPr="007D2AC6">
        <w:rPr>
          <w:lang w:val="fr-FR"/>
        </w:rPr>
        <w:t>’</w:t>
      </w:r>
      <w:r w:rsidRPr="007D2AC6">
        <w:rPr>
          <w:lang w:val="fr-FR"/>
        </w:rPr>
        <w:t>existe pas de lignes directrices détaillées concernant la gestion du cycle de projet, mais elles seraient utiles.</w:t>
      </w:r>
    </w:p>
    <w:p w14:paraId="052907DB" w14:textId="05168E95" w:rsidR="00DA4D70" w:rsidRPr="007D2AC6" w:rsidRDefault="00DA4D70" w:rsidP="00DA4D70">
      <w:pPr>
        <w:pStyle w:val="ONUME"/>
        <w:numPr>
          <w:ilvl w:val="0"/>
          <w:numId w:val="0"/>
        </w:numPr>
        <w:rPr>
          <w:b/>
          <w:lang w:val="fr-FR"/>
        </w:rPr>
      </w:pPr>
      <w:r w:rsidRPr="007D2AC6">
        <w:rPr>
          <w:b/>
          <w:lang w:val="fr-FR"/>
        </w:rPr>
        <w:t>Conclusion n°</w:t>
      </w:r>
      <w:r w:rsidR="009F77AF" w:rsidRPr="007D2AC6">
        <w:rPr>
          <w:b/>
          <w:lang w:val="fr-FR"/>
        </w:rPr>
        <w:t> </w:t>
      </w:r>
      <w:r w:rsidRPr="007D2AC6">
        <w:rPr>
          <w:b/>
          <w:lang w:val="fr-FR"/>
        </w:rPr>
        <w:t>2 concernant la gestion, l</w:t>
      </w:r>
      <w:r w:rsidR="002A5696" w:rsidRPr="007D2AC6">
        <w:rPr>
          <w:b/>
          <w:lang w:val="fr-FR"/>
        </w:rPr>
        <w:t>’</w:t>
      </w:r>
      <w:r w:rsidRPr="007D2AC6">
        <w:rPr>
          <w:b/>
          <w:lang w:val="fr-FR"/>
        </w:rPr>
        <w:t>efficacité et l</w:t>
      </w:r>
      <w:r w:rsidR="002A5696" w:rsidRPr="007D2AC6">
        <w:rPr>
          <w:b/>
          <w:lang w:val="fr-FR"/>
        </w:rPr>
        <w:t>’</w:t>
      </w:r>
      <w:r w:rsidRPr="007D2AC6">
        <w:rPr>
          <w:b/>
          <w:lang w:val="fr-FR"/>
        </w:rPr>
        <w:t>utilisation des ressources</w:t>
      </w:r>
      <w:r w:rsidR="002A5696" w:rsidRPr="007D2AC6">
        <w:rPr>
          <w:b/>
          <w:lang w:val="fr-FR"/>
        </w:rPr>
        <w:t> </w:t>
      </w:r>
      <w:proofErr w:type="gramStart"/>
      <w:r w:rsidR="002A5696" w:rsidRPr="007D2AC6">
        <w:rPr>
          <w:b/>
          <w:lang w:val="fr-FR"/>
        </w:rPr>
        <w:t>:</w:t>
      </w:r>
      <w:r w:rsidRPr="007D2AC6">
        <w:rPr>
          <w:b/>
          <w:lang w:val="fr-FR"/>
        </w:rPr>
        <w:t xml:space="preserve"> la</w:t>
      </w:r>
      <w:proofErr w:type="gramEnd"/>
      <w:r w:rsidRPr="007D2AC6">
        <w:rPr>
          <w:b/>
          <w:lang w:val="fr-FR"/>
        </w:rPr>
        <w:t xml:space="preserve"> gestion du projet a été extrêmement satisfaisan</w:t>
      </w:r>
      <w:r w:rsidR="001B6E2D" w:rsidRPr="007D2AC6">
        <w:rPr>
          <w:b/>
          <w:lang w:val="fr-FR"/>
        </w:rPr>
        <w:t>te.  Le</w:t>
      </w:r>
      <w:r w:rsidRPr="007D2AC6">
        <w:rPr>
          <w:b/>
          <w:lang w:val="fr-FR"/>
        </w:rPr>
        <w:t xml:space="preserve"> Secrétariat a fourni tous les produits, d</w:t>
      </w:r>
      <w:r w:rsidR="002A5696" w:rsidRPr="007D2AC6">
        <w:rPr>
          <w:b/>
          <w:lang w:val="fr-FR"/>
        </w:rPr>
        <w:t>’</w:t>
      </w:r>
      <w:r w:rsidRPr="007D2AC6">
        <w:rPr>
          <w:b/>
          <w:lang w:val="fr-FR"/>
        </w:rPr>
        <w:t>une bonne qualité, en temps uti</w:t>
      </w:r>
      <w:r w:rsidR="001B6E2D" w:rsidRPr="007D2AC6">
        <w:rPr>
          <w:b/>
          <w:lang w:val="fr-FR"/>
        </w:rPr>
        <w:t>le.  Le</w:t>
      </w:r>
      <w:r w:rsidRPr="007D2AC6">
        <w:rPr>
          <w:b/>
          <w:lang w:val="fr-FR"/>
        </w:rPr>
        <w:t>s ressources ont été utilisées de façon économiq</w:t>
      </w:r>
      <w:r w:rsidR="001B6E2D" w:rsidRPr="007D2AC6">
        <w:rPr>
          <w:b/>
          <w:lang w:val="fr-FR"/>
        </w:rPr>
        <w:t>ue.  Le</w:t>
      </w:r>
      <w:r w:rsidRPr="007D2AC6">
        <w:rPr>
          <w:b/>
          <w:lang w:val="fr-FR"/>
        </w:rPr>
        <w:t xml:space="preserve"> projet a présenté un bon rapport coût</w:t>
      </w:r>
      <w:r w:rsidR="00B57560" w:rsidRPr="007D2AC6">
        <w:rPr>
          <w:b/>
          <w:lang w:val="fr-FR"/>
        </w:rPr>
        <w:noBreakHyphen/>
      </w:r>
      <w:r w:rsidRPr="007D2AC6">
        <w:rPr>
          <w:b/>
          <w:lang w:val="fr-FR"/>
        </w:rPr>
        <w:t>efficacité.</w:t>
      </w:r>
    </w:p>
    <w:p w14:paraId="6CCA1FCE" w14:textId="10BC6D3E" w:rsidR="009B5981" w:rsidRPr="007D2AC6" w:rsidRDefault="00DA4D70" w:rsidP="007865D4">
      <w:pPr>
        <w:pStyle w:val="ONUMFS"/>
        <w:rPr>
          <w:lang w:val="fr-FR"/>
        </w:rPr>
      </w:pPr>
      <w:r w:rsidRPr="007D2AC6">
        <w:rPr>
          <w:lang w:val="fr-FR"/>
        </w:rPr>
        <w:t>Le projet a été bien géré, ce à quoi a contribué la mise en place d</w:t>
      </w:r>
      <w:r w:rsidR="002A5696" w:rsidRPr="007D2AC6">
        <w:rPr>
          <w:lang w:val="fr-FR"/>
        </w:rPr>
        <w:t>’</w:t>
      </w:r>
      <w:r w:rsidRPr="007D2AC6">
        <w:rPr>
          <w:lang w:val="fr-FR"/>
        </w:rPr>
        <w:t xml:space="preserve">une structure locale de mise en œuvre </w:t>
      </w:r>
      <w:r w:rsidR="00500172" w:rsidRPr="007D2AC6">
        <w:rPr>
          <w:lang w:val="fr-FR"/>
        </w:rPr>
        <w:t>(</w:t>
      </w:r>
      <w:r w:rsidRPr="007D2AC6">
        <w:rPr>
          <w:lang w:val="fr-FR"/>
        </w:rPr>
        <w:t>Conseil consultatif</w:t>
      </w:r>
      <w:r w:rsidR="00B57560" w:rsidRPr="007D2AC6">
        <w:rPr>
          <w:lang w:val="fr-FR"/>
        </w:rPr>
        <w:t>/</w:t>
      </w:r>
      <w:r w:rsidRPr="007D2AC6">
        <w:rPr>
          <w:lang w:val="fr-FR"/>
        </w:rPr>
        <w:t>Comité national de pilotage) dans les deux</w:t>
      </w:r>
      <w:r w:rsidR="009F77AF" w:rsidRPr="007D2AC6">
        <w:rPr>
          <w:lang w:val="fr-FR"/>
        </w:rPr>
        <w:t> </w:t>
      </w:r>
      <w:r w:rsidRPr="007D2AC6">
        <w:rPr>
          <w:lang w:val="fr-FR"/>
        </w:rPr>
        <w:t>pays bénéficiair</w:t>
      </w:r>
      <w:r w:rsidR="001B6E2D" w:rsidRPr="007D2AC6">
        <w:rPr>
          <w:lang w:val="fr-FR"/>
        </w:rPr>
        <w:t>es.  Un</w:t>
      </w:r>
      <w:r w:rsidRPr="007D2AC6">
        <w:rPr>
          <w:lang w:val="fr-FR"/>
        </w:rPr>
        <w:t xml:space="preserve"> facteur de succès essentiel a également tenu au recrutement d</w:t>
      </w:r>
      <w:r w:rsidR="002A5696" w:rsidRPr="007D2AC6">
        <w:rPr>
          <w:lang w:val="fr-FR"/>
        </w:rPr>
        <w:t>’</w:t>
      </w:r>
      <w:r w:rsidRPr="007D2AC6">
        <w:rPr>
          <w:lang w:val="fr-FR"/>
        </w:rPr>
        <w:t>une administratrice de projet à plein temps, qui possède une expérience de la coopération technique et de solides compétences en matière de gestion de proje</w:t>
      </w:r>
      <w:r w:rsidR="001B6E2D" w:rsidRPr="007D2AC6">
        <w:rPr>
          <w:lang w:val="fr-FR"/>
        </w:rPr>
        <w:t>ts.  La</w:t>
      </w:r>
      <w:r w:rsidRPr="007D2AC6">
        <w:rPr>
          <w:lang w:val="fr-FR"/>
        </w:rPr>
        <w:t xml:space="preserve"> gestion a été effectuée en souplesse, compte tenu des besoins des bénéficiaires.</w:t>
      </w:r>
    </w:p>
    <w:p w14:paraId="21330DE2" w14:textId="564D3577" w:rsidR="009B5981" w:rsidRPr="007D2AC6" w:rsidRDefault="00073C3F" w:rsidP="007865D4">
      <w:pPr>
        <w:pStyle w:val="ONUMFS"/>
        <w:rPr>
          <w:lang w:val="fr-FR"/>
        </w:rPr>
      </w:pPr>
      <w:r w:rsidRPr="007D2AC6">
        <w:rPr>
          <w:lang w:val="fr-FR"/>
        </w:rPr>
        <w:t>L</w:t>
      </w:r>
      <w:r w:rsidR="002A5696" w:rsidRPr="007D2AC6">
        <w:rPr>
          <w:lang w:val="fr-FR"/>
        </w:rPr>
        <w:t>’</w:t>
      </w:r>
      <w:r w:rsidRPr="007D2AC6">
        <w:rPr>
          <w:lang w:val="fr-FR"/>
        </w:rPr>
        <w:t>évaluation approuve le rapport d</w:t>
      </w:r>
      <w:r w:rsidR="002A5696" w:rsidRPr="007D2AC6">
        <w:rPr>
          <w:lang w:val="fr-FR"/>
        </w:rPr>
        <w:t>’</w:t>
      </w:r>
      <w:r w:rsidRPr="007D2AC6">
        <w:rPr>
          <w:lang w:val="fr-FR"/>
        </w:rPr>
        <w:t>achèvement du proj</w:t>
      </w:r>
      <w:r w:rsidR="001B6E2D" w:rsidRPr="007D2AC6">
        <w:rPr>
          <w:lang w:val="fr-FR"/>
        </w:rPr>
        <w:t>et.  La</w:t>
      </w:r>
      <w:r w:rsidRPr="007D2AC6">
        <w:rPr>
          <w:lang w:val="fr-FR"/>
        </w:rPr>
        <w:t xml:space="preserve"> plupart des produits escomptés ont été fournis dans les délais prévus et sont tous de bonne quali</w:t>
      </w:r>
      <w:r w:rsidR="001B6E2D" w:rsidRPr="007D2AC6">
        <w:rPr>
          <w:lang w:val="fr-FR"/>
        </w:rPr>
        <w:t>té.  Il</w:t>
      </w:r>
      <w:r w:rsidRPr="007D2AC6">
        <w:rPr>
          <w:lang w:val="fr-FR"/>
        </w:rPr>
        <w:t xml:space="preserve"> est prématuré d</w:t>
      </w:r>
      <w:r w:rsidR="002A5696" w:rsidRPr="007D2AC6">
        <w:rPr>
          <w:lang w:val="fr-FR"/>
        </w:rPr>
        <w:t>’</w:t>
      </w:r>
      <w:r w:rsidRPr="007D2AC6">
        <w:rPr>
          <w:lang w:val="fr-FR"/>
        </w:rPr>
        <w:t>évaluer les réalisations dans leur ensemb</w:t>
      </w:r>
      <w:r w:rsidR="001B6E2D" w:rsidRPr="007D2AC6">
        <w:rPr>
          <w:lang w:val="fr-FR"/>
        </w:rPr>
        <w:t>le.  Né</w:t>
      </w:r>
      <w:r w:rsidRPr="007D2AC6">
        <w:rPr>
          <w:lang w:val="fr-FR"/>
        </w:rPr>
        <w:t>anmoins, le projet semble avoir eu un effet prononcé de visibilité et de démonstration auprès des principales parties prenantes des deux</w:t>
      </w:r>
      <w:r w:rsidR="009F77AF" w:rsidRPr="007D2AC6">
        <w:rPr>
          <w:lang w:val="fr-FR"/>
        </w:rPr>
        <w:t> </w:t>
      </w:r>
      <w:r w:rsidRPr="007D2AC6">
        <w:rPr>
          <w:lang w:val="fr-FR"/>
        </w:rPr>
        <w:t>pays bénéficiair</w:t>
      </w:r>
      <w:r w:rsidR="001B6E2D" w:rsidRPr="007D2AC6">
        <w:rPr>
          <w:lang w:val="fr-FR"/>
        </w:rPr>
        <w:t>es.  Le</w:t>
      </w:r>
      <w:r w:rsidRPr="007D2AC6">
        <w:rPr>
          <w:lang w:val="fr-FR"/>
        </w:rPr>
        <w:t>s deux</w:t>
      </w:r>
      <w:r w:rsidR="009F77AF" w:rsidRPr="007D2AC6">
        <w:rPr>
          <w:lang w:val="fr-FR"/>
        </w:rPr>
        <w:t> </w:t>
      </w:r>
      <w:r w:rsidRPr="007D2AC6">
        <w:rPr>
          <w:lang w:val="fr-FR"/>
        </w:rPr>
        <w:t>offices de propriété intellectuelle ont souligné que le projet avait permis de nouer des relations plus étroites avec les principaux utilisateurs de la propriété intellectuelle, notamment grâce à la formation de réseaux au cours de différentes manifestatio</w:t>
      </w:r>
      <w:r w:rsidR="001B6E2D" w:rsidRPr="007D2AC6">
        <w:rPr>
          <w:lang w:val="fr-FR"/>
        </w:rPr>
        <w:t>ns.  Le</w:t>
      </w:r>
      <w:r w:rsidRPr="007D2AC6">
        <w:rPr>
          <w:lang w:val="fr-FR"/>
        </w:rPr>
        <w:t>s actions de sensibilisation semblent également avoir été fructueuses;  elles ont permis d</w:t>
      </w:r>
      <w:r w:rsidR="002A5696" w:rsidRPr="007D2AC6">
        <w:rPr>
          <w:lang w:val="fr-FR"/>
        </w:rPr>
        <w:t>’</w:t>
      </w:r>
      <w:r w:rsidRPr="007D2AC6">
        <w:rPr>
          <w:lang w:val="fr-FR"/>
        </w:rPr>
        <w:t>informer les titulaires de droits sur les avantages qu</w:t>
      </w:r>
      <w:r w:rsidR="002A5696" w:rsidRPr="007D2AC6">
        <w:rPr>
          <w:lang w:val="fr-FR"/>
        </w:rPr>
        <w:t>’</w:t>
      </w:r>
      <w:r w:rsidRPr="007D2AC6">
        <w:rPr>
          <w:lang w:val="fr-FR"/>
        </w:rPr>
        <w:t>offre la protection de leurs dessins et modèles grâce à l</w:t>
      </w:r>
      <w:r w:rsidR="002A5696" w:rsidRPr="007D2AC6">
        <w:rPr>
          <w:lang w:val="fr-FR"/>
        </w:rPr>
        <w:t>’</w:t>
      </w:r>
      <w:r w:rsidRPr="007D2AC6">
        <w:rPr>
          <w:lang w:val="fr-FR"/>
        </w:rPr>
        <w:t>enregistreme</w:t>
      </w:r>
      <w:r w:rsidR="001B6E2D" w:rsidRPr="007D2AC6">
        <w:rPr>
          <w:lang w:val="fr-FR"/>
        </w:rPr>
        <w:t>nt.  Le</w:t>
      </w:r>
      <w:r w:rsidRPr="007D2AC6">
        <w:rPr>
          <w:lang w:val="fr-FR"/>
        </w:rPr>
        <w:t>s deux</w:t>
      </w:r>
      <w:r w:rsidR="009F77AF" w:rsidRPr="007D2AC6">
        <w:rPr>
          <w:lang w:val="fr-FR"/>
        </w:rPr>
        <w:t> </w:t>
      </w:r>
      <w:r w:rsidRPr="007D2AC6">
        <w:rPr>
          <w:lang w:val="fr-FR"/>
        </w:rPr>
        <w:t>pays font état d</w:t>
      </w:r>
      <w:r w:rsidR="002A5696" w:rsidRPr="007D2AC6">
        <w:rPr>
          <w:lang w:val="fr-FR"/>
        </w:rPr>
        <w:t>’</w:t>
      </w:r>
      <w:r w:rsidRPr="007D2AC6">
        <w:rPr>
          <w:lang w:val="fr-FR"/>
        </w:rPr>
        <w:t>une augmentation des enregistrements des dessins et modèles et des marques.</w:t>
      </w:r>
    </w:p>
    <w:p w14:paraId="3EA86E3E" w14:textId="79070E73" w:rsidR="009B5981" w:rsidRPr="007D2AC6" w:rsidRDefault="00073C3F" w:rsidP="007865D4">
      <w:pPr>
        <w:pStyle w:val="ONUMFS"/>
        <w:rPr>
          <w:lang w:val="fr-FR"/>
        </w:rPr>
      </w:pPr>
      <w:r w:rsidRPr="007D2AC6">
        <w:rPr>
          <w:lang w:val="fr-FR"/>
        </w:rPr>
        <w:t>Outre la visibilité et l</w:t>
      </w:r>
      <w:r w:rsidR="002A5696" w:rsidRPr="007D2AC6">
        <w:rPr>
          <w:lang w:val="fr-FR"/>
        </w:rPr>
        <w:t>’</w:t>
      </w:r>
      <w:r w:rsidRPr="007D2AC6">
        <w:rPr>
          <w:lang w:val="fr-FR"/>
        </w:rPr>
        <w:t>intérêt suscités par des manifestations tenues à Genève, il faudrait déployer d</w:t>
      </w:r>
      <w:r w:rsidR="002A5696" w:rsidRPr="007D2AC6">
        <w:rPr>
          <w:lang w:val="fr-FR"/>
        </w:rPr>
        <w:t>’</w:t>
      </w:r>
      <w:r w:rsidRPr="007D2AC6">
        <w:rPr>
          <w:lang w:val="fr-FR"/>
        </w:rPr>
        <w:t>importants efforts supplémentaires, dans le cadre d</w:t>
      </w:r>
      <w:r w:rsidR="002A5696" w:rsidRPr="007D2AC6">
        <w:rPr>
          <w:lang w:val="fr-FR"/>
        </w:rPr>
        <w:t>’</w:t>
      </w:r>
      <w:r w:rsidRPr="007D2AC6">
        <w:rPr>
          <w:lang w:val="fr-FR"/>
        </w:rPr>
        <w:t>une seconde phase du projet, pour obtenir les résultats escomptés à l</w:t>
      </w:r>
      <w:r w:rsidR="002A5696" w:rsidRPr="007D2AC6">
        <w:rPr>
          <w:lang w:val="fr-FR"/>
        </w:rPr>
        <w:t>’</w:t>
      </w:r>
      <w:r w:rsidRPr="007D2AC6">
        <w:rPr>
          <w:lang w:val="fr-FR"/>
        </w:rPr>
        <w:t xml:space="preserve">échelon international </w:t>
      </w:r>
      <w:r w:rsidR="00500172" w:rsidRPr="007D2AC6">
        <w:rPr>
          <w:lang w:val="fr-FR"/>
        </w:rPr>
        <w:t>(</w:t>
      </w:r>
      <w:r w:rsidRPr="007D2AC6">
        <w:rPr>
          <w:lang w:val="fr-FR"/>
        </w:rPr>
        <w:t>reproductibilité du projet et passage à l</w:t>
      </w:r>
      <w:r w:rsidR="002A5696" w:rsidRPr="007D2AC6">
        <w:rPr>
          <w:lang w:val="fr-FR"/>
        </w:rPr>
        <w:t>’</w:t>
      </w:r>
      <w:r w:rsidRPr="007D2AC6">
        <w:rPr>
          <w:lang w:val="fr-FR"/>
        </w:rPr>
        <w:t>échelle supérieure).</w:t>
      </w:r>
    </w:p>
    <w:p w14:paraId="5E9A23E0" w14:textId="12EF75F3" w:rsidR="009B5981" w:rsidRPr="007D2AC6" w:rsidRDefault="009B5981" w:rsidP="007865D4">
      <w:pPr>
        <w:pStyle w:val="ONUMFS"/>
        <w:rPr>
          <w:lang w:val="fr-FR"/>
        </w:rPr>
      </w:pPr>
      <w:r w:rsidRPr="007D2AC6">
        <w:rPr>
          <w:lang w:val="fr-FR"/>
        </w:rPr>
        <w:t>Les ressources financières ont été utilisées de façon économiq</w:t>
      </w:r>
      <w:r w:rsidR="001B6E2D" w:rsidRPr="007D2AC6">
        <w:rPr>
          <w:lang w:val="fr-FR"/>
        </w:rPr>
        <w:t>ue.  Si</w:t>
      </w:r>
      <w:r w:rsidRPr="007D2AC6">
        <w:rPr>
          <w:lang w:val="fr-FR"/>
        </w:rPr>
        <w:t xml:space="preserve"> l</w:t>
      </w:r>
      <w:r w:rsidR="002A5696" w:rsidRPr="007D2AC6">
        <w:rPr>
          <w:lang w:val="fr-FR"/>
        </w:rPr>
        <w:t>’</w:t>
      </w:r>
      <w:r w:rsidRPr="007D2AC6">
        <w:rPr>
          <w:lang w:val="fr-FR"/>
        </w:rPr>
        <w:t xml:space="preserve">on compare les documents et services à fournir malgré un budget assez modeste, le </w:t>
      </w:r>
      <w:r w:rsidR="00276C7D" w:rsidRPr="007D2AC6">
        <w:rPr>
          <w:lang w:val="fr-FR"/>
        </w:rPr>
        <w:t>projet accusait une bonne renta</w:t>
      </w:r>
      <w:r w:rsidRPr="007D2AC6">
        <w:rPr>
          <w:lang w:val="fr-FR"/>
        </w:rPr>
        <w:t>bilité, bien que les chiffres financiers ne rendent pas compte des importantes contributions en nature des parties prenantes nationales, sous forme d</w:t>
      </w:r>
      <w:r w:rsidR="002A5696" w:rsidRPr="007D2AC6">
        <w:rPr>
          <w:lang w:val="fr-FR"/>
        </w:rPr>
        <w:t>’</w:t>
      </w:r>
      <w:r w:rsidRPr="007D2AC6">
        <w:rPr>
          <w:lang w:val="fr-FR"/>
        </w:rPr>
        <w:t>intrants.</w:t>
      </w:r>
    </w:p>
    <w:p w14:paraId="2CE61DEC" w14:textId="3DEA59C9" w:rsidR="002A5696" w:rsidRPr="007D2AC6" w:rsidRDefault="00073C3F" w:rsidP="00073C3F">
      <w:pPr>
        <w:pStyle w:val="ONUME"/>
        <w:numPr>
          <w:ilvl w:val="0"/>
          <w:numId w:val="0"/>
        </w:numPr>
        <w:rPr>
          <w:b/>
          <w:lang w:val="fr-FR"/>
        </w:rPr>
      </w:pPr>
      <w:r w:rsidRPr="007D2AC6">
        <w:rPr>
          <w:b/>
          <w:lang w:val="fr-FR"/>
        </w:rPr>
        <w:lastRenderedPageBreak/>
        <w:t>Conclusion n°</w:t>
      </w:r>
      <w:r w:rsidR="009F77AF" w:rsidRPr="007D2AC6">
        <w:rPr>
          <w:b/>
          <w:lang w:val="fr-FR"/>
        </w:rPr>
        <w:t> </w:t>
      </w:r>
      <w:r w:rsidRPr="007D2AC6">
        <w:rPr>
          <w:b/>
          <w:lang w:val="fr-FR"/>
        </w:rPr>
        <w:t>3 concernant la pérennité des résultats</w:t>
      </w:r>
      <w:r w:rsidR="002A5696" w:rsidRPr="007D2AC6">
        <w:rPr>
          <w:b/>
          <w:lang w:val="fr-FR"/>
        </w:rPr>
        <w:t> </w:t>
      </w:r>
      <w:proofErr w:type="gramStart"/>
      <w:r w:rsidR="002A5696" w:rsidRPr="007D2AC6">
        <w:rPr>
          <w:b/>
          <w:lang w:val="fr-FR"/>
        </w:rPr>
        <w:t>:</w:t>
      </w:r>
      <w:r w:rsidRPr="007D2AC6">
        <w:rPr>
          <w:b/>
          <w:lang w:val="fr-FR"/>
        </w:rPr>
        <w:t xml:space="preserve"> </w:t>
      </w:r>
      <w:r w:rsidR="00500172" w:rsidRPr="007D2AC6">
        <w:rPr>
          <w:b/>
          <w:lang w:val="fr-FR"/>
        </w:rPr>
        <w:t>l</w:t>
      </w:r>
      <w:r w:rsidRPr="007D2AC6">
        <w:rPr>
          <w:b/>
          <w:lang w:val="fr-FR"/>
        </w:rPr>
        <w:t>es</w:t>
      </w:r>
      <w:proofErr w:type="gramEnd"/>
      <w:r w:rsidRPr="007D2AC6">
        <w:rPr>
          <w:b/>
          <w:lang w:val="fr-FR"/>
        </w:rPr>
        <w:t xml:space="preserve"> activités menées au Maroc sous la houlette de l</w:t>
      </w:r>
      <w:r w:rsidR="002A5696" w:rsidRPr="007D2AC6">
        <w:rPr>
          <w:b/>
          <w:lang w:val="fr-FR"/>
        </w:rPr>
        <w:t>’</w:t>
      </w:r>
      <w:proofErr w:type="spellStart"/>
      <w:r w:rsidRPr="007D2AC6">
        <w:rPr>
          <w:b/>
          <w:lang w:val="fr-FR"/>
        </w:rPr>
        <w:t>OMPIC</w:t>
      </w:r>
      <w:proofErr w:type="spellEnd"/>
      <w:r w:rsidRPr="007D2AC6">
        <w:rPr>
          <w:b/>
          <w:lang w:val="fr-FR"/>
        </w:rPr>
        <w:t xml:space="preserve"> se poursuivent au</w:t>
      </w:r>
      <w:r w:rsidR="00B57560" w:rsidRPr="007D2AC6">
        <w:rPr>
          <w:b/>
          <w:lang w:val="fr-FR"/>
        </w:rPr>
        <w:noBreakHyphen/>
      </w:r>
      <w:r w:rsidRPr="007D2AC6">
        <w:rPr>
          <w:b/>
          <w:lang w:val="fr-FR"/>
        </w:rPr>
        <w:t>delà du projet.  L</w:t>
      </w:r>
      <w:r w:rsidR="002A5696" w:rsidRPr="007D2AC6">
        <w:rPr>
          <w:b/>
          <w:lang w:val="fr-FR"/>
        </w:rPr>
        <w:t>’</w:t>
      </w:r>
      <w:r w:rsidRPr="007D2AC6">
        <w:rPr>
          <w:b/>
          <w:lang w:val="fr-FR"/>
        </w:rPr>
        <w:t>Argentine envisage de poursuivre des activités afin de promouvoir la valorisation</w:t>
      </w:r>
      <w:r w:rsidR="002A5696" w:rsidRPr="007D2AC6">
        <w:rPr>
          <w:b/>
          <w:lang w:val="fr-FR"/>
        </w:rPr>
        <w:t xml:space="preserve"> des </w:t>
      </w:r>
      <w:r w:rsidR="00CE6067" w:rsidRPr="007D2AC6">
        <w:rPr>
          <w:b/>
          <w:lang w:val="fr-FR"/>
        </w:rPr>
        <w:t>droits de propriété intellectuelle</w:t>
      </w:r>
      <w:r w:rsidR="001B6E2D" w:rsidRPr="007D2AC6">
        <w:rPr>
          <w:b/>
          <w:lang w:val="fr-FR"/>
        </w:rPr>
        <w:t>.  La</w:t>
      </w:r>
      <w:r w:rsidRPr="007D2AC6">
        <w:rPr>
          <w:b/>
          <w:lang w:val="fr-FR"/>
        </w:rPr>
        <w:t xml:space="preserve"> génération et le maintien d</w:t>
      </w:r>
      <w:r w:rsidR="002A5696" w:rsidRPr="007D2AC6">
        <w:rPr>
          <w:b/>
          <w:lang w:val="fr-FR"/>
        </w:rPr>
        <w:t>’</w:t>
      </w:r>
      <w:r w:rsidRPr="007D2AC6">
        <w:rPr>
          <w:b/>
          <w:lang w:val="fr-FR"/>
        </w:rPr>
        <w:t>avantages à l</w:t>
      </w:r>
      <w:r w:rsidR="002A5696" w:rsidRPr="007D2AC6">
        <w:rPr>
          <w:b/>
          <w:lang w:val="fr-FR"/>
        </w:rPr>
        <w:t>’</w:t>
      </w:r>
      <w:r w:rsidRPr="007D2AC6">
        <w:rPr>
          <w:b/>
          <w:lang w:val="fr-FR"/>
        </w:rPr>
        <w:t>échelon international nécessitent une phase de suivi.</w:t>
      </w:r>
    </w:p>
    <w:p w14:paraId="139B7103" w14:textId="333264A5" w:rsidR="009B5981" w:rsidRPr="007D2AC6" w:rsidRDefault="00073C3F" w:rsidP="007865D4">
      <w:pPr>
        <w:pStyle w:val="ONUMFS"/>
        <w:rPr>
          <w:lang w:val="fr-FR"/>
        </w:rPr>
      </w:pPr>
      <w:r w:rsidRPr="007D2AC6">
        <w:rPr>
          <w:lang w:val="fr-FR"/>
        </w:rPr>
        <w:t>Tenter d</w:t>
      </w:r>
      <w:r w:rsidR="002A5696" w:rsidRPr="007D2AC6">
        <w:rPr>
          <w:lang w:val="fr-FR"/>
        </w:rPr>
        <w:t>’</w:t>
      </w:r>
      <w:r w:rsidRPr="007D2AC6">
        <w:rPr>
          <w:lang w:val="fr-FR"/>
        </w:rPr>
        <w:t>évaluer la probabilité de la pérennité à long terme des résultats à l</w:t>
      </w:r>
      <w:r w:rsidR="002A5696" w:rsidRPr="007D2AC6">
        <w:rPr>
          <w:lang w:val="fr-FR"/>
        </w:rPr>
        <w:t>’</w:t>
      </w:r>
      <w:r w:rsidRPr="007D2AC6">
        <w:rPr>
          <w:lang w:val="fr-FR"/>
        </w:rPr>
        <w:t>échelon national serait prématu</w:t>
      </w:r>
      <w:r w:rsidR="001B6E2D" w:rsidRPr="007D2AC6">
        <w:rPr>
          <w:lang w:val="fr-FR"/>
        </w:rPr>
        <w:t>ré.  En</w:t>
      </w:r>
      <w:r w:rsidRPr="007D2AC6">
        <w:rPr>
          <w:lang w:val="fr-FR"/>
        </w:rPr>
        <w:t xml:space="preserve"> effet, le maintien des avantages dépend en grande partie d</w:t>
      </w:r>
      <w:r w:rsidR="002A5696" w:rsidRPr="007D2AC6">
        <w:rPr>
          <w:lang w:val="fr-FR"/>
        </w:rPr>
        <w:t>’</w:t>
      </w:r>
      <w:r w:rsidRPr="007D2AC6">
        <w:rPr>
          <w:lang w:val="fr-FR"/>
        </w:rPr>
        <w:t>un suivi exercé par les offices compétents de propriété intellectuel</w:t>
      </w:r>
      <w:r w:rsidR="001B6E2D" w:rsidRPr="007D2AC6">
        <w:rPr>
          <w:lang w:val="fr-FR"/>
        </w:rPr>
        <w:t>le.  Co</w:t>
      </w:r>
      <w:r w:rsidRPr="007D2AC6">
        <w:rPr>
          <w:lang w:val="fr-FR"/>
        </w:rPr>
        <w:t>nformément aux engagements pris au cours du processus de sélection, les deux</w:t>
      </w:r>
      <w:r w:rsidR="009F77AF" w:rsidRPr="007D2AC6">
        <w:rPr>
          <w:lang w:val="fr-FR"/>
        </w:rPr>
        <w:t> </w:t>
      </w:r>
      <w:r w:rsidRPr="007D2AC6">
        <w:rPr>
          <w:lang w:val="fr-FR"/>
        </w:rPr>
        <w:t>offices de propriété intellectuelle ont fait part de leur volonté de poursuivre des activités similaires en vue de promouvoir les dessins et modèles, outils qui leur permettent d</w:t>
      </w:r>
      <w:r w:rsidR="002A5696" w:rsidRPr="007D2AC6">
        <w:rPr>
          <w:lang w:val="fr-FR"/>
        </w:rPr>
        <w:t>’</w:t>
      </w:r>
      <w:r w:rsidRPr="007D2AC6">
        <w:rPr>
          <w:lang w:val="fr-FR"/>
        </w:rPr>
        <w:t>ajouter de la valeur à leurs produi</w:t>
      </w:r>
      <w:r w:rsidR="001B6E2D" w:rsidRPr="007D2AC6">
        <w:rPr>
          <w:lang w:val="fr-FR"/>
        </w:rPr>
        <w:t>ts.  De</w:t>
      </w:r>
      <w:r w:rsidRPr="007D2AC6">
        <w:rPr>
          <w:lang w:val="fr-FR"/>
        </w:rPr>
        <w:t>s activités sont en cours au Maroc sous l</w:t>
      </w:r>
      <w:r w:rsidR="002A5696" w:rsidRPr="007D2AC6">
        <w:rPr>
          <w:lang w:val="fr-FR"/>
        </w:rPr>
        <w:t>’</w:t>
      </w:r>
      <w:r w:rsidRPr="007D2AC6">
        <w:rPr>
          <w:lang w:val="fr-FR"/>
        </w:rPr>
        <w:t>égide de l</w:t>
      </w:r>
      <w:r w:rsidR="002A5696" w:rsidRPr="007D2AC6">
        <w:rPr>
          <w:lang w:val="fr-FR"/>
        </w:rPr>
        <w:t>’</w:t>
      </w:r>
      <w:proofErr w:type="spellStart"/>
      <w:r w:rsidRPr="007D2AC6">
        <w:rPr>
          <w:lang w:val="fr-FR"/>
        </w:rPr>
        <w:t>OMPIC</w:t>
      </w:r>
      <w:proofErr w:type="spellEnd"/>
      <w:r w:rsidRPr="007D2AC6">
        <w:rPr>
          <w:lang w:val="fr-FR"/>
        </w:rPr>
        <w:t>.</w:t>
      </w:r>
    </w:p>
    <w:p w14:paraId="4D4B312B" w14:textId="0BE241CB" w:rsidR="009B5981" w:rsidRPr="007D2AC6" w:rsidRDefault="00073C3F" w:rsidP="007865D4">
      <w:pPr>
        <w:pStyle w:val="ONUMFS"/>
        <w:rPr>
          <w:lang w:val="fr-FR"/>
        </w:rPr>
      </w:pPr>
      <w:r w:rsidRPr="007D2AC6">
        <w:rPr>
          <w:lang w:val="fr-FR"/>
        </w:rPr>
        <w:t>Sans une intervention de suivi, il serait peu probable de maintenir les avantages limités à l</w:t>
      </w:r>
      <w:r w:rsidR="002A5696" w:rsidRPr="007D2AC6">
        <w:rPr>
          <w:lang w:val="fr-FR"/>
        </w:rPr>
        <w:t>’</w:t>
      </w:r>
      <w:r w:rsidRPr="007D2AC6">
        <w:rPr>
          <w:lang w:val="fr-FR"/>
        </w:rPr>
        <w:t xml:space="preserve">échelon international </w:t>
      </w:r>
      <w:r w:rsidR="00500172" w:rsidRPr="007D2AC6">
        <w:rPr>
          <w:lang w:val="fr-FR"/>
        </w:rPr>
        <w:t>(</w:t>
      </w:r>
      <w:r w:rsidRPr="007D2AC6">
        <w:rPr>
          <w:lang w:val="fr-FR"/>
        </w:rPr>
        <w:t>intérêt et visibilité).  L</w:t>
      </w:r>
      <w:r w:rsidR="002A5696" w:rsidRPr="007D2AC6">
        <w:rPr>
          <w:lang w:val="fr-FR"/>
        </w:rPr>
        <w:t>’</w:t>
      </w:r>
      <w:r w:rsidRPr="007D2AC6">
        <w:rPr>
          <w:lang w:val="fr-FR"/>
        </w:rPr>
        <w:t>extension de ce projet pilote, globalement réussi, à d</w:t>
      </w:r>
      <w:r w:rsidR="002A5696" w:rsidRPr="007D2AC6">
        <w:rPr>
          <w:lang w:val="fr-FR"/>
        </w:rPr>
        <w:t>’</w:t>
      </w:r>
      <w:r w:rsidRPr="007D2AC6">
        <w:rPr>
          <w:lang w:val="fr-FR"/>
        </w:rPr>
        <w:t>autres pays, notamment des pays moins avancés, si possible également à d</w:t>
      </w:r>
      <w:r w:rsidR="002A5696" w:rsidRPr="007D2AC6">
        <w:rPr>
          <w:lang w:val="fr-FR"/>
        </w:rPr>
        <w:t>’</w:t>
      </w:r>
      <w:r w:rsidRPr="007D2AC6">
        <w:rPr>
          <w:lang w:val="fr-FR"/>
        </w:rPr>
        <w:t>autres régions, fournirait l</w:t>
      </w:r>
      <w:r w:rsidR="002A5696" w:rsidRPr="007D2AC6">
        <w:rPr>
          <w:lang w:val="fr-FR"/>
        </w:rPr>
        <w:t>’</w:t>
      </w:r>
      <w:r w:rsidRPr="007D2AC6">
        <w:rPr>
          <w:lang w:val="fr-FR"/>
        </w:rPr>
        <w:t>expérience supplémentaire nécessaire pour tirer des conclusions quant à la manière dont le Secrétariat pourrait continuer à renforcer les offices de propriété intellectuelle afin d</w:t>
      </w:r>
      <w:r w:rsidR="002A5696" w:rsidRPr="007D2AC6">
        <w:rPr>
          <w:lang w:val="fr-FR"/>
        </w:rPr>
        <w:t>’</w:t>
      </w:r>
      <w:r w:rsidRPr="007D2AC6">
        <w:rPr>
          <w:lang w:val="fr-FR"/>
        </w:rPr>
        <w:t>apporter, à long terme, un soutien similaire aux entreprises.</w:t>
      </w:r>
    </w:p>
    <w:p w14:paraId="4556E378" w14:textId="4689276C" w:rsidR="00073C3F" w:rsidRPr="007D2AC6" w:rsidRDefault="00073C3F" w:rsidP="00073C3F">
      <w:pPr>
        <w:pStyle w:val="ONUME"/>
        <w:numPr>
          <w:ilvl w:val="0"/>
          <w:numId w:val="0"/>
        </w:numPr>
        <w:rPr>
          <w:b/>
          <w:lang w:val="fr-FR"/>
        </w:rPr>
      </w:pPr>
      <w:r w:rsidRPr="007D2AC6">
        <w:rPr>
          <w:b/>
          <w:lang w:val="fr-FR"/>
        </w:rPr>
        <w:t>Conclusion n°</w:t>
      </w:r>
      <w:r w:rsidR="009F77AF" w:rsidRPr="007D2AC6">
        <w:rPr>
          <w:b/>
          <w:lang w:val="fr-FR"/>
        </w:rPr>
        <w:t> </w:t>
      </w:r>
      <w:r w:rsidRPr="007D2AC6">
        <w:rPr>
          <w:b/>
          <w:lang w:val="fr-FR"/>
        </w:rPr>
        <w:t>4 concernant l</w:t>
      </w:r>
      <w:r w:rsidR="002A5696" w:rsidRPr="007D2AC6">
        <w:rPr>
          <w:b/>
          <w:lang w:val="fr-FR"/>
        </w:rPr>
        <w:t>’</w:t>
      </w:r>
      <w:r w:rsidRPr="007D2AC6">
        <w:rPr>
          <w:b/>
          <w:lang w:val="fr-FR"/>
        </w:rPr>
        <w:t>intégration de la parité</w:t>
      </w:r>
      <w:r w:rsidR="002A5696" w:rsidRPr="007D2AC6">
        <w:rPr>
          <w:b/>
          <w:lang w:val="fr-FR"/>
        </w:rPr>
        <w:t> </w:t>
      </w:r>
      <w:proofErr w:type="gramStart"/>
      <w:r w:rsidR="002A5696" w:rsidRPr="007D2AC6">
        <w:rPr>
          <w:b/>
          <w:lang w:val="fr-FR"/>
        </w:rPr>
        <w:t>:</w:t>
      </w:r>
      <w:r w:rsidRPr="007D2AC6">
        <w:rPr>
          <w:b/>
          <w:lang w:val="fr-FR"/>
        </w:rPr>
        <w:t xml:space="preserve"> </w:t>
      </w:r>
      <w:r w:rsidR="00500172" w:rsidRPr="007D2AC6">
        <w:rPr>
          <w:b/>
          <w:lang w:val="fr-FR"/>
        </w:rPr>
        <w:t>s</w:t>
      </w:r>
      <w:r w:rsidRPr="007D2AC6">
        <w:rPr>
          <w:b/>
          <w:lang w:val="fr-FR"/>
        </w:rPr>
        <w:t>i</w:t>
      </w:r>
      <w:proofErr w:type="gramEnd"/>
      <w:r w:rsidRPr="007D2AC6">
        <w:rPr>
          <w:b/>
          <w:lang w:val="fr-FR"/>
        </w:rPr>
        <w:t xml:space="preserve"> le projet a été mis en œuvre en tenant compte activement des questions de parité, cela a été fait, mais pas selon une méthodologie claire de l</w:t>
      </w:r>
      <w:r w:rsidR="002A5696" w:rsidRPr="007D2AC6">
        <w:rPr>
          <w:b/>
          <w:lang w:val="fr-FR"/>
        </w:rPr>
        <w:t>’</w:t>
      </w:r>
      <w:r w:rsidRPr="007D2AC6">
        <w:rPr>
          <w:b/>
          <w:lang w:val="fr-FR"/>
        </w:rPr>
        <w:t>OMPI.  L</w:t>
      </w:r>
      <w:r w:rsidR="002A5696" w:rsidRPr="007D2AC6">
        <w:rPr>
          <w:b/>
          <w:lang w:val="fr-FR"/>
        </w:rPr>
        <w:t>’</w:t>
      </w:r>
      <w:r w:rsidRPr="007D2AC6">
        <w:rPr>
          <w:b/>
          <w:lang w:val="fr-FR"/>
        </w:rPr>
        <w:t>égalité hommes</w:t>
      </w:r>
      <w:r w:rsidR="00B57560" w:rsidRPr="007D2AC6">
        <w:rPr>
          <w:b/>
          <w:lang w:val="fr-FR"/>
        </w:rPr>
        <w:noBreakHyphen/>
      </w:r>
      <w:r w:rsidRPr="007D2AC6">
        <w:rPr>
          <w:b/>
          <w:lang w:val="fr-FR"/>
        </w:rPr>
        <w:t>femmes est une priorité pour l</w:t>
      </w:r>
      <w:r w:rsidR="002A5696" w:rsidRPr="007D2AC6">
        <w:rPr>
          <w:b/>
          <w:lang w:val="fr-FR"/>
        </w:rPr>
        <w:t>’</w:t>
      </w:r>
      <w:r w:rsidRPr="007D2AC6">
        <w:rPr>
          <w:b/>
          <w:lang w:val="fr-FR"/>
        </w:rPr>
        <w:t>OMPI, mais aucune directive n</w:t>
      </w:r>
      <w:r w:rsidR="002A5696" w:rsidRPr="007D2AC6">
        <w:rPr>
          <w:b/>
          <w:lang w:val="fr-FR"/>
        </w:rPr>
        <w:t>’</w:t>
      </w:r>
      <w:r w:rsidRPr="007D2AC6">
        <w:rPr>
          <w:b/>
          <w:lang w:val="fr-FR"/>
        </w:rPr>
        <w:t>est donnée aux administrateurs de projets quant à la façon dont la parité devrait être prise systématiquement en compte dans des projets menés dans le cadre du Plan d</w:t>
      </w:r>
      <w:r w:rsidR="002A5696" w:rsidRPr="007D2AC6">
        <w:rPr>
          <w:b/>
          <w:lang w:val="fr-FR"/>
        </w:rPr>
        <w:t>’</w:t>
      </w:r>
      <w:r w:rsidRPr="007D2AC6">
        <w:rPr>
          <w:b/>
          <w:lang w:val="fr-FR"/>
        </w:rPr>
        <w:t>action pour le développement.</w:t>
      </w:r>
    </w:p>
    <w:p w14:paraId="6A11E2A4" w14:textId="2EFA75D9" w:rsidR="002A5696" w:rsidRPr="007D2AC6" w:rsidRDefault="00073C3F" w:rsidP="007865D4">
      <w:pPr>
        <w:pStyle w:val="ONUMFS"/>
        <w:rPr>
          <w:lang w:val="fr-FR"/>
        </w:rPr>
      </w:pPr>
      <w:r w:rsidRPr="007D2AC6">
        <w:rPr>
          <w:lang w:val="fr-FR"/>
        </w:rPr>
        <w:t>Les responsables du projet ont consenti d</w:t>
      </w:r>
      <w:r w:rsidR="002A5696" w:rsidRPr="007D2AC6">
        <w:rPr>
          <w:lang w:val="fr-FR"/>
        </w:rPr>
        <w:t>’</w:t>
      </w:r>
      <w:r w:rsidRPr="007D2AC6">
        <w:rPr>
          <w:lang w:val="fr-FR"/>
        </w:rPr>
        <w:t>importants efforts pour traiter les problèmes de pari</w:t>
      </w:r>
      <w:r w:rsidR="001B6E2D" w:rsidRPr="007D2AC6">
        <w:rPr>
          <w:lang w:val="fr-FR"/>
        </w:rPr>
        <w:t>té.  Il</w:t>
      </w:r>
      <w:r w:rsidRPr="007D2AC6">
        <w:rPr>
          <w:lang w:val="fr-FR"/>
        </w:rPr>
        <w:t xml:space="preserve"> n</w:t>
      </w:r>
      <w:r w:rsidR="002A5696" w:rsidRPr="007D2AC6">
        <w:rPr>
          <w:lang w:val="fr-FR"/>
        </w:rPr>
        <w:t>’</w:t>
      </w:r>
      <w:r w:rsidRPr="007D2AC6">
        <w:rPr>
          <w:lang w:val="fr-FR"/>
        </w:rPr>
        <w:t>a pas été observé, lors de l</w:t>
      </w:r>
      <w:r w:rsidR="002A5696" w:rsidRPr="007D2AC6">
        <w:rPr>
          <w:lang w:val="fr-FR"/>
        </w:rPr>
        <w:t>’</w:t>
      </w:r>
      <w:r w:rsidRPr="007D2AC6">
        <w:rPr>
          <w:lang w:val="fr-FR"/>
        </w:rPr>
        <w:t>évaluation, que les femmes n</w:t>
      </w:r>
      <w:r w:rsidR="002A5696" w:rsidRPr="007D2AC6">
        <w:rPr>
          <w:lang w:val="fr-FR"/>
        </w:rPr>
        <w:t>’</w:t>
      </w:r>
      <w:r w:rsidRPr="007D2AC6">
        <w:rPr>
          <w:lang w:val="fr-FR"/>
        </w:rPr>
        <w:t>aient pas été suffisamment impliquées dans le projet.</w:t>
      </w:r>
    </w:p>
    <w:p w14:paraId="252BA778" w14:textId="226A3E87" w:rsidR="002A5696" w:rsidRPr="007D2AC6" w:rsidRDefault="00073C3F" w:rsidP="007865D4">
      <w:pPr>
        <w:pStyle w:val="ONUMFS"/>
        <w:rPr>
          <w:lang w:val="fr-FR"/>
        </w:rPr>
      </w:pPr>
      <w:r w:rsidRPr="007D2AC6">
        <w:rPr>
          <w:lang w:val="fr-FR"/>
        </w:rPr>
        <w:t>Le projet s</w:t>
      </w:r>
      <w:r w:rsidR="002A5696" w:rsidRPr="007D2AC6">
        <w:rPr>
          <w:lang w:val="fr-FR"/>
        </w:rPr>
        <w:t>’</w:t>
      </w:r>
      <w:r w:rsidRPr="007D2AC6">
        <w:rPr>
          <w:lang w:val="fr-FR"/>
        </w:rPr>
        <w:t>est efforcé de respecter l</w:t>
      </w:r>
      <w:r w:rsidR="002A5696" w:rsidRPr="007D2AC6">
        <w:rPr>
          <w:lang w:val="fr-FR"/>
        </w:rPr>
        <w:t>’</w:t>
      </w:r>
      <w:r w:rsidRPr="007D2AC6">
        <w:rPr>
          <w:lang w:val="fr-FR"/>
        </w:rPr>
        <w:t>engagement de l</w:t>
      </w:r>
      <w:r w:rsidR="002A5696" w:rsidRPr="007D2AC6">
        <w:rPr>
          <w:lang w:val="fr-FR"/>
        </w:rPr>
        <w:t>’</w:t>
      </w:r>
      <w:r w:rsidRPr="007D2AC6">
        <w:rPr>
          <w:lang w:val="fr-FR"/>
        </w:rPr>
        <w:t>OMPI en faveur de l</w:t>
      </w:r>
      <w:r w:rsidR="002A5696" w:rsidRPr="007D2AC6">
        <w:rPr>
          <w:lang w:val="fr-FR"/>
        </w:rPr>
        <w:t>’</w:t>
      </w:r>
      <w:r w:rsidRPr="007D2AC6">
        <w:rPr>
          <w:lang w:val="fr-FR"/>
        </w:rPr>
        <w:t>égalité hommes</w:t>
      </w:r>
      <w:r w:rsidR="00B57560" w:rsidRPr="007D2AC6">
        <w:rPr>
          <w:lang w:val="fr-FR"/>
        </w:rPr>
        <w:noBreakHyphen/>
      </w:r>
      <w:r w:rsidRPr="007D2AC6">
        <w:rPr>
          <w:lang w:val="fr-FR"/>
        </w:rPr>
        <w:t>femmes, mais cela n</w:t>
      </w:r>
      <w:r w:rsidR="002A5696" w:rsidRPr="007D2AC6">
        <w:rPr>
          <w:lang w:val="fr-FR"/>
        </w:rPr>
        <w:t>’</w:t>
      </w:r>
      <w:r w:rsidRPr="007D2AC6">
        <w:rPr>
          <w:lang w:val="fr-FR"/>
        </w:rPr>
        <w:t>a pas été le cas d</w:t>
      </w:r>
      <w:r w:rsidR="002A5696" w:rsidRPr="007D2AC6">
        <w:rPr>
          <w:lang w:val="fr-FR"/>
        </w:rPr>
        <w:t>’</w:t>
      </w:r>
      <w:r w:rsidRPr="007D2AC6">
        <w:rPr>
          <w:lang w:val="fr-FR"/>
        </w:rPr>
        <w:t>emblée.</w:t>
      </w:r>
    </w:p>
    <w:p w14:paraId="7AFDD344" w14:textId="1755E74D" w:rsidR="009B5981" w:rsidRPr="007D2AC6" w:rsidRDefault="00073C3F" w:rsidP="007865D4">
      <w:pPr>
        <w:pStyle w:val="ONUMFS"/>
        <w:rPr>
          <w:lang w:val="fr-FR"/>
        </w:rPr>
      </w:pPr>
      <w:r w:rsidRPr="007D2AC6">
        <w:rPr>
          <w:lang w:val="fr-FR"/>
        </w:rPr>
        <w:t>Pour que les questions de parité soient systématiquement prises en compte dans les projets menés dans le cadre du Plan d</w:t>
      </w:r>
      <w:r w:rsidR="002A5696" w:rsidRPr="007D2AC6">
        <w:rPr>
          <w:lang w:val="fr-FR"/>
        </w:rPr>
        <w:t>’</w:t>
      </w:r>
      <w:r w:rsidRPr="007D2AC6">
        <w:rPr>
          <w:lang w:val="fr-FR"/>
        </w:rPr>
        <w:t>action pour le développement, il conviendrait d</w:t>
      </w:r>
      <w:r w:rsidR="002A5696" w:rsidRPr="007D2AC6">
        <w:rPr>
          <w:lang w:val="fr-FR"/>
        </w:rPr>
        <w:t>’</w:t>
      </w:r>
      <w:r w:rsidRPr="007D2AC6">
        <w:rPr>
          <w:lang w:val="fr-FR"/>
        </w:rPr>
        <w:t>élaborer des directives claires et de former tous les administrateurs de projets.</w:t>
      </w:r>
    </w:p>
    <w:p w14:paraId="14BD23CC" w14:textId="1CF57EDD" w:rsidR="0059687A" w:rsidRPr="007D2AC6" w:rsidRDefault="001F05C4" w:rsidP="001F05C4">
      <w:pPr>
        <w:pStyle w:val="Heading1"/>
        <w:rPr>
          <w:lang w:val="fr-FR"/>
        </w:rPr>
      </w:pPr>
      <w:bookmarkStart w:id="44" w:name="_Toc478372767"/>
      <w:r w:rsidRPr="007D2AC6">
        <w:rPr>
          <w:lang w:val="fr-FR"/>
        </w:rPr>
        <w:t>4.</w:t>
      </w:r>
      <w:r w:rsidRPr="007D2AC6">
        <w:rPr>
          <w:b w:val="0"/>
          <w:lang w:val="fr-FR"/>
        </w:rPr>
        <w:tab/>
      </w:r>
      <w:r w:rsidRPr="007D2AC6">
        <w:rPr>
          <w:lang w:val="fr-FR"/>
        </w:rPr>
        <w:t>Recommandations</w:t>
      </w:r>
      <w:bookmarkEnd w:id="44"/>
    </w:p>
    <w:p w14:paraId="39C78F28" w14:textId="77777777" w:rsidR="009B5981" w:rsidRPr="007D2AC6" w:rsidRDefault="009B5981" w:rsidP="00500172"/>
    <w:p w14:paraId="78AF6810" w14:textId="167D205F" w:rsidR="009B5981" w:rsidRPr="007865D4" w:rsidRDefault="009B5981" w:rsidP="007865D4">
      <w:pPr>
        <w:pStyle w:val="ONUMFS"/>
      </w:pPr>
      <w:r w:rsidRPr="007865D4">
        <w:t>L</w:t>
      </w:r>
      <w:r w:rsidR="002A5696" w:rsidRPr="007865D4">
        <w:t>’</w:t>
      </w:r>
      <w:r w:rsidRPr="007865D4">
        <w:t>équipe d</w:t>
      </w:r>
      <w:r w:rsidR="002A5696" w:rsidRPr="007865D4">
        <w:t>’</w:t>
      </w:r>
      <w:r w:rsidRPr="007865D4">
        <w:t>évaluation tire les recommandations suivantes des conclusions énoncées ci</w:t>
      </w:r>
      <w:r w:rsidR="00B57560" w:rsidRPr="007865D4">
        <w:noBreakHyphen/>
      </w:r>
      <w:r w:rsidRPr="007865D4">
        <w:t>dessus</w:t>
      </w:r>
      <w:r w:rsidR="002A5696" w:rsidRPr="007865D4">
        <w:t> :</w:t>
      </w:r>
    </w:p>
    <w:p w14:paraId="0832DA06" w14:textId="1D5C0B64" w:rsidR="002A5696" w:rsidRPr="007D2AC6" w:rsidRDefault="009B5981" w:rsidP="009B5981">
      <w:pPr>
        <w:spacing w:after="220"/>
        <w:rPr>
          <w:b/>
          <w:bCs/>
          <w:lang w:val="fr-FR"/>
        </w:rPr>
      </w:pPr>
      <w:r w:rsidRPr="007D2AC6">
        <w:rPr>
          <w:b/>
          <w:bCs/>
          <w:lang w:val="fr-FR"/>
        </w:rPr>
        <w:t>Recommandation n°</w:t>
      </w:r>
      <w:r w:rsidR="009F77AF" w:rsidRPr="007D2AC6">
        <w:rPr>
          <w:b/>
          <w:bCs/>
          <w:lang w:val="fr-FR"/>
        </w:rPr>
        <w:t> </w:t>
      </w:r>
      <w:r w:rsidRPr="007D2AC6">
        <w:rPr>
          <w:b/>
          <w:bCs/>
          <w:lang w:val="fr-FR"/>
        </w:rPr>
        <w:t xml:space="preserve">1 </w:t>
      </w:r>
      <w:r w:rsidR="00972890" w:rsidRPr="007D2AC6">
        <w:rPr>
          <w:b/>
          <w:bCs/>
          <w:lang w:val="fr-FR"/>
        </w:rPr>
        <w:t>(</w:t>
      </w:r>
      <w:r w:rsidRPr="007D2AC6">
        <w:rPr>
          <w:b/>
          <w:bCs/>
          <w:lang w:val="fr-FR"/>
        </w:rPr>
        <w:t>tirée des conclusions n</w:t>
      </w:r>
      <w:r w:rsidRPr="007D2AC6">
        <w:rPr>
          <w:b/>
          <w:bCs/>
          <w:vertAlign w:val="superscript"/>
          <w:lang w:val="fr-FR"/>
        </w:rPr>
        <w:t>os</w:t>
      </w:r>
      <w:r w:rsidR="00CE6067" w:rsidRPr="007D2AC6">
        <w:rPr>
          <w:b/>
          <w:bCs/>
          <w:lang w:val="fr-FR"/>
        </w:rPr>
        <w:t> 2 et </w:t>
      </w:r>
      <w:r w:rsidRPr="007D2AC6">
        <w:rPr>
          <w:b/>
          <w:bCs/>
          <w:lang w:val="fr-FR"/>
        </w:rPr>
        <w:t>3) au Secrétariat de l</w:t>
      </w:r>
      <w:r w:rsidR="002A5696" w:rsidRPr="007D2AC6">
        <w:rPr>
          <w:b/>
          <w:bCs/>
          <w:lang w:val="fr-FR"/>
        </w:rPr>
        <w:t>’</w:t>
      </w:r>
      <w:r w:rsidRPr="007D2AC6">
        <w:rPr>
          <w:b/>
          <w:bCs/>
          <w:lang w:val="fr-FR"/>
        </w:rPr>
        <w:t>OMPI</w:t>
      </w:r>
      <w:r w:rsidR="002A5696" w:rsidRPr="007D2AC6">
        <w:rPr>
          <w:b/>
          <w:bCs/>
          <w:lang w:val="fr-FR"/>
        </w:rPr>
        <w:t> </w:t>
      </w:r>
      <w:proofErr w:type="gramStart"/>
      <w:r w:rsidR="002A5696" w:rsidRPr="007D2AC6">
        <w:rPr>
          <w:b/>
          <w:bCs/>
          <w:lang w:val="fr-FR"/>
        </w:rPr>
        <w:t>:</w:t>
      </w:r>
      <w:r w:rsidRPr="007D2AC6">
        <w:rPr>
          <w:b/>
          <w:bCs/>
          <w:lang w:val="fr-FR"/>
        </w:rPr>
        <w:t xml:space="preserve"> s</w:t>
      </w:r>
      <w:r w:rsidR="00500172" w:rsidRPr="007D2AC6">
        <w:rPr>
          <w:b/>
          <w:bCs/>
          <w:lang w:val="fr-FR"/>
        </w:rPr>
        <w:t>uggérer</w:t>
      </w:r>
      <w:proofErr w:type="gramEnd"/>
      <w:r w:rsidR="00500172" w:rsidRPr="007D2AC6">
        <w:rPr>
          <w:b/>
          <w:bCs/>
          <w:lang w:val="fr-FR"/>
        </w:rPr>
        <w:t xml:space="preserve"> de prévoir une deuxième </w:t>
      </w:r>
      <w:r w:rsidRPr="007D2AC6">
        <w:rPr>
          <w:b/>
          <w:bCs/>
          <w:lang w:val="fr-FR"/>
        </w:rPr>
        <w:t>phase du projet afin que</w:t>
      </w:r>
      <w:r w:rsidR="002A5696" w:rsidRPr="007D2AC6">
        <w:rPr>
          <w:b/>
          <w:bCs/>
          <w:lang w:val="fr-FR"/>
        </w:rPr>
        <w:t xml:space="preserve"> le </w:t>
      </w:r>
      <w:proofErr w:type="spellStart"/>
      <w:r w:rsidR="002A5696" w:rsidRPr="007D2AC6">
        <w:rPr>
          <w:b/>
          <w:bCs/>
          <w:lang w:val="fr-FR"/>
        </w:rPr>
        <w:t>CDI</w:t>
      </w:r>
      <w:r w:rsidRPr="007D2AC6">
        <w:rPr>
          <w:b/>
          <w:bCs/>
          <w:lang w:val="fr-FR"/>
        </w:rPr>
        <w:t>P</w:t>
      </w:r>
      <w:proofErr w:type="spellEnd"/>
      <w:r w:rsidRPr="007D2AC6">
        <w:rPr>
          <w:b/>
          <w:bCs/>
          <w:lang w:val="fr-FR"/>
        </w:rPr>
        <w:t xml:space="preserve"> acquière une expérience supplémentaire et, s</w:t>
      </w:r>
      <w:r w:rsidR="002A5696" w:rsidRPr="007D2AC6">
        <w:rPr>
          <w:b/>
          <w:bCs/>
          <w:lang w:val="fr-FR"/>
        </w:rPr>
        <w:t>’</w:t>
      </w:r>
      <w:r w:rsidRPr="007D2AC6">
        <w:rPr>
          <w:b/>
          <w:bCs/>
          <w:lang w:val="fr-FR"/>
        </w:rPr>
        <w:t>il s</w:t>
      </w:r>
      <w:r w:rsidR="002A5696" w:rsidRPr="007D2AC6">
        <w:rPr>
          <w:b/>
          <w:bCs/>
          <w:lang w:val="fr-FR"/>
        </w:rPr>
        <w:t>’</w:t>
      </w:r>
      <w:r w:rsidRPr="007D2AC6">
        <w:rPr>
          <w:b/>
          <w:bCs/>
          <w:lang w:val="fr-FR"/>
        </w:rPr>
        <w:t>avère que l</w:t>
      </w:r>
      <w:r w:rsidR="002A5696" w:rsidRPr="007D2AC6">
        <w:rPr>
          <w:b/>
          <w:bCs/>
          <w:lang w:val="fr-FR"/>
        </w:rPr>
        <w:t>’</w:t>
      </w:r>
      <w:r w:rsidRPr="007D2AC6">
        <w:rPr>
          <w:b/>
          <w:bCs/>
          <w:lang w:val="fr-FR"/>
        </w:rPr>
        <w:t>intérêt suscité est plus vaste, se préparer à un passage à la vitesse supérieure et au suivi de la même approche.</w:t>
      </w:r>
    </w:p>
    <w:p w14:paraId="2114B31D" w14:textId="040640F8" w:rsidR="002A5696" w:rsidRPr="007D2AC6" w:rsidRDefault="00073C3F" w:rsidP="00073C3F">
      <w:pPr>
        <w:pStyle w:val="ONUMFS"/>
        <w:numPr>
          <w:ilvl w:val="1"/>
          <w:numId w:val="37"/>
        </w:numPr>
        <w:rPr>
          <w:lang w:val="fr-FR"/>
        </w:rPr>
      </w:pPr>
      <w:r w:rsidRPr="007D2AC6">
        <w:rPr>
          <w:lang w:val="fr-FR"/>
        </w:rPr>
        <w:t>Proposer</w:t>
      </w:r>
      <w:r w:rsidR="002A5696" w:rsidRPr="007D2AC6">
        <w:rPr>
          <w:lang w:val="fr-FR"/>
        </w:rPr>
        <w:t xml:space="preserve"> au </w:t>
      </w:r>
      <w:proofErr w:type="spellStart"/>
      <w:r w:rsidR="002A5696" w:rsidRPr="007D2AC6">
        <w:rPr>
          <w:lang w:val="fr-FR"/>
        </w:rPr>
        <w:t>CDI</w:t>
      </w:r>
      <w:r w:rsidRPr="007D2AC6">
        <w:rPr>
          <w:lang w:val="fr-FR"/>
        </w:rPr>
        <w:t>P</w:t>
      </w:r>
      <w:proofErr w:type="spellEnd"/>
      <w:r w:rsidRPr="007D2AC6">
        <w:rPr>
          <w:lang w:val="fr-FR"/>
        </w:rPr>
        <w:t xml:space="preserve"> de prévoir une deuxième phase du projet afin qu</w:t>
      </w:r>
      <w:r w:rsidR="002A5696" w:rsidRPr="007D2AC6">
        <w:rPr>
          <w:lang w:val="fr-FR"/>
        </w:rPr>
        <w:t>’</w:t>
      </w:r>
      <w:r w:rsidRPr="007D2AC6">
        <w:rPr>
          <w:lang w:val="fr-FR"/>
        </w:rPr>
        <w:t>il puisse piloter l</w:t>
      </w:r>
      <w:r w:rsidR="002A5696" w:rsidRPr="007D2AC6">
        <w:rPr>
          <w:lang w:val="fr-FR"/>
        </w:rPr>
        <w:t>’</w:t>
      </w:r>
      <w:r w:rsidRPr="007D2AC6">
        <w:rPr>
          <w:lang w:val="fr-FR"/>
        </w:rPr>
        <w:t>approche dans d</w:t>
      </w:r>
      <w:r w:rsidR="002A5696" w:rsidRPr="007D2AC6">
        <w:rPr>
          <w:lang w:val="fr-FR"/>
        </w:rPr>
        <w:t>’</w:t>
      </w:r>
      <w:r w:rsidRPr="007D2AC6">
        <w:rPr>
          <w:lang w:val="fr-FR"/>
        </w:rPr>
        <w:t>autres pays relevant de régions différent</w:t>
      </w:r>
      <w:r w:rsidR="001B6E2D" w:rsidRPr="007D2AC6">
        <w:rPr>
          <w:lang w:val="fr-FR"/>
        </w:rPr>
        <w:t>es.  Ad</w:t>
      </w:r>
      <w:r w:rsidRPr="007D2AC6">
        <w:rPr>
          <w:lang w:val="fr-FR"/>
        </w:rPr>
        <w:t>apter cette approche en fonction des besoins propres à chaque pays, le cas échéant.</w:t>
      </w:r>
    </w:p>
    <w:p w14:paraId="5CC50D5E" w14:textId="0EE923F2" w:rsidR="00073C3F" w:rsidRPr="007D2AC6" w:rsidRDefault="00073C3F" w:rsidP="00073C3F">
      <w:pPr>
        <w:pStyle w:val="ONUMFS"/>
        <w:numPr>
          <w:ilvl w:val="1"/>
          <w:numId w:val="37"/>
        </w:numPr>
        <w:rPr>
          <w:lang w:val="fr-FR"/>
        </w:rPr>
      </w:pPr>
      <w:r w:rsidRPr="007D2AC6">
        <w:rPr>
          <w:lang w:val="fr-FR"/>
        </w:rPr>
        <w:t>Faire participer les bureaux à la sélection de nouveaux pays ciblés.</w:t>
      </w:r>
    </w:p>
    <w:p w14:paraId="0E9EBCB2" w14:textId="4BA92031" w:rsidR="00073C3F" w:rsidRPr="007D2AC6" w:rsidRDefault="00073C3F" w:rsidP="00073C3F">
      <w:pPr>
        <w:pStyle w:val="ONUMFS"/>
        <w:numPr>
          <w:ilvl w:val="1"/>
          <w:numId w:val="37"/>
        </w:numPr>
        <w:rPr>
          <w:lang w:val="fr-FR"/>
        </w:rPr>
      </w:pPr>
      <w:r w:rsidRPr="007D2AC6">
        <w:rPr>
          <w:lang w:val="fr-FR"/>
        </w:rPr>
        <w:lastRenderedPageBreak/>
        <w:t>Tout en préservant l</w:t>
      </w:r>
      <w:r w:rsidR="002A5696" w:rsidRPr="007D2AC6">
        <w:rPr>
          <w:lang w:val="fr-FR"/>
        </w:rPr>
        <w:t>’</w:t>
      </w:r>
      <w:r w:rsidRPr="007D2AC6">
        <w:rPr>
          <w:lang w:val="fr-FR"/>
        </w:rPr>
        <w:t>engagement des homologues nationaux, principal critère de sélection, faire en sorte que le choix des pays bénéficiaires soit équilibré, aux différents stades de développement du système de propriété intellectuelle.</w:t>
      </w:r>
    </w:p>
    <w:p w14:paraId="7AB9C191" w14:textId="77777777" w:rsidR="00073C3F" w:rsidRPr="007D2AC6" w:rsidRDefault="00073C3F" w:rsidP="00073C3F">
      <w:pPr>
        <w:pStyle w:val="ONUMFS"/>
        <w:numPr>
          <w:ilvl w:val="1"/>
          <w:numId w:val="37"/>
        </w:numPr>
        <w:rPr>
          <w:lang w:val="fr-FR"/>
        </w:rPr>
      </w:pPr>
      <w:r w:rsidRPr="007D2AC6">
        <w:rPr>
          <w:lang w:val="fr-FR"/>
        </w:rPr>
        <w:t>Envisager de faire appel à des experts du projet dans les nouveaux pays bénéficiaires, le cas échéant.</w:t>
      </w:r>
    </w:p>
    <w:p w14:paraId="0B37524C" w14:textId="3F117F1F" w:rsidR="00073C3F" w:rsidRPr="007D2AC6" w:rsidRDefault="00073C3F" w:rsidP="00073C3F">
      <w:pPr>
        <w:pStyle w:val="ONUMFS"/>
        <w:numPr>
          <w:ilvl w:val="1"/>
          <w:numId w:val="37"/>
        </w:numPr>
        <w:rPr>
          <w:lang w:val="fr-FR"/>
        </w:rPr>
      </w:pPr>
      <w:r w:rsidRPr="007D2AC6">
        <w:rPr>
          <w:lang w:val="fr-FR"/>
        </w:rPr>
        <w:t>Apporter un appui aux offices de propriété intellectuelle d</w:t>
      </w:r>
      <w:r w:rsidR="002A5696" w:rsidRPr="007D2AC6">
        <w:rPr>
          <w:lang w:val="fr-FR"/>
        </w:rPr>
        <w:t>’</w:t>
      </w:r>
      <w:r w:rsidRPr="007D2AC6">
        <w:rPr>
          <w:lang w:val="fr-FR"/>
        </w:rPr>
        <w:t>Argentine et du Maroc, afin d</w:t>
      </w:r>
      <w:r w:rsidR="002A5696" w:rsidRPr="007D2AC6">
        <w:rPr>
          <w:lang w:val="fr-FR"/>
        </w:rPr>
        <w:t>’</w:t>
      </w:r>
      <w:r w:rsidRPr="007D2AC6">
        <w:rPr>
          <w:lang w:val="fr-FR"/>
        </w:rPr>
        <w:t>évaluer les réalisations dans leur ensemble.</w:t>
      </w:r>
    </w:p>
    <w:p w14:paraId="645CEF9F" w14:textId="26E95293" w:rsidR="00073C3F" w:rsidRPr="007D2AC6" w:rsidRDefault="00073C3F" w:rsidP="00073C3F">
      <w:pPr>
        <w:pStyle w:val="ONUMFS"/>
        <w:numPr>
          <w:ilvl w:val="1"/>
          <w:numId w:val="37"/>
        </w:numPr>
        <w:rPr>
          <w:lang w:val="fr-FR"/>
        </w:rPr>
      </w:pPr>
      <w:r w:rsidRPr="007D2AC6">
        <w:rPr>
          <w:lang w:val="fr-FR"/>
        </w:rPr>
        <w:t>Si l</w:t>
      </w:r>
      <w:r w:rsidR="002A5696" w:rsidRPr="007D2AC6">
        <w:rPr>
          <w:lang w:val="fr-FR"/>
        </w:rPr>
        <w:t>’</w:t>
      </w:r>
      <w:r w:rsidRPr="007D2AC6">
        <w:rPr>
          <w:lang w:val="fr-FR"/>
        </w:rPr>
        <w:t>examen à mi</w:t>
      </w:r>
      <w:r w:rsidR="00B57560" w:rsidRPr="007D2AC6">
        <w:rPr>
          <w:lang w:val="fr-FR"/>
        </w:rPr>
        <w:noBreakHyphen/>
      </w:r>
      <w:r w:rsidRPr="007D2AC6">
        <w:rPr>
          <w:lang w:val="fr-FR"/>
        </w:rPr>
        <w:t>parcours de la phase</w:t>
      </w:r>
      <w:r w:rsidR="00B57560" w:rsidRPr="007D2AC6">
        <w:rPr>
          <w:lang w:val="fr-FR"/>
        </w:rPr>
        <w:t> </w:t>
      </w:r>
      <w:r w:rsidRPr="007D2AC6">
        <w:rPr>
          <w:lang w:val="fr-FR"/>
        </w:rPr>
        <w:t>2 débouche sur des résultats positifs, élaborer une stratégie détaillée afin de reproduire des projets similaires dans d</w:t>
      </w:r>
      <w:r w:rsidR="002A5696" w:rsidRPr="007D2AC6">
        <w:rPr>
          <w:lang w:val="fr-FR"/>
        </w:rPr>
        <w:t>’</w:t>
      </w:r>
      <w:r w:rsidRPr="007D2AC6">
        <w:rPr>
          <w:lang w:val="fr-FR"/>
        </w:rPr>
        <w:t>autres pays.</w:t>
      </w:r>
    </w:p>
    <w:p w14:paraId="12335A28" w14:textId="4B57CFCD" w:rsidR="002A5696" w:rsidRPr="007D2AC6" w:rsidRDefault="00073C3F" w:rsidP="00073C3F">
      <w:pPr>
        <w:pStyle w:val="ONUMFS"/>
        <w:numPr>
          <w:ilvl w:val="0"/>
          <w:numId w:val="0"/>
        </w:numPr>
        <w:rPr>
          <w:b/>
          <w:lang w:val="fr-FR"/>
        </w:rPr>
      </w:pPr>
      <w:r w:rsidRPr="007D2AC6">
        <w:rPr>
          <w:b/>
          <w:lang w:val="fr-FR"/>
        </w:rPr>
        <w:t>Recommandation n°</w:t>
      </w:r>
      <w:r w:rsidR="009F77AF" w:rsidRPr="007D2AC6">
        <w:rPr>
          <w:b/>
          <w:lang w:val="fr-FR"/>
        </w:rPr>
        <w:t> </w:t>
      </w:r>
      <w:r w:rsidRPr="007D2AC6">
        <w:rPr>
          <w:b/>
          <w:lang w:val="fr-FR"/>
        </w:rPr>
        <w:t xml:space="preserve">3 </w:t>
      </w:r>
      <w:r w:rsidR="00500172" w:rsidRPr="007D2AC6">
        <w:rPr>
          <w:b/>
          <w:lang w:val="fr-FR"/>
        </w:rPr>
        <w:t>(</w:t>
      </w:r>
      <w:r w:rsidRPr="007D2AC6">
        <w:rPr>
          <w:b/>
          <w:lang w:val="fr-FR"/>
        </w:rPr>
        <w:t>tirée de la conclusion n°</w:t>
      </w:r>
      <w:r w:rsidR="009F77AF" w:rsidRPr="007D2AC6">
        <w:rPr>
          <w:b/>
          <w:lang w:val="fr-FR"/>
        </w:rPr>
        <w:t> </w:t>
      </w:r>
      <w:r w:rsidRPr="007D2AC6">
        <w:rPr>
          <w:b/>
          <w:lang w:val="fr-FR"/>
        </w:rPr>
        <w:t>2) au Secrétariat de l</w:t>
      </w:r>
      <w:r w:rsidR="002A5696" w:rsidRPr="007D2AC6">
        <w:rPr>
          <w:b/>
          <w:lang w:val="fr-FR"/>
        </w:rPr>
        <w:t>’</w:t>
      </w:r>
      <w:r w:rsidRPr="007D2AC6">
        <w:rPr>
          <w:b/>
          <w:lang w:val="fr-FR"/>
        </w:rPr>
        <w:t>OMPI</w:t>
      </w:r>
      <w:r w:rsidR="002A5696" w:rsidRPr="007D2AC6">
        <w:rPr>
          <w:b/>
          <w:lang w:val="fr-FR"/>
        </w:rPr>
        <w:t> :</w:t>
      </w:r>
      <w:r w:rsidRPr="007D2AC6">
        <w:rPr>
          <w:b/>
          <w:lang w:val="fr-FR"/>
        </w:rPr>
        <w:t xml:space="preserve"> évaluer systématiquement les moyens de gestion requis pour conduire de nouveaux projets dans le cadre du Plan d</w:t>
      </w:r>
      <w:r w:rsidR="002A5696" w:rsidRPr="007D2AC6">
        <w:rPr>
          <w:b/>
          <w:lang w:val="fr-FR"/>
        </w:rPr>
        <w:t>’</w:t>
      </w:r>
      <w:r w:rsidRPr="007D2AC6">
        <w:rPr>
          <w:b/>
          <w:lang w:val="fr-FR"/>
        </w:rPr>
        <w:t>action pour le développement et, le cas échéant, apporter un soutien à l</w:t>
      </w:r>
      <w:r w:rsidR="002A5696" w:rsidRPr="007D2AC6">
        <w:rPr>
          <w:b/>
          <w:lang w:val="fr-FR"/>
        </w:rPr>
        <w:t>’</w:t>
      </w:r>
      <w:r w:rsidRPr="007D2AC6">
        <w:rPr>
          <w:b/>
          <w:lang w:val="fr-FR"/>
        </w:rPr>
        <w:t>exécution courante de ces projets.</w:t>
      </w:r>
    </w:p>
    <w:p w14:paraId="05E94FC8" w14:textId="1084E54F" w:rsidR="009B5981" w:rsidRPr="007D2AC6" w:rsidRDefault="00073C3F" w:rsidP="007865D4">
      <w:pPr>
        <w:pStyle w:val="ONUMFS"/>
        <w:rPr>
          <w:lang w:val="fr-FR"/>
        </w:rPr>
      </w:pPr>
      <w:r w:rsidRPr="007D2AC6">
        <w:rPr>
          <w:lang w:val="fr-FR"/>
        </w:rPr>
        <w:t>S</w:t>
      </w:r>
      <w:r w:rsidR="002A5696" w:rsidRPr="007D2AC6">
        <w:rPr>
          <w:lang w:val="fr-FR"/>
        </w:rPr>
        <w:t>’</w:t>
      </w:r>
      <w:r w:rsidRPr="007D2AC6">
        <w:rPr>
          <w:lang w:val="fr-FR"/>
        </w:rPr>
        <w:t>agissant de nouveaux projets, le Secrétariat devrait évaluer systématiquement les ressources de gestion requises en fonction de la charge de travail des chefs de proj</w:t>
      </w:r>
      <w:r w:rsidR="001B6E2D" w:rsidRPr="007D2AC6">
        <w:rPr>
          <w:lang w:val="fr-FR"/>
        </w:rPr>
        <w:t>et.  Le</w:t>
      </w:r>
      <w:r w:rsidRPr="007D2AC6">
        <w:rPr>
          <w:lang w:val="fr-FR"/>
        </w:rPr>
        <w:t xml:space="preserve"> cas échéant, le Secrétariat devrait inscrire au budget les frais de recrutement d</w:t>
      </w:r>
      <w:r w:rsidR="002A5696" w:rsidRPr="007D2AC6">
        <w:rPr>
          <w:lang w:val="fr-FR"/>
        </w:rPr>
        <w:t>’</w:t>
      </w:r>
      <w:r w:rsidRPr="007D2AC6">
        <w:rPr>
          <w:lang w:val="fr-FR"/>
        </w:rPr>
        <w:t>un administrateur de projet, chargé de la gestion courante du projet.</w:t>
      </w:r>
    </w:p>
    <w:p w14:paraId="47A94241" w14:textId="555DC1D8" w:rsidR="00073C3F" w:rsidRPr="007D2AC6" w:rsidRDefault="00073C3F" w:rsidP="007865D4">
      <w:pPr>
        <w:pStyle w:val="ONUMFS"/>
        <w:rPr>
          <w:lang w:val="fr-FR"/>
        </w:rPr>
      </w:pPr>
      <w:r w:rsidRPr="007D2AC6">
        <w:rPr>
          <w:lang w:val="fr-FR"/>
        </w:rPr>
        <w:t>En complément de l</w:t>
      </w:r>
      <w:r w:rsidR="002A5696" w:rsidRPr="007D2AC6">
        <w:rPr>
          <w:lang w:val="fr-FR"/>
        </w:rPr>
        <w:t>’</w:t>
      </w:r>
      <w:r w:rsidRPr="007D2AC6">
        <w:rPr>
          <w:lang w:val="fr-FR"/>
        </w:rPr>
        <w:t>expertise technique du chef de projet, l</w:t>
      </w:r>
      <w:r w:rsidR="002A5696" w:rsidRPr="007D2AC6">
        <w:rPr>
          <w:lang w:val="fr-FR"/>
        </w:rPr>
        <w:t>’</w:t>
      </w:r>
      <w:r w:rsidRPr="007D2AC6">
        <w:rPr>
          <w:lang w:val="fr-FR"/>
        </w:rPr>
        <w:t>administrateur de projet devrait être essentiellement un spécialiste qualifié en matière de développement, possédant une expérience acquise sur le terrain et d</w:t>
      </w:r>
      <w:r w:rsidR="002A5696" w:rsidRPr="007D2AC6">
        <w:rPr>
          <w:lang w:val="fr-FR"/>
        </w:rPr>
        <w:t>’</w:t>
      </w:r>
      <w:r w:rsidRPr="007D2AC6">
        <w:rPr>
          <w:lang w:val="fr-FR"/>
        </w:rPr>
        <w:t>excellentes compétences en gestion de projet.</w:t>
      </w:r>
    </w:p>
    <w:p w14:paraId="2337D18D" w14:textId="08E25383" w:rsidR="009B5981" w:rsidRPr="007D2AC6" w:rsidRDefault="00073C3F" w:rsidP="007865D4">
      <w:pPr>
        <w:pStyle w:val="ONUMFS"/>
        <w:rPr>
          <w:lang w:val="fr-FR"/>
        </w:rPr>
      </w:pPr>
      <w:r w:rsidRPr="007D2AC6">
        <w:rPr>
          <w:lang w:val="fr-FR"/>
        </w:rPr>
        <w:t>Faire en sorte que la délégation de responsabilités en matière de gestion à un agent temporaire recruté à l</w:t>
      </w:r>
      <w:r w:rsidR="002A5696" w:rsidRPr="007D2AC6">
        <w:rPr>
          <w:lang w:val="fr-FR"/>
        </w:rPr>
        <w:t>’</w:t>
      </w:r>
      <w:r w:rsidRPr="007D2AC6">
        <w:rPr>
          <w:lang w:val="fr-FR"/>
        </w:rPr>
        <w:t>extérieur n</w:t>
      </w:r>
      <w:r w:rsidR="002A5696" w:rsidRPr="007D2AC6">
        <w:rPr>
          <w:lang w:val="fr-FR"/>
        </w:rPr>
        <w:t>’</w:t>
      </w:r>
      <w:r w:rsidRPr="007D2AC6">
        <w:rPr>
          <w:lang w:val="fr-FR"/>
        </w:rPr>
        <w:t>entraîne pas la perte de savoir</w:t>
      </w:r>
      <w:r w:rsidR="00B57560" w:rsidRPr="007D2AC6">
        <w:rPr>
          <w:lang w:val="fr-FR"/>
        </w:rPr>
        <w:noBreakHyphen/>
      </w:r>
      <w:r w:rsidRPr="007D2AC6">
        <w:rPr>
          <w:lang w:val="fr-FR"/>
        </w:rPr>
        <w:t>faire organisationnel.</w:t>
      </w:r>
    </w:p>
    <w:p w14:paraId="6D2774C0" w14:textId="6E6C2285" w:rsidR="00073C3F" w:rsidRPr="007D2AC6" w:rsidRDefault="00073C3F" w:rsidP="00073C3F">
      <w:pPr>
        <w:spacing w:after="220"/>
        <w:rPr>
          <w:b/>
          <w:bCs/>
          <w:lang w:val="fr-FR"/>
        </w:rPr>
      </w:pPr>
      <w:r w:rsidRPr="007D2AC6">
        <w:rPr>
          <w:b/>
          <w:bCs/>
          <w:lang w:val="fr-FR"/>
        </w:rPr>
        <w:t>Recommandation n°</w:t>
      </w:r>
      <w:r w:rsidR="009F77AF" w:rsidRPr="007D2AC6">
        <w:rPr>
          <w:b/>
          <w:bCs/>
          <w:lang w:val="fr-FR"/>
        </w:rPr>
        <w:t> </w:t>
      </w:r>
      <w:r w:rsidRPr="007D2AC6">
        <w:rPr>
          <w:b/>
          <w:bCs/>
          <w:lang w:val="fr-FR"/>
        </w:rPr>
        <w:t xml:space="preserve">4 </w:t>
      </w:r>
      <w:r w:rsidR="00972890" w:rsidRPr="007D2AC6">
        <w:rPr>
          <w:b/>
          <w:bCs/>
          <w:lang w:val="fr-FR"/>
        </w:rPr>
        <w:t>(</w:t>
      </w:r>
      <w:r w:rsidRPr="007D2AC6">
        <w:rPr>
          <w:b/>
          <w:bCs/>
          <w:lang w:val="fr-FR"/>
        </w:rPr>
        <w:t>tirée des conclusions n</w:t>
      </w:r>
      <w:r w:rsidRPr="007D2AC6">
        <w:rPr>
          <w:b/>
          <w:bCs/>
          <w:vertAlign w:val="superscript"/>
          <w:lang w:val="fr-FR"/>
        </w:rPr>
        <w:t>os</w:t>
      </w:r>
      <w:r w:rsidR="00CE6067" w:rsidRPr="007D2AC6">
        <w:rPr>
          <w:b/>
          <w:bCs/>
          <w:lang w:val="fr-FR"/>
        </w:rPr>
        <w:t> 1 et </w:t>
      </w:r>
      <w:r w:rsidRPr="007D2AC6">
        <w:rPr>
          <w:b/>
          <w:bCs/>
          <w:lang w:val="fr-FR"/>
        </w:rPr>
        <w:t>2) au Secrétariat de l</w:t>
      </w:r>
      <w:r w:rsidR="002A5696" w:rsidRPr="007D2AC6">
        <w:rPr>
          <w:b/>
          <w:bCs/>
          <w:lang w:val="fr-FR"/>
        </w:rPr>
        <w:t>’</w:t>
      </w:r>
      <w:r w:rsidRPr="007D2AC6">
        <w:rPr>
          <w:b/>
          <w:bCs/>
          <w:lang w:val="fr-FR"/>
        </w:rPr>
        <w:t>OMPI</w:t>
      </w:r>
      <w:r w:rsidR="002A5696" w:rsidRPr="007D2AC6">
        <w:rPr>
          <w:b/>
          <w:bCs/>
          <w:lang w:val="fr-FR"/>
        </w:rPr>
        <w:t> </w:t>
      </w:r>
      <w:proofErr w:type="gramStart"/>
      <w:r w:rsidR="002A5696" w:rsidRPr="007D2AC6">
        <w:rPr>
          <w:b/>
          <w:bCs/>
          <w:lang w:val="fr-FR"/>
        </w:rPr>
        <w:t>:</w:t>
      </w:r>
      <w:r w:rsidRPr="007D2AC6">
        <w:rPr>
          <w:b/>
          <w:bCs/>
          <w:lang w:val="fr-FR"/>
        </w:rPr>
        <w:t xml:space="preserve"> proposer</w:t>
      </w:r>
      <w:proofErr w:type="gramEnd"/>
      <w:r w:rsidR="002A5696" w:rsidRPr="007D2AC6">
        <w:rPr>
          <w:b/>
          <w:bCs/>
          <w:lang w:val="fr-FR"/>
        </w:rPr>
        <w:t xml:space="preserve"> au </w:t>
      </w:r>
      <w:proofErr w:type="spellStart"/>
      <w:r w:rsidR="002A5696" w:rsidRPr="007D2AC6">
        <w:rPr>
          <w:b/>
          <w:bCs/>
          <w:lang w:val="fr-FR"/>
        </w:rPr>
        <w:t>CDI</w:t>
      </w:r>
      <w:r w:rsidRPr="007D2AC6">
        <w:rPr>
          <w:b/>
          <w:bCs/>
          <w:lang w:val="fr-FR"/>
        </w:rPr>
        <w:t>P</w:t>
      </w:r>
      <w:proofErr w:type="spellEnd"/>
      <w:r w:rsidRPr="007D2AC6">
        <w:rPr>
          <w:b/>
          <w:bCs/>
          <w:lang w:val="fr-FR"/>
        </w:rPr>
        <w:t xml:space="preserve"> de conduire un projet dans le cadre du Plan d</w:t>
      </w:r>
      <w:r w:rsidR="002A5696" w:rsidRPr="007D2AC6">
        <w:rPr>
          <w:b/>
          <w:bCs/>
          <w:lang w:val="fr-FR"/>
        </w:rPr>
        <w:t>’</w:t>
      </w:r>
      <w:r w:rsidRPr="007D2AC6">
        <w:rPr>
          <w:b/>
          <w:bCs/>
          <w:lang w:val="fr-FR"/>
        </w:rPr>
        <w:t>action pour le développement, afin de mettre au point des outils spécialisés en vue de la planification et de l</w:t>
      </w:r>
      <w:r w:rsidR="002A5696" w:rsidRPr="007D2AC6">
        <w:rPr>
          <w:b/>
          <w:bCs/>
          <w:lang w:val="fr-FR"/>
        </w:rPr>
        <w:t>’</w:t>
      </w:r>
      <w:r w:rsidRPr="007D2AC6">
        <w:rPr>
          <w:b/>
          <w:bCs/>
          <w:lang w:val="fr-FR"/>
        </w:rPr>
        <w:t>exécution de projets menés dans ce cadre, en particulier de la prise en compte systématique de la parité hommes</w:t>
      </w:r>
      <w:r w:rsidR="00B57560" w:rsidRPr="007D2AC6">
        <w:rPr>
          <w:b/>
          <w:bCs/>
          <w:lang w:val="fr-FR"/>
        </w:rPr>
        <w:noBreakHyphen/>
      </w:r>
      <w:r w:rsidRPr="007D2AC6">
        <w:rPr>
          <w:b/>
          <w:bCs/>
          <w:lang w:val="fr-FR"/>
        </w:rPr>
        <w:t>femmes.</w:t>
      </w:r>
    </w:p>
    <w:p w14:paraId="47C15C80" w14:textId="7CED1746" w:rsidR="002A5696" w:rsidRPr="007865D4" w:rsidRDefault="009B5981" w:rsidP="007865D4">
      <w:pPr>
        <w:pStyle w:val="ONUMFS"/>
      </w:pPr>
      <w:r w:rsidRPr="007865D4">
        <w:t>Pour garantir l</w:t>
      </w:r>
      <w:r w:rsidR="002A5696" w:rsidRPr="007865D4">
        <w:t>’</w:t>
      </w:r>
      <w:r w:rsidRPr="007865D4">
        <w:t>application constante de bonnes pratiques à des projets menés dans le cadre du Plan d</w:t>
      </w:r>
      <w:r w:rsidR="002A5696" w:rsidRPr="007865D4">
        <w:t>’</w:t>
      </w:r>
      <w:r w:rsidRPr="007865D4">
        <w:t>action pour le développement, le Secrétariat de l</w:t>
      </w:r>
      <w:r w:rsidR="002A5696" w:rsidRPr="007865D4">
        <w:t>’</w:t>
      </w:r>
      <w:proofErr w:type="spellStart"/>
      <w:r w:rsidRPr="007865D4">
        <w:t>OMPI</w:t>
      </w:r>
      <w:proofErr w:type="spellEnd"/>
      <w:r w:rsidRPr="007865D4">
        <w:t xml:space="preserve"> devrait envisager de proposer</w:t>
      </w:r>
      <w:r w:rsidR="002A5696" w:rsidRPr="007865D4">
        <w:t xml:space="preserve"> au </w:t>
      </w:r>
      <w:proofErr w:type="spellStart"/>
      <w:r w:rsidR="002A5696" w:rsidRPr="007865D4">
        <w:t>CDI</w:t>
      </w:r>
      <w:r w:rsidRPr="007865D4">
        <w:t>P</w:t>
      </w:r>
      <w:proofErr w:type="spellEnd"/>
      <w:r w:rsidRPr="007865D4">
        <w:t xml:space="preserve"> un nouveau projet spécialement axé sur la mise au point et l</w:t>
      </w:r>
      <w:r w:rsidR="002A5696" w:rsidRPr="007865D4">
        <w:t>’</w:t>
      </w:r>
      <w:r w:rsidRPr="007865D4">
        <w:t>adoption d</w:t>
      </w:r>
      <w:r w:rsidR="002A5696" w:rsidRPr="007865D4">
        <w:t>’</w:t>
      </w:r>
      <w:r w:rsidRPr="007865D4">
        <w:t>outils de gestion de projets menés dans ce cadre.</w:t>
      </w:r>
    </w:p>
    <w:p w14:paraId="57B1358A" w14:textId="16999A04" w:rsidR="009B5981" w:rsidRPr="007865D4" w:rsidRDefault="009B5981" w:rsidP="007865D4">
      <w:pPr>
        <w:pStyle w:val="ONUMFS"/>
      </w:pPr>
      <w:r w:rsidRPr="007865D4">
        <w:t>Les tâches à exécuter seraient notamment les suivantes</w:t>
      </w:r>
      <w:r w:rsidR="002A5696" w:rsidRPr="007865D4">
        <w:t> :</w:t>
      </w:r>
    </w:p>
    <w:p w14:paraId="445FD9C1" w14:textId="039D3BF2" w:rsidR="009B5981" w:rsidRPr="007D2AC6" w:rsidRDefault="009B5981" w:rsidP="00500172">
      <w:pPr>
        <w:pStyle w:val="ONUMFS"/>
        <w:numPr>
          <w:ilvl w:val="1"/>
          <w:numId w:val="43"/>
        </w:numPr>
        <w:rPr>
          <w:lang w:val="fr-FR"/>
        </w:rPr>
      </w:pPr>
      <w:r w:rsidRPr="007D2AC6">
        <w:rPr>
          <w:lang w:val="fr-FR"/>
        </w:rPr>
        <w:t xml:space="preserve">Identification des bonnes pratiques existant en matière de planification et de suivi </w:t>
      </w:r>
      <w:r w:rsidR="00853937" w:rsidRPr="007D2AC6">
        <w:rPr>
          <w:lang w:val="fr-FR"/>
        </w:rPr>
        <w:t>(</w:t>
      </w:r>
      <w:r w:rsidR="002A5696" w:rsidRPr="007D2AC6">
        <w:rPr>
          <w:lang w:val="fr-FR"/>
        </w:rPr>
        <w:t>y compris</w:t>
      </w:r>
      <w:r w:rsidRPr="007D2AC6">
        <w:rPr>
          <w:lang w:val="fr-FR"/>
        </w:rPr>
        <w:t xml:space="preserve"> des outils) au sein de la famille des </w:t>
      </w:r>
      <w:r w:rsidR="002A5696" w:rsidRPr="007D2AC6">
        <w:rPr>
          <w:lang w:val="fr-FR"/>
        </w:rPr>
        <w:t>Nations Unies</w:t>
      </w:r>
      <w:r w:rsidR="00500172" w:rsidRPr="007D2AC6">
        <w:rPr>
          <w:lang w:val="fr-FR"/>
        </w:rPr>
        <w:t>.</w:t>
      </w:r>
    </w:p>
    <w:p w14:paraId="2C31AD29" w14:textId="25038886" w:rsidR="009B5981" w:rsidRPr="007D2AC6" w:rsidRDefault="009B5981" w:rsidP="009B5981">
      <w:pPr>
        <w:pStyle w:val="ONUMFS"/>
        <w:numPr>
          <w:ilvl w:val="1"/>
          <w:numId w:val="41"/>
        </w:numPr>
        <w:rPr>
          <w:lang w:val="fr-FR"/>
        </w:rPr>
      </w:pPr>
      <w:r w:rsidRPr="007D2AC6">
        <w:rPr>
          <w:lang w:val="fr-FR"/>
        </w:rPr>
        <w:t>Prise en considération de qui existe déjà, mise au point d</w:t>
      </w:r>
      <w:r w:rsidR="002A5696" w:rsidRPr="007D2AC6">
        <w:rPr>
          <w:lang w:val="fr-FR"/>
        </w:rPr>
        <w:t>’</w:t>
      </w:r>
      <w:r w:rsidRPr="007D2AC6">
        <w:rPr>
          <w:lang w:val="fr-FR"/>
        </w:rPr>
        <w:t>une trousse à outils de conception et de suivi des projets menés dans le cadre du Plan d</w:t>
      </w:r>
      <w:r w:rsidR="002A5696" w:rsidRPr="007D2AC6">
        <w:rPr>
          <w:lang w:val="fr-FR"/>
        </w:rPr>
        <w:t>’</w:t>
      </w:r>
      <w:r w:rsidRPr="007D2AC6">
        <w:rPr>
          <w:lang w:val="fr-FR"/>
        </w:rPr>
        <w:t xml:space="preserve">action pour le développement </w:t>
      </w:r>
      <w:r w:rsidR="00853937" w:rsidRPr="007D2AC6">
        <w:rPr>
          <w:lang w:val="fr-FR"/>
        </w:rPr>
        <w:t>(</w:t>
      </w:r>
      <w:r w:rsidR="002A5696" w:rsidRPr="007D2AC6">
        <w:rPr>
          <w:lang w:val="fr-FR"/>
        </w:rPr>
        <w:t>y compris</w:t>
      </w:r>
      <w:r w:rsidRPr="007D2AC6">
        <w:rPr>
          <w:lang w:val="fr-FR"/>
        </w:rPr>
        <w:t xml:space="preserve"> la prise en compte des aspects relatifs à la parité dans tous les projets menés dans le cadre du Plan d</w:t>
      </w:r>
      <w:r w:rsidR="002A5696" w:rsidRPr="007D2AC6">
        <w:rPr>
          <w:lang w:val="fr-FR"/>
        </w:rPr>
        <w:t>’</w:t>
      </w:r>
      <w:r w:rsidRPr="007D2AC6">
        <w:rPr>
          <w:lang w:val="fr-FR"/>
        </w:rPr>
        <w:t>action pour le développement).</w:t>
      </w:r>
    </w:p>
    <w:p w14:paraId="08CCD4E4" w14:textId="7B400D81" w:rsidR="009B5981" w:rsidRPr="007D2AC6" w:rsidRDefault="009B5981" w:rsidP="009B5981">
      <w:pPr>
        <w:pStyle w:val="ONUMFS"/>
        <w:numPr>
          <w:ilvl w:val="1"/>
          <w:numId w:val="41"/>
        </w:numPr>
        <w:rPr>
          <w:lang w:val="fr-FR"/>
        </w:rPr>
      </w:pPr>
      <w:r w:rsidRPr="007D2AC6">
        <w:rPr>
          <w:lang w:val="fr-FR"/>
        </w:rPr>
        <w:t>Cette trousse à outils devrait comporter des processus et des responsabilités clairement définis en matière de mise en œuvre du proj</w:t>
      </w:r>
      <w:r w:rsidR="001B6E2D" w:rsidRPr="007D2AC6">
        <w:rPr>
          <w:lang w:val="fr-FR"/>
        </w:rPr>
        <w:t>et.  Le</w:t>
      </w:r>
      <w:r w:rsidRPr="007D2AC6">
        <w:rPr>
          <w:lang w:val="fr-FR"/>
        </w:rPr>
        <w:t xml:space="preserve"> cadre logique devrait constituer la base de la planification, du suivi et de l</w:t>
      </w:r>
      <w:r w:rsidR="002A5696" w:rsidRPr="007D2AC6">
        <w:rPr>
          <w:lang w:val="fr-FR"/>
        </w:rPr>
        <w:t>’</w:t>
      </w:r>
      <w:r w:rsidRPr="007D2AC6">
        <w:rPr>
          <w:lang w:val="fr-FR"/>
        </w:rPr>
        <w:t xml:space="preserve">évaluation </w:t>
      </w:r>
      <w:r w:rsidR="00853937" w:rsidRPr="007D2AC6">
        <w:rPr>
          <w:lang w:val="fr-FR"/>
        </w:rPr>
        <w:t>(</w:t>
      </w:r>
      <w:r w:rsidRPr="007D2AC6">
        <w:rPr>
          <w:lang w:val="fr-FR"/>
        </w:rPr>
        <w:t>cycle de gestion de proj</w:t>
      </w:r>
      <w:r w:rsidR="001B6E2D" w:rsidRPr="007D2AC6">
        <w:rPr>
          <w:lang w:val="fr-FR"/>
        </w:rPr>
        <w:t>et).  To</w:t>
      </w:r>
      <w:r w:rsidRPr="007D2AC6">
        <w:rPr>
          <w:lang w:val="fr-FR"/>
        </w:rPr>
        <w:t>ut en s</w:t>
      </w:r>
      <w:r w:rsidR="002A5696" w:rsidRPr="007D2AC6">
        <w:rPr>
          <w:lang w:val="fr-FR"/>
        </w:rPr>
        <w:t>’</w:t>
      </w:r>
      <w:r w:rsidRPr="007D2AC6">
        <w:rPr>
          <w:lang w:val="fr-FR"/>
        </w:rPr>
        <w:t>appuyant sur les bonnes pratiques en vigueur dans d</w:t>
      </w:r>
      <w:r w:rsidR="002A5696" w:rsidRPr="007D2AC6">
        <w:rPr>
          <w:lang w:val="fr-FR"/>
        </w:rPr>
        <w:t>’</w:t>
      </w:r>
      <w:r w:rsidRPr="007D2AC6">
        <w:rPr>
          <w:lang w:val="fr-FR"/>
        </w:rPr>
        <w:t xml:space="preserve">autres </w:t>
      </w:r>
      <w:r w:rsidRPr="007D2AC6">
        <w:rPr>
          <w:lang w:val="fr-FR"/>
        </w:rPr>
        <w:lastRenderedPageBreak/>
        <w:t>organisations, la trousse à outils devra être adaptée aux activités de coopération technique propres à l</w:t>
      </w:r>
      <w:r w:rsidR="002A5696" w:rsidRPr="007D2AC6">
        <w:rPr>
          <w:lang w:val="fr-FR"/>
        </w:rPr>
        <w:t>’</w:t>
      </w:r>
      <w:r w:rsidRPr="007D2AC6">
        <w:rPr>
          <w:lang w:val="fr-FR"/>
        </w:rPr>
        <w:t>OMPI.</w:t>
      </w:r>
    </w:p>
    <w:p w14:paraId="350FDDE2" w14:textId="2F97C741" w:rsidR="009B5981" w:rsidRPr="007D2AC6" w:rsidRDefault="009B5981" w:rsidP="009B5981">
      <w:pPr>
        <w:pStyle w:val="ONUMFS"/>
        <w:numPr>
          <w:ilvl w:val="1"/>
          <w:numId w:val="41"/>
        </w:numPr>
        <w:rPr>
          <w:lang w:val="fr-FR"/>
        </w:rPr>
      </w:pPr>
      <w:r w:rsidRPr="007D2AC6">
        <w:rPr>
          <w:lang w:val="fr-FR"/>
        </w:rPr>
        <w:t>Organiser des cours de formation de brève durée en gestion du cycle de projets à l</w:t>
      </w:r>
      <w:r w:rsidR="002A5696" w:rsidRPr="007D2AC6">
        <w:rPr>
          <w:lang w:val="fr-FR"/>
        </w:rPr>
        <w:t>’</w:t>
      </w:r>
      <w:r w:rsidRPr="007D2AC6">
        <w:rPr>
          <w:lang w:val="fr-FR"/>
        </w:rPr>
        <w:t xml:space="preserve">intention des nouveaux chefs de projets </w:t>
      </w:r>
      <w:r w:rsidR="00853937" w:rsidRPr="007D2AC6">
        <w:rPr>
          <w:lang w:val="fr-FR"/>
        </w:rPr>
        <w:t>(</w:t>
      </w:r>
      <w:r w:rsidRPr="007D2AC6">
        <w:rPr>
          <w:lang w:val="fr-FR"/>
        </w:rPr>
        <w:t>à l</w:t>
      </w:r>
      <w:r w:rsidR="002A5696" w:rsidRPr="007D2AC6">
        <w:rPr>
          <w:lang w:val="fr-FR"/>
        </w:rPr>
        <w:t>’</w:t>
      </w:r>
      <w:r w:rsidRPr="007D2AC6">
        <w:rPr>
          <w:lang w:val="fr-FR"/>
        </w:rPr>
        <w:t>aide de la trousse à outils).</w:t>
      </w:r>
    </w:p>
    <w:p w14:paraId="3CC003A3" w14:textId="43642DF1" w:rsidR="009B5981" w:rsidRPr="007D2AC6" w:rsidRDefault="009B5981" w:rsidP="009B5981">
      <w:pPr>
        <w:pStyle w:val="ONUMFS"/>
        <w:numPr>
          <w:ilvl w:val="1"/>
          <w:numId w:val="41"/>
        </w:numPr>
        <w:rPr>
          <w:lang w:val="fr-FR"/>
        </w:rPr>
      </w:pPr>
      <w:r w:rsidRPr="007D2AC6">
        <w:rPr>
          <w:lang w:val="fr-FR"/>
        </w:rPr>
        <w:t>Piloter ces documents ainsi que le cou</w:t>
      </w:r>
      <w:r w:rsidR="001B6E2D" w:rsidRPr="007D2AC6">
        <w:rPr>
          <w:lang w:val="fr-FR"/>
        </w:rPr>
        <w:t>rs.  En</w:t>
      </w:r>
      <w:r w:rsidRPr="007D2AC6">
        <w:rPr>
          <w:lang w:val="fr-FR"/>
        </w:rPr>
        <w:t xml:space="preserve"> cas de réussite, </w:t>
      </w:r>
      <w:proofErr w:type="gramStart"/>
      <w:r w:rsidRPr="007D2AC6">
        <w:rPr>
          <w:lang w:val="fr-FR"/>
        </w:rPr>
        <w:t>envisager</w:t>
      </w:r>
      <w:proofErr w:type="gramEnd"/>
      <w:r w:rsidRPr="007D2AC6">
        <w:rPr>
          <w:lang w:val="fr-FR"/>
        </w:rPr>
        <w:t xml:space="preserve"> de les appliquer à tous les projets ou programmes de coopération technique à l</w:t>
      </w:r>
      <w:r w:rsidR="002A5696" w:rsidRPr="007D2AC6">
        <w:rPr>
          <w:lang w:val="fr-FR"/>
        </w:rPr>
        <w:t>’</w:t>
      </w:r>
      <w:r w:rsidRPr="007D2AC6">
        <w:rPr>
          <w:lang w:val="fr-FR"/>
        </w:rPr>
        <w:t>échelle de l</w:t>
      </w:r>
      <w:r w:rsidR="002A5696" w:rsidRPr="007D2AC6">
        <w:rPr>
          <w:lang w:val="fr-FR"/>
        </w:rPr>
        <w:t>’</w:t>
      </w:r>
      <w:r w:rsidRPr="007D2AC6">
        <w:rPr>
          <w:lang w:val="fr-FR"/>
        </w:rPr>
        <w:t>organisation.</w:t>
      </w:r>
    </w:p>
    <w:p w14:paraId="633F17B4" w14:textId="10B1CF91" w:rsidR="00FE5B8C" w:rsidRPr="007D2AC6" w:rsidRDefault="005576B8" w:rsidP="005576B8">
      <w:pPr>
        <w:pStyle w:val="ONUME"/>
        <w:numPr>
          <w:ilvl w:val="0"/>
          <w:numId w:val="0"/>
        </w:numPr>
        <w:jc w:val="both"/>
        <w:rPr>
          <w:bCs/>
          <w:lang w:val="fr-FR"/>
        </w:rPr>
      </w:pPr>
      <w:r w:rsidRPr="007D2AC6">
        <w:rPr>
          <w:lang w:val="fr-FR"/>
        </w:rPr>
        <w:br w:type="page"/>
      </w:r>
      <w:r w:rsidR="00DA4941" w:rsidRPr="007D2AC6">
        <w:rPr>
          <w:lang w:val="fr-FR"/>
        </w:rPr>
        <w:lastRenderedPageBreak/>
        <w:t>LISTE DES</w:t>
      </w:r>
      <w:r w:rsidR="005D1626" w:rsidRPr="007D2AC6">
        <w:rPr>
          <w:lang w:val="fr-FR"/>
        </w:rPr>
        <w:t xml:space="preserve"> APPENDI</w:t>
      </w:r>
      <w:r w:rsidR="00DA4941" w:rsidRPr="007D2AC6">
        <w:rPr>
          <w:lang w:val="fr-FR"/>
        </w:rPr>
        <w:t>C</w:t>
      </w:r>
      <w:r w:rsidR="00500172" w:rsidRPr="007D2AC6">
        <w:rPr>
          <w:lang w:val="fr-FR"/>
        </w:rP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66"/>
      </w:tblGrid>
      <w:tr w:rsidR="00DA4941" w:rsidRPr="007D2AC6" w14:paraId="3CF39ED9" w14:textId="77777777" w:rsidTr="00536CA6">
        <w:tc>
          <w:tcPr>
            <w:tcW w:w="1980" w:type="dxa"/>
          </w:tcPr>
          <w:p w14:paraId="067D3B7F" w14:textId="045F101F" w:rsidR="00FE5B8C" w:rsidRPr="007D2AC6" w:rsidRDefault="00500172" w:rsidP="001F05C4">
            <w:pPr>
              <w:jc w:val="both"/>
              <w:rPr>
                <w:b/>
                <w:lang w:val="fr-FR"/>
              </w:rPr>
            </w:pPr>
            <w:r w:rsidRPr="007D2AC6">
              <w:rPr>
                <w:b/>
                <w:lang w:val="fr-FR"/>
              </w:rPr>
              <w:t>Appendice </w:t>
            </w:r>
            <w:r w:rsidR="001F05C4" w:rsidRPr="007D2AC6">
              <w:rPr>
                <w:b/>
                <w:lang w:val="fr-FR"/>
              </w:rPr>
              <w:t>I</w:t>
            </w:r>
          </w:p>
        </w:tc>
        <w:tc>
          <w:tcPr>
            <w:tcW w:w="7366" w:type="dxa"/>
          </w:tcPr>
          <w:p w14:paraId="0D602838" w14:textId="17079376" w:rsidR="00FE5B8C" w:rsidRPr="007D2AC6" w:rsidRDefault="001F05C4" w:rsidP="001F05C4">
            <w:pPr>
              <w:jc w:val="both"/>
              <w:rPr>
                <w:lang w:val="fr-FR"/>
              </w:rPr>
            </w:pPr>
            <w:r w:rsidRPr="007D2AC6">
              <w:rPr>
                <w:lang w:val="fr-FR"/>
              </w:rPr>
              <w:t>Descriptif du projet</w:t>
            </w:r>
          </w:p>
        </w:tc>
      </w:tr>
      <w:tr w:rsidR="00DA4941" w:rsidRPr="007D2AC6" w14:paraId="43015811" w14:textId="77777777" w:rsidTr="00536CA6">
        <w:tc>
          <w:tcPr>
            <w:tcW w:w="1980" w:type="dxa"/>
          </w:tcPr>
          <w:p w14:paraId="6921AEA4" w14:textId="0519CF2E" w:rsidR="00FE5B8C" w:rsidRPr="007D2AC6" w:rsidRDefault="001F05C4" w:rsidP="001F05C4">
            <w:pPr>
              <w:jc w:val="both"/>
              <w:rPr>
                <w:b/>
                <w:lang w:val="fr-FR"/>
              </w:rPr>
            </w:pPr>
            <w:r w:rsidRPr="007D2AC6">
              <w:rPr>
                <w:b/>
                <w:lang w:val="fr-FR"/>
              </w:rPr>
              <w:t>Appendice</w:t>
            </w:r>
            <w:r w:rsidR="00B57560" w:rsidRPr="007D2AC6">
              <w:rPr>
                <w:b/>
                <w:lang w:val="fr-FR"/>
              </w:rPr>
              <w:t> </w:t>
            </w:r>
            <w:r w:rsidRPr="007D2AC6">
              <w:rPr>
                <w:b/>
                <w:lang w:val="fr-FR"/>
              </w:rPr>
              <w:t>II</w:t>
            </w:r>
          </w:p>
        </w:tc>
        <w:tc>
          <w:tcPr>
            <w:tcW w:w="7366" w:type="dxa"/>
          </w:tcPr>
          <w:p w14:paraId="4C35B22D" w14:textId="4E1AF99C" w:rsidR="00FE5B8C" w:rsidRPr="007D2AC6" w:rsidRDefault="001F05C4" w:rsidP="001F05C4">
            <w:pPr>
              <w:jc w:val="both"/>
              <w:rPr>
                <w:lang w:val="fr-FR"/>
              </w:rPr>
            </w:pPr>
            <w:r w:rsidRPr="007D2AC6">
              <w:rPr>
                <w:lang w:val="fr-FR"/>
              </w:rPr>
              <w:t>Mandat</w:t>
            </w:r>
          </w:p>
        </w:tc>
      </w:tr>
      <w:tr w:rsidR="00DA4941" w:rsidRPr="007D2AC6" w14:paraId="318481BF" w14:textId="77777777" w:rsidTr="00536CA6">
        <w:tc>
          <w:tcPr>
            <w:tcW w:w="1980" w:type="dxa"/>
          </w:tcPr>
          <w:p w14:paraId="259C5759" w14:textId="59B083EB" w:rsidR="00FE5B8C" w:rsidRPr="007D2AC6" w:rsidRDefault="001F05C4" w:rsidP="001F05C4">
            <w:pPr>
              <w:jc w:val="both"/>
              <w:rPr>
                <w:b/>
                <w:bCs/>
                <w:lang w:val="fr-FR"/>
              </w:rPr>
            </w:pPr>
            <w:r w:rsidRPr="007D2AC6">
              <w:rPr>
                <w:b/>
                <w:bCs/>
                <w:lang w:val="fr-FR"/>
              </w:rPr>
              <w:t>Appendice</w:t>
            </w:r>
            <w:r w:rsidR="00B57560" w:rsidRPr="007D2AC6">
              <w:rPr>
                <w:b/>
                <w:bCs/>
                <w:lang w:val="fr-FR"/>
              </w:rPr>
              <w:t> </w:t>
            </w:r>
            <w:r w:rsidRPr="007D2AC6">
              <w:rPr>
                <w:b/>
                <w:bCs/>
                <w:lang w:val="fr-FR"/>
              </w:rPr>
              <w:t>III</w:t>
            </w:r>
          </w:p>
        </w:tc>
        <w:tc>
          <w:tcPr>
            <w:tcW w:w="7366" w:type="dxa"/>
          </w:tcPr>
          <w:p w14:paraId="79CFBCA2" w14:textId="3FF22CCA" w:rsidR="00FE5B8C" w:rsidRPr="007D2AC6" w:rsidRDefault="001F05C4" w:rsidP="001F05C4">
            <w:pPr>
              <w:jc w:val="both"/>
              <w:rPr>
                <w:lang w:val="fr-FR"/>
              </w:rPr>
            </w:pPr>
            <w:r w:rsidRPr="007D2AC6">
              <w:rPr>
                <w:lang w:val="fr-FR"/>
              </w:rPr>
              <w:t>Liste des personnes consultées</w:t>
            </w:r>
          </w:p>
        </w:tc>
      </w:tr>
      <w:tr w:rsidR="00DA4941" w:rsidRPr="007D2AC6" w14:paraId="4354AC09" w14:textId="77777777" w:rsidTr="00536CA6">
        <w:tc>
          <w:tcPr>
            <w:tcW w:w="1980" w:type="dxa"/>
          </w:tcPr>
          <w:p w14:paraId="43724FA2" w14:textId="1A3350B4" w:rsidR="00FE5B8C" w:rsidRPr="007D2AC6" w:rsidRDefault="001F05C4" w:rsidP="001F05C4">
            <w:pPr>
              <w:jc w:val="both"/>
              <w:rPr>
                <w:b/>
                <w:lang w:val="fr-FR"/>
              </w:rPr>
            </w:pPr>
            <w:r w:rsidRPr="007D2AC6">
              <w:rPr>
                <w:b/>
                <w:lang w:val="fr-FR"/>
              </w:rPr>
              <w:t>Appendice</w:t>
            </w:r>
            <w:r w:rsidR="00B57560" w:rsidRPr="007D2AC6">
              <w:rPr>
                <w:b/>
                <w:lang w:val="fr-FR"/>
              </w:rPr>
              <w:t> </w:t>
            </w:r>
            <w:r w:rsidRPr="007D2AC6">
              <w:rPr>
                <w:b/>
                <w:lang w:val="fr-FR"/>
              </w:rPr>
              <w:t>IV</w:t>
            </w:r>
          </w:p>
        </w:tc>
        <w:tc>
          <w:tcPr>
            <w:tcW w:w="7366" w:type="dxa"/>
          </w:tcPr>
          <w:p w14:paraId="1365CC20" w14:textId="611E0B2E" w:rsidR="00FE5B8C" w:rsidRPr="007D2AC6" w:rsidRDefault="001F05C4" w:rsidP="001F05C4">
            <w:pPr>
              <w:jc w:val="both"/>
              <w:rPr>
                <w:lang w:val="fr-FR"/>
              </w:rPr>
            </w:pPr>
            <w:r w:rsidRPr="007D2AC6">
              <w:rPr>
                <w:lang w:val="fr-FR"/>
              </w:rPr>
              <w:t>Liste des documents</w:t>
            </w:r>
          </w:p>
        </w:tc>
      </w:tr>
    </w:tbl>
    <w:p w14:paraId="1F91BF9A" w14:textId="77777777" w:rsidR="0059687A" w:rsidRPr="007D2AC6" w:rsidRDefault="0059687A" w:rsidP="005D1626">
      <w:pPr>
        <w:pStyle w:val="ONUME"/>
        <w:numPr>
          <w:ilvl w:val="0"/>
          <w:numId w:val="0"/>
        </w:numPr>
        <w:spacing w:after="0"/>
        <w:rPr>
          <w:lang w:val="fr-FR"/>
        </w:rPr>
      </w:pPr>
    </w:p>
    <w:p w14:paraId="35703908" w14:textId="77777777" w:rsidR="0059687A" w:rsidRPr="007D2AC6" w:rsidRDefault="0059687A" w:rsidP="005D1626">
      <w:pPr>
        <w:pStyle w:val="ONUME"/>
        <w:numPr>
          <w:ilvl w:val="0"/>
          <w:numId w:val="0"/>
        </w:numPr>
        <w:spacing w:after="0"/>
        <w:rPr>
          <w:lang w:val="fr-FR"/>
        </w:rPr>
      </w:pPr>
    </w:p>
    <w:p w14:paraId="2D48C9B0" w14:textId="77777777" w:rsidR="0059687A" w:rsidRPr="007D2AC6" w:rsidRDefault="0059687A" w:rsidP="005D1626">
      <w:pPr>
        <w:pStyle w:val="ONUME"/>
        <w:numPr>
          <w:ilvl w:val="0"/>
          <w:numId w:val="0"/>
        </w:numPr>
        <w:spacing w:after="0"/>
        <w:rPr>
          <w:lang w:val="fr-FR"/>
        </w:rPr>
      </w:pPr>
    </w:p>
    <w:p w14:paraId="0CA78741" w14:textId="5980C17E" w:rsidR="0059687A" w:rsidRPr="007D2AC6" w:rsidRDefault="001F05C4" w:rsidP="001F05C4">
      <w:pPr>
        <w:pStyle w:val="Endofdocument-Annex"/>
        <w:rPr>
          <w:lang w:val="fr-FR"/>
        </w:rPr>
      </w:pPr>
      <w:r w:rsidRPr="007D2AC6">
        <w:rPr>
          <w:lang w:val="fr-FR"/>
        </w:rPr>
        <w:t>[Les appendices suivent]</w:t>
      </w:r>
    </w:p>
    <w:p w14:paraId="11FC71D4" w14:textId="77777777" w:rsidR="0059687A" w:rsidRPr="007D2AC6" w:rsidRDefault="0059687A" w:rsidP="00F1587E">
      <w:pPr>
        <w:rPr>
          <w:lang w:val="fr-FR"/>
        </w:rPr>
      </w:pPr>
    </w:p>
    <w:p w14:paraId="03AAF3F8" w14:textId="77777777" w:rsidR="005D1626" w:rsidRPr="007D2AC6" w:rsidRDefault="005D1626" w:rsidP="005D1626">
      <w:pPr>
        <w:pStyle w:val="ONUME"/>
        <w:numPr>
          <w:ilvl w:val="0"/>
          <w:numId w:val="0"/>
        </w:numPr>
        <w:spacing w:after="0"/>
        <w:jc w:val="right"/>
        <w:rPr>
          <w:lang w:val="fr-FR"/>
        </w:rPr>
        <w:sectPr w:rsidR="005D1626" w:rsidRPr="007D2AC6" w:rsidSect="00BB2BAE">
          <w:headerReference w:type="default" r:id="rId11"/>
          <w:headerReference w:type="first" r:id="rId12"/>
          <w:footerReference w:type="first" r:id="rId13"/>
          <w:pgSz w:w="11907" w:h="16840" w:code="9"/>
          <w:pgMar w:top="567" w:right="1134" w:bottom="1417" w:left="1417" w:header="510" w:footer="1020" w:gutter="0"/>
          <w:pgNumType w:start="1"/>
          <w:cols w:space="720"/>
          <w:titlePg/>
          <w:docGrid w:linePitch="299"/>
        </w:sectPr>
      </w:pPr>
    </w:p>
    <w:p w14:paraId="1CA781BF" w14:textId="77777777" w:rsidR="0059687A" w:rsidRPr="007D2AC6" w:rsidRDefault="0059687A" w:rsidP="007865D4">
      <w:pPr>
        <w:pStyle w:val="ONUME"/>
        <w:numPr>
          <w:ilvl w:val="0"/>
          <w:numId w:val="0"/>
        </w:numPr>
        <w:spacing w:after="0"/>
        <w:rPr>
          <w:lang w:val="fr-FR"/>
        </w:rPr>
      </w:pPr>
    </w:p>
    <w:p w14:paraId="082BB446" w14:textId="659022A9" w:rsidR="0059687A" w:rsidRPr="007D2AC6" w:rsidRDefault="005D1626" w:rsidP="005D1626">
      <w:pPr>
        <w:pStyle w:val="ONUME"/>
        <w:numPr>
          <w:ilvl w:val="0"/>
          <w:numId w:val="0"/>
        </w:numPr>
        <w:jc w:val="both"/>
        <w:rPr>
          <w:caps/>
          <w:lang w:val="fr-FR"/>
        </w:rPr>
      </w:pPr>
      <w:r w:rsidRPr="007D2AC6">
        <w:rPr>
          <w:caps/>
          <w:lang w:val="fr-FR"/>
        </w:rPr>
        <w:t>APPENDI</w:t>
      </w:r>
      <w:r w:rsidR="00DA4941" w:rsidRPr="007D2AC6">
        <w:rPr>
          <w:caps/>
          <w:lang w:val="fr-FR"/>
        </w:rPr>
        <w:t>CE</w:t>
      </w:r>
      <w:r w:rsidRPr="007D2AC6">
        <w:rPr>
          <w:caps/>
          <w:lang w:val="fr-FR"/>
        </w:rPr>
        <w:t xml:space="preserve"> i</w:t>
      </w:r>
      <w:r w:rsidR="002A5696" w:rsidRPr="007D2AC6">
        <w:rPr>
          <w:caps/>
          <w:lang w:val="fr-FR"/>
        </w:rPr>
        <w:t> </w:t>
      </w:r>
      <w:proofErr w:type="gramStart"/>
      <w:r w:rsidR="002A5696" w:rsidRPr="007D2AC6">
        <w:rPr>
          <w:caps/>
          <w:lang w:val="fr-FR"/>
        </w:rPr>
        <w:t>:</w:t>
      </w:r>
      <w:r w:rsidRPr="007D2AC6">
        <w:rPr>
          <w:caps/>
          <w:lang w:val="fr-FR"/>
        </w:rPr>
        <w:t xml:space="preserve"> </w:t>
      </w:r>
      <w:r w:rsidR="00DA4941" w:rsidRPr="007D2AC6">
        <w:rPr>
          <w:caps/>
          <w:lang w:val="fr-FR"/>
        </w:rPr>
        <w:t>Descriptif</w:t>
      </w:r>
      <w:proofErr w:type="gramEnd"/>
      <w:r w:rsidR="00DA4941" w:rsidRPr="007D2AC6">
        <w:rPr>
          <w:caps/>
          <w:lang w:val="fr-FR"/>
        </w:rPr>
        <w:t xml:space="preserve"> du projet</w:t>
      </w:r>
    </w:p>
    <w:p w14:paraId="14998947" w14:textId="1074BB01" w:rsidR="002A5696" w:rsidRPr="007D2AC6" w:rsidRDefault="00536CA6" w:rsidP="00500172">
      <w:pPr>
        <w:pStyle w:val="ONUME"/>
        <w:numPr>
          <w:ilvl w:val="0"/>
          <w:numId w:val="0"/>
        </w:numPr>
        <w:rPr>
          <w:lang w:val="fr-FR"/>
        </w:rPr>
      </w:pPr>
      <w:r w:rsidRPr="007D2AC6">
        <w:rPr>
          <w:lang w:val="fr-FR"/>
        </w:rPr>
        <w:t>Le descriptif du projet, figurant dans le document</w:t>
      </w:r>
      <w:r w:rsidR="00B57560" w:rsidRPr="007D2AC6">
        <w:rPr>
          <w:lang w:val="fr-FR"/>
        </w:rPr>
        <w:t> </w:t>
      </w:r>
      <w:proofErr w:type="spellStart"/>
      <w:r w:rsidRPr="007D2AC6">
        <w:rPr>
          <w:lang w:val="fr-FR"/>
        </w:rPr>
        <w:t>CDIP</w:t>
      </w:r>
      <w:proofErr w:type="spellEnd"/>
      <w:r w:rsidRPr="007D2AC6">
        <w:rPr>
          <w:lang w:val="fr-FR"/>
        </w:rPr>
        <w:t>/12/6, est disponible à l</w:t>
      </w:r>
      <w:r w:rsidR="002A5696" w:rsidRPr="007D2AC6">
        <w:rPr>
          <w:lang w:val="fr-FR"/>
        </w:rPr>
        <w:t>’</w:t>
      </w:r>
      <w:r w:rsidRPr="007D2AC6">
        <w:rPr>
          <w:lang w:val="fr-FR"/>
        </w:rPr>
        <w:t>adresse</w:t>
      </w:r>
      <w:r w:rsidR="00500172" w:rsidRPr="007D2AC6">
        <w:rPr>
          <w:lang w:val="fr-FR"/>
        </w:rPr>
        <w:t xml:space="preserve"> suivante</w:t>
      </w:r>
      <w:r w:rsidR="002A5696" w:rsidRPr="007D2AC6">
        <w:rPr>
          <w:lang w:val="fr-FR"/>
        </w:rPr>
        <w:t> :</w:t>
      </w:r>
    </w:p>
    <w:p w14:paraId="7475EA95" w14:textId="77777777" w:rsidR="002A5696" w:rsidRPr="007D2AC6" w:rsidRDefault="007865D4" w:rsidP="00500172">
      <w:pPr>
        <w:pStyle w:val="ONUME"/>
        <w:numPr>
          <w:ilvl w:val="0"/>
          <w:numId w:val="0"/>
        </w:numPr>
        <w:spacing w:after="0"/>
        <w:rPr>
          <w:lang w:val="fr-FR"/>
        </w:rPr>
      </w:pPr>
      <w:hyperlink r:id="rId14" w:history="1">
        <w:r w:rsidR="001F05C4" w:rsidRPr="007D2AC6">
          <w:rPr>
            <w:rStyle w:val="Hyperlink"/>
            <w:color w:val="auto"/>
            <w:lang w:val="fr-FR"/>
          </w:rPr>
          <w:t>http://www.wipo.int/meetings/fr/doc_details.jsp?doc_id=252504</w:t>
        </w:r>
      </w:hyperlink>
    </w:p>
    <w:p w14:paraId="29D03C97" w14:textId="60068053" w:rsidR="0059687A" w:rsidRPr="007D2AC6" w:rsidRDefault="0059687A" w:rsidP="00BC2D62">
      <w:pPr>
        <w:pStyle w:val="ONUME"/>
        <w:numPr>
          <w:ilvl w:val="0"/>
          <w:numId w:val="0"/>
        </w:numPr>
        <w:spacing w:after="0"/>
        <w:jc w:val="both"/>
        <w:rPr>
          <w:caps/>
          <w:lang w:val="fr-FR"/>
        </w:rPr>
      </w:pPr>
    </w:p>
    <w:p w14:paraId="34B1352A" w14:textId="77777777" w:rsidR="0059687A" w:rsidRPr="007D2AC6" w:rsidRDefault="0059687A" w:rsidP="00BC2D62">
      <w:pPr>
        <w:pStyle w:val="ONUME"/>
        <w:numPr>
          <w:ilvl w:val="0"/>
          <w:numId w:val="0"/>
        </w:numPr>
        <w:spacing w:after="0"/>
        <w:jc w:val="both"/>
        <w:rPr>
          <w:caps/>
          <w:lang w:val="fr-FR"/>
        </w:rPr>
      </w:pPr>
    </w:p>
    <w:p w14:paraId="0D514A9A" w14:textId="77777777" w:rsidR="0059687A" w:rsidRPr="007D2AC6" w:rsidRDefault="0059687A" w:rsidP="00BC2D62">
      <w:pPr>
        <w:pStyle w:val="ONUME"/>
        <w:numPr>
          <w:ilvl w:val="0"/>
          <w:numId w:val="0"/>
        </w:numPr>
        <w:spacing w:after="0"/>
        <w:jc w:val="both"/>
        <w:rPr>
          <w:caps/>
          <w:lang w:val="fr-FR"/>
        </w:rPr>
      </w:pPr>
    </w:p>
    <w:p w14:paraId="75D35DA0" w14:textId="0000A7C2" w:rsidR="0059687A" w:rsidRPr="007D2AC6" w:rsidRDefault="001F05C4" w:rsidP="001F05C4">
      <w:pPr>
        <w:pStyle w:val="Endofdocument-Annex"/>
        <w:ind w:left="4950"/>
        <w:rPr>
          <w:szCs w:val="22"/>
          <w:lang w:val="fr-FR"/>
        </w:rPr>
      </w:pPr>
      <w:r w:rsidRPr="007D2AC6">
        <w:rPr>
          <w:szCs w:val="22"/>
          <w:lang w:val="fr-FR"/>
        </w:rPr>
        <w:t>[L</w:t>
      </w:r>
      <w:r w:rsidR="002A5696" w:rsidRPr="007D2AC6">
        <w:rPr>
          <w:szCs w:val="22"/>
          <w:lang w:val="fr-FR"/>
        </w:rPr>
        <w:t>’</w:t>
      </w:r>
      <w:r w:rsidRPr="007D2AC6">
        <w:rPr>
          <w:szCs w:val="22"/>
          <w:lang w:val="fr-FR"/>
        </w:rPr>
        <w:t>a</w:t>
      </w:r>
      <w:r w:rsidR="002D2178" w:rsidRPr="007D2AC6">
        <w:rPr>
          <w:szCs w:val="22"/>
          <w:lang w:val="fr-FR"/>
        </w:rPr>
        <w:t>ppendice</w:t>
      </w:r>
      <w:r w:rsidR="00B57560" w:rsidRPr="007D2AC6">
        <w:rPr>
          <w:szCs w:val="22"/>
          <w:lang w:val="fr-FR"/>
        </w:rPr>
        <w:t> </w:t>
      </w:r>
      <w:r w:rsidRPr="007D2AC6">
        <w:rPr>
          <w:szCs w:val="22"/>
          <w:lang w:val="fr-FR"/>
        </w:rPr>
        <w:t>II suit]</w:t>
      </w:r>
    </w:p>
    <w:p w14:paraId="48BBC7AD" w14:textId="77777777" w:rsidR="0059687A" w:rsidRPr="007D2AC6" w:rsidRDefault="0059687A" w:rsidP="00BC2D62">
      <w:pPr>
        <w:pStyle w:val="Endofdocument-Annex"/>
        <w:ind w:left="4950"/>
        <w:rPr>
          <w:szCs w:val="22"/>
          <w:lang w:val="fr-FR"/>
        </w:rPr>
      </w:pPr>
    </w:p>
    <w:p w14:paraId="45F8CD9B" w14:textId="77777777" w:rsidR="003E61F8" w:rsidRPr="007D2AC6" w:rsidRDefault="003E61F8" w:rsidP="00BC2D62">
      <w:pPr>
        <w:pStyle w:val="Endofdocument-Annex"/>
        <w:ind w:left="4950"/>
        <w:rPr>
          <w:caps/>
          <w:szCs w:val="22"/>
          <w:lang w:val="fr-FR"/>
        </w:rPr>
        <w:sectPr w:rsidR="003E61F8" w:rsidRPr="007D2AC6" w:rsidSect="00BB2BAE">
          <w:headerReference w:type="default" r:id="rId15"/>
          <w:headerReference w:type="first" r:id="rId16"/>
          <w:footerReference w:type="first" r:id="rId17"/>
          <w:pgSz w:w="11907" w:h="16840" w:code="9"/>
          <w:pgMar w:top="567" w:right="1134" w:bottom="1417" w:left="1417" w:header="510" w:footer="1020" w:gutter="0"/>
          <w:pgNumType w:start="1"/>
          <w:cols w:space="720"/>
          <w:titlePg/>
          <w:docGrid w:linePitch="299"/>
        </w:sectPr>
      </w:pPr>
    </w:p>
    <w:p w14:paraId="4524B5A8" w14:textId="77777777" w:rsidR="007865D4" w:rsidRPr="007865D4" w:rsidRDefault="007865D4" w:rsidP="007865D4"/>
    <w:p w14:paraId="6F8863C8" w14:textId="3E8A336C" w:rsidR="0059687A" w:rsidRPr="007D2AC6" w:rsidRDefault="001F05C4" w:rsidP="001F05C4">
      <w:pPr>
        <w:pStyle w:val="ONUME"/>
        <w:numPr>
          <w:ilvl w:val="0"/>
          <w:numId w:val="0"/>
        </w:numPr>
        <w:jc w:val="both"/>
        <w:rPr>
          <w:caps/>
          <w:lang w:val="fr-FR"/>
        </w:rPr>
      </w:pPr>
      <w:r w:rsidRPr="007D2AC6">
        <w:rPr>
          <w:caps/>
          <w:lang w:val="fr-FR"/>
        </w:rPr>
        <w:t>APPENDICE</w:t>
      </w:r>
      <w:r w:rsidR="00B57560" w:rsidRPr="007D2AC6">
        <w:rPr>
          <w:caps/>
          <w:lang w:val="fr-FR"/>
        </w:rPr>
        <w:t> </w:t>
      </w:r>
      <w:r w:rsidRPr="007D2AC6">
        <w:rPr>
          <w:caps/>
          <w:lang w:val="fr-FR"/>
        </w:rPr>
        <w:t>II</w:t>
      </w:r>
      <w:r w:rsidR="002A5696" w:rsidRPr="007D2AC6">
        <w:rPr>
          <w:caps/>
          <w:lang w:val="fr-FR"/>
        </w:rPr>
        <w:t> </w:t>
      </w:r>
      <w:proofErr w:type="gramStart"/>
      <w:r w:rsidR="002A5696" w:rsidRPr="007D2AC6">
        <w:rPr>
          <w:caps/>
          <w:lang w:val="fr-FR"/>
        </w:rPr>
        <w:t>:</w:t>
      </w:r>
      <w:r w:rsidRPr="007D2AC6">
        <w:rPr>
          <w:caps/>
          <w:lang w:val="fr-FR"/>
        </w:rPr>
        <w:t xml:space="preserve"> MANDAT</w:t>
      </w:r>
      <w:proofErr w:type="gramEnd"/>
    </w:p>
    <w:p w14:paraId="5E68D46F" w14:textId="77777777" w:rsidR="0059687A" w:rsidRPr="007D2AC6" w:rsidRDefault="0059687A" w:rsidP="00807D9F">
      <w:pPr>
        <w:pStyle w:val="ListParagraph"/>
        <w:tabs>
          <w:tab w:val="left" w:pos="851"/>
          <w:tab w:val="left" w:pos="4253"/>
        </w:tabs>
        <w:spacing w:after="120"/>
        <w:ind w:left="0"/>
        <w:contextualSpacing w:val="0"/>
        <w:jc w:val="center"/>
        <w:rPr>
          <w:szCs w:val="22"/>
          <w:lang w:val="fr-FR"/>
        </w:rPr>
      </w:pPr>
    </w:p>
    <w:p w14:paraId="07C9C880" w14:textId="1ABFDD60" w:rsidR="0059687A" w:rsidRPr="007D2AC6" w:rsidRDefault="001F05C4" w:rsidP="001F05C4">
      <w:pPr>
        <w:pStyle w:val="ListParagraph"/>
        <w:spacing w:after="120"/>
        <w:ind w:left="0"/>
        <w:jc w:val="center"/>
        <w:rPr>
          <w:b/>
          <w:lang w:val="fr-FR"/>
        </w:rPr>
      </w:pPr>
      <w:r w:rsidRPr="007D2AC6">
        <w:rPr>
          <w:b/>
          <w:lang w:val="fr-FR"/>
        </w:rPr>
        <w:t>MANDAT</w:t>
      </w:r>
    </w:p>
    <w:p w14:paraId="631D8A93" w14:textId="77777777" w:rsidR="0059687A" w:rsidRPr="007D2AC6" w:rsidRDefault="0059687A" w:rsidP="00807D9F">
      <w:pPr>
        <w:pStyle w:val="ListParagraph"/>
        <w:tabs>
          <w:tab w:val="left" w:pos="851"/>
        </w:tabs>
        <w:spacing w:after="120"/>
        <w:ind w:left="0"/>
        <w:jc w:val="center"/>
        <w:rPr>
          <w:b/>
          <w:lang w:val="fr-FR"/>
        </w:rPr>
      </w:pPr>
    </w:p>
    <w:p w14:paraId="7F5A0C74" w14:textId="77777777" w:rsidR="0059687A" w:rsidRPr="007D2AC6" w:rsidRDefault="0059687A" w:rsidP="00807D9F">
      <w:pPr>
        <w:pStyle w:val="ListParagraph"/>
        <w:tabs>
          <w:tab w:val="left" w:pos="851"/>
          <w:tab w:val="left" w:pos="4253"/>
        </w:tabs>
        <w:spacing w:after="120"/>
        <w:ind w:left="0"/>
        <w:contextualSpacing w:val="0"/>
        <w:rPr>
          <w:b/>
          <w:lang w:val="fr-FR"/>
        </w:rPr>
      </w:pPr>
    </w:p>
    <w:p w14:paraId="64FCBF2E" w14:textId="143F682E" w:rsidR="0059687A" w:rsidRPr="007D2AC6" w:rsidRDefault="002D2178" w:rsidP="00807D9F">
      <w:pPr>
        <w:tabs>
          <w:tab w:val="left" w:pos="4678"/>
        </w:tabs>
        <w:spacing w:after="120" w:line="260" w:lineRule="atLeast"/>
        <w:ind w:left="4678" w:hanging="4678"/>
        <w:contextualSpacing/>
        <w:rPr>
          <w:b/>
          <w:lang w:val="fr-FR"/>
        </w:rPr>
      </w:pPr>
      <w:r w:rsidRPr="007D2AC6">
        <w:rPr>
          <w:b/>
          <w:lang w:val="fr-FR"/>
        </w:rPr>
        <w:t>Intitulé de la mission</w:t>
      </w:r>
      <w:r w:rsidR="002A5696" w:rsidRPr="007D2AC6">
        <w:rPr>
          <w:b/>
          <w:lang w:val="fr-FR"/>
        </w:rPr>
        <w:t> :</w:t>
      </w:r>
      <w:r w:rsidR="009F77AF" w:rsidRPr="007D2AC6">
        <w:rPr>
          <w:b/>
          <w:lang w:val="fr-FR"/>
        </w:rPr>
        <w:t xml:space="preserve"> </w:t>
      </w:r>
      <w:r w:rsidR="00807D9F" w:rsidRPr="007D2AC6">
        <w:rPr>
          <w:b/>
          <w:lang w:val="fr-FR"/>
        </w:rPr>
        <w:tab/>
      </w:r>
      <w:r w:rsidRPr="007D2AC6">
        <w:rPr>
          <w:b/>
          <w:lang w:val="fr-FR"/>
        </w:rPr>
        <w:t>Évaluation du projet</w:t>
      </w:r>
      <w:r w:rsidR="009F77AF" w:rsidRPr="007D2AC6">
        <w:rPr>
          <w:b/>
          <w:lang w:val="fr-FR"/>
        </w:rPr>
        <w:t> </w:t>
      </w:r>
      <w:proofErr w:type="gramStart"/>
      <w:r w:rsidR="009F77AF" w:rsidRPr="007D2AC6">
        <w:rPr>
          <w:b/>
          <w:lang w:val="fr-FR"/>
        </w:rPr>
        <w:t>:</w:t>
      </w:r>
      <w:r w:rsidRPr="007D2AC6">
        <w:rPr>
          <w:b/>
          <w:lang w:val="fr-FR"/>
        </w:rPr>
        <w:t xml:space="preserve"> </w:t>
      </w:r>
      <w:r w:rsidR="004567E1" w:rsidRPr="007D2AC6">
        <w:rPr>
          <w:b/>
          <w:lang w:val="fr-FR"/>
        </w:rPr>
        <w:t>projet</w:t>
      </w:r>
      <w:proofErr w:type="gramEnd"/>
      <w:r w:rsidRPr="007D2AC6">
        <w:rPr>
          <w:b/>
          <w:lang w:val="fr-FR"/>
        </w:rPr>
        <w:t xml:space="preserve"> pilote sur la propriété intellectuelle et la gestion des dessins et modèles pour le développement des entreprises dans les pays en développement et les pays les moins avancés </w:t>
      </w:r>
      <w:r w:rsidR="00500172" w:rsidRPr="007D2AC6">
        <w:rPr>
          <w:b/>
          <w:lang w:val="fr-FR"/>
        </w:rPr>
        <w:t>(</w:t>
      </w:r>
      <w:r w:rsidRPr="007D2AC6">
        <w:rPr>
          <w:b/>
          <w:lang w:val="fr-FR"/>
        </w:rPr>
        <w:t>PMA)</w:t>
      </w:r>
    </w:p>
    <w:p w14:paraId="4F3F249F" w14:textId="77777777" w:rsidR="0059687A" w:rsidRPr="007D2AC6" w:rsidRDefault="0059687A" w:rsidP="00807D9F">
      <w:pPr>
        <w:tabs>
          <w:tab w:val="left" w:pos="4678"/>
        </w:tabs>
        <w:spacing w:after="120" w:line="260" w:lineRule="atLeast"/>
        <w:ind w:left="4678" w:hanging="4678"/>
        <w:contextualSpacing/>
        <w:rPr>
          <w:b/>
          <w:lang w:val="fr-FR"/>
        </w:rPr>
      </w:pPr>
    </w:p>
    <w:p w14:paraId="1CA4F31A" w14:textId="704B889B" w:rsidR="0059687A" w:rsidRPr="007D2AC6" w:rsidRDefault="001F05C4" w:rsidP="001F05C4">
      <w:pPr>
        <w:pStyle w:val="ListParagraph"/>
        <w:spacing w:after="120"/>
        <w:ind w:left="4680" w:hanging="4680"/>
        <w:contextualSpacing w:val="0"/>
        <w:rPr>
          <w:b/>
          <w:lang w:val="fr-FR"/>
        </w:rPr>
      </w:pPr>
      <w:r w:rsidRPr="007D2AC6">
        <w:rPr>
          <w:b/>
          <w:lang w:val="fr-FR"/>
        </w:rPr>
        <w:t>Nom de l</w:t>
      </w:r>
      <w:r w:rsidR="002A5696" w:rsidRPr="007D2AC6">
        <w:rPr>
          <w:b/>
          <w:lang w:val="fr-FR"/>
        </w:rPr>
        <w:t>’</w:t>
      </w:r>
      <w:r w:rsidRPr="007D2AC6">
        <w:rPr>
          <w:b/>
          <w:lang w:val="fr-FR"/>
        </w:rPr>
        <w:t>unité/du secteur</w:t>
      </w:r>
      <w:r w:rsidR="002A5696" w:rsidRPr="007D2AC6">
        <w:rPr>
          <w:lang w:val="fr-FR"/>
        </w:rPr>
        <w:t> :</w:t>
      </w:r>
      <w:r w:rsidR="009F77AF" w:rsidRPr="007D2AC6">
        <w:rPr>
          <w:lang w:val="fr-FR"/>
        </w:rPr>
        <w:t xml:space="preserve"> </w:t>
      </w:r>
      <w:r w:rsidRPr="007D2AC6">
        <w:rPr>
          <w:lang w:val="fr-FR"/>
        </w:rPr>
        <w:tab/>
      </w:r>
      <w:r w:rsidRPr="007D2AC6">
        <w:rPr>
          <w:b/>
          <w:lang w:val="fr-FR"/>
        </w:rPr>
        <w:t>Division de la coordination du Plan d</w:t>
      </w:r>
      <w:r w:rsidR="002A5696" w:rsidRPr="007D2AC6">
        <w:rPr>
          <w:b/>
          <w:lang w:val="fr-FR"/>
        </w:rPr>
        <w:t>’</w:t>
      </w:r>
      <w:r w:rsidRPr="007D2AC6">
        <w:rPr>
          <w:b/>
          <w:lang w:val="fr-FR"/>
        </w:rPr>
        <w:t>action pour le développement, Secteur du développement</w:t>
      </w:r>
    </w:p>
    <w:p w14:paraId="7F0EE3AA" w14:textId="77777777" w:rsidR="0059687A" w:rsidRPr="007D2AC6" w:rsidRDefault="0059687A" w:rsidP="00807D9F">
      <w:pPr>
        <w:pStyle w:val="ListParagraph"/>
        <w:spacing w:after="120"/>
        <w:ind w:left="4680"/>
        <w:contextualSpacing w:val="0"/>
        <w:rPr>
          <w:lang w:val="fr-FR"/>
        </w:rPr>
      </w:pPr>
    </w:p>
    <w:p w14:paraId="4AA847B4" w14:textId="3CFF0400" w:rsidR="0059687A" w:rsidRPr="007D2AC6" w:rsidRDefault="002D2178" w:rsidP="00807D9F">
      <w:pPr>
        <w:pStyle w:val="ListParagraph"/>
        <w:tabs>
          <w:tab w:val="left" w:pos="851"/>
        </w:tabs>
        <w:spacing w:after="120"/>
        <w:ind w:left="4680" w:hanging="4680"/>
        <w:contextualSpacing w:val="0"/>
        <w:rPr>
          <w:b/>
          <w:lang w:val="fr-FR"/>
        </w:rPr>
      </w:pPr>
      <w:r w:rsidRPr="007D2AC6">
        <w:rPr>
          <w:b/>
          <w:lang w:val="fr-FR"/>
        </w:rPr>
        <w:t>Lieu de la mission</w:t>
      </w:r>
      <w:r w:rsidR="002A5696" w:rsidRPr="007D2AC6">
        <w:rPr>
          <w:b/>
          <w:lang w:val="fr-FR"/>
        </w:rPr>
        <w:t> :</w:t>
      </w:r>
      <w:r w:rsidR="009F77AF" w:rsidRPr="007D2AC6">
        <w:rPr>
          <w:b/>
          <w:lang w:val="fr-FR"/>
        </w:rPr>
        <w:t xml:space="preserve"> </w:t>
      </w:r>
      <w:r w:rsidR="00807D9F" w:rsidRPr="007D2AC6">
        <w:rPr>
          <w:b/>
          <w:lang w:val="fr-FR"/>
        </w:rPr>
        <w:tab/>
      </w:r>
      <w:proofErr w:type="spellStart"/>
      <w:r w:rsidR="00807D9F" w:rsidRPr="007D2AC6">
        <w:rPr>
          <w:b/>
          <w:lang w:val="fr-FR"/>
        </w:rPr>
        <w:t>Evilard</w:t>
      </w:r>
      <w:proofErr w:type="spellEnd"/>
      <w:r w:rsidR="00807D9F" w:rsidRPr="007D2AC6">
        <w:rPr>
          <w:b/>
          <w:lang w:val="fr-FR"/>
        </w:rPr>
        <w:t xml:space="preserve"> </w:t>
      </w:r>
      <w:r w:rsidR="00972890" w:rsidRPr="007D2AC6">
        <w:rPr>
          <w:b/>
          <w:lang w:val="fr-FR"/>
        </w:rPr>
        <w:t>(</w:t>
      </w:r>
      <w:r w:rsidR="00DA4941" w:rsidRPr="007D2AC6">
        <w:rPr>
          <w:b/>
          <w:lang w:val="fr-FR"/>
        </w:rPr>
        <w:t>Suisse</w:t>
      </w:r>
      <w:r w:rsidR="00807D9F" w:rsidRPr="007D2AC6">
        <w:rPr>
          <w:b/>
          <w:lang w:val="fr-FR"/>
        </w:rPr>
        <w:t>)</w:t>
      </w:r>
    </w:p>
    <w:p w14:paraId="367E02B1" w14:textId="2705581C" w:rsidR="0059687A" w:rsidRPr="007D2AC6" w:rsidRDefault="0059687A" w:rsidP="00DA4941">
      <w:pPr>
        <w:tabs>
          <w:tab w:val="left" w:pos="851"/>
        </w:tabs>
        <w:spacing w:after="120"/>
        <w:rPr>
          <w:lang w:val="fr-FR"/>
        </w:rPr>
      </w:pPr>
    </w:p>
    <w:p w14:paraId="489899D1" w14:textId="734B0414" w:rsidR="002A5696" w:rsidRPr="007D2AC6" w:rsidRDefault="001F05C4" w:rsidP="001F05C4">
      <w:pPr>
        <w:pStyle w:val="ListParagraph"/>
        <w:tabs>
          <w:tab w:val="left" w:pos="851"/>
          <w:tab w:val="left" w:pos="1701"/>
        </w:tabs>
        <w:spacing w:after="120"/>
        <w:ind w:left="4680" w:hanging="4680"/>
        <w:contextualSpacing w:val="0"/>
        <w:rPr>
          <w:b/>
          <w:lang w:val="fr-FR"/>
        </w:rPr>
      </w:pPr>
      <w:r w:rsidRPr="007D2AC6">
        <w:rPr>
          <w:b/>
          <w:lang w:val="fr-FR"/>
        </w:rPr>
        <w:t xml:space="preserve">Voyages prévus </w:t>
      </w:r>
      <w:r w:rsidR="00972890" w:rsidRPr="007D2AC6">
        <w:rPr>
          <w:b/>
          <w:lang w:val="fr-FR"/>
        </w:rPr>
        <w:t>(</w:t>
      </w:r>
      <w:r w:rsidRPr="007D2AC6">
        <w:rPr>
          <w:b/>
          <w:lang w:val="fr-FR"/>
        </w:rPr>
        <w:t>le cas échéant)</w:t>
      </w:r>
      <w:r w:rsidR="002A5696" w:rsidRPr="007D2AC6">
        <w:rPr>
          <w:b/>
          <w:lang w:val="fr-FR"/>
        </w:rPr>
        <w:t> :</w:t>
      </w:r>
      <w:r w:rsidR="009F77AF" w:rsidRPr="007D2AC6">
        <w:rPr>
          <w:b/>
          <w:lang w:val="fr-FR"/>
        </w:rPr>
        <w:t xml:space="preserve"> </w:t>
      </w:r>
      <w:r w:rsidRPr="007D2AC6">
        <w:rPr>
          <w:b/>
          <w:lang w:val="fr-FR"/>
        </w:rPr>
        <w:tab/>
      </w:r>
      <w:r w:rsidR="002D2178" w:rsidRPr="007D2AC6">
        <w:rPr>
          <w:b/>
          <w:lang w:val="fr-FR"/>
        </w:rPr>
        <w:t>D</w:t>
      </w:r>
      <w:r w:rsidRPr="007D2AC6">
        <w:rPr>
          <w:b/>
          <w:lang w:val="fr-FR"/>
        </w:rPr>
        <w:t>eux missions auront lieu au siège de l</w:t>
      </w:r>
      <w:r w:rsidR="002A5696" w:rsidRPr="007D2AC6">
        <w:rPr>
          <w:b/>
          <w:lang w:val="fr-FR"/>
        </w:rPr>
        <w:t>’</w:t>
      </w:r>
      <w:r w:rsidRPr="007D2AC6">
        <w:rPr>
          <w:b/>
          <w:lang w:val="fr-FR"/>
        </w:rPr>
        <w:t xml:space="preserve">OMPI à Genève </w:t>
      </w:r>
      <w:r w:rsidR="00972890" w:rsidRPr="007D2AC6">
        <w:rPr>
          <w:b/>
          <w:lang w:val="fr-FR"/>
        </w:rPr>
        <w:t>(</w:t>
      </w:r>
      <w:r w:rsidRPr="007D2AC6">
        <w:rPr>
          <w:b/>
          <w:lang w:val="fr-FR"/>
        </w:rPr>
        <w:t xml:space="preserve">Suisse) </w:t>
      </w:r>
      <w:r w:rsidR="00972890" w:rsidRPr="007D2AC6">
        <w:rPr>
          <w:b/>
          <w:lang w:val="fr-FR"/>
        </w:rPr>
        <w:t>(</w:t>
      </w:r>
      <w:r w:rsidRPr="007D2AC6">
        <w:rPr>
          <w:b/>
          <w:lang w:val="fr-FR"/>
        </w:rPr>
        <w:t>dates à convenir)</w:t>
      </w:r>
    </w:p>
    <w:p w14:paraId="5AEBDCA5" w14:textId="6AB54EB0" w:rsidR="0059687A" w:rsidRPr="007D2AC6" w:rsidRDefault="0059687A" w:rsidP="00DA4941">
      <w:pPr>
        <w:tabs>
          <w:tab w:val="left" w:pos="851"/>
        </w:tabs>
        <w:spacing w:after="120"/>
        <w:rPr>
          <w:lang w:val="fr-FR"/>
        </w:rPr>
      </w:pPr>
    </w:p>
    <w:p w14:paraId="338135DD" w14:textId="06D65AE9" w:rsidR="0059687A" w:rsidRPr="007D2AC6" w:rsidRDefault="002D2178" w:rsidP="00807D9F">
      <w:pPr>
        <w:pStyle w:val="ListParagraph"/>
        <w:tabs>
          <w:tab w:val="left" w:pos="851"/>
          <w:tab w:val="left" w:pos="1701"/>
        </w:tabs>
        <w:spacing w:after="120"/>
        <w:ind w:left="4680" w:hanging="4680"/>
        <w:contextualSpacing w:val="0"/>
        <w:rPr>
          <w:b/>
          <w:lang w:val="fr-FR"/>
        </w:rPr>
      </w:pPr>
      <w:r w:rsidRPr="007D2AC6">
        <w:rPr>
          <w:b/>
          <w:lang w:val="fr-FR"/>
        </w:rPr>
        <w:t>Durée prévue de la mission</w:t>
      </w:r>
      <w:r w:rsidR="002A5696" w:rsidRPr="007D2AC6">
        <w:rPr>
          <w:b/>
          <w:lang w:val="fr-FR"/>
        </w:rPr>
        <w:t> :</w:t>
      </w:r>
      <w:r w:rsidR="009F77AF" w:rsidRPr="007D2AC6">
        <w:rPr>
          <w:b/>
          <w:lang w:val="fr-FR"/>
        </w:rPr>
        <w:t xml:space="preserve"> </w:t>
      </w:r>
      <w:r w:rsidR="00807D9F" w:rsidRPr="007D2AC6">
        <w:rPr>
          <w:b/>
          <w:lang w:val="fr-FR"/>
        </w:rPr>
        <w:tab/>
      </w:r>
      <w:r w:rsidR="00DA4941" w:rsidRPr="007D2AC6">
        <w:rPr>
          <w:b/>
          <w:lang w:val="fr-FR"/>
        </w:rPr>
        <w:t xml:space="preserve">du </w:t>
      </w:r>
      <w:r w:rsidR="00807D9F" w:rsidRPr="007D2AC6">
        <w:rPr>
          <w:b/>
          <w:lang w:val="fr-FR"/>
        </w:rPr>
        <w:t>1</w:t>
      </w:r>
      <w:r w:rsidR="002A5696" w:rsidRPr="007D2AC6">
        <w:rPr>
          <w:b/>
          <w:lang w:val="fr-FR"/>
        </w:rPr>
        <w:t>5 novembre 20</w:t>
      </w:r>
      <w:r w:rsidR="00807D9F" w:rsidRPr="007D2AC6">
        <w:rPr>
          <w:b/>
          <w:lang w:val="fr-FR"/>
        </w:rPr>
        <w:t xml:space="preserve">16 </w:t>
      </w:r>
      <w:r w:rsidR="00DA4941" w:rsidRPr="007D2AC6">
        <w:rPr>
          <w:b/>
          <w:lang w:val="fr-FR"/>
        </w:rPr>
        <w:t>au 3</w:t>
      </w:r>
      <w:r w:rsidR="002A5696" w:rsidRPr="007D2AC6">
        <w:rPr>
          <w:b/>
          <w:lang w:val="fr-FR"/>
        </w:rPr>
        <w:t>0 mai 20</w:t>
      </w:r>
      <w:r w:rsidR="00807D9F" w:rsidRPr="007D2AC6">
        <w:rPr>
          <w:b/>
          <w:lang w:val="fr-FR"/>
        </w:rPr>
        <w:t>17</w:t>
      </w:r>
    </w:p>
    <w:p w14:paraId="7EFC3C1E" w14:textId="77777777" w:rsidR="0059687A" w:rsidRPr="007D2AC6" w:rsidRDefault="0059687A" w:rsidP="00807D9F">
      <w:pPr>
        <w:tabs>
          <w:tab w:val="left" w:pos="851"/>
        </w:tabs>
        <w:rPr>
          <w:szCs w:val="22"/>
          <w:lang w:val="fr-FR"/>
        </w:rPr>
      </w:pPr>
    </w:p>
    <w:p w14:paraId="39EA92A0" w14:textId="6E235C4F" w:rsidR="0059687A" w:rsidRPr="007D2AC6" w:rsidRDefault="001F05C4" w:rsidP="001F05C4">
      <w:pPr>
        <w:pStyle w:val="Heading5"/>
        <w:keepNext w:val="0"/>
        <w:keepLines w:val="0"/>
        <w:widowControl w:val="0"/>
        <w:tabs>
          <w:tab w:val="left" w:pos="851"/>
        </w:tabs>
        <w:overflowPunct w:val="0"/>
        <w:adjustRightInd w:val="0"/>
        <w:spacing w:before="120" w:after="120"/>
        <w:ind w:left="450" w:hanging="450"/>
        <w:rPr>
          <w:rFonts w:ascii="Arial" w:hAnsi="Arial" w:cs="Arial"/>
          <w:b/>
          <w:bCs/>
          <w:color w:val="auto"/>
          <w:lang w:val="fr-FR"/>
        </w:rPr>
      </w:pPr>
      <w:r w:rsidRPr="007D2AC6">
        <w:rPr>
          <w:rFonts w:ascii="Arial" w:hAnsi="Arial" w:cs="Arial"/>
          <w:b/>
          <w:bCs/>
          <w:color w:val="auto"/>
          <w:lang w:val="fr-FR"/>
        </w:rPr>
        <w:t>1.</w:t>
      </w:r>
      <w:r w:rsidRPr="007D2AC6">
        <w:rPr>
          <w:rFonts w:ascii="Arial" w:hAnsi="Arial" w:cs="Arial"/>
          <w:b/>
          <w:bCs/>
          <w:color w:val="auto"/>
          <w:lang w:val="fr-FR"/>
        </w:rPr>
        <w:tab/>
        <w:t>Objectifs de la mission</w:t>
      </w:r>
    </w:p>
    <w:p w14:paraId="045C7896" w14:textId="47DC2D3C" w:rsidR="0059687A" w:rsidRPr="007D2AC6" w:rsidRDefault="009B5981" w:rsidP="00807D9F">
      <w:pPr>
        <w:rPr>
          <w:szCs w:val="22"/>
          <w:lang w:val="fr-FR"/>
        </w:rPr>
      </w:pPr>
      <w:r w:rsidRPr="007D2AC6">
        <w:rPr>
          <w:szCs w:val="22"/>
          <w:lang w:val="fr-FR"/>
        </w:rPr>
        <w:t>Le pré</w:t>
      </w:r>
      <w:r w:rsidR="00807D9F" w:rsidRPr="007D2AC6">
        <w:rPr>
          <w:szCs w:val="22"/>
          <w:lang w:val="fr-FR"/>
        </w:rPr>
        <w:t xml:space="preserve">sent document </w:t>
      </w:r>
      <w:r w:rsidRPr="007D2AC6">
        <w:rPr>
          <w:szCs w:val="22"/>
          <w:lang w:val="fr-FR"/>
        </w:rPr>
        <w:t>constitue le mandat d</w:t>
      </w:r>
      <w:r w:rsidR="002A5696" w:rsidRPr="007D2AC6">
        <w:rPr>
          <w:szCs w:val="22"/>
          <w:lang w:val="fr-FR"/>
        </w:rPr>
        <w:t>’</w:t>
      </w:r>
      <w:r w:rsidRPr="007D2AC6">
        <w:rPr>
          <w:szCs w:val="22"/>
          <w:lang w:val="fr-FR"/>
        </w:rPr>
        <w:t>évaluation du projet conduit dans le cadre du Plan d</w:t>
      </w:r>
      <w:r w:rsidR="002A5696" w:rsidRPr="007D2AC6">
        <w:rPr>
          <w:szCs w:val="22"/>
          <w:lang w:val="fr-FR"/>
        </w:rPr>
        <w:t>’</w:t>
      </w:r>
      <w:r w:rsidRPr="007D2AC6">
        <w:rPr>
          <w:szCs w:val="22"/>
          <w:lang w:val="fr-FR"/>
        </w:rPr>
        <w:t xml:space="preserve">action pour le développement, relatif à </w:t>
      </w:r>
      <w:r w:rsidRPr="007D2AC6">
        <w:rPr>
          <w:i/>
          <w:szCs w:val="22"/>
          <w:lang w:val="fr-FR"/>
        </w:rPr>
        <w:t xml:space="preserve">la propriété intellectuelle et à la gestion des dessins et modèles pour le développement des entreprises dans les pays en développement et les pays les moins avancés, </w:t>
      </w:r>
      <w:r w:rsidRPr="007D2AC6">
        <w:rPr>
          <w:szCs w:val="22"/>
          <w:lang w:val="fr-FR"/>
        </w:rPr>
        <w:t>en application des recommandations n</w:t>
      </w:r>
      <w:r w:rsidRPr="007D2AC6">
        <w:rPr>
          <w:szCs w:val="22"/>
          <w:vertAlign w:val="superscript"/>
          <w:lang w:val="fr-FR"/>
        </w:rPr>
        <w:t>os</w:t>
      </w:r>
      <w:r w:rsidR="00CE6067" w:rsidRPr="007D2AC6">
        <w:rPr>
          <w:szCs w:val="22"/>
          <w:lang w:val="fr-FR"/>
        </w:rPr>
        <w:t> 4 et </w:t>
      </w:r>
      <w:r w:rsidRPr="007D2AC6">
        <w:rPr>
          <w:szCs w:val="22"/>
          <w:lang w:val="fr-FR"/>
        </w:rPr>
        <w:t>10 du Plan d</w:t>
      </w:r>
      <w:r w:rsidR="002A5696" w:rsidRPr="007D2AC6">
        <w:rPr>
          <w:szCs w:val="22"/>
          <w:lang w:val="fr-FR"/>
        </w:rPr>
        <w:t>’</w:t>
      </w:r>
      <w:r w:rsidRPr="007D2AC6">
        <w:rPr>
          <w:szCs w:val="22"/>
          <w:lang w:val="fr-FR"/>
        </w:rPr>
        <w:t>action pour le développement.</w:t>
      </w:r>
    </w:p>
    <w:p w14:paraId="6A8ACBF6" w14:textId="77777777" w:rsidR="0059687A" w:rsidRPr="007D2AC6" w:rsidRDefault="0059687A" w:rsidP="00807D9F">
      <w:pPr>
        <w:rPr>
          <w:szCs w:val="22"/>
          <w:lang w:val="fr-FR"/>
        </w:rPr>
      </w:pPr>
    </w:p>
    <w:p w14:paraId="5917C878" w14:textId="13A76196" w:rsidR="002A5696" w:rsidRPr="007D2AC6" w:rsidRDefault="009B5981" w:rsidP="009B5981">
      <w:pPr>
        <w:rPr>
          <w:szCs w:val="22"/>
          <w:lang w:val="fr-FR"/>
        </w:rPr>
      </w:pPr>
      <w:r w:rsidRPr="007D2AC6">
        <w:rPr>
          <w:szCs w:val="22"/>
          <w:lang w:val="fr-FR"/>
        </w:rPr>
        <w:t>Le projet reposait sur une proposition présentée par la République de Corée à la onz</w:t>
      </w:r>
      <w:r w:rsidR="002A5696" w:rsidRPr="007D2AC6">
        <w:rPr>
          <w:szCs w:val="22"/>
          <w:lang w:val="fr-FR"/>
        </w:rPr>
        <w:t>ième session</w:t>
      </w:r>
      <w:r w:rsidRPr="007D2AC6">
        <w:rPr>
          <w:lang w:val="fr-FR"/>
        </w:rPr>
        <w:t xml:space="preserve"> du Comité du développement et de la propriété intellectuelle </w:t>
      </w:r>
      <w:r w:rsidR="00972890" w:rsidRPr="007D2AC6">
        <w:rPr>
          <w:lang w:val="fr-FR"/>
        </w:rPr>
        <w:t>(</w:t>
      </w:r>
      <w:bookmarkStart w:id="45" w:name="hit4"/>
      <w:bookmarkEnd w:id="45"/>
      <w:proofErr w:type="spellStart"/>
      <w:r w:rsidRPr="007D2AC6">
        <w:rPr>
          <w:lang w:val="fr-FR"/>
        </w:rPr>
        <w:t>CDIP</w:t>
      </w:r>
      <w:proofErr w:type="spellEnd"/>
      <w:r w:rsidRPr="007D2AC6">
        <w:rPr>
          <w:lang w:val="fr-FR"/>
        </w:rPr>
        <w:t xml:space="preserve">), figurant dans le </w:t>
      </w:r>
      <w:r w:rsidRPr="007D2AC6">
        <w:rPr>
          <w:szCs w:val="22"/>
          <w:lang w:val="fr-FR"/>
        </w:rPr>
        <w:t>document</w:t>
      </w:r>
      <w:r w:rsidR="00B57560" w:rsidRPr="007D2AC6">
        <w:rPr>
          <w:szCs w:val="22"/>
          <w:lang w:val="fr-FR"/>
        </w:rPr>
        <w:t> </w:t>
      </w:r>
      <w:proofErr w:type="spellStart"/>
      <w:r w:rsidRPr="007D2AC6">
        <w:rPr>
          <w:szCs w:val="22"/>
          <w:lang w:val="fr-FR"/>
        </w:rPr>
        <w:t>CDIP</w:t>
      </w:r>
      <w:proofErr w:type="spellEnd"/>
      <w:r w:rsidRPr="007D2AC6">
        <w:rPr>
          <w:szCs w:val="22"/>
          <w:lang w:val="fr-FR"/>
        </w:rPr>
        <w:t>/11/7 et approuvée par le Comité à sa douz</w:t>
      </w:r>
      <w:r w:rsidR="002A5696" w:rsidRPr="007D2AC6">
        <w:rPr>
          <w:szCs w:val="22"/>
          <w:lang w:val="fr-FR"/>
        </w:rPr>
        <w:t>ième session</w:t>
      </w:r>
      <w:r w:rsidRPr="007D2AC6">
        <w:rPr>
          <w:szCs w:val="22"/>
          <w:lang w:val="fr-FR"/>
        </w:rPr>
        <w:t xml:space="preserve"> tenue à Genève en </w:t>
      </w:r>
      <w:r w:rsidR="002A5696" w:rsidRPr="007D2AC6">
        <w:rPr>
          <w:szCs w:val="22"/>
          <w:lang w:val="fr-FR"/>
        </w:rPr>
        <w:t>novembre 20</w:t>
      </w:r>
      <w:r w:rsidRPr="007D2AC6">
        <w:rPr>
          <w:szCs w:val="22"/>
          <w:lang w:val="fr-FR"/>
        </w:rPr>
        <w:t xml:space="preserve">13. </w:t>
      </w:r>
      <w:r w:rsidRPr="007D2AC6">
        <w:rPr>
          <w:lang w:val="fr-FR"/>
        </w:rPr>
        <w:t xml:space="preserve"> </w:t>
      </w:r>
      <w:r w:rsidR="00F3511B" w:rsidRPr="007D2AC6">
        <w:rPr>
          <w:szCs w:val="22"/>
          <w:lang w:val="fr-FR"/>
        </w:rPr>
        <w:t xml:space="preserve">Le projet visait à soutenir les petites et moyennes entreprises </w:t>
      </w:r>
      <w:r w:rsidR="00972890" w:rsidRPr="007D2AC6">
        <w:rPr>
          <w:szCs w:val="22"/>
          <w:lang w:val="fr-FR"/>
        </w:rPr>
        <w:t>(</w:t>
      </w:r>
      <w:r w:rsidR="00F3511B" w:rsidRPr="007D2AC6">
        <w:rPr>
          <w:szCs w:val="22"/>
          <w:lang w:val="fr-FR"/>
        </w:rPr>
        <w:t>PME) afin de créer et commercialiser des dessins et modèles activement en utilisant de manière accrue le système de la propriété intellectuelle et le développement de stratégies qui encourageaient l</w:t>
      </w:r>
      <w:r w:rsidR="002A5696" w:rsidRPr="007D2AC6">
        <w:rPr>
          <w:szCs w:val="22"/>
          <w:lang w:val="fr-FR"/>
        </w:rPr>
        <w:t>’</w:t>
      </w:r>
      <w:r w:rsidR="00F3511B" w:rsidRPr="007D2AC6">
        <w:rPr>
          <w:szCs w:val="22"/>
          <w:lang w:val="fr-FR"/>
        </w:rPr>
        <w:t>investissement dans les dessins et modèl</w:t>
      </w:r>
      <w:r w:rsidR="001B6E2D" w:rsidRPr="007D2AC6">
        <w:rPr>
          <w:szCs w:val="22"/>
          <w:lang w:val="fr-FR"/>
        </w:rPr>
        <w:t>es.  Gr</w:t>
      </w:r>
      <w:r w:rsidR="00F3511B" w:rsidRPr="007D2AC6">
        <w:rPr>
          <w:szCs w:val="22"/>
          <w:lang w:val="fr-FR"/>
        </w:rPr>
        <w:t>âce à une coopération étroite entre des institutions pilotes des pays participants, le projet visait à promouvoir l</w:t>
      </w:r>
      <w:r w:rsidR="002A5696" w:rsidRPr="007D2AC6">
        <w:rPr>
          <w:szCs w:val="22"/>
          <w:lang w:val="fr-FR"/>
        </w:rPr>
        <w:t>’</w:t>
      </w:r>
      <w:r w:rsidR="00F3511B" w:rsidRPr="007D2AC6">
        <w:rPr>
          <w:szCs w:val="22"/>
          <w:lang w:val="fr-FR"/>
        </w:rPr>
        <w:t>utilisation stratégique des droits de propriété intellectuelle, en particulier les droits sur les dessins et modèles industriels, par</w:t>
      </w:r>
      <w:r w:rsidR="002A5696" w:rsidRPr="007D2AC6">
        <w:rPr>
          <w:szCs w:val="22"/>
          <w:lang w:val="fr-FR"/>
        </w:rPr>
        <w:t xml:space="preserve"> les PME</w:t>
      </w:r>
      <w:r w:rsidR="00F3511B" w:rsidRPr="007D2AC6">
        <w:rPr>
          <w:szCs w:val="22"/>
          <w:lang w:val="fr-FR"/>
        </w:rPr>
        <w:t xml:space="preserve"> dans deux</w:t>
      </w:r>
      <w:r w:rsidR="009F77AF" w:rsidRPr="007D2AC6">
        <w:rPr>
          <w:szCs w:val="22"/>
          <w:lang w:val="fr-FR"/>
        </w:rPr>
        <w:t> </w:t>
      </w:r>
      <w:r w:rsidR="00F3511B" w:rsidRPr="007D2AC6">
        <w:rPr>
          <w:szCs w:val="22"/>
          <w:lang w:val="fr-FR"/>
        </w:rPr>
        <w:t xml:space="preserve">pays sélectionnés </w:t>
      </w:r>
      <w:r w:rsidR="00972890" w:rsidRPr="007D2AC6">
        <w:rPr>
          <w:szCs w:val="22"/>
          <w:lang w:val="fr-FR"/>
        </w:rPr>
        <w:t>(</w:t>
      </w:r>
      <w:r w:rsidR="00F3511B" w:rsidRPr="007D2AC6">
        <w:rPr>
          <w:szCs w:val="22"/>
          <w:lang w:val="fr-FR"/>
        </w:rPr>
        <w:t>Argentine et Maroc), encourageant ainsi une démarche active vis</w:t>
      </w:r>
      <w:r w:rsidR="00B57560" w:rsidRPr="007D2AC6">
        <w:rPr>
          <w:szCs w:val="22"/>
          <w:lang w:val="fr-FR"/>
        </w:rPr>
        <w:noBreakHyphen/>
      </w:r>
      <w:r w:rsidR="00F3511B" w:rsidRPr="007D2AC6">
        <w:rPr>
          <w:szCs w:val="22"/>
          <w:lang w:val="fr-FR"/>
        </w:rPr>
        <w:t>à</w:t>
      </w:r>
      <w:r w:rsidR="00B57560" w:rsidRPr="007D2AC6">
        <w:rPr>
          <w:szCs w:val="22"/>
          <w:lang w:val="fr-FR"/>
        </w:rPr>
        <w:noBreakHyphen/>
      </w:r>
      <w:r w:rsidR="00F3511B" w:rsidRPr="007D2AC6">
        <w:rPr>
          <w:szCs w:val="22"/>
          <w:lang w:val="fr-FR"/>
        </w:rPr>
        <w:t>vis de la protection des dessins et modèles sur les marchés nationaux comme à l</w:t>
      </w:r>
      <w:r w:rsidR="002A5696" w:rsidRPr="007D2AC6">
        <w:rPr>
          <w:szCs w:val="22"/>
          <w:lang w:val="fr-FR"/>
        </w:rPr>
        <w:t>’</w:t>
      </w:r>
      <w:r w:rsidR="00F3511B" w:rsidRPr="007D2AC6">
        <w:rPr>
          <w:szCs w:val="22"/>
          <w:lang w:val="fr-FR"/>
        </w:rPr>
        <w:t>exportation.</w:t>
      </w:r>
    </w:p>
    <w:p w14:paraId="28CDE9AB" w14:textId="2151C5A3" w:rsidR="0059687A" w:rsidRPr="007D2AC6" w:rsidRDefault="0059687A" w:rsidP="00807D9F">
      <w:pPr>
        <w:rPr>
          <w:szCs w:val="22"/>
          <w:lang w:val="fr-FR"/>
        </w:rPr>
      </w:pPr>
    </w:p>
    <w:p w14:paraId="134FFC9A" w14:textId="32C21E7C" w:rsidR="0059687A" w:rsidRPr="007D2AC6" w:rsidRDefault="009B5981" w:rsidP="009B5981">
      <w:pPr>
        <w:jc w:val="both"/>
        <w:rPr>
          <w:szCs w:val="22"/>
          <w:lang w:val="fr-FR"/>
        </w:rPr>
      </w:pPr>
      <w:r w:rsidRPr="007D2AC6">
        <w:rPr>
          <w:szCs w:val="22"/>
          <w:lang w:val="fr-FR"/>
        </w:rPr>
        <w:t xml:space="preserve">Le projet a été exécuté sous la supervision du chef de projet, </w:t>
      </w:r>
      <w:r w:rsidR="00F3511B" w:rsidRPr="007D2AC6">
        <w:rPr>
          <w:lang w:val="fr-FR"/>
        </w:rPr>
        <w:t>M.</w:t>
      </w:r>
      <w:r w:rsidR="009F77AF" w:rsidRPr="007D2AC6">
        <w:rPr>
          <w:szCs w:val="22"/>
          <w:lang w:val="fr-FR"/>
        </w:rPr>
        <w:t> </w:t>
      </w:r>
      <w:r w:rsidR="00F3511B" w:rsidRPr="007D2AC6">
        <w:rPr>
          <w:szCs w:val="22"/>
          <w:lang w:val="fr-FR"/>
        </w:rPr>
        <w:t>Marcus</w:t>
      </w:r>
      <w:r w:rsidR="00B57560" w:rsidRPr="007D2AC6">
        <w:rPr>
          <w:szCs w:val="22"/>
          <w:lang w:val="fr-FR"/>
        </w:rPr>
        <w:t> </w:t>
      </w:r>
      <w:proofErr w:type="spellStart"/>
      <w:r w:rsidR="00F3511B" w:rsidRPr="007D2AC6">
        <w:rPr>
          <w:szCs w:val="22"/>
          <w:lang w:val="fr-FR"/>
        </w:rPr>
        <w:t>Höpperger</w:t>
      </w:r>
      <w:proofErr w:type="spellEnd"/>
      <w:r w:rsidR="00F3511B" w:rsidRPr="007D2AC6">
        <w:rPr>
          <w:szCs w:val="22"/>
          <w:lang w:val="fr-FR"/>
        </w:rPr>
        <w:t>, directeur, Division du droit et des services consultatifs en matière de législation, Secteur des marques et des dessins et modèles</w:t>
      </w:r>
      <w:r w:rsidRPr="007D2AC6">
        <w:rPr>
          <w:szCs w:val="22"/>
          <w:lang w:val="fr-FR"/>
        </w:rPr>
        <w:t>.</w:t>
      </w:r>
    </w:p>
    <w:p w14:paraId="7E9A5537" w14:textId="77777777" w:rsidR="0059687A" w:rsidRPr="007D2AC6" w:rsidRDefault="0059687A" w:rsidP="00807D9F">
      <w:pPr>
        <w:jc w:val="both"/>
        <w:rPr>
          <w:szCs w:val="22"/>
          <w:lang w:val="fr-FR"/>
        </w:rPr>
      </w:pPr>
    </w:p>
    <w:p w14:paraId="5CC4B60C" w14:textId="7548E781" w:rsidR="0059687A" w:rsidRPr="007D2AC6" w:rsidRDefault="009B5981" w:rsidP="00807D9F">
      <w:pPr>
        <w:rPr>
          <w:szCs w:val="22"/>
          <w:lang w:val="fr-FR"/>
        </w:rPr>
      </w:pPr>
      <w:r w:rsidRPr="007D2AC6">
        <w:rPr>
          <w:szCs w:val="22"/>
          <w:lang w:val="fr-FR"/>
        </w:rPr>
        <w:lastRenderedPageBreak/>
        <w:t>Cette é</w:t>
      </w:r>
      <w:r w:rsidR="00807D9F" w:rsidRPr="007D2AC6">
        <w:rPr>
          <w:szCs w:val="22"/>
          <w:lang w:val="fr-FR"/>
        </w:rPr>
        <w:t xml:space="preserve">valuation </w:t>
      </w:r>
      <w:r w:rsidR="00C25CC8" w:rsidRPr="007D2AC6">
        <w:rPr>
          <w:szCs w:val="22"/>
          <w:lang w:val="fr-FR"/>
        </w:rPr>
        <w:t>a vocation à être</w:t>
      </w:r>
      <w:r w:rsidR="00807D9F" w:rsidRPr="007D2AC6">
        <w:rPr>
          <w:szCs w:val="22"/>
          <w:lang w:val="fr-FR"/>
        </w:rPr>
        <w:t xml:space="preserve"> participati</w:t>
      </w:r>
      <w:r w:rsidR="001B6E2D" w:rsidRPr="007D2AC6">
        <w:rPr>
          <w:szCs w:val="22"/>
          <w:lang w:val="fr-FR"/>
        </w:rPr>
        <w:t>ve.  El</w:t>
      </w:r>
      <w:r w:rsidR="00C25CC8" w:rsidRPr="007D2AC6">
        <w:rPr>
          <w:szCs w:val="22"/>
          <w:lang w:val="fr-FR"/>
        </w:rPr>
        <w:t>le devrait permettre la participation active de</w:t>
      </w:r>
      <w:r w:rsidR="00807D9F" w:rsidRPr="007D2AC6">
        <w:rPr>
          <w:szCs w:val="22"/>
          <w:lang w:val="fr-FR"/>
        </w:rPr>
        <w:t xml:space="preserve"> </w:t>
      </w:r>
      <w:r w:rsidR="00C25CC8" w:rsidRPr="007D2AC6">
        <w:rPr>
          <w:szCs w:val="22"/>
          <w:lang w:val="fr-FR"/>
        </w:rPr>
        <w:t xml:space="preserve">tous ceux pour qui les projets présentent un enjeu, </w:t>
      </w:r>
      <w:r w:rsidR="002A5696" w:rsidRPr="007D2AC6">
        <w:rPr>
          <w:szCs w:val="22"/>
          <w:lang w:val="fr-FR"/>
        </w:rPr>
        <w:t>à savoir</w:t>
      </w:r>
      <w:r w:rsidR="00C25CC8" w:rsidRPr="007D2AC6">
        <w:rPr>
          <w:szCs w:val="22"/>
          <w:lang w:val="fr-FR"/>
        </w:rPr>
        <w:t xml:space="preserve"> l</w:t>
      </w:r>
      <w:r w:rsidR="002A5696" w:rsidRPr="007D2AC6">
        <w:rPr>
          <w:szCs w:val="22"/>
          <w:lang w:val="fr-FR"/>
        </w:rPr>
        <w:t>’</w:t>
      </w:r>
      <w:r w:rsidR="00C25CC8" w:rsidRPr="007D2AC6">
        <w:rPr>
          <w:szCs w:val="22"/>
          <w:lang w:val="fr-FR"/>
        </w:rPr>
        <w:t>équipe chargée du projet, les partenaires, les bénéficiaires et toute autre partie intéressée</w:t>
      </w:r>
      <w:r w:rsidR="00807D9F" w:rsidRPr="007D2AC6">
        <w:rPr>
          <w:szCs w:val="22"/>
          <w:lang w:val="fr-FR"/>
        </w:rPr>
        <w:t>.</w:t>
      </w:r>
    </w:p>
    <w:p w14:paraId="767725BA" w14:textId="77777777" w:rsidR="0059687A" w:rsidRPr="007D2AC6" w:rsidRDefault="0059687A" w:rsidP="00500172">
      <w:pPr>
        <w:rPr>
          <w:szCs w:val="22"/>
          <w:lang w:val="fr-FR"/>
        </w:rPr>
      </w:pPr>
    </w:p>
    <w:p w14:paraId="2630601F" w14:textId="2FA6E7D1" w:rsidR="002A5696" w:rsidRPr="007D2AC6" w:rsidRDefault="00F3511B" w:rsidP="00F3511B">
      <w:pPr>
        <w:spacing w:after="200" w:line="276" w:lineRule="auto"/>
        <w:rPr>
          <w:szCs w:val="22"/>
          <w:lang w:val="fr-FR"/>
        </w:rPr>
      </w:pPr>
      <w:r w:rsidRPr="007D2AC6">
        <w:rPr>
          <w:szCs w:val="22"/>
          <w:lang w:val="fr-FR"/>
        </w:rPr>
        <w:t>Cette évaluation vise deux</w:t>
      </w:r>
      <w:r w:rsidR="009F77AF" w:rsidRPr="007D2AC6">
        <w:rPr>
          <w:szCs w:val="22"/>
          <w:lang w:val="fr-FR"/>
        </w:rPr>
        <w:t> </w:t>
      </w:r>
      <w:r w:rsidRPr="007D2AC6">
        <w:rPr>
          <w:szCs w:val="22"/>
          <w:lang w:val="fr-FR"/>
        </w:rPr>
        <w:t>objectifs</w:t>
      </w:r>
      <w:r w:rsidR="002A5696" w:rsidRPr="007D2AC6">
        <w:rPr>
          <w:szCs w:val="22"/>
          <w:lang w:val="fr-FR"/>
        </w:rPr>
        <w:t> :</w:t>
      </w:r>
    </w:p>
    <w:p w14:paraId="7BB5760B" w14:textId="41188B10" w:rsidR="0059687A" w:rsidRPr="007D2AC6" w:rsidRDefault="00F3511B" w:rsidP="00F3511B">
      <w:pPr>
        <w:tabs>
          <w:tab w:val="left" w:pos="567"/>
        </w:tabs>
        <w:ind w:left="567"/>
        <w:rPr>
          <w:szCs w:val="22"/>
          <w:lang w:val="fr-FR"/>
        </w:rPr>
      </w:pPr>
      <w:r w:rsidRPr="007D2AC6">
        <w:rPr>
          <w:szCs w:val="22"/>
          <w:lang w:val="fr-FR"/>
        </w:rPr>
        <w:t>a)</w:t>
      </w:r>
      <w:r w:rsidRPr="007D2AC6">
        <w:rPr>
          <w:szCs w:val="22"/>
          <w:lang w:val="fr-FR"/>
        </w:rPr>
        <w:tab/>
        <w:t>tirer profit des expériences lors de l</w:t>
      </w:r>
      <w:r w:rsidR="002A5696" w:rsidRPr="007D2AC6">
        <w:rPr>
          <w:szCs w:val="22"/>
          <w:lang w:val="fr-FR"/>
        </w:rPr>
        <w:t>’</w:t>
      </w:r>
      <w:r w:rsidRPr="007D2AC6">
        <w:rPr>
          <w:szCs w:val="22"/>
          <w:lang w:val="fr-FR"/>
        </w:rPr>
        <w:t>exécution du projet</w:t>
      </w:r>
      <w:r w:rsidR="002A5696" w:rsidRPr="007D2AC6">
        <w:rPr>
          <w:szCs w:val="22"/>
          <w:lang w:val="fr-FR"/>
        </w:rPr>
        <w:t> </w:t>
      </w:r>
      <w:proofErr w:type="gramStart"/>
      <w:r w:rsidR="002A5696" w:rsidRPr="007D2AC6">
        <w:rPr>
          <w:szCs w:val="22"/>
          <w:lang w:val="fr-FR"/>
        </w:rPr>
        <w:t>:</w:t>
      </w:r>
      <w:r w:rsidRPr="007D2AC6">
        <w:rPr>
          <w:szCs w:val="22"/>
          <w:lang w:val="fr-FR"/>
        </w:rPr>
        <w:t xml:space="preserve"> savoir</w:t>
      </w:r>
      <w:proofErr w:type="gramEnd"/>
      <w:r w:rsidRPr="007D2AC6">
        <w:rPr>
          <w:szCs w:val="22"/>
          <w:lang w:val="fr-FR"/>
        </w:rPr>
        <w:t xml:space="preserve"> ce qui a bien fonctionné et ce qui n</w:t>
      </w:r>
      <w:r w:rsidR="002A5696" w:rsidRPr="007D2AC6">
        <w:rPr>
          <w:szCs w:val="22"/>
          <w:lang w:val="fr-FR"/>
        </w:rPr>
        <w:t>’</w:t>
      </w:r>
      <w:r w:rsidRPr="007D2AC6">
        <w:rPr>
          <w:szCs w:val="22"/>
          <w:lang w:val="fr-FR"/>
        </w:rPr>
        <w:t>a pas bien fonctionné dans l</w:t>
      </w:r>
      <w:r w:rsidR="002A5696" w:rsidRPr="007D2AC6">
        <w:rPr>
          <w:szCs w:val="22"/>
          <w:lang w:val="fr-FR"/>
        </w:rPr>
        <w:t>’</w:t>
      </w:r>
      <w:r w:rsidRPr="007D2AC6">
        <w:rPr>
          <w:szCs w:val="22"/>
          <w:lang w:val="fr-FR"/>
        </w:rPr>
        <w:t>intérêt de la poursuite du proj</w:t>
      </w:r>
      <w:r w:rsidR="001B6E2D" w:rsidRPr="007D2AC6">
        <w:rPr>
          <w:szCs w:val="22"/>
          <w:lang w:val="fr-FR"/>
        </w:rPr>
        <w:t>et.  Ce</w:t>
      </w:r>
      <w:r w:rsidRPr="007D2AC6">
        <w:rPr>
          <w:szCs w:val="22"/>
          <w:lang w:val="fr-FR"/>
        </w:rPr>
        <w:t>la inclut l</w:t>
      </w:r>
      <w:r w:rsidR="002A5696" w:rsidRPr="007D2AC6">
        <w:rPr>
          <w:szCs w:val="22"/>
          <w:lang w:val="fr-FR"/>
        </w:rPr>
        <w:t>’</w:t>
      </w:r>
      <w:r w:rsidRPr="007D2AC6">
        <w:rPr>
          <w:szCs w:val="22"/>
          <w:lang w:val="fr-FR"/>
        </w:rPr>
        <w:t xml:space="preserve">évaluation du cadre de conception du projet, la gestion de projet, </w:t>
      </w:r>
      <w:r w:rsidR="002A5696" w:rsidRPr="007D2AC6">
        <w:rPr>
          <w:szCs w:val="22"/>
          <w:lang w:val="fr-FR"/>
        </w:rPr>
        <w:t>y compris</w:t>
      </w:r>
      <w:r w:rsidRPr="007D2AC6">
        <w:rPr>
          <w:szCs w:val="22"/>
          <w:lang w:val="fr-FR"/>
        </w:rPr>
        <w:t xml:space="preserve"> les outils de suivi et d</w:t>
      </w:r>
      <w:r w:rsidR="002A5696" w:rsidRPr="007D2AC6">
        <w:rPr>
          <w:szCs w:val="22"/>
          <w:lang w:val="fr-FR"/>
        </w:rPr>
        <w:t>’</w:t>
      </w:r>
      <w:r w:rsidRPr="007D2AC6">
        <w:rPr>
          <w:szCs w:val="22"/>
          <w:lang w:val="fr-FR"/>
        </w:rPr>
        <w:t>établissement de rapports, ainsi que la mesure et le compte rendu des résultats obtenus à ce jour et l</w:t>
      </w:r>
      <w:r w:rsidR="002A5696" w:rsidRPr="007D2AC6">
        <w:rPr>
          <w:szCs w:val="22"/>
          <w:lang w:val="fr-FR"/>
        </w:rPr>
        <w:t>’</w:t>
      </w:r>
      <w:r w:rsidRPr="007D2AC6">
        <w:rPr>
          <w:szCs w:val="22"/>
          <w:lang w:val="fr-FR"/>
        </w:rPr>
        <w:t>évaluation de la probabilité de la durabilité des résultats obtenus;  et</w:t>
      </w:r>
    </w:p>
    <w:p w14:paraId="7B7E871E" w14:textId="77777777" w:rsidR="0059687A" w:rsidRPr="007D2AC6" w:rsidRDefault="0059687A" w:rsidP="00807D9F">
      <w:pPr>
        <w:tabs>
          <w:tab w:val="left" w:pos="567"/>
        </w:tabs>
        <w:ind w:left="567"/>
        <w:rPr>
          <w:szCs w:val="22"/>
          <w:lang w:val="fr-FR"/>
        </w:rPr>
      </w:pPr>
    </w:p>
    <w:p w14:paraId="58EB1F1A" w14:textId="3E81142E" w:rsidR="002A5696" w:rsidRPr="007D2AC6" w:rsidRDefault="00F3511B" w:rsidP="00F3511B">
      <w:pPr>
        <w:tabs>
          <w:tab w:val="left" w:pos="567"/>
        </w:tabs>
        <w:ind w:left="567"/>
        <w:rPr>
          <w:szCs w:val="22"/>
          <w:lang w:val="fr-FR"/>
        </w:rPr>
      </w:pPr>
      <w:r w:rsidRPr="007D2AC6">
        <w:rPr>
          <w:szCs w:val="22"/>
          <w:lang w:val="fr-FR"/>
        </w:rPr>
        <w:t>b)</w:t>
      </w:r>
      <w:r w:rsidRPr="007D2AC6">
        <w:rPr>
          <w:szCs w:val="22"/>
          <w:lang w:val="fr-FR"/>
        </w:rPr>
        <w:tab/>
        <w:t>fournir les données d</w:t>
      </w:r>
      <w:r w:rsidR="002A5696" w:rsidRPr="007D2AC6">
        <w:rPr>
          <w:szCs w:val="22"/>
          <w:lang w:val="fr-FR"/>
        </w:rPr>
        <w:t>’</w:t>
      </w:r>
      <w:r w:rsidRPr="007D2AC6">
        <w:rPr>
          <w:szCs w:val="22"/>
          <w:lang w:val="fr-FR"/>
        </w:rPr>
        <w:t>évaluation factuelles nécessaires au processus décisionnel du </w:t>
      </w:r>
      <w:proofErr w:type="spellStart"/>
      <w:r w:rsidRPr="007D2AC6">
        <w:rPr>
          <w:szCs w:val="22"/>
          <w:lang w:val="fr-FR"/>
        </w:rPr>
        <w:t>CDIP</w:t>
      </w:r>
      <w:proofErr w:type="spellEnd"/>
      <w:r w:rsidRPr="007D2AC6">
        <w:rPr>
          <w:szCs w:val="22"/>
          <w:lang w:val="fr-FR"/>
        </w:rPr>
        <w:t>.</w:t>
      </w:r>
    </w:p>
    <w:p w14:paraId="7199C05F" w14:textId="28E449AC" w:rsidR="0059687A" w:rsidRPr="007D2AC6" w:rsidRDefault="0059687A" w:rsidP="00807D9F">
      <w:pPr>
        <w:tabs>
          <w:tab w:val="left" w:pos="567"/>
        </w:tabs>
        <w:rPr>
          <w:szCs w:val="22"/>
          <w:lang w:val="fr-FR"/>
        </w:rPr>
      </w:pPr>
    </w:p>
    <w:p w14:paraId="731C4DD8" w14:textId="27D2ED19" w:rsidR="0059687A" w:rsidRPr="007D2AC6" w:rsidRDefault="00F3511B" w:rsidP="00F3511B">
      <w:pPr>
        <w:rPr>
          <w:szCs w:val="22"/>
          <w:lang w:val="fr-FR"/>
        </w:rPr>
      </w:pPr>
      <w:r w:rsidRPr="007D2AC6">
        <w:rPr>
          <w:szCs w:val="22"/>
          <w:lang w:val="fr-FR"/>
        </w:rPr>
        <w:t>En particulier, l</w:t>
      </w:r>
      <w:r w:rsidR="002A5696" w:rsidRPr="007D2AC6">
        <w:rPr>
          <w:szCs w:val="22"/>
          <w:lang w:val="fr-FR"/>
        </w:rPr>
        <w:t>’</w:t>
      </w:r>
      <w:r w:rsidRPr="007D2AC6">
        <w:rPr>
          <w:szCs w:val="22"/>
          <w:lang w:val="fr-FR"/>
        </w:rPr>
        <w:t>évaluation vise à déterminer dans quelle mesure le projet a joué un rôle pour</w:t>
      </w:r>
    </w:p>
    <w:p w14:paraId="1FE35E7E" w14:textId="77777777" w:rsidR="0059687A" w:rsidRPr="007D2AC6" w:rsidRDefault="0059687A" w:rsidP="00807D9F">
      <w:pPr>
        <w:rPr>
          <w:szCs w:val="22"/>
          <w:lang w:val="fr-FR"/>
        </w:rPr>
      </w:pPr>
    </w:p>
    <w:p w14:paraId="2F6A02F9" w14:textId="2B5AD4AF" w:rsidR="0059687A" w:rsidRPr="007D2AC6" w:rsidRDefault="00F3511B" w:rsidP="00F3511B">
      <w:pPr>
        <w:tabs>
          <w:tab w:val="left" w:pos="567"/>
        </w:tabs>
        <w:ind w:left="567"/>
        <w:rPr>
          <w:szCs w:val="22"/>
          <w:lang w:val="fr-FR"/>
        </w:rPr>
      </w:pPr>
      <w:r w:rsidRPr="007D2AC6">
        <w:rPr>
          <w:szCs w:val="22"/>
          <w:lang w:val="fr-FR"/>
        </w:rPr>
        <w:t>a)</w:t>
      </w:r>
      <w:r w:rsidRPr="007D2AC6">
        <w:rPr>
          <w:szCs w:val="22"/>
          <w:lang w:val="fr-FR"/>
        </w:rPr>
        <w:tab/>
      </w:r>
      <w:r w:rsidR="00500172" w:rsidRPr="007D2AC6">
        <w:rPr>
          <w:szCs w:val="22"/>
          <w:lang w:val="fr-FR"/>
        </w:rPr>
        <w:t>c</w:t>
      </w:r>
      <w:r w:rsidRPr="007D2AC6">
        <w:rPr>
          <w:szCs w:val="22"/>
          <w:lang w:val="fr-FR"/>
        </w:rPr>
        <w:t>ontribuer au développement commercial</w:t>
      </w:r>
      <w:r w:rsidR="002A5696" w:rsidRPr="007D2AC6">
        <w:rPr>
          <w:szCs w:val="22"/>
          <w:lang w:val="fr-FR"/>
        </w:rPr>
        <w:t xml:space="preserve"> des PME</w:t>
      </w:r>
      <w:r w:rsidRPr="007D2AC6">
        <w:rPr>
          <w:szCs w:val="22"/>
          <w:lang w:val="fr-FR"/>
        </w:rPr>
        <w:t xml:space="preserve"> des pays participants en encourageant l</w:t>
      </w:r>
      <w:r w:rsidR="002A5696" w:rsidRPr="007D2AC6">
        <w:rPr>
          <w:szCs w:val="22"/>
          <w:lang w:val="fr-FR"/>
        </w:rPr>
        <w:t>’</w:t>
      </w:r>
      <w:r w:rsidRPr="007D2AC6">
        <w:rPr>
          <w:szCs w:val="22"/>
          <w:lang w:val="fr-FR"/>
        </w:rPr>
        <w:t>investissement dans le domaine des dessins et modèles par l</w:t>
      </w:r>
      <w:r w:rsidR="002A5696" w:rsidRPr="007D2AC6">
        <w:rPr>
          <w:szCs w:val="22"/>
          <w:lang w:val="fr-FR"/>
        </w:rPr>
        <w:t>’</w:t>
      </w:r>
      <w:r w:rsidRPr="007D2AC6">
        <w:rPr>
          <w:szCs w:val="22"/>
          <w:lang w:val="fr-FR"/>
        </w:rPr>
        <w:t>utilisation stratégique des droits de propriété intellectuelle, et notamment par l</w:t>
      </w:r>
      <w:r w:rsidR="002A5696" w:rsidRPr="007D2AC6">
        <w:rPr>
          <w:szCs w:val="22"/>
          <w:lang w:val="fr-FR"/>
        </w:rPr>
        <w:t>’</w:t>
      </w:r>
      <w:r w:rsidRPr="007D2AC6">
        <w:rPr>
          <w:szCs w:val="22"/>
          <w:lang w:val="fr-FR"/>
        </w:rPr>
        <w:t>utilisation active des mécanismes adéquats de protection des dessins et modèles qui étaient négligés jusqu</w:t>
      </w:r>
      <w:r w:rsidR="002A5696" w:rsidRPr="007D2AC6">
        <w:rPr>
          <w:szCs w:val="22"/>
          <w:lang w:val="fr-FR"/>
        </w:rPr>
        <w:t>’</w:t>
      </w:r>
      <w:r w:rsidRPr="007D2AC6">
        <w:rPr>
          <w:szCs w:val="22"/>
          <w:lang w:val="fr-FR"/>
        </w:rPr>
        <w:t>à présent;  et</w:t>
      </w:r>
    </w:p>
    <w:p w14:paraId="1100D46A" w14:textId="77777777" w:rsidR="0059687A" w:rsidRPr="007D2AC6" w:rsidRDefault="0059687A" w:rsidP="00807D9F">
      <w:pPr>
        <w:tabs>
          <w:tab w:val="left" w:pos="567"/>
        </w:tabs>
        <w:ind w:left="567"/>
        <w:rPr>
          <w:szCs w:val="22"/>
          <w:lang w:val="fr-FR"/>
        </w:rPr>
      </w:pPr>
    </w:p>
    <w:p w14:paraId="567837B9" w14:textId="06A51556" w:rsidR="0059687A" w:rsidRPr="007D2AC6" w:rsidRDefault="00F3511B" w:rsidP="00F3511B">
      <w:pPr>
        <w:tabs>
          <w:tab w:val="left" w:pos="567"/>
        </w:tabs>
        <w:ind w:left="567"/>
        <w:rPr>
          <w:szCs w:val="22"/>
          <w:lang w:val="fr-FR"/>
        </w:rPr>
      </w:pPr>
      <w:r w:rsidRPr="007D2AC6">
        <w:rPr>
          <w:szCs w:val="22"/>
          <w:lang w:val="fr-FR"/>
        </w:rPr>
        <w:t>b)</w:t>
      </w:r>
      <w:r w:rsidRPr="007D2AC6">
        <w:rPr>
          <w:szCs w:val="22"/>
          <w:lang w:val="fr-FR"/>
        </w:rPr>
        <w:tab/>
      </w:r>
      <w:r w:rsidR="00500172" w:rsidRPr="007D2AC6">
        <w:rPr>
          <w:szCs w:val="22"/>
          <w:lang w:val="fr-FR"/>
        </w:rPr>
        <w:t>a</w:t>
      </w:r>
      <w:r w:rsidRPr="007D2AC6">
        <w:rPr>
          <w:szCs w:val="22"/>
          <w:lang w:val="fr-FR"/>
        </w:rPr>
        <w:t xml:space="preserve">méliorer les capacités des institutions nationales chargées des dessins et modèles, </w:t>
      </w:r>
      <w:r w:rsidR="002A5696" w:rsidRPr="007D2AC6">
        <w:rPr>
          <w:szCs w:val="22"/>
          <w:lang w:val="fr-FR"/>
        </w:rPr>
        <w:t>y compris</w:t>
      </w:r>
      <w:r w:rsidRPr="007D2AC6">
        <w:rPr>
          <w:szCs w:val="22"/>
          <w:lang w:val="fr-FR"/>
        </w:rPr>
        <w:t xml:space="preserve"> des offices de la propriété intellectuelle, afin de stimuler l</w:t>
      </w:r>
      <w:r w:rsidR="002A5696" w:rsidRPr="007D2AC6">
        <w:rPr>
          <w:szCs w:val="22"/>
          <w:lang w:val="fr-FR"/>
        </w:rPr>
        <w:t>’</w:t>
      </w:r>
      <w:r w:rsidRPr="007D2AC6">
        <w:rPr>
          <w:szCs w:val="22"/>
          <w:lang w:val="fr-FR"/>
        </w:rPr>
        <w:t>utilisation stratégique du système de la propriété intellectuelle par les entreprises produisant des dessins et modèles, et conduire ainsi à une utilisation plus fréquente des mécanismes disponibles pour protéger les dessins et modèles.</w:t>
      </w:r>
    </w:p>
    <w:p w14:paraId="5CFEA619" w14:textId="77777777" w:rsidR="0059687A" w:rsidRPr="007D2AC6" w:rsidRDefault="0059687A" w:rsidP="00807D9F">
      <w:pPr>
        <w:rPr>
          <w:szCs w:val="22"/>
          <w:lang w:val="fr-FR"/>
        </w:rPr>
      </w:pPr>
    </w:p>
    <w:p w14:paraId="45CFB733" w14:textId="79101EBF" w:rsidR="0059687A" w:rsidRPr="007D2AC6" w:rsidRDefault="00F3511B" w:rsidP="00F3511B">
      <w:pPr>
        <w:rPr>
          <w:szCs w:val="22"/>
          <w:lang w:val="fr-FR"/>
        </w:rPr>
      </w:pPr>
      <w:r w:rsidRPr="007D2AC6">
        <w:rPr>
          <w:szCs w:val="22"/>
          <w:lang w:val="fr-FR"/>
        </w:rPr>
        <w:t>À cette fin, l</w:t>
      </w:r>
      <w:r w:rsidR="002A5696" w:rsidRPr="007D2AC6">
        <w:rPr>
          <w:szCs w:val="22"/>
          <w:lang w:val="fr-FR"/>
        </w:rPr>
        <w:t>’</w:t>
      </w:r>
      <w:r w:rsidRPr="007D2AC6">
        <w:rPr>
          <w:szCs w:val="22"/>
          <w:lang w:val="fr-FR"/>
        </w:rPr>
        <w:t>évaluation portera notamment sur les principales questions d</w:t>
      </w:r>
      <w:r w:rsidR="002A5696" w:rsidRPr="007D2AC6">
        <w:rPr>
          <w:szCs w:val="22"/>
          <w:lang w:val="fr-FR"/>
        </w:rPr>
        <w:t>’</w:t>
      </w:r>
      <w:r w:rsidRPr="007D2AC6">
        <w:rPr>
          <w:szCs w:val="22"/>
          <w:lang w:val="fr-FR"/>
        </w:rPr>
        <w:t>évaluation suivantes</w:t>
      </w:r>
      <w:r w:rsidR="002A5696" w:rsidRPr="007D2AC6">
        <w:rPr>
          <w:szCs w:val="22"/>
          <w:lang w:val="fr-FR"/>
        </w:rPr>
        <w:t> :</w:t>
      </w:r>
    </w:p>
    <w:p w14:paraId="4CB3F2EC" w14:textId="77777777" w:rsidR="0059687A" w:rsidRPr="007D2AC6" w:rsidRDefault="0059687A" w:rsidP="00807D9F">
      <w:pPr>
        <w:rPr>
          <w:szCs w:val="22"/>
          <w:lang w:val="fr-FR"/>
        </w:rPr>
      </w:pPr>
    </w:p>
    <w:p w14:paraId="2E7B27F2" w14:textId="77777777" w:rsidR="0059687A" w:rsidRPr="007D2AC6" w:rsidRDefault="0059687A" w:rsidP="00807D9F">
      <w:pPr>
        <w:rPr>
          <w:szCs w:val="22"/>
          <w:lang w:val="fr-FR"/>
        </w:rPr>
      </w:pPr>
    </w:p>
    <w:p w14:paraId="45599900" w14:textId="1D9202B3" w:rsidR="0059687A" w:rsidRPr="007D2AC6" w:rsidRDefault="00F3511B" w:rsidP="00F3511B">
      <w:pPr>
        <w:rPr>
          <w:szCs w:val="22"/>
          <w:lang w:val="fr-FR"/>
        </w:rPr>
      </w:pPr>
      <w:r w:rsidRPr="007D2AC6">
        <w:rPr>
          <w:szCs w:val="22"/>
          <w:u w:val="single"/>
          <w:lang w:val="fr-FR"/>
        </w:rPr>
        <w:t>Conception et gestion du projet</w:t>
      </w:r>
    </w:p>
    <w:p w14:paraId="194F5CB6" w14:textId="77777777" w:rsidR="0059687A" w:rsidRPr="007D2AC6" w:rsidRDefault="0059687A" w:rsidP="00807D9F">
      <w:pPr>
        <w:rPr>
          <w:szCs w:val="22"/>
          <w:lang w:val="fr-FR"/>
        </w:rPr>
      </w:pPr>
    </w:p>
    <w:p w14:paraId="00E03525" w14:textId="7A343FD9" w:rsidR="0059687A" w:rsidRPr="007D2AC6" w:rsidRDefault="00F3511B" w:rsidP="00F3511B">
      <w:pPr>
        <w:ind w:left="567"/>
        <w:rPr>
          <w:szCs w:val="22"/>
          <w:lang w:val="fr-FR"/>
        </w:rPr>
      </w:pPr>
      <w:r w:rsidRPr="007D2AC6">
        <w:rPr>
          <w:szCs w:val="22"/>
          <w:lang w:val="fr-FR"/>
        </w:rPr>
        <w:t>a)</w:t>
      </w:r>
      <w:r w:rsidRPr="007D2AC6">
        <w:rPr>
          <w:szCs w:val="22"/>
          <w:lang w:val="fr-FR"/>
        </w:rPr>
        <w:tab/>
        <w:t>La pertinence du descriptif de projet initial à servir de guide à la mise en œuvre du projet et à l</w:t>
      </w:r>
      <w:r w:rsidR="002A5696" w:rsidRPr="007D2AC6">
        <w:rPr>
          <w:szCs w:val="22"/>
          <w:lang w:val="fr-FR"/>
        </w:rPr>
        <w:t>’</w:t>
      </w:r>
      <w:r w:rsidRPr="007D2AC6">
        <w:rPr>
          <w:szCs w:val="22"/>
          <w:lang w:val="fr-FR"/>
        </w:rPr>
        <w:t>évaluation des résultats obtenus;</w:t>
      </w:r>
    </w:p>
    <w:p w14:paraId="34638CBB" w14:textId="77777777" w:rsidR="0059687A" w:rsidRPr="007D2AC6" w:rsidRDefault="0059687A" w:rsidP="00807D9F">
      <w:pPr>
        <w:ind w:left="567"/>
        <w:rPr>
          <w:szCs w:val="22"/>
          <w:lang w:val="fr-FR"/>
        </w:rPr>
      </w:pPr>
    </w:p>
    <w:p w14:paraId="1DC24231" w14:textId="68D6D70D" w:rsidR="0059687A" w:rsidRPr="007D2AC6" w:rsidRDefault="00F3511B" w:rsidP="00F3511B">
      <w:pPr>
        <w:ind w:left="567"/>
        <w:rPr>
          <w:szCs w:val="22"/>
          <w:lang w:val="fr-FR"/>
        </w:rPr>
      </w:pPr>
      <w:r w:rsidRPr="007D2AC6">
        <w:rPr>
          <w:szCs w:val="22"/>
          <w:lang w:val="fr-FR"/>
        </w:rPr>
        <w:t>b)</w:t>
      </w:r>
      <w:r w:rsidRPr="007D2AC6">
        <w:rPr>
          <w:szCs w:val="22"/>
          <w:lang w:val="fr-FR"/>
        </w:rPr>
        <w:tab/>
        <w:t>l</w:t>
      </w:r>
      <w:r w:rsidR="002A5696" w:rsidRPr="007D2AC6">
        <w:rPr>
          <w:szCs w:val="22"/>
          <w:lang w:val="fr-FR"/>
        </w:rPr>
        <w:t>’</w:t>
      </w:r>
      <w:r w:rsidRPr="007D2AC6">
        <w:rPr>
          <w:szCs w:val="22"/>
          <w:lang w:val="fr-FR"/>
        </w:rPr>
        <w:t>analyse de l</w:t>
      </w:r>
      <w:r w:rsidR="002A5696" w:rsidRPr="007D2AC6">
        <w:rPr>
          <w:szCs w:val="22"/>
          <w:lang w:val="fr-FR"/>
        </w:rPr>
        <w:t>’</w:t>
      </w:r>
      <w:r w:rsidRPr="007D2AC6">
        <w:rPr>
          <w:szCs w:val="22"/>
          <w:lang w:val="fr-FR"/>
        </w:rPr>
        <w:t>adéquation et de l</w:t>
      </w:r>
      <w:r w:rsidR="002A5696" w:rsidRPr="007D2AC6">
        <w:rPr>
          <w:szCs w:val="22"/>
          <w:lang w:val="fr-FR"/>
        </w:rPr>
        <w:t>’</w:t>
      </w:r>
      <w:r w:rsidRPr="007D2AC6">
        <w:rPr>
          <w:szCs w:val="22"/>
          <w:lang w:val="fr-FR"/>
        </w:rPr>
        <w:t>utilité des outils de suivi, d</w:t>
      </w:r>
      <w:r w:rsidR="002A5696" w:rsidRPr="007D2AC6">
        <w:rPr>
          <w:szCs w:val="22"/>
          <w:lang w:val="fr-FR"/>
        </w:rPr>
        <w:t>’</w:t>
      </w:r>
      <w:r w:rsidRPr="007D2AC6">
        <w:rPr>
          <w:szCs w:val="22"/>
          <w:lang w:val="fr-FR"/>
        </w:rPr>
        <w:t>auto</w:t>
      </w:r>
      <w:r w:rsidR="00B57560" w:rsidRPr="007D2AC6">
        <w:rPr>
          <w:szCs w:val="22"/>
          <w:lang w:val="fr-FR"/>
        </w:rPr>
        <w:noBreakHyphen/>
      </w:r>
      <w:r w:rsidRPr="007D2AC6">
        <w:rPr>
          <w:szCs w:val="22"/>
          <w:lang w:val="fr-FR"/>
        </w:rPr>
        <w:t>évaluation et d</w:t>
      </w:r>
      <w:r w:rsidR="002A5696" w:rsidRPr="007D2AC6">
        <w:rPr>
          <w:szCs w:val="22"/>
          <w:lang w:val="fr-FR"/>
        </w:rPr>
        <w:t>’</w:t>
      </w:r>
      <w:r w:rsidRPr="007D2AC6">
        <w:rPr>
          <w:szCs w:val="22"/>
          <w:lang w:val="fr-FR"/>
        </w:rPr>
        <w:t>établissement de rapports afférents au projet s</w:t>
      </w:r>
      <w:r w:rsidR="002A5696" w:rsidRPr="007D2AC6">
        <w:rPr>
          <w:szCs w:val="22"/>
          <w:lang w:val="fr-FR"/>
        </w:rPr>
        <w:t>’</w:t>
      </w:r>
      <w:r w:rsidRPr="007D2AC6">
        <w:rPr>
          <w:szCs w:val="22"/>
          <w:lang w:val="fr-FR"/>
        </w:rPr>
        <w:t>agissant de fournir des informations qui présentent un intérêt pour la prise de décision de l</w:t>
      </w:r>
      <w:r w:rsidR="002A5696" w:rsidRPr="007D2AC6">
        <w:rPr>
          <w:szCs w:val="22"/>
          <w:lang w:val="fr-FR"/>
        </w:rPr>
        <w:t>’</w:t>
      </w:r>
      <w:r w:rsidRPr="007D2AC6">
        <w:rPr>
          <w:szCs w:val="22"/>
          <w:lang w:val="fr-FR"/>
        </w:rPr>
        <w:t>équipe chargée du projet et des principales parties prenantes;</w:t>
      </w:r>
    </w:p>
    <w:p w14:paraId="4072220D" w14:textId="77777777" w:rsidR="0059687A" w:rsidRPr="007D2AC6" w:rsidRDefault="0059687A" w:rsidP="00807D9F">
      <w:pPr>
        <w:ind w:left="567"/>
        <w:rPr>
          <w:szCs w:val="22"/>
          <w:lang w:val="fr-FR"/>
        </w:rPr>
      </w:pPr>
    </w:p>
    <w:p w14:paraId="59D7F2A2" w14:textId="7AE61C14" w:rsidR="0059687A" w:rsidRPr="007D2AC6" w:rsidRDefault="00F3511B" w:rsidP="00F3511B">
      <w:pPr>
        <w:ind w:left="567"/>
        <w:rPr>
          <w:szCs w:val="22"/>
          <w:lang w:val="fr-FR"/>
        </w:rPr>
      </w:pPr>
      <w:r w:rsidRPr="007D2AC6">
        <w:rPr>
          <w:szCs w:val="22"/>
          <w:lang w:val="fr-FR"/>
        </w:rPr>
        <w:t>c)</w:t>
      </w:r>
      <w:r w:rsidRPr="007D2AC6">
        <w:rPr>
          <w:szCs w:val="22"/>
          <w:lang w:val="fr-FR"/>
        </w:rPr>
        <w:tab/>
        <w:t>dans quelle mesure d</w:t>
      </w:r>
      <w:r w:rsidR="002A5696" w:rsidRPr="007D2AC6">
        <w:rPr>
          <w:szCs w:val="22"/>
          <w:lang w:val="fr-FR"/>
        </w:rPr>
        <w:t>’</w:t>
      </w:r>
      <w:r w:rsidRPr="007D2AC6">
        <w:rPr>
          <w:szCs w:val="22"/>
          <w:lang w:val="fr-FR"/>
        </w:rPr>
        <w:t>autres entités au sein du Secrétariat de l</w:t>
      </w:r>
      <w:r w:rsidR="002A5696" w:rsidRPr="007D2AC6">
        <w:rPr>
          <w:szCs w:val="22"/>
          <w:lang w:val="fr-FR"/>
        </w:rPr>
        <w:t>’</w:t>
      </w:r>
      <w:r w:rsidRPr="007D2AC6">
        <w:rPr>
          <w:szCs w:val="22"/>
          <w:lang w:val="fr-FR"/>
        </w:rPr>
        <w:t>OMPI ont contribué et permis une mise en œuvre effective et efficace du projet;</w:t>
      </w:r>
    </w:p>
    <w:p w14:paraId="4C841BEC" w14:textId="77777777" w:rsidR="0059687A" w:rsidRPr="007D2AC6" w:rsidRDefault="0059687A" w:rsidP="00807D9F">
      <w:pPr>
        <w:ind w:left="567"/>
        <w:rPr>
          <w:szCs w:val="22"/>
          <w:lang w:val="fr-FR"/>
        </w:rPr>
      </w:pPr>
    </w:p>
    <w:p w14:paraId="67B7C1B2" w14:textId="4D0CBA7A" w:rsidR="0059687A" w:rsidRPr="007D2AC6" w:rsidRDefault="00F3511B" w:rsidP="00F3511B">
      <w:pPr>
        <w:ind w:left="567"/>
        <w:rPr>
          <w:szCs w:val="22"/>
          <w:lang w:val="fr-FR"/>
        </w:rPr>
      </w:pPr>
      <w:r w:rsidRPr="007D2AC6">
        <w:rPr>
          <w:szCs w:val="22"/>
          <w:lang w:val="fr-FR"/>
        </w:rPr>
        <w:t>d)</w:t>
      </w:r>
      <w:r w:rsidRPr="007D2AC6">
        <w:rPr>
          <w:szCs w:val="22"/>
          <w:lang w:val="fr-FR"/>
        </w:rPr>
        <w:tab/>
        <w:t>dans quelle mesure les risques recensés dans le descriptif de projet initial se sont concrétisés ou ont été atténués;  et</w:t>
      </w:r>
    </w:p>
    <w:p w14:paraId="0F8EC7B3" w14:textId="77777777" w:rsidR="0059687A" w:rsidRPr="007D2AC6" w:rsidRDefault="0059687A" w:rsidP="00807D9F">
      <w:pPr>
        <w:ind w:left="567"/>
        <w:rPr>
          <w:szCs w:val="22"/>
          <w:lang w:val="fr-FR"/>
        </w:rPr>
      </w:pPr>
    </w:p>
    <w:p w14:paraId="70146BA5" w14:textId="5FBE1815" w:rsidR="0059687A" w:rsidRPr="007D2AC6" w:rsidRDefault="00F3511B" w:rsidP="00F3511B">
      <w:pPr>
        <w:ind w:left="567"/>
        <w:rPr>
          <w:szCs w:val="22"/>
          <w:lang w:val="fr-FR"/>
        </w:rPr>
      </w:pPr>
      <w:r w:rsidRPr="007D2AC6">
        <w:rPr>
          <w:szCs w:val="22"/>
          <w:lang w:val="fr-FR"/>
        </w:rPr>
        <w:t>e)</w:t>
      </w:r>
      <w:r w:rsidRPr="007D2AC6">
        <w:rPr>
          <w:szCs w:val="22"/>
          <w:lang w:val="fr-FR"/>
        </w:rPr>
        <w:tab/>
        <w:t>la capacité du projet de réagir aux tendances, technologies et autres forces extérieures émergentes.</w:t>
      </w:r>
    </w:p>
    <w:p w14:paraId="5A728390" w14:textId="77777777" w:rsidR="0059687A" w:rsidRPr="007D2AC6" w:rsidRDefault="0059687A" w:rsidP="00807D9F">
      <w:pPr>
        <w:ind w:left="567"/>
        <w:rPr>
          <w:szCs w:val="22"/>
          <w:lang w:val="fr-FR"/>
        </w:rPr>
      </w:pPr>
    </w:p>
    <w:p w14:paraId="3946DD69" w14:textId="77777777" w:rsidR="00DA4941" w:rsidRPr="007D2AC6" w:rsidRDefault="00DA4941" w:rsidP="00807D9F">
      <w:pPr>
        <w:ind w:left="567"/>
        <w:rPr>
          <w:szCs w:val="22"/>
          <w:lang w:val="fr-FR"/>
        </w:rPr>
      </w:pPr>
    </w:p>
    <w:p w14:paraId="2B8B5EBE" w14:textId="13599359" w:rsidR="0059687A" w:rsidRPr="007D2AC6" w:rsidRDefault="00D05EEA" w:rsidP="003D3244">
      <w:pPr>
        <w:keepNext/>
        <w:rPr>
          <w:szCs w:val="22"/>
          <w:u w:val="single"/>
          <w:lang w:val="fr-FR"/>
        </w:rPr>
      </w:pPr>
      <w:r w:rsidRPr="007D2AC6">
        <w:rPr>
          <w:szCs w:val="22"/>
          <w:u w:val="single"/>
          <w:lang w:val="fr-FR"/>
        </w:rPr>
        <w:lastRenderedPageBreak/>
        <w:t>Efficacité</w:t>
      </w:r>
    </w:p>
    <w:p w14:paraId="1CBE73EB" w14:textId="77777777" w:rsidR="0059687A" w:rsidRPr="007D2AC6" w:rsidRDefault="0059687A" w:rsidP="00807D9F">
      <w:pPr>
        <w:keepNext/>
        <w:keepLines/>
        <w:rPr>
          <w:szCs w:val="22"/>
          <w:lang w:val="fr-FR"/>
        </w:rPr>
      </w:pPr>
    </w:p>
    <w:p w14:paraId="781BCD1D" w14:textId="6BA02D13" w:rsidR="002A5696" w:rsidRPr="007D2AC6" w:rsidRDefault="00CE6067" w:rsidP="00CE6067">
      <w:pPr>
        <w:pStyle w:val="ListParagraph"/>
        <w:keepNext/>
        <w:keepLines/>
        <w:widowControl w:val="0"/>
        <w:overflowPunct w:val="0"/>
        <w:adjustRightInd w:val="0"/>
        <w:ind w:left="567"/>
        <w:rPr>
          <w:szCs w:val="22"/>
          <w:lang w:val="fr-FR"/>
        </w:rPr>
      </w:pPr>
      <w:r w:rsidRPr="007D2AC6">
        <w:rPr>
          <w:szCs w:val="22"/>
          <w:lang w:val="fr-FR"/>
        </w:rPr>
        <w:t>a)</w:t>
      </w:r>
      <w:r w:rsidRPr="007D2AC6">
        <w:rPr>
          <w:szCs w:val="22"/>
          <w:lang w:val="fr-FR"/>
        </w:rPr>
        <w:tab/>
      </w:r>
      <w:r w:rsidR="00C25CC8" w:rsidRPr="007D2AC6">
        <w:rPr>
          <w:szCs w:val="22"/>
          <w:lang w:val="fr-FR"/>
        </w:rPr>
        <w:t>L</w:t>
      </w:r>
      <w:r w:rsidR="002A5696" w:rsidRPr="007D2AC6">
        <w:rPr>
          <w:szCs w:val="22"/>
          <w:lang w:val="fr-FR"/>
        </w:rPr>
        <w:t>’</w:t>
      </w:r>
      <w:r w:rsidR="00C25CC8" w:rsidRPr="007D2AC6">
        <w:rPr>
          <w:szCs w:val="22"/>
          <w:lang w:val="fr-FR"/>
        </w:rPr>
        <w:t>efficacité et l</w:t>
      </w:r>
      <w:r w:rsidR="002A5696" w:rsidRPr="007D2AC6">
        <w:rPr>
          <w:szCs w:val="22"/>
          <w:lang w:val="fr-FR"/>
        </w:rPr>
        <w:t>’</w:t>
      </w:r>
      <w:r w:rsidR="00C25CC8" w:rsidRPr="007D2AC6">
        <w:rPr>
          <w:szCs w:val="22"/>
          <w:lang w:val="fr-FR"/>
        </w:rPr>
        <w:t>utilité du projet, visant à renforcer la stratégie nationale en matière de mécanisme de protection</w:t>
      </w:r>
      <w:r w:rsidR="002A5696" w:rsidRPr="007D2AC6">
        <w:rPr>
          <w:szCs w:val="22"/>
          <w:lang w:val="fr-FR"/>
        </w:rPr>
        <w:t xml:space="preserve"> des </w:t>
      </w:r>
      <w:r w:rsidRPr="007D2AC6">
        <w:rPr>
          <w:lang w:val="fr-FR"/>
        </w:rPr>
        <w:t>droits de propriété intellectuelle</w:t>
      </w:r>
      <w:r w:rsidRPr="007D2AC6">
        <w:rPr>
          <w:szCs w:val="22"/>
          <w:lang w:val="fr-FR"/>
        </w:rPr>
        <w:t xml:space="preserve"> </w:t>
      </w:r>
      <w:r w:rsidR="00C25CC8" w:rsidRPr="007D2AC6">
        <w:rPr>
          <w:szCs w:val="22"/>
          <w:lang w:val="fr-FR"/>
        </w:rPr>
        <w:t>sur les dessins et modèles et son application par</w:t>
      </w:r>
      <w:r w:rsidR="002A5696" w:rsidRPr="007D2AC6">
        <w:rPr>
          <w:szCs w:val="22"/>
          <w:lang w:val="fr-FR"/>
        </w:rPr>
        <w:t xml:space="preserve"> des PME</w:t>
      </w:r>
      <w:r w:rsidR="00C25CC8" w:rsidRPr="007D2AC6">
        <w:rPr>
          <w:szCs w:val="22"/>
          <w:lang w:val="fr-FR"/>
        </w:rPr>
        <w:t xml:space="preserve"> dans les deux</w:t>
      </w:r>
      <w:r w:rsidR="009F77AF" w:rsidRPr="007D2AC6">
        <w:rPr>
          <w:szCs w:val="22"/>
          <w:lang w:val="fr-FR"/>
        </w:rPr>
        <w:t> </w:t>
      </w:r>
      <w:r w:rsidR="00C25CC8" w:rsidRPr="007D2AC6">
        <w:rPr>
          <w:szCs w:val="22"/>
          <w:lang w:val="fr-FR"/>
        </w:rPr>
        <w:t>pays sélectionné</w:t>
      </w:r>
      <w:r w:rsidR="00B57560" w:rsidRPr="007D2AC6">
        <w:rPr>
          <w:szCs w:val="22"/>
          <w:lang w:val="fr-FR"/>
        </w:rPr>
        <w:t>s;</w:t>
      </w:r>
    </w:p>
    <w:p w14:paraId="54CC9288" w14:textId="4F151D8F" w:rsidR="0059687A" w:rsidRPr="007D2AC6" w:rsidRDefault="0059687A" w:rsidP="00807D9F">
      <w:pPr>
        <w:pStyle w:val="ListParagraph"/>
        <w:keepNext/>
        <w:keepLines/>
        <w:ind w:left="567"/>
        <w:rPr>
          <w:szCs w:val="22"/>
          <w:lang w:val="fr-FR"/>
        </w:rPr>
      </w:pPr>
    </w:p>
    <w:p w14:paraId="434B7C9C" w14:textId="7AEE1DA5" w:rsidR="002A5696" w:rsidRPr="007D2AC6" w:rsidRDefault="00CE6067" w:rsidP="00CE6067">
      <w:pPr>
        <w:pStyle w:val="ListParagraph"/>
        <w:keepNext/>
        <w:keepLines/>
        <w:widowControl w:val="0"/>
        <w:overflowPunct w:val="0"/>
        <w:adjustRightInd w:val="0"/>
        <w:ind w:left="567"/>
        <w:rPr>
          <w:szCs w:val="22"/>
          <w:lang w:val="fr-FR"/>
        </w:rPr>
      </w:pPr>
      <w:r w:rsidRPr="007D2AC6">
        <w:rPr>
          <w:szCs w:val="22"/>
          <w:lang w:val="fr-FR"/>
        </w:rPr>
        <w:t>b)</w:t>
      </w:r>
      <w:r w:rsidRPr="007D2AC6">
        <w:rPr>
          <w:szCs w:val="22"/>
          <w:lang w:val="fr-FR"/>
        </w:rPr>
        <w:tab/>
      </w:r>
      <w:r w:rsidR="00C25CC8" w:rsidRPr="007D2AC6">
        <w:rPr>
          <w:szCs w:val="22"/>
          <w:lang w:val="fr-FR"/>
        </w:rPr>
        <w:t>l</w:t>
      </w:r>
      <w:r w:rsidR="002A5696" w:rsidRPr="007D2AC6">
        <w:rPr>
          <w:szCs w:val="22"/>
          <w:lang w:val="fr-FR"/>
        </w:rPr>
        <w:t>’</w:t>
      </w:r>
      <w:r w:rsidR="00C25CC8" w:rsidRPr="007D2AC6">
        <w:rPr>
          <w:szCs w:val="22"/>
          <w:lang w:val="fr-FR"/>
        </w:rPr>
        <w:t>utilité et l</w:t>
      </w:r>
      <w:r w:rsidR="002A5696" w:rsidRPr="007D2AC6">
        <w:rPr>
          <w:szCs w:val="22"/>
          <w:lang w:val="fr-FR"/>
        </w:rPr>
        <w:t>’</w:t>
      </w:r>
      <w:r w:rsidR="00C25CC8" w:rsidRPr="007D2AC6">
        <w:rPr>
          <w:szCs w:val="22"/>
          <w:lang w:val="fr-FR"/>
        </w:rPr>
        <w:t>efficacité du projet dans l</w:t>
      </w:r>
      <w:r w:rsidR="002A5696" w:rsidRPr="007D2AC6">
        <w:rPr>
          <w:szCs w:val="22"/>
          <w:lang w:val="fr-FR"/>
        </w:rPr>
        <w:t>’</w:t>
      </w:r>
      <w:r w:rsidR="00C25CC8" w:rsidRPr="007D2AC6">
        <w:rPr>
          <w:szCs w:val="22"/>
          <w:lang w:val="fr-FR"/>
        </w:rPr>
        <w:t xml:space="preserve">amélioration des capacités des institutions nationales en charge des dessins et modèles, </w:t>
      </w:r>
      <w:r w:rsidR="002A5696" w:rsidRPr="007D2AC6">
        <w:rPr>
          <w:szCs w:val="22"/>
          <w:lang w:val="fr-FR"/>
        </w:rPr>
        <w:t>y compris</w:t>
      </w:r>
      <w:r w:rsidR="00C25CC8" w:rsidRPr="007D2AC6">
        <w:rPr>
          <w:szCs w:val="22"/>
          <w:lang w:val="fr-FR"/>
        </w:rPr>
        <w:t xml:space="preserve"> des offices de propriété intellectuelle, et</w:t>
      </w:r>
    </w:p>
    <w:p w14:paraId="6817DBA2" w14:textId="00727DA9" w:rsidR="0059687A" w:rsidRPr="007D2AC6" w:rsidRDefault="0059687A" w:rsidP="00807D9F">
      <w:pPr>
        <w:keepNext/>
        <w:keepLines/>
        <w:rPr>
          <w:szCs w:val="22"/>
          <w:lang w:val="fr-FR"/>
        </w:rPr>
      </w:pPr>
    </w:p>
    <w:p w14:paraId="37B3E0A1" w14:textId="3498F949" w:rsidR="0059687A" w:rsidRPr="007D2AC6" w:rsidRDefault="00807D9F" w:rsidP="00807D9F">
      <w:pPr>
        <w:ind w:left="567"/>
        <w:rPr>
          <w:szCs w:val="22"/>
          <w:lang w:val="fr-FR"/>
        </w:rPr>
      </w:pPr>
      <w:r w:rsidRPr="007D2AC6">
        <w:rPr>
          <w:szCs w:val="22"/>
          <w:lang w:val="fr-FR"/>
        </w:rPr>
        <w:t>c)</w:t>
      </w:r>
      <w:r w:rsidRPr="007D2AC6">
        <w:rPr>
          <w:szCs w:val="22"/>
          <w:lang w:val="fr-FR"/>
        </w:rPr>
        <w:tab/>
      </w:r>
      <w:r w:rsidR="00C25CC8" w:rsidRPr="007D2AC6">
        <w:rPr>
          <w:szCs w:val="22"/>
          <w:lang w:val="fr-FR"/>
        </w:rPr>
        <w:t>l</w:t>
      </w:r>
      <w:r w:rsidR="002A5696" w:rsidRPr="007D2AC6">
        <w:rPr>
          <w:szCs w:val="22"/>
          <w:lang w:val="fr-FR"/>
        </w:rPr>
        <w:t>’</w:t>
      </w:r>
      <w:r w:rsidR="00C25CC8" w:rsidRPr="007D2AC6">
        <w:rPr>
          <w:szCs w:val="22"/>
          <w:lang w:val="fr-FR"/>
        </w:rPr>
        <w:t>utilité et l</w:t>
      </w:r>
      <w:r w:rsidR="002A5696" w:rsidRPr="007D2AC6">
        <w:rPr>
          <w:szCs w:val="22"/>
          <w:lang w:val="fr-FR"/>
        </w:rPr>
        <w:t>’</w:t>
      </w:r>
      <w:r w:rsidR="00C25CC8" w:rsidRPr="007D2AC6">
        <w:rPr>
          <w:szCs w:val="22"/>
          <w:lang w:val="fr-FR"/>
        </w:rPr>
        <w:t>efficacité du projet, visant à encourager l</w:t>
      </w:r>
      <w:r w:rsidR="002A5696" w:rsidRPr="007D2AC6">
        <w:rPr>
          <w:szCs w:val="22"/>
          <w:lang w:val="fr-FR"/>
        </w:rPr>
        <w:t>’</w:t>
      </w:r>
      <w:r w:rsidR="00C25CC8" w:rsidRPr="007D2AC6">
        <w:rPr>
          <w:szCs w:val="22"/>
          <w:lang w:val="fr-FR"/>
        </w:rPr>
        <w:t>utilisation stratégique du système de propriété intellectuelle en faveur des entreprises productrices de dessins et modèles, et par conséquent l</w:t>
      </w:r>
      <w:r w:rsidR="002A5696" w:rsidRPr="007D2AC6">
        <w:rPr>
          <w:szCs w:val="22"/>
          <w:lang w:val="fr-FR"/>
        </w:rPr>
        <w:t>’</w:t>
      </w:r>
      <w:r w:rsidR="00C25CC8" w:rsidRPr="007D2AC6">
        <w:rPr>
          <w:szCs w:val="22"/>
          <w:lang w:val="fr-FR"/>
        </w:rPr>
        <w:t>utilisation accrue des mécanismes existants de protection des dessins et modèles</w:t>
      </w:r>
      <w:r w:rsidRPr="007D2AC6">
        <w:rPr>
          <w:szCs w:val="22"/>
          <w:lang w:val="fr-FR"/>
        </w:rPr>
        <w:t>.</w:t>
      </w:r>
    </w:p>
    <w:p w14:paraId="0ABD431A" w14:textId="77777777" w:rsidR="0059687A" w:rsidRPr="007D2AC6" w:rsidRDefault="0059687A" w:rsidP="00807D9F">
      <w:pPr>
        <w:rPr>
          <w:szCs w:val="22"/>
          <w:u w:val="single"/>
          <w:lang w:val="fr-FR"/>
        </w:rPr>
      </w:pPr>
    </w:p>
    <w:p w14:paraId="19C40248" w14:textId="77777777" w:rsidR="0059687A" w:rsidRPr="007D2AC6" w:rsidRDefault="0059687A" w:rsidP="00807D9F">
      <w:pPr>
        <w:rPr>
          <w:szCs w:val="22"/>
          <w:lang w:val="fr-FR"/>
        </w:rPr>
      </w:pPr>
    </w:p>
    <w:p w14:paraId="6ACA62D7" w14:textId="77777777" w:rsidR="002A5696" w:rsidRPr="007D2AC6" w:rsidRDefault="00D05EEA" w:rsidP="00D05EEA">
      <w:pPr>
        <w:rPr>
          <w:szCs w:val="22"/>
          <w:u w:val="single"/>
          <w:lang w:val="fr-FR"/>
        </w:rPr>
      </w:pPr>
      <w:r w:rsidRPr="007D2AC6">
        <w:rPr>
          <w:szCs w:val="22"/>
          <w:u w:val="single"/>
          <w:lang w:val="fr-FR"/>
        </w:rPr>
        <w:t>Viabilité</w:t>
      </w:r>
    </w:p>
    <w:p w14:paraId="61FE0CE3" w14:textId="41F839B3" w:rsidR="0059687A" w:rsidRPr="007D2AC6" w:rsidRDefault="0059687A" w:rsidP="00807D9F">
      <w:pPr>
        <w:rPr>
          <w:szCs w:val="22"/>
          <w:lang w:val="fr-FR"/>
        </w:rPr>
      </w:pPr>
    </w:p>
    <w:p w14:paraId="64386A91" w14:textId="41BBFCA1" w:rsidR="0059687A" w:rsidRPr="007D2AC6" w:rsidRDefault="00C25CC8" w:rsidP="00807D9F">
      <w:pPr>
        <w:rPr>
          <w:lang w:val="fr-FR"/>
        </w:rPr>
      </w:pPr>
      <w:r w:rsidRPr="007D2AC6">
        <w:rPr>
          <w:lang w:val="fr-FR"/>
        </w:rPr>
        <w:t>La probabilité de pérennisation du travail effectué en matière de propriété intellectuelle et de gestion des dessins et modèles en faveur du développement des entreprises dans les pays en développement et</w:t>
      </w:r>
      <w:r w:rsidR="002A5696" w:rsidRPr="007D2AC6">
        <w:rPr>
          <w:lang w:val="fr-FR"/>
        </w:rPr>
        <w:t xml:space="preserve"> les PMA</w:t>
      </w:r>
      <w:r w:rsidRPr="007D2AC6">
        <w:rPr>
          <w:lang w:val="fr-FR"/>
        </w:rPr>
        <w:t>.</w:t>
      </w:r>
    </w:p>
    <w:p w14:paraId="635D1C22" w14:textId="77777777" w:rsidR="0059687A" w:rsidRPr="007D2AC6" w:rsidRDefault="0059687A" w:rsidP="00807D9F">
      <w:pPr>
        <w:rPr>
          <w:szCs w:val="22"/>
          <w:lang w:val="fr-FR"/>
        </w:rPr>
      </w:pPr>
    </w:p>
    <w:p w14:paraId="060D2DEE" w14:textId="77777777" w:rsidR="0059687A" w:rsidRPr="007D2AC6" w:rsidRDefault="0059687A" w:rsidP="00807D9F">
      <w:pPr>
        <w:rPr>
          <w:szCs w:val="22"/>
          <w:lang w:val="fr-FR"/>
        </w:rPr>
      </w:pPr>
    </w:p>
    <w:p w14:paraId="0D31AAD6" w14:textId="0BD0EE40" w:rsidR="002A5696" w:rsidRPr="007D2AC6" w:rsidRDefault="00D05EEA" w:rsidP="00D05EEA">
      <w:pPr>
        <w:rPr>
          <w:szCs w:val="22"/>
          <w:u w:val="single"/>
          <w:lang w:val="fr-FR"/>
        </w:rPr>
      </w:pPr>
      <w:r w:rsidRPr="007D2AC6">
        <w:rPr>
          <w:szCs w:val="22"/>
          <w:u w:val="single"/>
          <w:lang w:val="fr-FR"/>
        </w:rPr>
        <w:t>Mise en œuvre des recommandations du Plan d</w:t>
      </w:r>
      <w:r w:rsidR="002A5696" w:rsidRPr="007D2AC6">
        <w:rPr>
          <w:szCs w:val="22"/>
          <w:u w:val="single"/>
          <w:lang w:val="fr-FR"/>
        </w:rPr>
        <w:t>’</w:t>
      </w:r>
      <w:r w:rsidRPr="007D2AC6">
        <w:rPr>
          <w:szCs w:val="22"/>
          <w:u w:val="single"/>
          <w:lang w:val="fr-FR"/>
        </w:rPr>
        <w:t>action pour le développement</w:t>
      </w:r>
    </w:p>
    <w:p w14:paraId="1701E524" w14:textId="713EB1A3" w:rsidR="0059687A" w:rsidRPr="007D2AC6" w:rsidRDefault="0059687A" w:rsidP="00807D9F">
      <w:pPr>
        <w:rPr>
          <w:szCs w:val="22"/>
          <w:lang w:val="fr-FR"/>
        </w:rPr>
      </w:pPr>
    </w:p>
    <w:p w14:paraId="73DDC6B8" w14:textId="5AFB65DC" w:rsidR="0059687A" w:rsidRPr="007D2AC6" w:rsidRDefault="00D05EEA" w:rsidP="00D05EEA">
      <w:pPr>
        <w:rPr>
          <w:szCs w:val="22"/>
          <w:lang w:val="fr-FR"/>
        </w:rPr>
      </w:pPr>
      <w:r w:rsidRPr="007D2AC6">
        <w:rPr>
          <w:szCs w:val="22"/>
          <w:lang w:val="fr-FR"/>
        </w:rPr>
        <w:t>Dans quelle mesure les recommandations n</w:t>
      </w:r>
      <w:r w:rsidRPr="007D2AC6">
        <w:rPr>
          <w:szCs w:val="22"/>
          <w:vertAlign w:val="superscript"/>
          <w:lang w:val="fr-FR"/>
        </w:rPr>
        <w:t>os</w:t>
      </w:r>
      <w:r w:rsidRPr="007D2AC6">
        <w:rPr>
          <w:szCs w:val="22"/>
          <w:lang w:val="fr-FR"/>
        </w:rPr>
        <w:t> 4 et 10 du Plan d</w:t>
      </w:r>
      <w:r w:rsidR="002A5696" w:rsidRPr="007D2AC6">
        <w:rPr>
          <w:szCs w:val="22"/>
          <w:lang w:val="fr-FR"/>
        </w:rPr>
        <w:t>’</w:t>
      </w:r>
      <w:r w:rsidRPr="007D2AC6">
        <w:rPr>
          <w:szCs w:val="22"/>
          <w:lang w:val="fr-FR"/>
        </w:rPr>
        <w:t>action pour le développement ont été mises en œuvre grâce à ce projet</w:t>
      </w:r>
      <w:r w:rsidR="00C25CC8" w:rsidRPr="007D2AC6">
        <w:rPr>
          <w:szCs w:val="22"/>
          <w:lang w:val="fr-FR"/>
        </w:rPr>
        <w:t>.</w:t>
      </w:r>
    </w:p>
    <w:p w14:paraId="1E1D6B78" w14:textId="77777777" w:rsidR="0059687A" w:rsidRPr="007D2AC6" w:rsidRDefault="0059687A" w:rsidP="00807D9F">
      <w:pPr>
        <w:rPr>
          <w:szCs w:val="22"/>
          <w:lang w:val="fr-FR"/>
        </w:rPr>
      </w:pPr>
    </w:p>
    <w:p w14:paraId="7C22C07F" w14:textId="6644F6BB" w:rsidR="002A5696" w:rsidRPr="007D2AC6" w:rsidRDefault="00D05EEA" w:rsidP="00D05EEA">
      <w:pPr>
        <w:rPr>
          <w:szCs w:val="22"/>
          <w:lang w:val="fr-FR"/>
        </w:rPr>
      </w:pPr>
      <w:r w:rsidRPr="007D2AC6">
        <w:rPr>
          <w:szCs w:val="22"/>
          <w:lang w:val="fr-FR"/>
        </w:rPr>
        <w:t>La durée prise en considération pour l</w:t>
      </w:r>
      <w:r w:rsidR="002A5696" w:rsidRPr="007D2AC6">
        <w:rPr>
          <w:szCs w:val="22"/>
          <w:lang w:val="fr-FR"/>
        </w:rPr>
        <w:t>’</w:t>
      </w:r>
      <w:r w:rsidRPr="007D2AC6">
        <w:rPr>
          <w:szCs w:val="22"/>
          <w:lang w:val="fr-FR"/>
        </w:rPr>
        <w:t>évaluation de ce projet est de 24 mo</w:t>
      </w:r>
      <w:r w:rsidR="001B6E2D" w:rsidRPr="007D2AC6">
        <w:rPr>
          <w:szCs w:val="22"/>
          <w:lang w:val="fr-FR"/>
        </w:rPr>
        <w:t>is.  Il</w:t>
      </w:r>
      <w:r w:rsidRPr="007D2AC6">
        <w:rPr>
          <w:szCs w:val="22"/>
          <w:lang w:val="fr-FR"/>
        </w:rPr>
        <w:t xml:space="preserve"> ne s</w:t>
      </w:r>
      <w:r w:rsidR="002A5696" w:rsidRPr="007D2AC6">
        <w:rPr>
          <w:szCs w:val="22"/>
          <w:lang w:val="fr-FR"/>
        </w:rPr>
        <w:t>’</w:t>
      </w:r>
      <w:r w:rsidRPr="007D2AC6">
        <w:rPr>
          <w:szCs w:val="22"/>
          <w:lang w:val="fr-FR"/>
        </w:rPr>
        <w:t>agissait pas d</w:t>
      </w:r>
      <w:r w:rsidR="002A5696" w:rsidRPr="007D2AC6">
        <w:rPr>
          <w:szCs w:val="22"/>
          <w:lang w:val="fr-FR"/>
        </w:rPr>
        <w:t>’</w:t>
      </w:r>
      <w:r w:rsidRPr="007D2AC6">
        <w:rPr>
          <w:szCs w:val="22"/>
          <w:lang w:val="fr-FR"/>
        </w:rPr>
        <w:t>évaluer les activités une par une, mais plutôt d</w:t>
      </w:r>
      <w:r w:rsidR="002A5696" w:rsidRPr="007D2AC6">
        <w:rPr>
          <w:szCs w:val="22"/>
          <w:lang w:val="fr-FR"/>
        </w:rPr>
        <w:t>’</w:t>
      </w:r>
      <w:r w:rsidRPr="007D2AC6">
        <w:rPr>
          <w:szCs w:val="22"/>
          <w:lang w:val="fr-FR"/>
        </w:rPr>
        <w:t>évaluer le projet dans son ensemble ainsi que la contribution du projet à l</w:t>
      </w:r>
      <w:r w:rsidR="002A5696" w:rsidRPr="007D2AC6">
        <w:rPr>
          <w:szCs w:val="22"/>
          <w:lang w:val="fr-FR"/>
        </w:rPr>
        <w:t>’</w:t>
      </w:r>
      <w:r w:rsidRPr="007D2AC6">
        <w:rPr>
          <w:szCs w:val="22"/>
          <w:lang w:val="fr-FR"/>
        </w:rPr>
        <w:t xml:space="preserve">évaluation des besoins des États membres, et de recenser les ressources ou les moyens permettant de répondre à ces besoins, et de mesurer son évolution dans le temps, son exécution, </w:t>
      </w:r>
      <w:r w:rsidR="002A5696" w:rsidRPr="007D2AC6">
        <w:rPr>
          <w:szCs w:val="22"/>
          <w:lang w:val="fr-FR"/>
        </w:rPr>
        <w:t>y compris</w:t>
      </w:r>
      <w:r w:rsidRPr="007D2AC6">
        <w:rPr>
          <w:szCs w:val="22"/>
          <w:lang w:val="fr-FR"/>
        </w:rPr>
        <w:t xml:space="preserve"> en termes de conception, de gestion, de coordination, de cohérence, de mise en œuvre et de résultats obtenus.</w:t>
      </w:r>
    </w:p>
    <w:p w14:paraId="1EE25055" w14:textId="45738785" w:rsidR="0059687A" w:rsidRPr="007D2AC6" w:rsidRDefault="0059687A" w:rsidP="00807D9F">
      <w:pPr>
        <w:rPr>
          <w:szCs w:val="22"/>
          <w:lang w:val="fr-FR"/>
        </w:rPr>
      </w:pPr>
    </w:p>
    <w:p w14:paraId="3F2ECF6E" w14:textId="64B2A15B" w:rsidR="0059687A" w:rsidRPr="007D2AC6" w:rsidRDefault="00D05EEA" w:rsidP="00D05EEA">
      <w:pPr>
        <w:rPr>
          <w:szCs w:val="22"/>
          <w:lang w:val="fr-FR"/>
        </w:rPr>
      </w:pPr>
      <w:r w:rsidRPr="007D2AC6">
        <w:rPr>
          <w:szCs w:val="22"/>
          <w:lang w:val="fr-FR"/>
        </w:rPr>
        <w:t>Conformément à l</w:t>
      </w:r>
      <w:r w:rsidR="002A5696" w:rsidRPr="007D2AC6">
        <w:rPr>
          <w:szCs w:val="22"/>
          <w:lang w:val="fr-FR"/>
        </w:rPr>
        <w:t>’</w:t>
      </w:r>
      <w:r w:rsidRPr="007D2AC6">
        <w:rPr>
          <w:szCs w:val="22"/>
          <w:lang w:val="fr-FR"/>
        </w:rPr>
        <w:t>objectif susmentionné, la méthode d</w:t>
      </w:r>
      <w:r w:rsidR="002A5696" w:rsidRPr="007D2AC6">
        <w:rPr>
          <w:szCs w:val="22"/>
          <w:lang w:val="fr-FR"/>
        </w:rPr>
        <w:t>’</w:t>
      </w:r>
      <w:r w:rsidRPr="007D2AC6">
        <w:rPr>
          <w:szCs w:val="22"/>
          <w:lang w:val="fr-FR"/>
        </w:rPr>
        <w:t>évaluation vise à équilibrer les besoins en matière d</w:t>
      </w:r>
      <w:r w:rsidR="002A5696" w:rsidRPr="007D2AC6">
        <w:rPr>
          <w:szCs w:val="22"/>
          <w:lang w:val="fr-FR"/>
        </w:rPr>
        <w:t>’</w:t>
      </w:r>
      <w:r w:rsidRPr="007D2AC6">
        <w:rPr>
          <w:szCs w:val="22"/>
          <w:lang w:val="fr-FR"/>
        </w:rPr>
        <w:t>apprentissage et de responsabili</w:t>
      </w:r>
      <w:r w:rsidR="001B6E2D" w:rsidRPr="007D2AC6">
        <w:rPr>
          <w:szCs w:val="22"/>
          <w:lang w:val="fr-FR"/>
        </w:rPr>
        <w:t xml:space="preserve">té.  À </w:t>
      </w:r>
      <w:r w:rsidRPr="007D2AC6">
        <w:rPr>
          <w:szCs w:val="22"/>
          <w:lang w:val="fr-FR"/>
        </w:rPr>
        <w:t xml:space="preserve">cette fin, tous ceux pour qui le projet représente un enjeu, </w:t>
      </w:r>
      <w:r w:rsidR="002A5696" w:rsidRPr="007D2AC6">
        <w:rPr>
          <w:szCs w:val="22"/>
          <w:lang w:val="fr-FR"/>
        </w:rPr>
        <w:t>à savoir</w:t>
      </w:r>
      <w:r w:rsidRPr="007D2AC6">
        <w:rPr>
          <w:szCs w:val="22"/>
          <w:lang w:val="fr-FR"/>
        </w:rPr>
        <w:t xml:space="preserve"> l</w:t>
      </w:r>
      <w:r w:rsidR="002A5696" w:rsidRPr="007D2AC6">
        <w:rPr>
          <w:szCs w:val="22"/>
          <w:lang w:val="fr-FR"/>
        </w:rPr>
        <w:t>’</w:t>
      </w:r>
      <w:r w:rsidRPr="007D2AC6">
        <w:rPr>
          <w:szCs w:val="22"/>
          <w:lang w:val="fr-FR"/>
        </w:rPr>
        <w:t>équipe chargée du projet, les cadres supérieurs, les États membres et les offices nationaux de propriété intellectuelle, doivent pouvoir participer activement à l</w:t>
      </w:r>
      <w:r w:rsidR="002A5696" w:rsidRPr="007D2AC6">
        <w:rPr>
          <w:szCs w:val="22"/>
          <w:lang w:val="fr-FR"/>
        </w:rPr>
        <w:t>’</w:t>
      </w:r>
      <w:r w:rsidRPr="007D2AC6">
        <w:rPr>
          <w:szCs w:val="22"/>
          <w:lang w:val="fr-FR"/>
        </w:rPr>
        <w:t>évaluation.</w:t>
      </w:r>
    </w:p>
    <w:p w14:paraId="01D878EB" w14:textId="77777777" w:rsidR="0059687A" w:rsidRPr="007D2AC6" w:rsidRDefault="0059687A" w:rsidP="00807D9F">
      <w:pPr>
        <w:rPr>
          <w:szCs w:val="22"/>
          <w:lang w:val="fr-FR"/>
        </w:rPr>
      </w:pPr>
    </w:p>
    <w:p w14:paraId="657A9E03" w14:textId="41F486C1" w:rsidR="0059687A" w:rsidRPr="007D2AC6" w:rsidRDefault="00D05EEA" w:rsidP="00D05EEA">
      <w:pPr>
        <w:rPr>
          <w:szCs w:val="22"/>
          <w:lang w:val="fr-FR"/>
        </w:rPr>
      </w:pPr>
      <w:r w:rsidRPr="007D2AC6">
        <w:rPr>
          <w:szCs w:val="22"/>
          <w:lang w:val="fr-FR"/>
        </w:rPr>
        <w:t>L</w:t>
      </w:r>
      <w:r w:rsidR="002A5696" w:rsidRPr="007D2AC6">
        <w:rPr>
          <w:szCs w:val="22"/>
          <w:lang w:val="fr-FR"/>
        </w:rPr>
        <w:t>’</w:t>
      </w:r>
      <w:r w:rsidRPr="007D2AC6">
        <w:rPr>
          <w:szCs w:val="22"/>
          <w:lang w:val="fr-FR"/>
        </w:rPr>
        <w:t>évaluateur extérieur sera chargé de la réalisation de l</w:t>
      </w:r>
      <w:r w:rsidR="002A5696" w:rsidRPr="007D2AC6">
        <w:rPr>
          <w:szCs w:val="22"/>
          <w:lang w:val="fr-FR"/>
        </w:rPr>
        <w:t>’</w:t>
      </w:r>
      <w:r w:rsidRPr="007D2AC6">
        <w:rPr>
          <w:szCs w:val="22"/>
          <w:lang w:val="fr-FR"/>
        </w:rPr>
        <w:t>évaluation, en consultation et en collaboration avec l</w:t>
      </w:r>
      <w:r w:rsidR="002A5696" w:rsidRPr="007D2AC6">
        <w:rPr>
          <w:szCs w:val="22"/>
          <w:lang w:val="fr-FR"/>
        </w:rPr>
        <w:t>’</w:t>
      </w:r>
      <w:r w:rsidRPr="007D2AC6">
        <w:rPr>
          <w:szCs w:val="22"/>
          <w:lang w:val="fr-FR"/>
        </w:rPr>
        <w:t>équipe chargée du projet et la Division de la coordination du Plan d</w:t>
      </w:r>
      <w:r w:rsidR="002A5696" w:rsidRPr="007D2AC6">
        <w:rPr>
          <w:szCs w:val="22"/>
          <w:lang w:val="fr-FR"/>
        </w:rPr>
        <w:t>’</w:t>
      </w:r>
      <w:r w:rsidRPr="007D2AC6">
        <w:rPr>
          <w:szCs w:val="22"/>
          <w:lang w:val="fr-FR"/>
        </w:rPr>
        <w:t>action pour le développeme</w:t>
      </w:r>
      <w:r w:rsidR="001B6E2D" w:rsidRPr="007D2AC6">
        <w:rPr>
          <w:szCs w:val="22"/>
          <w:lang w:val="fr-FR"/>
        </w:rPr>
        <w:t>nt.  La</w:t>
      </w:r>
      <w:r w:rsidRPr="007D2AC6">
        <w:rPr>
          <w:szCs w:val="22"/>
          <w:lang w:val="fr-FR"/>
        </w:rPr>
        <w:t xml:space="preserve"> méthode d</w:t>
      </w:r>
      <w:r w:rsidR="002A5696" w:rsidRPr="007D2AC6">
        <w:rPr>
          <w:szCs w:val="22"/>
          <w:lang w:val="fr-FR"/>
        </w:rPr>
        <w:t>’</w:t>
      </w:r>
      <w:r w:rsidRPr="007D2AC6">
        <w:rPr>
          <w:szCs w:val="22"/>
          <w:lang w:val="fr-FR"/>
        </w:rPr>
        <w:t>évaluation consistera en</w:t>
      </w:r>
      <w:r w:rsidR="002A5696" w:rsidRPr="007D2AC6">
        <w:rPr>
          <w:szCs w:val="22"/>
          <w:lang w:val="fr-FR"/>
        </w:rPr>
        <w:t> :</w:t>
      </w:r>
    </w:p>
    <w:p w14:paraId="2C0CBB9F" w14:textId="77777777" w:rsidR="0059687A" w:rsidRPr="007D2AC6" w:rsidRDefault="0059687A" w:rsidP="00807D9F">
      <w:pPr>
        <w:rPr>
          <w:szCs w:val="22"/>
          <w:lang w:val="fr-FR"/>
        </w:rPr>
      </w:pPr>
    </w:p>
    <w:p w14:paraId="136BE095" w14:textId="0F45228E" w:rsidR="002A5696" w:rsidRPr="007D2AC6" w:rsidRDefault="00D05EEA" w:rsidP="00D05EEA">
      <w:pPr>
        <w:ind w:left="567"/>
        <w:rPr>
          <w:szCs w:val="22"/>
          <w:lang w:val="fr-FR"/>
        </w:rPr>
      </w:pPr>
      <w:r w:rsidRPr="007D2AC6">
        <w:rPr>
          <w:szCs w:val="22"/>
          <w:lang w:val="fr-FR"/>
        </w:rPr>
        <w:t>a)</w:t>
      </w:r>
      <w:r w:rsidRPr="007D2AC6">
        <w:rPr>
          <w:szCs w:val="22"/>
          <w:lang w:val="fr-FR"/>
        </w:rPr>
        <w:tab/>
        <w:t xml:space="preserve">une analyse préliminaire de la documentation afférente au projet, </w:t>
      </w:r>
      <w:r w:rsidR="002A5696" w:rsidRPr="007D2AC6">
        <w:rPr>
          <w:szCs w:val="22"/>
          <w:lang w:val="fr-FR"/>
        </w:rPr>
        <w:t>à savoir</w:t>
      </w:r>
      <w:r w:rsidRPr="007D2AC6">
        <w:rPr>
          <w:szCs w:val="22"/>
          <w:lang w:val="fr-FR"/>
        </w:rPr>
        <w:t xml:space="preserve"> le cadre du projet </w:t>
      </w:r>
      <w:r w:rsidR="00972890" w:rsidRPr="007D2AC6">
        <w:rPr>
          <w:szCs w:val="22"/>
          <w:lang w:val="fr-FR"/>
        </w:rPr>
        <w:t>(</w:t>
      </w:r>
      <w:r w:rsidRPr="007D2AC6">
        <w:rPr>
          <w:szCs w:val="22"/>
          <w:lang w:val="fr-FR"/>
        </w:rPr>
        <w:t>descriptif et étude de projet initial), les rapports sur son état d</w:t>
      </w:r>
      <w:r w:rsidR="002A5696" w:rsidRPr="007D2AC6">
        <w:rPr>
          <w:szCs w:val="22"/>
          <w:lang w:val="fr-FR"/>
        </w:rPr>
        <w:t>’</w:t>
      </w:r>
      <w:r w:rsidRPr="007D2AC6">
        <w:rPr>
          <w:szCs w:val="22"/>
          <w:lang w:val="fr-FR"/>
        </w:rPr>
        <w:t>avancement, les informations de suivi, les rapports de mission et autres documents pertinents;</w:t>
      </w:r>
    </w:p>
    <w:p w14:paraId="3EF501D8" w14:textId="5C3FB767" w:rsidR="0059687A" w:rsidRPr="007D2AC6" w:rsidRDefault="0059687A" w:rsidP="004047BF">
      <w:pPr>
        <w:rPr>
          <w:szCs w:val="22"/>
          <w:lang w:val="fr-FR"/>
        </w:rPr>
      </w:pPr>
    </w:p>
    <w:p w14:paraId="308CB95E" w14:textId="66D47AF1" w:rsidR="002A5696" w:rsidRPr="007D2AC6" w:rsidRDefault="00D05EEA" w:rsidP="00D05EEA">
      <w:pPr>
        <w:ind w:left="567"/>
        <w:rPr>
          <w:szCs w:val="22"/>
          <w:lang w:val="fr-FR"/>
        </w:rPr>
      </w:pPr>
      <w:r w:rsidRPr="007D2AC6">
        <w:rPr>
          <w:szCs w:val="22"/>
          <w:lang w:val="fr-FR"/>
        </w:rPr>
        <w:t>b)</w:t>
      </w:r>
      <w:r w:rsidRPr="007D2AC6">
        <w:rPr>
          <w:szCs w:val="22"/>
          <w:lang w:val="fr-FR"/>
        </w:rPr>
        <w:tab/>
        <w:t>des entretiens au Secrétariat de l</w:t>
      </w:r>
      <w:r w:rsidR="002A5696" w:rsidRPr="007D2AC6">
        <w:rPr>
          <w:szCs w:val="22"/>
          <w:lang w:val="fr-FR"/>
        </w:rPr>
        <w:t>’</w:t>
      </w:r>
      <w:r w:rsidRPr="007D2AC6">
        <w:rPr>
          <w:szCs w:val="22"/>
          <w:lang w:val="fr-FR"/>
        </w:rPr>
        <w:t xml:space="preserve">OMPI </w:t>
      </w:r>
      <w:r w:rsidR="00972890" w:rsidRPr="007D2AC6">
        <w:rPr>
          <w:szCs w:val="22"/>
          <w:lang w:val="fr-FR"/>
        </w:rPr>
        <w:t>(</w:t>
      </w:r>
      <w:r w:rsidRPr="007D2AC6">
        <w:rPr>
          <w:szCs w:val="22"/>
          <w:lang w:val="fr-FR"/>
        </w:rPr>
        <w:t>équipe chargée du projet, autres entités qui contribuent au projet sur le fond, entre autres);  et</w:t>
      </w:r>
    </w:p>
    <w:p w14:paraId="30CB439C" w14:textId="2C9378C4" w:rsidR="0059687A" w:rsidRPr="007D2AC6" w:rsidRDefault="0059687A" w:rsidP="004047BF">
      <w:pPr>
        <w:rPr>
          <w:szCs w:val="22"/>
          <w:lang w:val="fr-FR"/>
        </w:rPr>
      </w:pPr>
    </w:p>
    <w:p w14:paraId="323C7F8F" w14:textId="472B7E3C" w:rsidR="0059687A" w:rsidRPr="007D2AC6" w:rsidRDefault="004047BF" w:rsidP="004047BF">
      <w:pPr>
        <w:widowControl w:val="0"/>
        <w:overflowPunct w:val="0"/>
        <w:adjustRightInd w:val="0"/>
        <w:spacing w:line="360" w:lineRule="auto"/>
        <w:ind w:left="567"/>
        <w:rPr>
          <w:szCs w:val="22"/>
          <w:lang w:val="fr-FR"/>
        </w:rPr>
      </w:pPr>
      <w:r w:rsidRPr="007D2AC6">
        <w:rPr>
          <w:szCs w:val="22"/>
          <w:lang w:val="fr-FR"/>
        </w:rPr>
        <w:t>c)</w:t>
      </w:r>
      <w:r w:rsidRPr="007D2AC6">
        <w:rPr>
          <w:szCs w:val="22"/>
          <w:lang w:val="fr-FR"/>
        </w:rPr>
        <w:tab/>
      </w:r>
      <w:r w:rsidR="00C25CC8" w:rsidRPr="007D2AC6">
        <w:rPr>
          <w:szCs w:val="22"/>
          <w:lang w:val="fr-FR"/>
        </w:rPr>
        <w:t>des entretiens avec les parties prenantes</w:t>
      </w:r>
      <w:r w:rsidR="00807D9F" w:rsidRPr="007D2AC6">
        <w:rPr>
          <w:szCs w:val="22"/>
          <w:lang w:val="fr-FR"/>
        </w:rPr>
        <w:t>.</w:t>
      </w:r>
    </w:p>
    <w:p w14:paraId="55F66A30" w14:textId="77777777" w:rsidR="0059687A" w:rsidRPr="007D2AC6" w:rsidRDefault="0059687A" w:rsidP="00807D9F">
      <w:pPr>
        <w:rPr>
          <w:szCs w:val="22"/>
          <w:lang w:val="fr-FR"/>
        </w:rPr>
      </w:pPr>
    </w:p>
    <w:p w14:paraId="6954A597" w14:textId="77777777" w:rsidR="0059687A" w:rsidRPr="007D2AC6" w:rsidRDefault="0059687A" w:rsidP="00807D9F">
      <w:pPr>
        <w:rPr>
          <w:szCs w:val="22"/>
          <w:lang w:val="fr-FR"/>
        </w:rPr>
      </w:pPr>
    </w:p>
    <w:p w14:paraId="7A04180F" w14:textId="77777777" w:rsidR="002A5696" w:rsidRPr="007D2AC6" w:rsidRDefault="00D05EEA" w:rsidP="00D05EEA">
      <w:pPr>
        <w:pStyle w:val="Heading5"/>
        <w:keepNext w:val="0"/>
        <w:keepLines w:val="0"/>
        <w:widowControl w:val="0"/>
        <w:tabs>
          <w:tab w:val="left" w:pos="851"/>
        </w:tabs>
        <w:overflowPunct w:val="0"/>
        <w:adjustRightInd w:val="0"/>
        <w:spacing w:before="120" w:after="120"/>
        <w:ind w:left="450" w:hanging="450"/>
        <w:jc w:val="both"/>
        <w:rPr>
          <w:rFonts w:ascii="Arial" w:hAnsi="Arial" w:cs="Arial"/>
          <w:b/>
          <w:bCs/>
          <w:color w:val="auto"/>
          <w:lang w:val="fr-FR"/>
        </w:rPr>
      </w:pPr>
      <w:r w:rsidRPr="007D2AC6">
        <w:rPr>
          <w:rFonts w:ascii="Arial" w:hAnsi="Arial" w:cs="Arial"/>
          <w:b/>
          <w:bCs/>
          <w:color w:val="auto"/>
          <w:lang w:val="fr-FR"/>
        </w:rPr>
        <w:lastRenderedPageBreak/>
        <w:t>2.</w:t>
      </w:r>
      <w:r w:rsidRPr="007D2AC6">
        <w:rPr>
          <w:rFonts w:ascii="Arial" w:hAnsi="Arial" w:cs="Arial"/>
          <w:b/>
          <w:bCs/>
          <w:color w:val="auto"/>
          <w:lang w:val="fr-FR"/>
        </w:rPr>
        <w:tab/>
        <w:t>Tâches à exécuter/services à fournir</w:t>
      </w:r>
    </w:p>
    <w:p w14:paraId="66E19B83" w14:textId="709239CB" w:rsidR="0059687A" w:rsidRPr="007D2AC6" w:rsidRDefault="00D05EEA" w:rsidP="00D05EEA">
      <w:pPr>
        <w:tabs>
          <w:tab w:val="left" w:pos="851"/>
        </w:tabs>
        <w:rPr>
          <w:szCs w:val="22"/>
          <w:lang w:val="fr-FR"/>
        </w:rPr>
      </w:pPr>
      <w:r w:rsidRPr="007D2AC6">
        <w:rPr>
          <w:szCs w:val="22"/>
          <w:lang w:val="fr-FR"/>
        </w:rPr>
        <w:t>L</w:t>
      </w:r>
      <w:r w:rsidR="002A5696" w:rsidRPr="007D2AC6">
        <w:rPr>
          <w:szCs w:val="22"/>
          <w:lang w:val="fr-FR"/>
        </w:rPr>
        <w:t>’</w:t>
      </w:r>
      <w:r w:rsidRPr="007D2AC6">
        <w:rPr>
          <w:szCs w:val="22"/>
          <w:lang w:val="fr-FR"/>
        </w:rPr>
        <w:t>évaluateur fournira</w:t>
      </w:r>
      <w:r w:rsidR="002A5696" w:rsidRPr="007D2AC6">
        <w:rPr>
          <w:szCs w:val="22"/>
          <w:lang w:val="fr-FR"/>
        </w:rPr>
        <w:t> :</w:t>
      </w:r>
    </w:p>
    <w:p w14:paraId="7817DAB0" w14:textId="77777777" w:rsidR="0059687A" w:rsidRPr="007D2AC6" w:rsidRDefault="0059687A" w:rsidP="00807D9F">
      <w:pPr>
        <w:tabs>
          <w:tab w:val="left" w:pos="851"/>
        </w:tabs>
        <w:rPr>
          <w:szCs w:val="22"/>
          <w:lang w:val="fr-FR"/>
        </w:rPr>
      </w:pPr>
    </w:p>
    <w:p w14:paraId="4A0C58E8" w14:textId="61A0710F" w:rsidR="002A5696" w:rsidRPr="007D2AC6" w:rsidRDefault="00D05EEA" w:rsidP="00D05EEA">
      <w:pPr>
        <w:ind w:left="567"/>
        <w:rPr>
          <w:szCs w:val="22"/>
          <w:lang w:val="fr-FR"/>
        </w:rPr>
      </w:pPr>
      <w:r w:rsidRPr="007D2AC6">
        <w:rPr>
          <w:szCs w:val="22"/>
          <w:lang w:val="fr-FR"/>
        </w:rPr>
        <w:t>a)</w:t>
      </w:r>
      <w:r w:rsidRPr="007D2AC6">
        <w:rPr>
          <w:szCs w:val="22"/>
          <w:lang w:val="fr-FR"/>
        </w:rPr>
        <w:tab/>
        <w:t>un rapport initial comprenant une description de la méthodologie d</w:t>
      </w:r>
      <w:r w:rsidR="002A5696" w:rsidRPr="007D2AC6">
        <w:rPr>
          <w:szCs w:val="22"/>
          <w:lang w:val="fr-FR"/>
        </w:rPr>
        <w:t>’</w:t>
      </w:r>
      <w:r w:rsidRPr="007D2AC6">
        <w:rPr>
          <w:szCs w:val="22"/>
          <w:lang w:val="fr-FR"/>
        </w:rPr>
        <w:t>évaluation et de l</w:t>
      </w:r>
      <w:r w:rsidR="002A5696" w:rsidRPr="007D2AC6">
        <w:rPr>
          <w:szCs w:val="22"/>
          <w:lang w:val="fr-FR"/>
        </w:rPr>
        <w:t>’</w:t>
      </w:r>
      <w:r w:rsidRPr="007D2AC6">
        <w:rPr>
          <w:szCs w:val="22"/>
          <w:lang w:val="fr-FR"/>
        </w:rPr>
        <w:t xml:space="preserve">approche méthodologique;  les outils de collecte de données </w:t>
      </w:r>
      <w:r w:rsidR="00972890" w:rsidRPr="007D2AC6">
        <w:rPr>
          <w:szCs w:val="22"/>
          <w:lang w:val="fr-FR"/>
        </w:rPr>
        <w:t>(</w:t>
      </w:r>
      <w:r w:rsidR="002A5696" w:rsidRPr="007D2AC6">
        <w:rPr>
          <w:szCs w:val="22"/>
          <w:lang w:val="fr-FR"/>
        </w:rPr>
        <w:t>y compris</w:t>
      </w:r>
      <w:r w:rsidRPr="007D2AC6">
        <w:rPr>
          <w:szCs w:val="22"/>
          <w:lang w:val="fr-FR"/>
        </w:rPr>
        <w:t xml:space="preserve"> les enquêtes éventuelles des bénéficiaires et des parties prenantes);  les méthodes d</w:t>
      </w:r>
      <w:r w:rsidR="002A5696" w:rsidRPr="007D2AC6">
        <w:rPr>
          <w:szCs w:val="22"/>
          <w:lang w:val="fr-FR"/>
        </w:rPr>
        <w:t>’</w:t>
      </w:r>
      <w:r w:rsidRPr="007D2AC6">
        <w:rPr>
          <w:szCs w:val="22"/>
          <w:lang w:val="fr-FR"/>
        </w:rPr>
        <w:t>analyse des données;  les principales parties prenantes à interroger;  des questions d</w:t>
      </w:r>
      <w:r w:rsidR="002A5696" w:rsidRPr="007D2AC6">
        <w:rPr>
          <w:szCs w:val="22"/>
          <w:lang w:val="fr-FR"/>
        </w:rPr>
        <w:t>’</w:t>
      </w:r>
      <w:r w:rsidRPr="007D2AC6">
        <w:rPr>
          <w:szCs w:val="22"/>
          <w:lang w:val="fr-FR"/>
        </w:rPr>
        <w:t>évaluation supplémentaires;  les critères d</w:t>
      </w:r>
      <w:r w:rsidR="002A5696" w:rsidRPr="007D2AC6">
        <w:rPr>
          <w:szCs w:val="22"/>
          <w:lang w:val="fr-FR"/>
        </w:rPr>
        <w:t>’</w:t>
      </w:r>
      <w:r w:rsidRPr="007D2AC6">
        <w:rPr>
          <w:szCs w:val="22"/>
          <w:lang w:val="fr-FR"/>
        </w:rPr>
        <w:t>évaluation de l</w:t>
      </w:r>
      <w:r w:rsidR="002A5696" w:rsidRPr="007D2AC6">
        <w:rPr>
          <w:szCs w:val="22"/>
          <w:lang w:val="fr-FR"/>
        </w:rPr>
        <w:t>’</w:t>
      </w:r>
      <w:r w:rsidRPr="007D2AC6">
        <w:rPr>
          <w:szCs w:val="22"/>
          <w:lang w:val="fr-FR"/>
        </w:rPr>
        <w:t>exécution du projet;  et le plan de travail d</w:t>
      </w:r>
      <w:r w:rsidR="002A5696" w:rsidRPr="007D2AC6">
        <w:rPr>
          <w:szCs w:val="22"/>
          <w:lang w:val="fr-FR"/>
        </w:rPr>
        <w:t>’</w:t>
      </w:r>
      <w:r w:rsidRPr="007D2AC6">
        <w:rPr>
          <w:szCs w:val="22"/>
          <w:lang w:val="fr-FR"/>
        </w:rPr>
        <w:t>évaluation;</w:t>
      </w:r>
    </w:p>
    <w:p w14:paraId="79396504" w14:textId="5D98CD64" w:rsidR="0059687A" w:rsidRPr="007D2AC6" w:rsidRDefault="0059687A" w:rsidP="004047BF">
      <w:pPr>
        <w:rPr>
          <w:szCs w:val="22"/>
          <w:lang w:val="fr-FR"/>
        </w:rPr>
      </w:pPr>
    </w:p>
    <w:p w14:paraId="77C83A6B" w14:textId="6CE723D4" w:rsidR="002A5696" w:rsidRPr="007D2AC6" w:rsidRDefault="00D05EEA" w:rsidP="00D05EEA">
      <w:pPr>
        <w:ind w:left="567"/>
        <w:rPr>
          <w:szCs w:val="22"/>
          <w:lang w:val="fr-FR"/>
        </w:rPr>
      </w:pPr>
      <w:r w:rsidRPr="007D2AC6">
        <w:rPr>
          <w:szCs w:val="22"/>
          <w:lang w:val="fr-FR"/>
        </w:rPr>
        <w:t>b)</w:t>
      </w:r>
      <w:r w:rsidRPr="007D2AC6">
        <w:rPr>
          <w:szCs w:val="22"/>
          <w:lang w:val="fr-FR"/>
        </w:rPr>
        <w:tab/>
        <w:t>un projet de rapport d</w:t>
      </w:r>
      <w:r w:rsidR="002A5696" w:rsidRPr="007D2AC6">
        <w:rPr>
          <w:szCs w:val="22"/>
          <w:lang w:val="fr-FR"/>
        </w:rPr>
        <w:t>’</w:t>
      </w:r>
      <w:r w:rsidRPr="007D2AC6">
        <w:rPr>
          <w:szCs w:val="22"/>
          <w:lang w:val="fr-FR"/>
        </w:rPr>
        <w:t>évaluation comprenant des recommandations concrètes découlant des constatations et des conclusions;</w:t>
      </w:r>
    </w:p>
    <w:p w14:paraId="277CEB10" w14:textId="56BBA57B" w:rsidR="0059687A" w:rsidRPr="007D2AC6" w:rsidRDefault="0059687A" w:rsidP="00807D9F">
      <w:pPr>
        <w:tabs>
          <w:tab w:val="left" w:pos="567"/>
          <w:tab w:val="left" w:pos="851"/>
        </w:tabs>
        <w:rPr>
          <w:szCs w:val="22"/>
          <w:lang w:val="fr-FR"/>
        </w:rPr>
      </w:pPr>
    </w:p>
    <w:p w14:paraId="4075572C" w14:textId="5F6D2A2E" w:rsidR="0059687A" w:rsidRPr="007D2AC6" w:rsidRDefault="00D05EEA" w:rsidP="00D05EEA">
      <w:pPr>
        <w:ind w:left="567"/>
        <w:rPr>
          <w:szCs w:val="22"/>
          <w:lang w:val="fr-FR"/>
        </w:rPr>
      </w:pPr>
      <w:r w:rsidRPr="007D2AC6">
        <w:rPr>
          <w:szCs w:val="22"/>
          <w:lang w:val="fr-FR"/>
        </w:rPr>
        <w:t>c)</w:t>
      </w:r>
      <w:r w:rsidRPr="007D2AC6">
        <w:rPr>
          <w:szCs w:val="22"/>
          <w:lang w:val="fr-FR"/>
        </w:rPr>
        <w:tab/>
        <w:t>un rapport d</w:t>
      </w:r>
      <w:r w:rsidR="002A5696" w:rsidRPr="007D2AC6">
        <w:rPr>
          <w:szCs w:val="22"/>
          <w:lang w:val="fr-FR"/>
        </w:rPr>
        <w:t>’</w:t>
      </w:r>
      <w:r w:rsidRPr="007D2AC6">
        <w:rPr>
          <w:szCs w:val="22"/>
          <w:lang w:val="fr-FR"/>
        </w:rPr>
        <w:t>évaluation final comprenant un résumé et structuré de la façon suivante</w:t>
      </w:r>
      <w:r w:rsidR="002A5696" w:rsidRPr="007D2AC6">
        <w:rPr>
          <w:szCs w:val="22"/>
          <w:lang w:val="fr-FR"/>
        </w:rPr>
        <w:t> :</w:t>
      </w:r>
    </w:p>
    <w:p w14:paraId="709DFDFC" w14:textId="77777777" w:rsidR="0059687A" w:rsidRPr="007D2AC6" w:rsidRDefault="0059687A" w:rsidP="004047BF">
      <w:pPr>
        <w:rPr>
          <w:szCs w:val="22"/>
          <w:lang w:val="fr-FR"/>
        </w:rPr>
      </w:pPr>
    </w:p>
    <w:p w14:paraId="6BBC8D13" w14:textId="3CF19399" w:rsidR="002A5696" w:rsidRPr="007D2AC6" w:rsidRDefault="00D05EEA" w:rsidP="00D05EEA">
      <w:pPr>
        <w:pStyle w:val="ListParagraph"/>
        <w:widowControl w:val="0"/>
        <w:numPr>
          <w:ilvl w:val="0"/>
          <w:numId w:val="33"/>
        </w:numPr>
        <w:tabs>
          <w:tab w:val="left" w:pos="567"/>
        </w:tabs>
        <w:overflowPunct w:val="0"/>
        <w:adjustRightInd w:val="0"/>
        <w:ind w:left="1134" w:firstLine="14"/>
        <w:rPr>
          <w:szCs w:val="22"/>
          <w:lang w:val="fr-FR"/>
        </w:rPr>
      </w:pPr>
      <w:r w:rsidRPr="007D2AC6">
        <w:rPr>
          <w:szCs w:val="22"/>
          <w:lang w:val="fr-FR"/>
        </w:rPr>
        <w:t>description de la méthode d</w:t>
      </w:r>
      <w:r w:rsidR="002A5696" w:rsidRPr="007D2AC6">
        <w:rPr>
          <w:szCs w:val="22"/>
          <w:lang w:val="fr-FR"/>
        </w:rPr>
        <w:t>’</w:t>
      </w:r>
      <w:r w:rsidRPr="007D2AC6">
        <w:rPr>
          <w:szCs w:val="22"/>
          <w:lang w:val="fr-FR"/>
        </w:rPr>
        <w:t>évaluation utilisée;</w:t>
      </w:r>
    </w:p>
    <w:p w14:paraId="6C2B4BA5" w14:textId="0A1BE8BF" w:rsidR="0059687A" w:rsidRPr="007D2AC6" w:rsidRDefault="0059687A" w:rsidP="004047BF">
      <w:pPr>
        <w:tabs>
          <w:tab w:val="left" w:pos="567"/>
        </w:tabs>
        <w:rPr>
          <w:szCs w:val="22"/>
          <w:lang w:val="fr-FR"/>
        </w:rPr>
      </w:pPr>
    </w:p>
    <w:p w14:paraId="6AB172C2" w14:textId="26CE376D" w:rsidR="0059687A" w:rsidRPr="007D2AC6" w:rsidRDefault="00D05EEA" w:rsidP="00D05EEA">
      <w:pPr>
        <w:pStyle w:val="ListParagraph"/>
        <w:widowControl w:val="0"/>
        <w:numPr>
          <w:ilvl w:val="0"/>
          <w:numId w:val="33"/>
        </w:numPr>
        <w:tabs>
          <w:tab w:val="left" w:pos="567"/>
        </w:tabs>
        <w:overflowPunct w:val="0"/>
        <w:adjustRightInd w:val="0"/>
        <w:ind w:left="1134" w:firstLine="14"/>
        <w:rPr>
          <w:szCs w:val="22"/>
          <w:lang w:val="fr-FR"/>
        </w:rPr>
      </w:pPr>
      <w:r w:rsidRPr="007D2AC6">
        <w:rPr>
          <w:szCs w:val="22"/>
          <w:lang w:val="fr-FR"/>
        </w:rPr>
        <w:t>résumé des principales constatations factuelles axées sur les principales questions d</w:t>
      </w:r>
      <w:r w:rsidR="002A5696" w:rsidRPr="007D2AC6">
        <w:rPr>
          <w:szCs w:val="22"/>
          <w:lang w:val="fr-FR"/>
        </w:rPr>
        <w:t>’</w:t>
      </w:r>
      <w:r w:rsidRPr="007D2AC6">
        <w:rPr>
          <w:szCs w:val="22"/>
          <w:lang w:val="fr-FR"/>
        </w:rPr>
        <w:t>évaluation;</w:t>
      </w:r>
    </w:p>
    <w:p w14:paraId="348C6A79" w14:textId="77777777" w:rsidR="0059687A" w:rsidRPr="007D2AC6" w:rsidRDefault="0059687A" w:rsidP="004047BF">
      <w:pPr>
        <w:tabs>
          <w:tab w:val="left" w:pos="567"/>
        </w:tabs>
        <w:rPr>
          <w:szCs w:val="22"/>
          <w:lang w:val="fr-FR"/>
        </w:rPr>
      </w:pPr>
    </w:p>
    <w:p w14:paraId="0F2A6410" w14:textId="2B6FBCE2" w:rsidR="0059687A" w:rsidRPr="007D2AC6" w:rsidRDefault="00D1331A" w:rsidP="00D1331A">
      <w:pPr>
        <w:pStyle w:val="ListParagraph"/>
        <w:widowControl w:val="0"/>
        <w:numPr>
          <w:ilvl w:val="0"/>
          <w:numId w:val="33"/>
        </w:numPr>
        <w:tabs>
          <w:tab w:val="left" w:pos="567"/>
        </w:tabs>
        <w:overflowPunct w:val="0"/>
        <w:adjustRightInd w:val="0"/>
        <w:ind w:left="1134" w:firstLine="14"/>
        <w:rPr>
          <w:szCs w:val="22"/>
          <w:lang w:val="fr-FR"/>
        </w:rPr>
      </w:pPr>
      <w:r w:rsidRPr="007D2AC6">
        <w:rPr>
          <w:szCs w:val="22"/>
          <w:lang w:val="fr-FR"/>
        </w:rPr>
        <w:t>conclusions tirées des constatations;  et</w:t>
      </w:r>
    </w:p>
    <w:p w14:paraId="684D79B9" w14:textId="77777777" w:rsidR="0059687A" w:rsidRPr="007D2AC6" w:rsidRDefault="0059687A" w:rsidP="004047BF">
      <w:pPr>
        <w:tabs>
          <w:tab w:val="left" w:pos="567"/>
        </w:tabs>
        <w:rPr>
          <w:szCs w:val="22"/>
          <w:lang w:val="fr-FR"/>
        </w:rPr>
      </w:pPr>
    </w:p>
    <w:p w14:paraId="44863183" w14:textId="3EE46477" w:rsidR="002A5696" w:rsidRPr="007D2AC6" w:rsidRDefault="00D1331A" w:rsidP="00D1331A">
      <w:pPr>
        <w:pStyle w:val="ListParagraph"/>
        <w:widowControl w:val="0"/>
        <w:numPr>
          <w:ilvl w:val="0"/>
          <w:numId w:val="33"/>
        </w:numPr>
        <w:tabs>
          <w:tab w:val="left" w:pos="567"/>
        </w:tabs>
        <w:overflowPunct w:val="0"/>
        <w:adjustRightInd w:val="0"/>
        <w:ind w:left="1134" w:firstLine="14"/>
        <w:rPr>
          <w:szCs w:val="22"/>
          <w:lang w:val="fr-FR"/>
        </w:rPr>
      </w:pPr>
      <w:r w:rsidRPr="007D2AC6">
        <w:rPr>
          <w:szCs w:val="22"/>
          <w:lang w:val="fr-FR"/>
        </w:rPr>
        <w:t>recommandations émanant des conclus</w:t>
      </w:r>
      <w:r w:rsidR="00853937" w:rsidRPr="007D2AC6">
        <w:rPr>
          <w:szCs w:val="22"/>
          <w:lang w:val="fr-FR"/>
        </w:rPr>
        <w:t>ions et des enseignements tirés;</w:t>
      </w:r>
    </w:p>
    <w:p w14:paraId="0C8C2FC8" w14:textId="3B7CF9C1" w:rsidR="0059687A" w:rsidRPr="007D2AC6" w:rsidRDefault="0059687A" w:rsidP="004047BF">
      <w:pPr>
        <w:keepNext/>
        <w:tabs>
          <w:tab w:val="left" w:pos="851"/>
        </w:tabs>
        <w:rPr>
          <w:szCs w:val="22"/>
          <w:lang w:val="fr-FR"/>
        </w:rPr>
      </w:pPr>
    </w:p>
    <w:p w14:paraId="3C2E46DF" w14:textId="05DD42E7" w:rsidR="0059687A" w:rsidRPr="007D2AC6" w:rsidRDefault="00D1331A" w:rsidP="00D1331A">
      <w:pPr>
        <w:ind w:left="567"/>
        <w:rPr>
          <w:szCs w:val="22"/>
          <w:lang w:val="fr-FR"/>
        </w:rPr>
      </w:pPr>
      <w:r w:rsidRPr="007D2AC6">
        <w:rPr>
          <w:szCs w:val="22"/>
          <w:lang w:val="fr-FR"/>
        </w:rPr>
        <w:t>d)</w:t>
      </w:r>
      <w:r w:rsidRPr="007D2AC6">
        <w:rPr>
          <w:szCs w:val="22"/>
          <w:lang w:val="fr-FR"/>
        </w:rPr>
        <w:tab/>
        <w:t>un résumé complet du rapport d</w:t>
      </w:r>
      <w:r w:rsidR="002A5696" w:rsidRPr="007D2AC6">
        <w:rPr>
          <w:szCs w:val="22"/>
          <w:lang w:val="fr-FR"/>
        </w:rPr>
        <w:t>’</w:t>
      </w:r>
      <w:r w:rsidRPr="007D2AC6">
        <w:rPr>
          <w:szCs w:val="22"/>
          <w:lang w:val="fr-FR"/>
        </w:rPr>
        <w:t>évaluation final.</w:t>
      </w:r>
    </w:p>
    <w:p w14:paraId="5661BE63" w14:textId="77777777" w:rsidR="0059687A" w:rsidRPr="007D2AC6" w:rsidRDefault="0059687A" w:rsidP="00807D9F">
      <w:pPr>
        <w:keepNext/>
        <w:tabs>
          <w:tab w:val="left" w:pos="851"/>
        </w:tabs>
        <w:rPr>
          <w:szCs w:val="22"/>
          <w:lang w:val="fr-FR"/>
        </w:rPr>
      </w:pPr>
    </w:p>
    <w:p w14:paraId="52969F33" w14:textId="3C5DD9A1" w:rsidR="0059687A" w:rsidRPr="007D2AC6" w:rsidRDefault="00D1331A" w:rsidP="00D1331A">
      <w:pPr>
        <w:rPr>
          <w:szCs w:val="22"/>
          <w:lang w:val="fr-FR"/>
        </w:rPr>
      </w:pPr>
      <w:r w:rsidRPr="007D2AC6">
        <w:rPr>
          <w:szCs w:val="22"/>
          <w:lang w:val="fr-FR"/>
        </w:rPr>
        <w:t>Cette évaluation devrait avoir lieu entre le 1</w:t>
      </w:r>
      <w:r w:rsidR="002A5696" w:rsidRPr="007D2AC6">
        <w:rPr>
          <w:szCs w:val="22"/>
          <w:lang w:val="fr-FR"/>
        </w:rPr>
        <w:t>5 novembre 20</w:t>
      </w:r>
      <w:r w:rsidRPr="007D2AC6">
        <w:rPr>
          <w:szCs w:val="22"/>
          <w:lang w:val="fr-FR"/>
        </w:rPr>
        <w:t>16 et le 1</w:t>
      </w:r>
      <w:r w:rsidR="002A5696" w:rsidRPr="007D2AC6">
        <w:rPr>
          <w:szCs w:val="22"/>
          <w:lang w:val="fr-FR"/>
        </w:rPr>
        <w:t>5 avril 20</w:t>
      </w:r>
      <w:r w:rsidRPr="007D2AC6">
        <w:rPr>
          <w:szCs w:val="22"/>
          <w:lang w:val="fr-FR"/>
        </w:rPr>
        <w:t>17.</w:t>
      </w:r>
      <w:r w:rsidR="00807D9F" w:rsidRPr="007D2AC6">
        <w:rPr>
          <w:szCs w:val="22"/>
          <w:lang w:val="fr-FR"/>
        </w:rPr>
        <w:t xml:space="preserve">  </w:t>
      </w:r>
      <w:r w:rsidRPr="007D2AC6">
        <w:rPr>
          <w:szCs w:val="22"/>
          <w:lang w:val="fr-FR"/>
        </w:rPr>
        <w:t>Le rapport d</w:t>
      </w:r>
      <w:r w:rsidR="002A5696" w:rsidRPr="007D2AC6">
        <w:rPr>
          <w:szCs w:val="22"/>
          <w:lang w:val="fr-FR"/>
        </w:rPr>
        <w:t>’</w:t>
      </w:r>
      <w:r w:rsidRPr="007D2AC6">
        <w:rPr>
          <w:szCs w:val="22"/>
          <w:lang w:val="fr-FR"/>
        </w:rPr>
        <w:t>évaluation sera rédigé en anglais.</w:t>
      </w:r>
    </w:p>
    <w:p w14:paraId="77664928" w14:textId="77777777" w:rsidR="0059687A" w:rsidRPr="007D2AC6" w:rsidRDefault="0059687A" w:rsidP="00807D9F">
      <w:pPr>
        <w:tabs>
          <w:tab w:val="left" w:pos="851"/>
        </w:tabs>
        <w:rPr>
          <w:szCs w:val="22"/>
          <w:lang w:val="fr-FR"/>
        </w:rPr>
      </w:pPr>
    </w:p>
    <w:p w14:paraId="2A11775F" w14:textId="77777777" w:rsidR="0059687A" w:rsidRPr="007D2AC6" w:rsidRDefault="0059687A" w:rsidP="00807D9F">
      <w:pPr>
        <w:tabs>
          <w:tab w:val="left" w:pos="851"/>
        </w:tabs>
        <w:rPr>
          <w:szCs w:val="22"/>
          <w:lang w:val="fr-FR"/>
        </w:rPr>
      </w:pPr>
    </w:p>
    <w:p w14:paraId="3622DC3B" w14:textId="77777777" w:rsidR="002A5696" w:rsidRPr="007D2AC6" w:rsidRDefault="00D1331A" w:rsidP="00D1331A">
      <w:pPr>
        <w:pStyle w:val="ListParagraph"/>
        <w:keepNext/>
        <w:widowControl w:val="0"/>
        <w:numPr>
          <w:ilvl w:val="0"/>
          <w:numId w:val="32"/>
        </w:numPr>
        <w:tabs>
          <w:tab w:val="left" w:pos="851"/>
          <w:tab w:val="left" w:pos="4253"/>
        </w:tabs>
        <w:overflowPunct w:val="0"/>
        <w:adjustRightInd w:val="0"/>
        <w:spacing w:after="60" w:line="360" w:lineRule="auto"/>
        <w:ind w:left="450" w:hanging="450"/>
        <w:rPr>
          <w:b/>
          <w:szCs w:val="22"/>
          <w:lang w:val="fr-FR"/>
        </w:rPr>
      </w:pPr>
      <w:r w:rsidRPr="007D2AC6">
        <w:rPr>
          <w:b/>
          <w:szCs w:val="22"/>
          <w:lang w:val="fr-FR"/>
        </w:rPr>
        <w:t>Établissement de rapports</w:t>
      </w:r>
    </w:p>
    <w:p w14:paraId="3476AF4D" w14:textId="52B78635" w:rsidR="0059687A" w:rsidRPr="007D2AC6" w:rsidRDefault="00252855" w:rsidP="00807D9F">
      <w:pPr>
        <w:rPr>
          <w:lang w:val="fr-FR"/>
        </w:rPr>
      </w:pPr>
      <w:r w:rsidRPr="007D2AC6">
        <w:rPr>
          <w:szCs w:val="22"/>
          <w:lang w:val="fr-FR"/>
        </w:rPr>
        <w:t>Le c</w:t>
      </w:r>
      <w:r w:rsidR="00807D9F" w:rsidRPr="007D2AC6">
        <w:rPr>
          <w:szCs w:val="22"/>
          <w:lang w:val="fr-FR"/>
        </w:rPr>
        <w:t xml:space="preserve">onsultant </w:t>
      </w:r>
      <w:r w:rsidRPr="007D2AC6">
        <w:rPr>
          <w:szCs w:val="22"/>
          <w:lang w:val="fr-FR"/>
        </w:rPr>
        <w:t xml:space="preserve">sera placé </w:t>
      </w:r>
      <w:r w:rsidRPr="007D2AC6">
        <w:rPr>
          <w:lang w:val="fr-FR"/>
        </w:rPr>
        <w:t xml:space="preserve">sous la </w:t>
      </w:r>
      <w:r w:rsidR="00807D9F" w:rsidRPr="007D2AC6">
        <w:rPr>
          <w:lang w:val="fr-FR"/>
        </w:rPr>
        <w:t xml:space="preserve">supervision </w:t>
      </w:r>
      <w:r w:rsidRPr="007D2AC6">
        <w:rPr>
          <w:lang w:val="fr-FR"/>
        </w:rPr>
        <w:t>du directeur de la Division de la coordination du Plan d</w:t>
      </w:r>
      <w:r w:rsidR="002A5696" w:rsidRPr="007D2AC6">
        <w:rPr>
          <w:lang w:val="fr-FR"/>
        </w:rPr>
        <w:t>’</w:t>
      </w:r>
      <w:r w:rsidRPr="007D2AC6">
        <w:rPr>
          <w:lang w:val="fr-FR"/>
        </w:rPr>
        <w:t>action pour le développeme</w:t>
      </w:r>
      <w:r w:rsidR="001B6E2D" w:rsidRPr="007D2AC6">
        <w:rPr>
          <w:lang w:val="fr-FR"/>
        </w:rPr>
        <w:t>nt.  En</w:t>
      </w:r>
      <w:r w:rsidRPr="007D2AC6">
        <w:rPr>
          <w:lang w:val="fr-FR"/>
        </w:rPr>
        <w:t xml:space="preserve"> outre, l</w:t>
      </w:r>
      <w:r w:rsidR="002A5696" w:rsidRPr="007D2AC6">
        <w:rPr>
          <w:lang w:val="fr-FR"/>
        </w:rPr>
        <w:t>’</w:t>
      </w:r>
      <w:r w:rsidRPr="007D2AC6">
        <w:rPr>
          <w:lang w:val="fr-FR"/>
        </w:rPr>
        <w:t>évaluateur</w:t>
      </w:r>
      <w:r w:rsidR="002A5696" w:rsidRPr="007D2AC6">
        <w:rPr>
          <w:lang w:val="fr-FR"/>
        </w:rPr>
        <w:t> :</w:t>
      </w:r>
    </w:p>
    <w:p w14:paraId="482FDA7D" w14:textId="77777777" w:rsidR="0059687A" w:rsidRPr="007D2AC6" w:rsidRDefault="0059687A" w:rsidP="00807D9F">
      <w:pPr>
        <w:rPr>
          <w:lang w:val="fr-FR"/>
        </w:rPr>
      </w:pPr>
    </w:p>
    <w:p w14:paraId="08FB7B48" w14:textId="1ABBCD02" w:rsidR="002A5696" w:rsidRPr="007D2AC6" w:rsidRDefault="00807D9F" w:rsidP="00807D9F">
      <w:pPr>
        <w:ind w:left="567"/>
        <w:rPr>
          <w:szCs w:val="22"/>
          <w:lang w:val="fr-FR"/>
        </w:rPr>
      </w:pPr>
      <w:r w:rsidRPr="007D2AC6">
        <w:rPr>
          <w:szCs w:val="22"/>
          <w:lang w:val="fr-FR"/>
        </w:rPr>
        <w:t>a)</w:t>
      </w:r>
      <w:r w:rsidRPr="007D2AC6">
        <w:rPr>
          <w:szCs w:val="22"/>
          <w:lang w:val="fr-FR"/>
        </w:rPr>
        <w:tab/>
      </w:r>
      <w:r w:rsidR="00252855" w:rsidRPr="007D2AC6">
        <w:rPr>
          <w:szCs w:val="22"/>
          <w:lang w:val="fr-FR"/>
        </w:rPr>
        <w:t xml:space="preserve">travaillera en étroite collaboration avec la </w:t>
      </w:r>
      <w:r w:rsidR="00252855" w:rsidRPr="007D2AC6">
        <w:rPr>
          <w:lang w:val="fr-FR"/>
        </w:rPr>
        <w:t>Division de la coordination du Plan d</w:t>
      </w:r>
      <w:r w:rsidR="002A5696" w:rsidRPr="007D2AC6">
        <w:rPr>
          <w:lang w:val="fr-FR"/>
        </w:rPr>
        <w:t>’</w:t>
      </w:r>
      <w:r w:rsidR="00252855" w:rsidRPr="007D2AC6">
        <w:rPr>
          <w:lang w:val="fr-FR"/>
        </w:rPr>
        <w:t>action pour le développement, le chef de projet et la Division du droit et des services consultatifs en matière de législation, Secteur des marques et des dessins et modèl</w:t>
      </w:r>
      <w:r w:rsidR="001B6E2D" w:rsidRPr="007D2AC6">
        <w:rPr>
          <w:lang w:val="fr-FR"/>
        </w:rPr>
        <w:t>es.  Il</w:t>
      </w:r>
      <w:r w:rsidR="00252855" w:rsidRPr="007D2AC6">
        <w:rPr>
          <w:lang w:val="fr-FR"/>
        </w:rPr>
        <w:t xml:space="preserve"> assurera aussi la coordination entre les chefs de programme compétents de l</w:t>
      </w:r>
      <w:r w:rsidR="002A5696" w:rsidRPr="007D2AC6">
        <w:rPr>
          <w:lang w:val="fr-FR"/>
        </w:rPr>
        <w:t>’</w:t>
      </w:r>
      <w:r w:rsidR="00252855" w:rsidRPr="007D2AC6">
        <w:rPr>
          <w:lang w:val="fr-FR"/>
        </w:rPr>
        <w:t>OMPI, selon que de besoin</w:t>
      </w:r>
      <w:r w:rsidR="004047BF" w:rsidRPr="007D2AC6">
        <w:rPr>
          <w:lang w:val="fr-FR"/>
        </w:rPr>
        <w:t xml:space="preserve">; </w:t>
      </w:r>
      <w:r w:rsidR="00252855" w:rsidRPr="007D2AC6">
        <w:rPr>
          <w:lang w:val="fr-FR"/>
        </w:rPr>
        <w:t xml:space="preserve"> et</w:t>
      </w:r>
    </w:p>
    <w:p w14:paraId="06B12118" w14:textId="726788E4" w:rsidR="0059687A" w:rsidRPr="007D2AC6" w:rsidRDefault="0059687A" w:rsidP="00807D9F">
      <w:pPr>
        <w:ind w:left="567"/>
        <w:rPr>
          <w:szCs w:val="22"/>
          <w:lang w:val="fr-FR"/>
        </w:rPr>
      </w:pPr>
    </w:p>
    <w:p w14:paraId="03ABD2D4" w14:textId="1FE8E7EA" w:rsidR="0059687A" w:rsidRPr="007D2AC6" w:rsidRDefault="00D1331A" w:rsidP="00D1331A">
      <w:pPr>
        <w:ind w:left="567"/>
        <w:rPr>
          <w:szCs w:val="22"/>
          <w:lang w:val="fr-FR"/>
        </w:rPr>
      </w:pPr>
      <w:r w:rsidRPr="007D2AC6">
        <w:rPr>
          <w:szCs w:val="22"/>
          <w:lang w:val="fr-FR"/>
        </w:rPr>
        <w:t>b)</w:t>
      </w:r>
      <w:r w:rsidRPr="007D2AC6">
        <w:rPr>
          <w:szCs w:val="22"/>
          <w:lang w:val="fr-FR"/>
        </w:rPr>
        <w:tab/>
      </w:r>
      <w:r w:rsidR="00252855" w:rsidRPr="007D2AC6">
        <w:rPr>
          <w:szCs w:val="22"/>
          <w:lang w:val="fr-FR"/>
        </w:rPr>
        <w:t xml:space="preserve">il </w:t>
      </w:r>
      <w:r w:rsidRPr="007D2AC6">
        <w:rPr>
          <w:szCs w:val="22"/>
          <w:lang w:val="fr-FR"/>
        </w:rPr>
        <w:t xml:space="preserve">assurera la qualité des données </w:t>
      </w:r>
      <w:r w:rsidR="00972890" w:rsidRPr="007D2AC6">
        <w:rPr>
          <w:szCs w:val="22"/>
          <w:lang w:val="fr-FR"/>
        </w:rPr>
        <w:t>(</w:t>
      </w:r>
      <w:r w:rsidRPr="007D2AC6">
        <w:rPr>
          <w:szCs w:val="22"/>
          <w:lang w:val="fr-FR"/>
        </w:rPr>
        <w:t>validité, cohérence et précision) tout au long des phases d</w:t>
      </w:r>
      <w:r w:rsidR="002A5696" w:rsidRPr="007D2AC6">
        <w:rPr>
          <w:szCs w:val="22"/>
          <w:lang w:val="fr-FR"/>
        </w:rPr>
        <w:t>’</w:t>
      </w:r>
      <w:r w:rsidRPr="007D2AC6">
        <w:rPr>
          <w:szCs w:val="22"/>
          <w:lang w:val="fr-FR"/>
        </w:rPr>
        <w:t xml:space="preserve">établissement de rapports analytiques </w:t>
      </w:r>
      <w:r w:rsidR="00972890" w:rsidRPr="007D2AC6">
        <w:rPr>
          <w:szCs w:val="22"/>
          <w:lang w:val="fr-FR"/>
        </w:rPr>
        <w:t>(</w:t>
      </w:r>
      <w:r w:rsidRPr="007D2AC6">
        <w:rPr>
          <w:szCs w:val="22"/>
          <w:lang w:val="fr-FR"/>
        </w:rPr>
        <w:t>rapport initial et rapport d</w:t>
      </w:r>
      <w:r w:rsidR="002A5696" w:rsidRPr="007D2AC6">
        <w:rPr>
          <w:szCs w:val="22"/>
          <w:lang w:val="fr-FR"/>
        </w:rPr>
        <w:t>’</w:t>
      </w:r>
      <w:r w:rsidRPr="007D2AC6">
        <w:rPr>
          <w:szCs w:val="22"/>
          <w:lang w:val="fr-FR"/>
        </w:rPr>
        <w:t>évaluation final).</w:t>
      </w:r>
    </w:p>
    <w:p w14:paraId="71C3B860" w14:textId="77777777" w:rsidR="0059687A" w:rsidRPr="007D2AC6" w:rsidRDefault="0059687A" w:rsidP="004047BF">
      <w:pPr>
        <w:rPr>
          <w:szCs w:val="22"/>
          <w:lang w:val="fr-FR"/>
        </w:rPr>
      </w:pPr>
    </w:p>
    <w:p w14:paraId="7C851EE7" w14:textId="77777777" w:rsidR="0059687A" w:rsidRPr="007D2AC6" w:rsidRDefault="0059687A" w:rsidP="004047BF">
      <w:pPr>
        <w:rPr>
          <w:szCs w:val="22"/>
          <w:lang w:val="fr-FR"/>
        </w:rPr>
      </w:pPr>
    </w:p>
    <w:p w14:paraId="7256CA34" w14:textId="100F855B" w:rsidR="0059687A" w:rsidRPr="007D2AC6" w:rsidRDefault="00D1331A" w:rsidP="00D1331A">
      <w:pPr>
        <w:pStyle w:val="ListParagraph"/>
        <w:widowControl w:val="0"/>
        <w:numPr>
          <w:ilvl w:val="0"/>
          <w:numId w:val="32"/>
        </w:numPr>
        <w:tabs>
          <w:tab w:val="left" w:pos="567"/>
          <w:tab w:val="left" w:pos="851"/>
        </w:tabs>
        <w:overflowPunct w:val="0"/>
        <w:adjustRightInd w:val="0"/>
        <w:spacing w:line="360" w:lineRule="auto"/>
        <w:ind w:left="450" w:hanging="450"/>
        <w:rPr>
          <w:b/>
          <w:szCs w:val="22"/>
          <w:lang w:val="fr-FR"/>
        </w:rPr>
      </w:pPr>
      <w:r w:rsidRPr="007D2AC6">
        <w:rPr>
          <w:b/>
          <w:szCs w:val="22"/>
          <w:lang w:val="fr-FR"/>
        </w:rPr>
        <w:t>Profil</w:t>
      </w:r>
      <w:r w:rsidR="00807D9F" w:rsidRPr="007D2AC6">
        <w:rPr>
          <w:b/>
          <w:szCs w:val="22"/>
          <w:lang w:val="fr-FR"/>
        </w:rPr>
        <w:t xml:space="preserve"> </w:t>
      </w:r>
      <w:r w:rsidR="002D2178" w:rsidRPr="007D2AC6">
        <w:rPr>
          <w:b/>
          <w:szCs w:val="22"/>
          <w:lang w:val="fr-FR"/>
        </w:rPr>
        <w:t>du consultant</w:t>
      </w:r>
    </w:p>
    <w:p w14:paraId="16154E55" w14:textId="57F84907" w:rsidR="0059687A" w:rsidRPr="007D2AC6" w:rsidRDefault="00D1331A" w:rsidP="00252855">
      <w:pPr>
        <w:tabs>
          <w:tab w:val="left" w:pos="851"/>
        </w:tabs>
        <w:rPr>
          <w:highlight w:val="yellow"/>
          <w:lang w:val="fr-FR"/>
        </w:rPr>
      </w:pPr>
      <w:r w:rsidRPr="007D2AC6">
        <w:rPr>
          <w:lang w:val="fr-FR"/>
        </w:rPr>
        <w:t>M.</w:t>
      </w:r>
      <w:r w:rsidR="009F77AF" w:rsidRPr="007D2AC6">
        <w:rPr>
          <w:szCs w:val="22"/>
          <w:lang w:val="fr-FR"/>
        </w:rPr>
        <w:t> </w:t>
      </w:r>
      <w:r w:rsidRPr="007D2AC6">
        <w:rPr>
          <w:szCs w:val="22"/>
          <w:lang w:val="fr-FR"/>
        </w:rPr>
        <w:t>Daniel</w:t>
      </w:r>
      <w:r w:rsidR="00B57560" w:rsidRPr="007D2AC6">
        <w:rPr>
          <w:szCs w:val="22"/>
          <w:lang w:val="fr-FR"/>
        </w:rPr>
        <w:t> </w:t>
      </w:r>
      <w:r w:rsidRPr="007D2AC6">
        <w:rPr>
          <w:szCs w:val="22"/>
          <w:lang w:val="fr-FR"/>
        </w:rPr>
        <w:t xml:space="preserve">Keller </w:t>
      </w:r>
      <w:proofErr w:type="spellStart"/>
      <w:r w:rsidRPr="007D2AC6">
        <w:rPr>
          <w:szCs w:val="22"/>
          <w:lang w:val="fr-FR"/>
        </w:rPr>
        <w:t>a</w:t>
      </w:r>
      <w:proofErr w:type="spellEnd"/>
      <w:r w:rsidRPr="007D2AC6">
        <w:rPr>
          <w:szCs w:val="22"/>
          <w:lang w:val="fr-FR"/>
        </w:rPr>
        <w:t xml:space="preserve"> de vastes compétences en matière d</w:t>
      </w:r>
      <w:r w:rsidR="002A5696" w:rsidRPr="007D2AC6">
        <w:rPr>
          <w:szCs w:val="22"/>
          <w:lang w:val="fr-FR"/>
        </w:rPr>
        <w:t>’</w:t>
      </w:r>
      <w:r w:rsidRPr="007D2AC6">
        <w:rPr>
          <w:szCs w:val="22"/>
          <w:lang w:val="fr-FR"/>
        </w:rPr>
        <w:t>élaboration, de gestion et d</w:t>
      </w:r>
      <w:r w:rsidR="002A5696" w:rsidRPr="007D2AC6">
        <w:rPr>
          <w:szCs w:val="22"/>
          <w:lang w:val="fr-FR"/>
        </w:rPr>
        <w:t>’</w:t>
      </w:r>
      <w:r w:rsidRPr="007D2AC6">
        <w:rPr>
          <w:szCs w:val="22"/>
          <w:lang w:val="fr-FR"/>
        </w:rPr>
        <w:t>évaluation de projets, ainsi que dans le domaine des évaluations des mécanismes institutionnels, tant dans le secteur public que dans le secteur privé.</w:t>
      </w:r>
      <w:r w:rsidR="00807D9F" w:rsidRPr="007D2AC6">
        <w:rPr>
          <w:szCs w:val="22"/>
          <w:lang w:val="fr-FR"/>
        </w:rPr>
        <w:t xml:space="preserve">  </w:t>
      </w:r>
      <w:r w:rsidR="00252855" w:rsidRPr="007D2AC6">
        <w:rPr>
          <w:lang w:val="fr-FR"/>
        </w:rPr>
        <w:t>M</w:t>
      </w:r>
      <w:r w:rsidR="00807D9F" w:rsidRPr="007D2AC6">
        <w:rPr>
          <w:lang w:val="fr-FR"/>
        </w:rPr>
        <w:t>.</w:t>
      </w:r>
      <w:r w:rsidR="009F77AF" w:rsidRPr="007D2AC6">
        <w:rPr>
          <w:szCs w:val="22"/>
          <w:lang w:val="fr-FR"/>
        </w:rPr>
        <w:t> </w:t>
      </w:r>
      <w:r w:rsidR="00807D9F" w:rsidRPr="007D2AC6">
        <w:rPr>
          <w:szCs w:val="22"/>
          <w:lang w:val="fr-FR"/>
        </w:rPr>
        <w:t xml:space="preserve">Keller </w:t>
      </w:r>
      <w:r w:rsidR="00252855" w:rsidRPr="007D2AC6">
        <w:rPr>
          <w:lang w:val="fr-FR"/>
        </w:rPr>
        <w:t>a également travaillé auparavant pour l</w:t>
      </w:r>
      <w:r w:rsidR="002A5696" w:rsidRPr="007D2AC6">
        <w:rPr>
          <w:lang w:val="fr-FR"/>
        </w:rPr>
        <w:t>’</w:t>
      </w:r>
      <w:r w:rsidR="00252855" w:rsidRPr="007D2AC6">
        <w:rPr>
          <w:lang w:val="fr-FR"/>
        </w:rPr>
        <w:t>OMPI;</w:t>
      </w:r>
      <w:r w:rsidR="00073C3F" w:rsidRPr="007D2AC6">
        <w:rPr>
          <w:lang w:val="fr-FR"/>
        </w:rPr>
        <w:t xml:space="preserve"> </w:t>
      </w:r>
      <w:r w:rsidR="00252855" w:rsidRPr="007D2AC6">
        <w:rPr>
          <w:lang w:val="fr-FR"/>
        </w:rPr>
        <w:t xml:space="preserve"> il a élaboré des rapports d</w:t>
      </w:r>
      <w:r w:rsidR="002A5696" w:rsidRPr="007D2AC6">
        <w:rPr>
          <w:lang w:val="fr-FR"/>
        </w:rPr>
        <w:t>’</w:t>
      </w:r>
      <w:r w:rsidR="00252855" w:rsidRPr="007D2AC6">
        <w:rPr>
          <w:lang w:val="fr-FR"/>
        </w:rPr>
        <w:t>évaluation de projets menés à bien dans le cadre du Plan d</w:t>
      </w:r>
      <w:r w:rsidR="002A5696" w:rsidRPr="007D2AC6">
        <w:rPr>
          <w:lang w:val="fr-FR"/>
        </w:rPr>
        <w:t>’</w:t>
      </w:r>
      <w:r w:rsidR="00252855" w:rsidRPr="007D2AC6">
        <w:rPr>
          <w:lang w:val="fr-FR"/>
        </w:rPr>
        <w:t xml:space="preserve">action pour le développement, notamment le </w:t>
      </w:r>
      <w:r w:rsidR="004567E1" w:rsidRPr="007D2AC6">
        <w:rPr>
          <w:lang w:val="fr-FR"/>
        </w:rPr>
        <w:t>projet</w:t>
      </w:r>
      <w:r w:rsidR="00252855" w:rsidRPr="007D2AC6">
        <w:rPr>
          <w:lang w:val="fr-FR"/>
        </w:rPr>
        <w:t xml:space="preserve"> de renforcement de la coopération Sud</w:t>
      </w:r>
      <w:r w:rsidR="00B57560" w:rsidRPr="007D2AC6">
        <w:rPr>
          <w:lang w:val="fr-FR"/>
        </w:rPr>
        <w:noBreakHyphen/>
      </w:r>
      <w:r w:rsidR="00252855" w:rsidRPr="007D2AC6">
        <w:rPr>
          <w:lang w:val="fr-FR"/>
        </w:rPr>
        <w:t xml:space="preserve">Sud dans le domaine de la propriété intellectuelle au service du développement parmi les pays en développement et les pays les moins avancés </w:t>
      </w:r>
      <w:r w:rsidR="00972890" w:rsidRPr="007D2AC6">
        <w:rPr>
          <w:lang w:val="fr-FR"/>
        </w:rPr>
        <w:t>(</w:t>
      </w:r>
      <w:r w:rsidR="00252855" w:rsidRPr="007D2AC6">
        <w:rPr>
          <w:lang w:val="fr-FR"/>
        </w:rPr>
        <w:t>document</w:t>
      </w:r>
      <w:r w:rsidR="00B57560" w:rsidRPr="007D2AC6">
        <w:rPr>
          <w:lang w:val="fr-FR"/>
        </w:rPr>
        <w:t> </w:t>
      </w:r>
      <w:proofErr w:type="spellStart"/>
      <w:r w:rsidR="00252855" w:rsidRPr="007D2AC6">
        <w:rPr>
          <w:lang w:val="fr-FR"/>
        </w:rPr>
        <w:t>CDIP</w:t>
      </w:r>
      <w:proofErr w:type="spellEnd"/>
      <w:r w:rsidR="00252855" w:rsidRPr="007D2AC6">
        <w:rPr>
          <w:lang w:val="fr-FR"/>
        </w:rPr>
        <w:t xml:space="preserve">/7/6), le </w:t>
      </w:r>
      <w:r w:rsidR="00073C3F" w:rsidRPr="007D2AC6">
        <w:rPr>
          <w:lang w:val="fr-FR"/>
        </w:rPr>
        <w:t>p</w:t>
      </w:r>
      <w:r w:rsidR="00807D9F" w:rsidRPr="007D2AC6">
        <w:rPr>
          <w:lang w:val="fr-FR"/>
        </w:rPr>
        <w:t xml:space="preserve">rojet </w:t>
      </w:r>
      <w:r w:rsidR="00252855" w:rsidRPr="007D2AC6">
        <w:rPr>
          <w:lang w:val="fr-FR"/>
        </w:rPr>
        <w:t xml:space="preserve">sur la </w:t>
      </w:r>
      <w:r w:rsidR="00252855" w:rsidRPr="007D2AC6">
        <w:rPr>
          <w:lang w:val="fr-FR"/>
        </w:rPr>
        <w:lastRenderedPageBreak/>
        <w:t xml:space="preserve">propriété intellectuelle et le développement </w:t>
      </w:r>
      <w:proofErr w:type="spellStart"/>
      <w:r w:rsidR="00252855" w:rsidRPr="007D2AC6">
        <w:rPr>
          <w:lang w:val="fr-FR"/>
        </w:rPr>
        <w:t>socioéconomique</w:t>
      </w:r>
      <w:proofErr w:type="spellEnd"/>
      <w:r w:rsidR="00807D9F" w:rsidRPr="007D2AC6">
        <w:rPr>
          <w:lang w:val="fr-FR"/>
        </w:rPr>
        <w:t xml:space="preserve"> </w:t>
      </w:r>
      <w:r w:rsidR="00972890" w:rsidRPr="007D2AC6">
        <w:rPr>
          <w:lang w:val="fr-FR"/>
        </w:rPr>
        <w:t>(</w:t>
      </w:r>
      <w:r w:rsidR="00807D9F" w:rsidRPr="007D2AC6">
        <w:rPr>
          <w:lang w:val="fr-FR"/>
        </w:rPr>
        <w:t xml:space="preserve">document </w:t>
      </w:r>
      <w:proofErr w:type="spellStart"/>
      <w:r w:rsidR="00807D9F" w:rsidRPr="007D2AC6">
        <w:rPr>
          <w:lang w:val="fr-FR"/>
        </w:rPr>
        <w:t>CDIP</w:t>
      </w:r>
      <w:proofErr w:type="spellEnd"/>
      <w:r w:rsidR="00807D9F" w:rsidRPr="007D2AC6">
        <w:rPr>
          <w:lang w:val="fr-FR"/>
        </w:rPr>
        <w:t>/5/7</w:t>
      </w:r>
      <w:r w:rsidR="009F77AF" w:rsidRPr="007D2AC6">
        <w:rPr>
          <w:lang w:val="fr-FR"/>
        </w:rPr>
        <w:t> </w:t>
      </w:r>
      <w:proofErr w:type="spellStart"/>
      <w:r w:rsidR="00807D9F" w:rsidRPr="007D2AC6">
        <w:rPr>
          <w:lang w:val="fr-FR"/>
        </w:rPr>
        <w:t>Rev</w:t>
      </w:r>
      <w:proofErr w:type="spellEnd"/>
      <w:r w:rsidR="00807D9F" w:rsidRPr="007D2AC6">
        <w:rPr>
          <w:lang w:val="fr-FR"/>
        </w:rPr>
        <w:t xml:space="preserve">.), </w:t>
      </w:r>
      <w:r w:rsidR="00277738" w:rsidRPr="007D2AC6">
        <w:rPr>
          <w:lang w:val="fr-FR"/>
        </w:rPr>
        <w:t xml:space="preserve">le </w:t>
      </w:r>
      <w:r w:rsidR="004567E1" w:rsidRPr="007D2AC6">
        <w:rPr>
          <w:lang w:val="fr-FR"/>
        </w:rPr>
        <w:t>projet</w:t>
      </w:r>
      <w:r w:rsidR="00277738" w:rsidRPr="007D2AC6">
        <w:rPr>
          <w:lang w:val="fr-FR"/>
        </w:rPr>
        <w:t xml:space="preserve"> relatif aux partenariats ouverts et aux modèles fondés sur la propriété intellectuelle </w:t>
      </w:r>
      <w:r w:rsidR="00972890" w:rsidRPr="007D2AC6">
        <w:rPr>
          <w:lang w:val="fr-FR"/>
        </w:rPr>
        <w:t>(</w:t>
      </w:r>
      <w:proofErr w:type="spellStart"/>
      <w:r w:rsidR="00807D9F" w:rsidRPr="007D2AC6">
        <w:rPr>
          <w:lang w:val="fr-FR"/>
        </w:rPr>
        <w:t>CDIP6</w:t>
      </w:r>
      <w:proofErr w:type="spellEnd"/>
      <w:r w:rsidR="00807D9F" w:rsidRPr="007D2AC6">
        <w:rPr>
          <w:lang w:val="fr-FR"/>
        </w:rPr>
        <w:t>/6/</w:t>
      </w:r>
      <w:proofErr w:type="spellStart"/>
      <w:r w:rsidR="00807D9F" w:rsidRPr="007D2AC6">
        <w:rPr>
          <w:lang w:val="fr-FR"/>
        </w:rPr>
        <w:t>Rev</w:t>
      </w:r>
      <w:proofErr w:type="spellEnd"/>
      <w:r w:rsidR="00807D9F" w:rsidRPr="007D2AC6">
        <w:rPr>
          <w:lang w:val="fr-FR"/>
        </w:rPr>
        <w:t xml:space="preserve">.) </w:t>
      </w:r>
      <w:r w:rsidR="00252855" w:rsidRPr="007D2AC6">
        <w:rPr>
          <w:lang w:val="fr-FR"/>
        </w:rPr>
        <w:t xml:space="preserve">et le </w:t>
      </w:r>
      <w:r w:rsidR="004567E1" w:rsidRPr="007D2AC6">
        <w:rPr>
          <w:lang w:val="fr-FR"/>
        </w:rPr>
        <w:t>projet</w:t>
      </w:r>
      <w:r w:rsidR="00277738" w:rsidRPr="007D2AC6">
        <w:rPr>
          <w:lang w:val="fr-FR"/>
        </w:rPr>
        <w:t xml:space="preserve"> relatif à la propriété intellectuelle et au transfert de technologie</w:t>
      </w:r>
      <w:r w:rsidR="002A5696" w:rsidRPr="007D2AC6">
        <w:rPr>
          <w:lang w:val="fr-FR"/>
        </w:rPr>
        <w:t> :</w:t>
      </w:r>
      <w:r w:rsidR="00277738" w:rsidRPr="007D2AC6">
        <w:rPr>
          <w:lang w:val="fr-FR"/>
        </w:rPr>
        <w:t xml:space="preserve"> élaborer des solutions face aux défis communs </w:t>
      </w:r>
      <w:r w:rsidR="00972890" w:rsidRPr="007D2AC6">
        <w:rPr>
          <w:lang w:val="fr-FR"/>
        </w:rPr>
        <w:t>(</w:t>
      </w:r>
      <w:proofErr w:type="spellStart"/>
      <w:r w:rsidR="00807D9F" w:rsidRPr="007D2AC6">
        <w:rPr>
          <w:lang w:val="fr-FR"/>
        </w:rPr>
        <w:t>CDIP</w:t>
      </w:r>
      <w:proofErr w:type="spellEnd"/>
      <w:r w:rsidR="00807D9F" w:rsidRPr="007D2AC6">
        <w:rPr>
          <w:lang w:val="fr-FR"/>
        </w:rPr>
        <w:t>/16/3).</w:t>
      </w:r>
    </w:p>
    <w:p w14:paraId="4A6ACDC6" w14:textId="77777777" w:rsidR="0059687A" w:rsidRPr="007D2AC6" w:rsidRDefault="0059687A" w:rsidP="00807D9F">
      <w:pPr>
        <w:tabs>
          <w:tab w:val="left" w:pos="851"/>
        </w:tabs>
        <w:rPr>
          <w:highlight w:val="yellow"/>
          <w:lang w:val="fr-FR"/>
        </w:rPr>
      </w:pPr>
    </w:p>
    <w:p w14:paraId="7E64F5EC" w14:textId="77777777" w:rsidR="0059687A" w:rsidRPr="007D2AC6" w:rsidRDefault="0059687A" w:rsidP="00807D9F">
      <w:pPr>
        <w:tabs>
          <w:tab w:val="left" w:pos="851"/>
        </w:tabs>
        <w:rPr>
          <w:szCs w:val="22"/>
          <w:highlight w:val="yellow"/>
          <w:lang w:val="fr-FR"/>
        </w:rPr>
      </w:pPr>
    </w:p>
    <w:p w14:paraId="3CBE3774" w14:textId="325926BC" w:rsidR="0059687A" w:rsidRPr="007D2AC6" w:rsidRDefault="00D1331A" w:rsidP="00D1331A">
      <w:pPr>
        <w:pStyle w:val="ListParagraph"/>
        <w:widowControl w:val="0"/>
        <w:numPr>
          <w:ilvl w:val="0"/>
          <w:numId w:val="32"/>
        </w:numPr>
        <w:tabs>
          <w:tab w:val="left" w:pos="567"/>
          <w:tab w:val="left" w:pos="851"/>
        </w:tabs>
        <w:overflowPunct w:val="0"/>
        <w:adjustRightInd w:val="0"/>
        <w:spacing w:line="360" w:lineRule="auto"/>
        <w:ind w:left="450" w:hanging="450"/>
        <w:rPr>
          <w:b/>
          <w:szCs w:val="22"/>
          <w:lang w:val="fr-FR"/>
        </w:rPr>
      </w:pPr>
      <w:r w:rsidRPr="007D2AC6">
        <w:rPr>
          <w:b/>
          <w:szCs w:val="22"/>
          <w:lang w:val="fr-FR"/>
        </w:rPr>
        <w:t>Durée du contrat et paiement</w:t>
      </w:r>
    </w:p>
    <w:p w14:paraId="184661FE" w14:textId="3AD8692D" w:rsidR="0059687A" w:rsidRPr="007D2AC6" w:rsidRDefault="00277738" w:rsidP="00D1331A">
      <w:pPr>
        <w:tabs>
          <w:tab w:val="left" w:pos="851"/>
        </w:tabs>
        <w:rPr>
          <w:szCs w:val="22"/>
          <w:lang w:val="fr-FR"/>
        </w:rPr>
      </w:pPr>
      <w:r w:rsidRPr="007D2AC6">
        <w:rPr>
          <w:szCs w:val="22"/>
          <w:lang w:val="fr-FR"/>
        </w:rPr>
        <w:t>Le contra</w:t>
      </w:r>
      <w:r w:rsidR="00807D9F" w:rsidRPr="007D2AC6">
        <w:rPr>
          <w:szCs w:val="22"/>
          <w:lang w:val="fr-FR"/>
        </w:rPr>
        <w:t xml:space="preserve">t </w:t>
      </w:r>
      <w:r w:rsidRPr="007D2AC6">
        <w:rPr>
          <w:szCs w:val="22"/>
          <w:lang w:val="fr-FR"/>
        </w:rPr>
        <w:t>commence le</w:t>
      </w:r>
      <w:r w:rsidR="00807D9F" w:rsidRPr="007D2AC6">
        <w:rPr>
          <w:szCs w:val="22"/>
          <w:lang w:val="fr-FR"/>
        </w:rPr>
        <w:t xml:space="preserve"> 1</w:t>
      </w:r>
      <w:r w:rsidR="002A5696" w:rsidRPr="007D2AC6">
        <w:rPr>
          <w:szCs w:val="22"/>
          <w:lang w:val="fr-FR"/>
        </w:rPr>
        <w:t>5 novembre 20</w:t>
      </w:r>
      <w:r w:rsidR="00807D9F" w:rsidRPr="007D2AC6">
        <w:rPr>
          <w:szCs w:val="22"/>
          <w:lang w:val="fr-FR"/>
        </w:rPr>
        <w:t>16</w:t>
      </w:r>
      <w:r w:rsidRPr="007D2AC6">
        <w:rPr>
          <w:szCs w:val="22"/>
          <w:lang w:val="fr-FR"/>
        </w:rPr>
        <w:t xml:space="preserve"> et s</w:t>
      </w:r>
      <w:r w:rsidR="002A5696" w:rsidRPr="007D2AC6">
        <w:rPr>
          <w:szCs w:val="22"/>
          <w:lang w:val="fr-FR"/>
        </w:rPr>
        <w:t>’</w:t>
      </w:r>
      <w:r w:rsidRPr="007D2AC6">
        <w:rPr>
          <w:szCs w:val="22"/>
          <w:lang w:val="fr-FR"/>
        </w:rPr>
        <w:t>achève le 3</w:t>
      </w:r>
      <w:r w:rsidR="002A5696" w:rsidRPr="007D2AC6">
        <w:rPr>
          <w:szCs w:val="22"/>
          <w:lang w:val="fr-FR"/>
        </w:rPr>
        <w:t>0 mai 20</w:t>
      </w:r>
      <w:r w:rsidR="00807D9F" w:rsidRPr="007D2AC6">
        <w:rPr>
          <w:szCs w:val="22"/>
          <w:lang w:val="fr-FR"/>
        </w:rPr>
        <w:t xml:space="preserve">17.  </w:t>
      </w:r>
      <w:r w:rsidR="00D1331A" w:rsidRPr="007D2AC6">
        <w:rPr>
          <w:szCs w:val="22"/>
          <w:lang w:val="fr-FR"/>
        </w:rPr>
        <w:t>Au cours de cette période, le programme ci</w:t>
      </w:r>
      <w:r w:rsidR="00B57560" w:rsidRPr="007D2AC6">
        <w:rPr>
          <w:szCs w:val="22"/>
          <w:lang w:val="fr-FR"/>
        </w:rPr>
        <w:noBreakHyphen/>
      </w:r>
      <w:r w:rsidR="00D1331A" w:rsidRPr="007D2AC6">
        <w:rPr>
          <w:szCs w:val="22"/>
          <w:lang w:val="fr-FR"/>
        </w:rPr>
        <w:t>après sera suivi.</w:t>
      </w:r>
    </w:p>
    <w:p w14:paraId="5F2A1EB8" w14:textId="77777777" w:rsidR="0059687A" w:rsidRPr="007D2AC6" w:rsidRDefault="0059687A" w:rsidP="00807D9F">
      <w:pPr>
        <w:tabs>
          <w:tab w:val="left" w:pos="851"/>
        </w:tabs>
        <w:rPr>
          <w:szCs w:val="22"/>
          <w:lang w:val="fr-FR"/>
        </w:rPr>
      </w:pPr>
    </w:p>
    <w:p w14:paraId="2DA257E4" w14:textId="13EFAE47" w:rsidR="0059687A" w:rsidRPr="007D2AC6" w:rsidRDefault="00D1331A" w:rsidP="00D1331A">
      <w:pPr>
        <w:tabs>
          <w:tab w:val="left" w:pos="851"/>
        </w:tabs>
        <w:rPr>
          <w:szCs w:val="22"/>
          <w:lang w:val="fr-FR"/>
        </w:rPr>
      </w:pPr>
      <w:r w:rsidRPr="007D2AC6">
        <w:rPr>
          <w:szCs w:val="22"/>
          <w:lang w:val="fr-FR"/>
        </w:rPr>
        <w:t>Le rapport initial doit être soumis à l</w:t>
      </w:r>
      <w:r w:rsidR="002A5696" w:rsidRPr="007D2AC6">
        <w:rPr>
          <w:szCs w:val="22"/>
          <w:lang w:val="fr-FR"/>
        </w:rPr>
        <w:t>’</w:t>
      </w:r>
      <w:r w:rsidRPr="007D2AC6">
        <w:rPr>
          <w:szCs w:val="22"/>
          <w:lang w:val="fr-FR"/>
        </w:rPr>
        <w:t>OMPI d</w:t>
      </w:r>
      <w:r w:rsidR="002A5696" w:rsidRPr="007D2AC6">
        <w:rPr>
          <w:szCs w:val="22"/>
          <w:lang w:val="fr-FR"/>
        </w:rPr>
        <w:t>’</w:t>
      </w:r>
      <w:r w:rsidRPr="007D2AC6">
        <w:rPr>
          <w:szCs w:val="22"/>
          <w:lang w:val="fr-FR"/>
        </w:rPr>
        <w:t>ici le 1</w:t>
      </w:r>
      <w:r w:rsidR="002A5696" w:rsidRPr="007D2AC6">
        <w:rPr>
          <w:szCs w:val="22"/>
          <w:lang w:val="fr-FR"/>
        </w:rPr>
        <w:t>5 décembre 20</w:t>
      </w:r>
      <w:r w:rsidRPr="007D2AC6">
        <w:rPr>
          <w:szCs w:val="22"/>
          <w:lang w:val="fr-FR"/>
        </w:rPr>
        <w:t>16.</w:t>
      </w:r>
      <w:r w:rsidR="00807D9F" w:rsidRPr="007D2AC6">
        <w:rPr>
          <w:szCs w:val="22"/>
          <w:lang w:val="fr-FR"/>
        </w:rPr>
        <w:t xml:space="preserve">  </w:t>
      </w:r>
      <w:r w:rsidRPr="007D2AC6">
        <w:rPr>
          <w:szCs w:val="22"/>
          <w:lang w:val="fr-FR"/>
        </w:rPr>
        <w:t>Les commentaires de l</w:t>
      </w:r>
      <w:r w:rsidR="002A5696" w:rsidRPr="007D2AC6">
        <w:rPr>
          <w:szCs w:val="22"/>
          <w:lang w:val="fr-FR"/>
        </w:rPr>
        <w:t>’</w:t>
      </w:r>
      <w:r w:rsidRPr="007D2AC6">
        <w:rPr>
          <w:szCs w:val="22"/>
          <w:lang w:val="fr-FR"/>
        </w:rPr>
        <w:t>OMPI vous seront communiqués d</w:t>
      </w:r>
      <w:r w:rsidR="002A5696" w:rsidRPr="007D2AC6">
        <w:rPr>
          <w:szCs w:val="22"/>
          <w:lang w:val="fr-FR"/>
        </w:rPr>
        <w:t>’</w:t>
      </w:r>
      <w:r w:rsidRPr="007D2AC6">
        <w:rPr>
          <w:szCs w:val="22"/>
          <w:lang w:val="fr-FR"/>
        </w:rPr>
        <w:t>ici le 2</w:t>
      </w:r>
      <w:r w:rsidR="002A5696" w:rsidRPr="007D2AC6">
        <w:rPr>
          <w:szCs w:val="22"/>
          <w:lang w:val="fr-FR"/>
        </w:rPr>
        <w:t>0 décembre 20</w:t>
      </w:r>
      <w:r w:rsidRPr="007D2AC6">
        <w:rPr>
          <w:szCs w:val="22"/>
          <w:lang w:val="fr-FR"/>
        </w:rPr>
        <w:t>16.</w:t>
      </w:r>
      <w:r w:rsidR="00807D9F" w:rsidRPr="007D2AC6">
        <w:rPr>
          <w:szCs w:val="22"/>
          <w:lang w:val="fr-FR"/>
        </w:rPr>
        <w:t xml:space="preserve">  </w:t>
      </w:r>
      <w:r w:rsidRPr="007D2AC6">
        <w:rPr>
          <w:szCs w:val="22"/>
          <w:lang w:val="fr-FR"/>
        </w:rPr>
        <w:t>Le projet de rapport d</w:t>
      </w:r>
      <w:r w:rsidR="002A5696" w:rsidRPr="007D2AC6">
        <w:rPr>
          <w:szCs w:val="22"/>
          <w:lang w:val="fr-FR"/>
        </w:rPr>
        <w:t>’</w:t>
      </w:r>
      <w:r w:rsidRPr="007D2AC6">
        <w:rPr>
          <w:szCs w:val="22"/>
          <w:lang w:val="fr-FR"/>
        </w:rPr>
        <w:t>évaluation doit être soumis à l</w:t>
      </w:r>
      <w:r w:rsidR="002A5696" w:rsidRPr="007D2AC6">
        <w:rPr>
          <w:szCs w:val="22"/>
          <w:lang w:val="fr-FR"/>
        </w:rPr>
        <w:t>’</w:t>
      </w:r>
      <w:r w:rsidRPr="007D2AC6">
        <w:rPr>
          <w:szCs w:val="22"/>
          <w:lang w:val="fr-FR"/>
        </w:rPr>
        <w:t>OMPI d</w:t>
      </w:r>
      <w:r w:rsidR="002A5696" w:rsidRPr="007D2AC6">
        <w:rPr>
          <w:szCs w:val="22"/>
          <w:lang w:val="fr-FR"/>
        </w:rPr>
        <w:t>’</w:t>
      </w:r>
      <w:r w:rsidRPr="007D2AC6">
        <w:rPr>
          <w:szCs w:val="22"/>
          <w:lang w:val="fr-FR"/>
        </w:rPr>
        <w:t>ici le 1</w:t>
      </w:r>
      <w:r w:rsidR="002A5696" w:rsidRPr="007D2AC6">
        <w:rPr>
          <w:szCs w:val="22"/>
          <w:lang w:val="fr-FR"/>
        </w:rPr>
        <w:t>5 janvier 20</w:t>
      </w:r>
      <w:r w:rsidRPr="007D2AC6">
        <w:rPr>
          <w:szCs w:val="22"/>
          <w:lang w:val="fr-FR"/>
        </w:rPr>
        <w:t>17.</w:t>
      </w:r>
      <w:r w:rsidR="00807D9F" w:rsidRPr="007D2AC6">
        <w:rPr>
          <w:lang w:val="fr-FR"/>
        </w:rPr>
        <w:t xml:space="preserve">  </w:t>
      </w:r>
      <w:r w:rsidR="00277738" w:rsidRPr="007D2AC6">
        <w:rPr>
          <w:szCs w:val="22"/>
          <w:lang w:val="fr-FR"/>
        </w:rPr>
        <w:t>Les corrections factuelles apportées au projet de rapport seront transmises à l</w:t>
      </w:r>
      <w:r w:rsidR="002A5696" w:rsidRPr="007D2AC6">
        <w:rPr>
          <w:szCs w:val="22"/>
          <w:lang w:val="fr-FR"/>
        </w:rPr>
        <w:t>’</w:t>
      </w:r>
      <w:r w:rsidR="00277738" w:rsidRPr="007D2AC6">
        <w:rPr>
          <w:szCs w:val="22"/>
          <w:lang w:val="fr-FR"/>
        </w:rPr>
        <w:t>évaluateur avant le 2</w:t>
      </w:r>
      <w:r w:rsidR="002A5696" w:rsidRPr="007D2AC6">
        <w:rPr>
          <w:szCs w:val="22"/>
          <w:lang w:val="fr-FR"/>
        </w:rPr>
        <w:t>0 janvier 20</w:t>
      </w:r>
      <w:r w:rsidR="00807D9F" w:rsidRPr="007D2AC6">
        <w:rPr>
          <w:szCs w:val="22"/>
          <w:lang w:val="fr-FR"/>
        </w:rPr>
        <w:t xml:space="preserve">17.  </w:t>
      </w:r>
      <w:r w:rsidRPr="007D2AC6">
        <w:rPr>
          <w:szCs w:val="22"/>
          <w:lang w:val="fr-FR"/>
        </w:rPr>
        <w:t>Le rapport d</w:t>
      </w:r>
      <w:r w:rsidR="002A5696" w:rsidRPr="007D2AC6">
        <w:rPr>
          <w:szCs w:val="22"/>
          <w:lang w:val="fr-FR"/>
        </w:rPr>
        <w:t>’</w:t>
      </w:r>
      <w:r w:rsidRPr="007D2AC6">
        <w:rPr>
          <w:szCs w:val="22"/>
          <w:lang w:val="fr-FR"/>
        </w:rPr>
        <w:t>évaluation final doit être soumis d</w:t>
      </w:r>
      <w:r w:rsidR="002A5696" w:rsidRPr="007D2AC6">
        <w:rPr>
          <w:szCs w:val="22"/>
          <w:lang w:val="fr-FR"/>
        </w:rPr>
        <w:t>’</w:t>
      </w:r>
      <w:r w:rsidRPr="007D2AC6">
        <w:rPr>
          <w:szCs w:val="22"/>
          <w:lang w:val="fr-FR"/>
        </w:rPr>
        <w:t>ici le 1</w:t>
      </w:r>
      <w:r w:rsidR="002A5696" w:rsidRPr="007D2AC6">
        <w:rPr>
          <w:szCs w:val="22"/>
          <w:lang w:val="fr-FR"/>
        </w:rPr>
        <w:t>5 février 20</w:t>
      </w:r>
      <w:r w:rsidRPr="007D2AC6">
        <w:rPr>
          <w:szCs w:val="22"/>
          <w:lang w:val="fr-FR"/>
        </w:rPr>
        <w:t>17.</w:t>
      </w:r>
      <w:r w:rsidR="00807D9F" w:rsidRPr="007D2AC6">
        <w:rPr>
          <w:lang w:val="fr-FR"/>
        </w:rPr>
        <w:t xml:space="preserve">  </w:t>
      </w:r>
      <w:r w:rsidR="00277738" w:rsidRPr="007D2AC6">
        <w:rPr>
          <w:szCs w:val="22"/>
          <w:lang w:val="fr-FR"/>
        </w:rPr>
        <w:t>La version finale du rapport d</w:t>
      </w:r>
      <w:r w:rsidR="002A5696" w:rsidRPr="007D2AC6">
        <w:rPr>
          <w:szCs w:val="22"/>
          <w:lang w:val="fr-FR"/>
        </w:rPr>
        <w:t>’</w:t>
      </w:r>
      <w:r w:rsidR="00277738" w:rsidRPr="007D2AC6">
        <w:rPr>
          <w:szCs w:val="22"/>
          <w:lang w:val="fr-FR"/>
        </w:rPr>
        <w:t>évaluation, contenant une réponse de la direction en annexe, sera présentée à la dix</w:t>
      </w:r>
      <w:r w:rsidR="00B57560" w:rsidRPr="007D2AC6">
        <w:rPr>
          <w:szCs w:val="22"/>
          <w:lang w:val="fr-FR"/>
        </w:rPr>
        <w:noBreakHyphen/>
      </w:r>
      <w:r w:rsidR="00277738" w:rsidRPr="007D2AC6">
        <w:rPr>
          <w:szCs w:val="22"/>
          <w:lang w:val="fr-FR"/>
        </w:rPr>
        <w:t>neuv</w:t>
      </w:r>
      <w:r w:rsidR="002A5696" w:rsidRPr="007D2AC6">
        <w:rPr>
          <w:szCs w:val="22"/>
          <w:lang w:val="fr-FR"/>
        </w:rPr>
        <w:t>ième session du </w:t>
      </w:r>
      <w:proofErr w:type="spellStart"/>
      <w:r w:rsidR="002A5696" w:rsidRPr="007D2AC6">
        <w:rPr>
          <w:szCs w:val="22"/>
          <w:lang w:val="fr-FR"/>
        </w:rPr>
        <w:t>CDI</w:t>
      </w:r>
      <w:r w:rsidR="00277738" w:rsidRPr="007D2AC6">
        <w:rPr>
          <w:szCs w:val="22"/>
          <w:lang w:val="fr-FR"/>
        </w:rPr>
        <w:t>P</w:t>
      </w:r>
      <w:proofErr w:type="spellEnd"/>
      <w:r w:rsidR="00277738" w:rsidRPr="007D2AC6">
        <w:rPr>
          <w:szCs w:val="22"/>
          <w:lang w:val="fr-FR"/>
        </w:rPr>
        <w:t>, qui se tiendra en avril</w:t>
      </w:r>
      <w:r w:rsidR="00B57560" w:rsidRPr="007D2AC6">
        <w:rPr>
          <w:szCs w:val="22"/>
          <w:lang w:val="fr-FR"/>
        </w:rPr>
        <w:noBreakHyphen/>
      </w:r>
      <w:r w:rsidR="002A5696" w:rsidRPr="007D2AC6">
        <w:rPr>
          <w:szCs w:val="22"/>
          <w:lang w:val="fr-FR"/>
        </w:rPr>
        <w:t>mai 20</w:t>
      </w:r>
      <w:r w:rsidR="00807D9F" w:rsidRPr="007D2AC6">
        <w:rPr>
          <w:szCs w:val="22"/>
          <w:lang w:val="fr-FR"/>
        </w:rPr>
        <w:t xml:space="preserve">17.  </w:t>
      </w:r>
      <w:r w:rsidRPr="007D2AC6">
        <w:rPr>
          <w:szCs w:val="22"/>
          <w:lang w:val="fr-FR"/>
        </w:rPr>
        <w:t>Vous serez tenu de présenter le rapport d</w:t>
      </w:r>
      <w:r w:rsidR="002A5696" w:rsidRPr="007D2AC6">
        <w:rPr>
          <w:szCs w:val="22"/>
          <w:lang w:val="fr-FR"/>
        </w:rPr>
        <w:t>’</w:t>
      </w:r>
      <w:r w:rsidRPr="007D2AC6">
        <w:rPr>
          <w:szCs w:val="22"/>
          <w:lang w:val="fr-FR"/>
        </w:rPr>
        <w:t>évaluation au cours de cette session</w:t>
      </w:r>
      <w:r w:rsidR="002A5696" w:rsidRPr="007D2AC6">
        <w:rPr>
          <w:szCs w:val="22"/>
          <w:lang w:val="fr-FR"/>
        </w:rPr>
        <w:t xml:space="preserve"> du </w:t>
      </w:r>
      <w:proofErr w:type="spellStart"/>
      <w:r w:rsidR="002A5696" w:rsidRPr="007D2AC6">
        <w:rPr>
          <w:szCs w:val="22"/>
          <w:lang w:val="fr-FR"/>
        </w:rPr>
        <w:t>CDI</w:t>
      </w:r>
      <w:r w:rsidRPr="007D2AC6">
        <w:rPr>
          <w:szCs w:val="22"/>
          <w:lang w:val="fr-FR"/>
        </w:rPr>
        <w:t>P</w:t>
      </w:r>
      <w:proofErr w:type="spellEnd"/>
      <w:r w:rsidRPr="007D2AC6">
        <w:rPr>
          <w:szCs w:val="22"/>
          <w:lang w:val="fr-FR"/>
        </w:rPr>
        <w:t>.</w:t>
      </w:r>
    </w:p>
    <w:p w14:paraId="32B53493" w14:textId="77777777" w:rsidR="002A5696" w:rsidRPr="007D2AC6" w:rsidRDefault="002A5696" w:rsidP="004047BF">
      <w:pPr>
        <w:tabs>
          <w:tab w:val="left" w:pos="851"/>
        </w:tabs>
        <w:rPr>
          <w:szCs w:val="22"/>
          <w:lang w:val="fr-FR"/>
        </w:rPr>
      </w:pPr>
    </w:p>
    <w:p w14:paraId="205A9B39" w14:textId="77777777" w:rsidR="0059687A" w:rsidRPr="007D2AC6" w:rsidRDefault="0059687A" w:rsidP="00807D9F">
      <w:pPr>
        <w:tabs>
          <w:tab w:val="left" w:pos="5670"/>
        </w:tabs>
        <w:rPr>
          <w:szCs w:val="22"/>
          <w:lang w:val="fr-FR"/>
        </w:rPr>
      </w:pPr>
    </w:p>
    <w:p w14:paraId="4F01A8FB" w14:textId="77777777" w:rsidR="0059687A" w:rsidRPr="007D2AC6" w:rsidRDefault="0059687A" w:rsidP="00807D9F">
      <w:pPr>
        <w:tabs>
          <w:tab w:val="left" w:pos="5670"/>
        </w:tabs>
        <w:rPr>
          <w:szCs w:val="22"/>
          <w:lang w:val="fr-FR"/>
        </w:rPr>
      </w:pPr>
    </w:p>
    <w:p w14:paraId="14648F37" w14:textId="149779D5" w:rsidR="0059687A" w:rsidRPr="007D2AC6" w:rsidRDefault="00D1331A" w:rsidP="004047BF">
      <w:pPr>
        <w:pStyle w:val="Endofdocument-Annex"/>
        <w:rPr>
          <w:lang w:val="fr-FR"/>
        </w:rPr>
      </w:pPr>
      <w:r w:rsidRPr="007D2AC6">
        <w:rPr>
          <w:lang w:val="fr-FR"/>
        </w:rPr>
        <w:t>[</w:t>
      </w:r>
      <w:r w:rsidR="007865D4">
        <w:rPr>
          <w:lang w:val="fr-FR"/>
        </w:rPr>
        <w:t>L</w:t>
      </w:r>
      <w:r w:rsidR="002A5696" w:rsidRPr="007D2AC6">
        <w:rPr>
          <w:lang w:val="fr-FR"/>
        </w:rPr>
        <w:t>’</w:t>
      </w:r>
      <w:r w:rsidRPr="007D2AC6">
        <w:rPr>
          <w:lang w:val="fr-FR"/>
        </w:rPr>
        <w:t>appendice</w:t>
      </w:r>
      <w:r w:rsidR="00B57560" w:rsidRPr="007D2AC6">
        <w:rPr>
          <w:lang w:val="fr-FR"/>
        </w:rPr>
        <w:t> </w:t>
      </w:r>
      <w:r w:rsidRPr="007D2AC6">
        <w:rPr>
          <w:lang w:val="fr-FR"/>
        </w:rPr>
        <w:t>I</w:t>
      </w:r>
      <w:r w:rsidR="007865D4">
        <w:rPr>
          <w:lang w:val="fr-FR"/>
        </w:rPr>
        <w:t>I</w:t>
      </w:r>
      <w:r w:rsidRPr="007D2AC6">
        <w:rPr>
          <w:lang w:val="fr-FR"/>
        </w:rPr>
        <w:t>I</w:t>
      </w:r>
      <w:r w:rsidR="007865D4">
        <w:rPr>
          <w:lang w:val="fr-FR"/>
        </w:rPr>
        <w:t xml:space="preserve"> suit</w:t>
      </w:r>
      <w:r w:rsidRPr="007D2AC6">
        <w:rPr>
          <w:lang w:val="fr-FR"/>
        </w:rPr>
        <w:t>]</w:t>
      </w:r>
    </w:p>
    <w:p w14:paraId="769F23CE" w14:textId="77777777" w:rsidR="0059687A" w:rsidRPr="007D2AC6" w:rsidRDefault="0059687A" w:rsidP="006075D7">
      <w:pPr>
        <w:pStyle w:val="ONUME"/>
        <w:numPr>
          <w:ilvl w:val="0"/>
          <w:numId w:val="0"/>
        </w:numPr>
        <w:jc w:val="both"/>
        <w:rPr>
          <w:caps/>
          <w:lang w:val="fr-FR"/>
        </w:rPr>
      </w:pPr>
    </w:p>
    <w:p w14:paraId="065E44F5" w14:textId="77777777" w:rsidR="00807D9F" w:rsidRPr="007D2AC6" w:rsidRDefault="00807D9F" w:rsidP="006075D7">
      <w:pPr>
        <w:pStyle w:val="ONUME"/>
        <w:numPr>
          <w:ilvl w:val="0"/>
          <w:numId w:val="0"/>
        </w:numPr>
        <w:jc w:val="both"/>
        <w:rPr>
          <w:caps/>
          <w:lang w:val="fr-FR"/>
        </w:rPr>
        <w:sectPr w:rsidR="00807D9F" w:rsidRPr="007D2AC6" w:rsidSect="00BB2BAE">
          <w:headerReference w:type="default" r:id="rId18"/>
          <w:headerReference w:type="first" r:id="rId19"/>
          <w:footerReference w:type="first" r:id="rId20"/>
          <w:pgSz w:w="11907" w:h="16840" w:code="9"/>
          <w:pgMar w:top="567" w:right="1134" w:bottom="1417" w:left="1417" w:header="510" w:footer="1020" w:gutter="0"/>
          <w:pgNumType w:start="1"/>
          <w:cols w:space="720"/>
          <w:titlePg/>
          <w:docGrid w:linePitch="299"/>
        </w:sectPr>
      </w:pPr>
    </w:p>
    <w:p w14:paraId="522D7B24" w14:textId="77777777" w:rsidR="0059687A" w:rsidRPr="007865D4" w:rsidRDefault="0059687A" w:rsidP="007865D4"/>
    <w:p w14:paraId="4489B4EE" w14:textId="7396743A" w:rsidR="003E1AD8" w:rsidRPr="007D2AC6" w:rsidRDefault="007D7489" w:rsidP="006075D7">
      <w:pPr>
        <w:pStyle w:val="ONUME"/>
        <w:numPr>
          <w:ilvl w:val="0"/>
          <w:numId w:val="0"/>
        </w:numPr>
        <w:jc w:val="both"/>
        <w:rPr>
          <w:caps/>
          <w:lang w:val="fr-FR"/>
        </w:rPr>
      </w:pPr>
      <w:r w:rsidRPr="007D2AC6">
        <w:rPr>
          <w:caps/>
          <w:lang w:val="fr-FR"/>
        </w:rPr>
        <w:t>APPENDI</w:t>
      </w:r>
      <w:r w:rsidR="003D3244" w:rsidRPr="007D2AC6">
        <w:rPr>
          <w:caps/>
          <w:lang w:val="fr-FR"/>
        </w:rPr>
        <w:t>CE</w:t>
      </w:r>
      <w:r w:rsidR="00B57560" w:rsidRPr="007D2AC6">
        <w:rPr>
          <w:caps/>
          <w:lang w:val="fr-FR"/>
        </w:rPr>
        <w:t> </w:t>
      </w:r>
      <w:r w:rsidRPr="007D2AC6">
        <w:rPr>
          <w:caps/>
          <w:lang w:val="fr-FR"/>
        </w:rPr>
        <w:t>III</w:t>
      </w:r>
      <w:r w:rsidR="002A5696" w:rsidRPr="007D2AC6">
        <w:rPr>
          <w:caps/>
          <w:lang w:val="fr-FR"/>
        </w:rPr>
        <w:t> </w:t>
      </w:r>
      <w:proofErr w:type="gramStart"/>
      <w:r w:rsidR="002A5696" w:rsidRPr="007D2AC6">
        <w:rPr>
          <w:caps/>
          <w:lang w:val="fr-FR"/>
        </w:rPr>
        <w:t>:</w:t>
      </w:r>
      <w:r w:rsidR="003E1AD8" w:rsidRPr="007D2AC6">
        <w:rPr>
          <w:caps/>
          <w:lang w:val="fr-FR"/>
        </w:rPr>
        <w:t xml:space="preserve"> </w:t>
      </w:r>
      <w:r w:rsidR="003D3244" w:rsidRPr="007D2AC6">
        <w:rPr>
          <w:caps/>
          <w:lang w:val="fr-FR"/>
        </w:rPr>
        <w:t>LISTE</w:t>
      </w:r>
      <w:proofErr w:type="gramEnd"/>
      <w:r w:rsidR="003D3244" w:rsidRPr="007D2AC6">
        <w:rPr>
          <w:caps/>
          <w:lang w:val="fr-FR"/>
        </w:rPr>
        <w:t xml:space="preserve"> DES PERSONNES CONSULTÉES</w:t>
      </w:r>
      <w:r w:rsidR="00696C22" w:rsidRPr="007D2AC6">
        <w:rPr>
          <w:caps/>
          <w:lang w:val="fr-FR"/>
        </w:rPr>
        <w:t xml:space="preserve"> [</w:t>
      </w:r>
      <w:proofErr w:type="spellStart"/>
      <w:r w:rsidR="007052E9" w:rsidRPr="007D2AC6">
        <w:rPr>
          <w:caps/>
          <w:lang w:val="fr-FR"/>
        </w:rPr>
        <w:t>DACD</w:t>
      </w:r>
      <w:proofErr w:type="spellEnd"/>
      <w:r w:rsidR="002A5696" w:rsidRPr="007D2AC6">
        <w:rPr>
          <w:caps/>
          <w:lang w:val="fr-FR"/>
        </w:rPr>
        <w:t> :</w:t>
      </w:r>
      <w:r w:rsidR="002D2178" w:rsidRPr="007D2AC6">
        <w:rPr>
          <w:caps/>
          <w:lang w:val="fr-FR"/>
        </w:rPr>
        <w:t xml:space="preserve"> VEUILLEZ VÉRIFIER</w:t>
      </w:r>
      <w:r w:rsidR="00696C22" w:rsidRPr="007D2AC6">
        <w:rPr>
          <w:caps/>
          <w:lang w:val="fr-FR"/>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3D3244" w:rsidRPr="007D2AC6" w14:paraId="3D2B1E3C" w14:textId="77777777" w:rsidTr="005107AB">
        <w:trPr>
          <w:tblHeader/>
        </w:trPr>
        <w:tc>
          <w:tcPr>
            <w:tcW w:w="918" w:type="dxa"/>
            <w:shd w:val="clear" w:color="auto" w:fill="auto"/>
            <w:vAlign w:val="center"/>
          </w:tcPr>
          <w:p w14:paraId="71EEF0B0" w14:textId="171CFFAB" w:rsidR="00526AF9" w:rsidRPr="007D2AC6" w:rsidRDefault="00D1331A" w:rsidP="00D1331A">
            <w:pPr>
              <w:spacing w:before="40" w:after="40" w:line="288" w:lineRule="auto"/>
              <w:rPr>
                <w:b/>
                <w:bCs/>
                <w:szCs w:val="22"/>
                <w:lang w:val="fr-FR"/>
              </w:rPr>
            </w:pPr>
            <w:r w:rsidRPr="007D2AC6">
              <w:rPr>
                <w:b/>
                <w:bCs/>
                <w:szCs w:val="22"/>
                <w:lang w:val="fr-FR"/>
              </w:rPr>
              <w:t>N°</w:t>
            </w:r>
          </w:p>
        </w:tc>
        <w:tc>
          <w:tcPr>
            <w:tcW w:w="8404" w:type="dxa"/>
            <w:shd w:val="clear" w:color="auto" w:fill="auto"/>
            <w:vAlign w:val="center"/>
          </w:tcPr>
          <w:p w14:paraId="76949528" w14:textId="53EAA40E" w:rsidR="00526AF9" w:rsidRPr="007D2AC6" w:rsidRDefault="00D1331A" w:rsidP="00D1331A">
            <w:pPr>
              <w:spacing w:before="40" w:after="40" w:line="288" w:lineRule="auto"/>
              <w:rPr>
                <w:b/>
                <w:bCs/>
                <w:szCs w:val="22"/>
                <w:lang w:val="fr-FR"/>
              </w:rPr>
            </w:pPr>
            <w:r w:rsidRPr="007D2AC6">
              <w:rPr>
                <w:b/>
                <w:bCs/>
                <w:szCs w:val="22"/>
                <w:lang w:val="fr-FR"/>
              </w:rPr>
              <w:t>Nom et titre</w:t>
            </w:r>
          </w:p>
        </w:tc>
      </w:tr>
      <w:tr w:rsidR="003D3244" w:rsidRPr="007D2AC6" w14:paraId="5D13E01B" w14:textId="77777777" w:rsidTr="005107AB">
        <w:tc>
          <w:tcPr>
            <w:tcW w:w="918" w:type="dxa"/>
            <w:shd w:val="clear" w:color="auto" w:fill="auto"/>
            <w:vAlign w:val="center"/>
          </w:tcPr>
          <w:p w14:paraId="3A33C3A1" w14:textId="77777777" w:rsidR="003D3244" w:rsidRPr="007D2AC6" w:rsidRDefault="003D3244" w:rsidP="006324A2">
            <w:pPr>
              <w:spacing w:before="40" w:after="40" w:line="288" w:lineRule="auto"/>
              <w:jc w:val="right"/>
              <w:rPr>
                <w:bCs/>
                <w:szCs w:val="22"/>
                <w:lang w:val="fr-FR"/>
              </w:rPr>
            </w:pPr>
            <w:r w:rsidRPr="007D2AC6">
              <w:rPr>
                <w:bCs/>
                <w:szCs w:val="22"/>
                <w:lang w:val="fr-FR"/>
              </w:rPr>
              <w:t>1.</w:t>
            </w:r>
          </w:p>
        </w:tc>
        <w:tc>
          <w:tcPr>
            <w:tcW w:w="8404" w:type="dxa"/>
            <w:shd w:val="clear" w:color="auto" w:fill="auto"/>
            <w:vAlign w:val="center"/>
          </w:tcPr>
          <w:p w14:paraId="6EE4DD8A" w14:textId="7AFF42F1" w:rsidR="003D3244" w:rsidRPr="007D2AC6" w:rsidRDefault="004047BF" w:rsidP="003D3244">
            <w:pPr>
              <w:spacing w:before="40" w:after="40" w:line="288" w:lineRule="auto"/>
              <w:rPr>
                <w:bCs/>
                <w:szCs w:val="22"/>
                <w:lang w:val="fr-FR"/>
              </w:rPr>
            </w:pPr>
            <w:r w:rsidRPr="007D2AC6">
              <w:rPr>
                <w:szCs w:val="22"/>
                <w:lang w:val="fr-FR"/>
              </w:rPr>
              <w:t>Mme Naima </w:t>
            </w:r>
            <w:proofErr w:type="spellStart"/>
            <w:r w:rsidRPr="007D2AC6">
              <w:rPr>
                <w:szCs w:val="22"/>
                <w:lang w:val="fr-FR"/>
              </w:rPr>
              <w:t>Benharbit</w:t>
            </w:r>
            <w:proofErr w:type="spellEnd"/>
            <w:r w:rsidRPr="007D2AC6">
              <w:rPr>
                <w:szCs w:val="22"/>
                <w:lang w:val="fr-FR"/>
              </w:rPr>
              <w:t> El </w:t>
            </w:r>
            <w:r w:rsidR="003D3244" w:rsidRPr="007D2AC6">
              <w:rPr>
                <w:szCs w:val="22"/>
                <w:lang w:val="fr-FR"/>
              </w:rPr>
              <w:t>Alami</w:t>
            </w:r>
            <w:r w:rsidR="002D2178" w:rsidRPr="007D2AC6">
              <w:rPr>
                <w:bCs/>
                <w:szCs w:val="22"/>
                <w:lang w:val="fr-FR"/>
              </w:rPr>
              <w:t>, chef du</w:t>
            </w:r>
            <w:r w:rsidR="003D3244" w:rsidRPr="007D2AC6">
              <w:rPr>
                <w:bCs/>
                <w:szCs w:val="22"/>
                <w:lang w:val="fr-FR"/>
              </w:rPr>
              <w:t xml:space="preserve"> Service marketing et relations internationales, </w:t>
            </w:r>
            <w:proofErr w:type="spellStart"/>
            <w:r w:rsidR="003D3244" w:rsidRPr="007D2AC6">
              <w:rPr>
                <w:bCs/>
                <w:szCs w:val="22"/>
                <w:lang w:val="fr-FR"/>
              </w:rPr>
              <w:t>OMPIC</w:t>
            </w:r>
            <w:proofErr w:type="spellEnd"/>
            <w:r w:rsidR="003D3244" w:rsidRPr="007D2AC6">
              <w:rPr>
                <w:bCs/>
                <w:szCs w:val="22"/>
                <w:lang w:val="fr-FR"/>
              </w:rPr>
              <w:t xml:space="preserve"> </w:t>
            </w:r>
            <w:r w:rsidR="00972890" w:rsidRPr="007D2AC6">
              <w:rPr>
                <w:bCs/>
                <w:szCs w:val="22"/>
                <w:lang w:val="fr-FR"/>
              </w:rPr>
              <w:t>(</w:t>
            </w:r>
            <w:r w:rsidR="003D3244" w:rsidRPr="007D2AC6">
              <w:rPr>
                <w:bCs/>
                <w:szCs w:val="22"/>
                <w:lang w:val="fr-FR"/>
              </w:rPr>
              <w:t>Maroc)</w:t>
            </w:r>
          </w:p>
        </w:tc>
      </w:tr>
      <w:tr w:rsidR="003D3244" w:rsidRPr="007D2AC6" w14:paraId="148B8B51" w14:textId="77777777" w:rsidTr="005107AB">
        <w:tc>
          <w:tcPr>
            <w:tcW w:w="918" w:type="dxa"/>
            <w:shd w:val="clear" w:color="auto" w:fill="auto"/>
            <w:vAlign w:val="center"/>
          </w:tcPr>
          <w:p w14:paraId="5E895814" w14:textId="77777777" w:rsidR="003D3244" w:rsidRPr="007D2AC6" w:rsidRDefault="003D3244" w:rsidP="006324A2">
            <w:pPr>
              <w:spacing w:before="40" w:after="40" w:line="288" w:lineRule="auto"/>
              <w:jc w:val="right"/>
              <w:rPr>
                <w:bCs/>
                <w:szCs w:val="22"/>
                <w:lang w:val="fr-FR"/>
              </w:rPr>
            </w:pPr>
            <w:r w:rsidRPr="007D2AC6">
              <w:rPr>
                <w:bCs/>
                <w:szCs w:val="22"/>
                <w:lang w:val="fr-FR"/>
              </w:rPr>
              <w:t>2.</w:t>
            </w:r>
          </w:p>
        </w:tc>
        <w:tc>
          <w:tcPr>
            <w:tcW w:w="8404" w:type="dxa"/>
            <w:shd w:val="clear" w:color="auto" w:fill="auto"/>
            <w:vAlign w:val="center"/>
          </w:tcPr>
          <w:p w14:paraId="5604E329" w14:textId="17C52BDB" w:rsidR="003D3244" w:rsidRPr="007D2AC6" w:rsidRDefault="003D3244">
            <w:pPr>
              <w:spacing w:before="40" w:after="40" w:line="288" w:lineRule="auto"/>
              <w:rPr>
                <w:bCs/>
                <w:szCs w:val="22"/>
                <w:lang w:val="fr-FR"/>
              </w:rPr>
            </w:pPr>
            <w:proofErr w:type="spellStart"/>
            <w:r w:rsidRPr="007D2AC6">
              <w:rPr>
                <w:szCs w:val="22"/>
                <w:lang w:val="fr-FR"/>
              </w:rPr>
              <w:t>L</w:t>
            </w:r>
            <w:r w:rsidR="004047BF" w:rsidRPr="007D2AC6">
              <w:rPr>
                <w:szCs w:val="22"/>
                <w:lang w:val="fr-FR"/>
              </w:rPr>
              <w:t>ic</w:t>
            </w:r>
            <w:proofErr w:type="spellEnd"/>
            <w:r w:rsidR="004047BF" w:rsidRPr="007D2AC6">
              <w:rPr>
                <w:szCs w:val="22"/>
                <w:lang w:val="fr-FR"/>
              </w:rPr>
              <w:t>. </w:t>
            </w:r>
            <w:r w:rsidR="001B6E2D" w:rsidRPr="007D2AC6">
              <w:rPr>
                <w:szCs w:val="22"/>
                <w:lang w:val="fr-FR"/>
              </w:rPr>
              <w:t>Ma</w:t>
            </w:r>
            <w:r w:rsidR="004047BF" w:rsidRPr="007D2AC6">
              <w:rPr>
                <w:szCs w:val="22"/>
                <w:lang w:val="fr-FR"/>
              </w:rPr>
              <w:t>ria Eugenia </w:t>
            </w:r>
            <w:r w:rsidRPr="007D2AC6">
              <w:rPr>
                <w:szCs w:val="22"/>
                <w:lang w:val="fr-FR"/>
              </w:rPr>
              <w:t>Barroso</w:t>
            </w:r>
            <w:r w:rsidRPr="007D2AC6">
              <w:rPr>
                <w:bCs/>
                <w:szCs w:val="22"/>
                <w:lang w:val="fr-FR"/>
              </w:rPr>
              <w:t xml:space="preserve">, </w:t>
            </w:r>
            <w:proofErr w:type="spellStart"/>
            <w:r w:rsidRPr="007D2AC6">
              <w:rPr>
                <w:bCs/>
                <w:szCs w:val="22"/>
                <w:lang w:val="fr-FR"/>
              </w:rPr>
              <w:t>Jefe</w:t>
            </w:r>
            <w:proofErr w:type="spellEnd"/>
            <w:r w:rsidRPr="007D2AC6">
              <w:rPr>
                <w:bCs/>
                <w:szCs w:val="22"/>
                <w:lang w:val="fr-FR"/>
              </w:rPr>
              <w:t xml:space="preserve"> de </w:t>
            </w:r>
            <w:proofErr w:type="spellStart"/>
            <w:r w:rsidRPr="007D2AC6">
              <w:rPr>
                <w:bCs/>
                <w:szCs w:val="22"/>
                <w:lang w:val="fr-FR"/>
              </w:rPr>
              <w:t>Unidad</w:t>
            </w:r>
            <w:proofErr w:type="spellEnd"/>
            <w:r w:rsidRPr="007D2AC6">
              <w:rPr>
                <w:bCs/>
                <w:szCs w:val="22"/>
                <w:lang w:val="fr-FR"/>
              </w:rPr>
              <w:t xml:space="preserve"> – </w:t>
            </w:r>
            <w:proofErr w:type="spellStart"/>
            <w:r w:rsidRPr="007D2AC6">
              <w:rPr>
                <w:bCs/>
                <w:szCs w:val="22"/>
                <w:lang w:val="fr-FR"/>
              </w:rPr>
              <w:t>Relaciones</w:t>
            </w:r>
            <w:proofErr w:type="spellEnd"/>
            <w:r w:rsidRPr="007D2AC6">
              <w:rPr>
                <w:bCs/>
                <w:szCs w:val="22"/>
                <w:lang w:val="fr-FR"/>
              </w:rPr>
              <w:t xml:space="preserve"> </w:t>
            </w:r>
            <w:proofErr w:type="spellStart"/>
            <w:r w:rsidRPr="007D2AC6">
              <w:rPr>
                <w:bCs/>
                <w:szCs w:val="22"/>
                <w:lang w:val="fr-FR"/>
              </w:rPr>
              <w:t>Institucionales</w:t>
            </w:r>
            <w:proofErr w:type="spellEnd"/>
            <w:r w:rsidRPr="007D2AC6">
              <w:rPr>
                <w:bCs/>
                <w:szCs w:val="22"/>
                <w:lang w:val="fr-FR"/>
              </w:rPr>
              <w:t xml:space="preserve"> e </w:t>
            </w:r>
            <w:proofErr w:type="spellStart"/>
            <w:r w:rsidRPr="007D2AC6">
              <w:rPr>
                <w:bCs/>
                <w:szCs w:val="22"/>
                <w:lang w:val="fr-FR"/>
              </w:rPr>
              <w:t>Internacionales</w:t>
            </w:r>
            <w:proofErr w:type="spellEnd"/>
            <w:r w:rsidRPr="007D2AC6">
              <w:rPr>
                <w:bCs/>
                <w:szCs w:val="22"/>
                <w:lang w:val="fr-FR"/>
              </w:rPr>
              <w:t xml:space="preserve">, </w:t>
            </w:r>
            <w:proofErr w:type="spellStart"/>
            <w:r w:rsidRPr="007D2AC6">
              <w:rPr>
                <w:bCs/>
                <w:szCs w:val="22"/>
                <w:lang w:val="fr-FR"/>
              </w:rPr>
              <w:t>INPI</w:t>
            </w:r>
            <w:proofErr w:type="spellEnd"/>
            <w:r w:rsidRPr="007D2AC6">
              <w:rPr>
                <w:bCs/>
                <w:szCs w:val="22"/>
                <w:lang w:val="fr-FR"/>
              </w:rPr>
              <w:t>, Argentin</w:t>
            </w:r>
            <w:r w:rsidR="002D2178" w:rsidRPr="007D2AC6">
              <w:rPr>
                <w:bCs/>
                <w:szCs w:val="22"/>
                <w:lang w:val="fr-FR"/>
              </w:rPr>
              <w:t>e</w:t>
            </w:r>
          </w:p>
        </w:tc>
      </w:tr>
      <w:tr w:rsidR="003D3244" w:rsidRPr="007D2AC6" w14:paraId="40AFA2AB" w14:textId="77777777" w:rsidTr="005107AB">
        <w:tc>
          <w:tcPr>
            <w:tcW w:w="918" w:type="dxa"/>
            <w:shd w:val="clear" w:color="auto" w:fill="auto"/>
            <w:vAlign w:val="center"/>
          </w:tcPr>
          <w:p w14:paraId="486C59B9" w14:textId="77777777" w:rsidR="003D3244" w:rsidRPr="007D2AC6" w:rsidRDefault="003D3244" w:rsidP="006324A2">
            <w:pPr>
              <w:spacing w:before="40" w:after="40" w:line="288" w:lineRule="auto"/>
              <w:jc w:val="right"/>
              <w:rPr>
                <w:bCs/>
                <w:szCs w:val="22"/>
                <w:lang w:val="fr-FR"/>
              </w:rPr>
            </w:pPr>
            <w:r w:rsidRPr="007D2AC6">
              <w:rPr>
                <w:bCs/>
                <w:szCs w:val="22"/>
                <w:lang w:val="fr-FR"/>
              </w:rPr>
              <w:t>3.</w:t>
            </w:r>
          </w:p>
        </w:tc>
        <w:tc>
          <w:tcPr>
            <w:tcW w:w="8404" w:type="dxa"/>
            <w:shd w:val="clear" w:color="auto" w:fill="auto"/>
            <w:vAlign w:val="center"/>
          </w:tcPr>
          <w:p w14:paraId="7FBAE9FE" w14:textId="50B3A71D" w:rsidR="003D3244" w:rsidRPr="007D2AC6" w:rsidRDefault="004047BF" w:rsidP="003D3244">
            <w:pPr>
              <w:spacing w:before="40" w:after="40" w:line="288" w:lineRule="auto"/>
              <w:rPr>
                <w:bCs/>
                <w:szCs w:val="22"/>
                <w:lang w:val="fr-FR"/>
              </w:rPr>
            </w:pPr>
            <w:r w:rsidRPr="007D2AC6">
              <w:rPr>
                <w:szCs w:val="22"/>
                <w:lang w:val="fr-FR"/>
              </w:rPr>
              <w:t>M. Diego </w:t>
            </w:r>
            <w:proofErr w:type="spellStart"/>
            <w:r w:rsidR="003D3244" w:rsidRPr="007D2AC6">
              <w:rPr>
                <w:szCs w:val="22"/>
                <w:lang w:val="fr-FR"/>
              </w:rPr>
              <w:t>Domma</w:t>
            </w:r>
            <w:proofErr w:type="spellEnd"/>
            <w:r w:rsidR="003D3244" w:rsidRPr="007D2AC6">
              <w:rPr>
                <w:szCs w:val="22"/>
                <w:lang w:val="fr-FR"/>
              </w:rPr>
              <w:t>,</w:t>
            </w:r>
            <w:r w:rsidR="003D3244" w:rsidRPr="007D2AC6">
              <w:rPr>
                <w:bCs/>
                <w:szCs w:val="22"/>
                <w:lang w:val="fr-FR"/>
              </w:rPr>
              <w:t xml:space="preserve"> expert local </w:t>
            </w:r>
            <w:r w:rsidR="00972890" w:rsidRPr="007D2AC6">
              <w:rPr>
                <w:bCs/>
                <w:szCs w:val="22"/>
                <w:lang w:val="fr-FR"/>
              </w:rPr>
              <w:t>(</w:t>
            </w:r>
            <w:r w:rsidR="003D3244" w:rsidRPr="007D2AC6">
              <w:rPr>
                <w:bCs/>
                <w:szCs w:val="22"/>
                <w:lang w:val="fr-FR"/>
              </w:rPr>
              <w:t>Argentine)</w:t>
            </w:r>
          </w:p>
        </w:tc>
      </w:tr>
      <w:tr w:rsidR="003D3244" w:rsidRPr="007D2AC6" w14:paraId="6F1E7416" w14:textId="77777777" w:rsidTr="005107AB">
        <w:tc>
          <w:tcPr>
            <w:tcW w:w="918" w:type="dxa"/>
            <w:shd w:val="clear" w:color="auto" w:fill="auto"/>
            <w:vAlign w:val="center"/>
          </w:tcPr>
          <w:p w14:paraId="2D005B74" w14:textId="77777777" w:rsidR="003D3244" w:rsidRPr="007D2AC6" w:rsidRDefault="003D3244" w:rsidP="006324A2">
            <w:pPr>
              <w:spacing w:before="40" w:after="40" w:line="288" w:lineRule="auto"/>
              <w:jc w:val="right"/>
              <w:rPr>
                <w:bCs/>
                <w:szCs w:val="22"/>
                <w:lang w:val="fr-FR"/>
              </w:rPr>
            </w:pPr>
            <w:r w:rsidRPr="007D2AC6">
              <w:rPr>
                <w:bCs/>
                <w:szCs w:val="22"/>
                <w:lang w:val="fr-FR"/>
              </w:rPr>
              <w:t>4.</w:t>
            </w:r>
          </w:p>
        </w:tc>
        <w:tc>
          <w:tcPr>
            <w:tcW w:w="8404" w:type="dxa"/>
            <w:shd w:val="clear" w:color="auto" w:fill="auto"/>
            <w:vAlign w:val="center"/>
          </w:tcPr>
          <w:p w14:paraId="01C1491C" w14:textId="240B7F9B" w:rsidR="003D3244" w:rsidRPr="007D2AC6" w:rsidRDefault="004047BF" w:rsidP="003D3244">
            <w:pPr>
              <w:spacing w:before="40" w:after="40" w:line="288" w:lineRule="auto"/>
              <w:rPr>
                <w:szCs w:val="22"/>
                <w:lang w:val="fr-FR"/>
              </w:rPr>
            </w:pPr>
            <w:r w:rsidRPr="007D2AC6">
              <w:rPr>
                <w:bCs/>
                <w:szCs w:val="22"/>
                <w:lang w:val="fr-FR"/>
              </w:rPr>
              <w:t>M. Matthew </w:t>
            </w:r>
            <w:proofErr w:type="spellStart"/>
            <w:r w:rsidR="003D3244" w:rsidRPr="007D2AC6">
              <w:rPr>
                <w:bCs/>
                <w:szCs w:val="22"/>
                <w:lang w:val="fr-FR"/>
              </w:rPr>
              <w:t>Forno</w:t>
            </w:r>
            <w:proofErr w:type="spellEnd"/>
            <w:r w:rsidR="003D3244" w:rsidRPr="007D2AC6">
              <w:rPr>
                <w:szCs w:val="22"/>
                <w:lang w:val="fr-FR"/>
              </w:rPr>
              <w:t>, conseiller principal, Division de l</w:t>
            </w:r>
            <w:r w:rsidR="002A5696" w:rsidRPr="007D2AC6">
              <w:rPr>
                <w:szCs w:val="22"/>
                <w:lang w:val="fr-FR"/>
              </w:rPr>
              <w:t>’</w:t>
            </w:r>
            <w:r w:rsidR="003D3244" w:rsidRPr="007D2AC6">
              <w:rPr>
                <w:szCs w:val="22"/>
                <w:lang w:val="fr-FR"/>
              </w:rPr>
              <w:t>information et de la promotion, Service d</w:t>
            </w:r>
            <w:r w:rsidR="002A5696" w:rsidRPr="007D2AC6">
              <w:rPr>
                <w:szCs w:val="22"/>
                <w:lang w:val="fr-FR"/>
              </w:rPr>
              <w:t>’</w:t>
            </w:r>
            <w:r w:rsidR="003D3244" w:rsidRPr="007D2AC6">
              <w:rPr>
                <w:szCs w:val="22"/>
                <w:lang w:val="fr-FR"/>
              </w:rPr>
              <w:t>enregistrement de Madrid, Secteur des marques et des dessins et modèles, OMPI</w:t>
            </w:r>
          </w:p>
        </w:tc>
      </w:tr>
      <w:tr w:rsidR="003D3244" w:rsidRPr="007D2AC6" w14:paraId="16EDD2A3" w14:textId="77777777" w:rsidTr="005107AB">
        <w:tc>
          <w:tcPr>
            <w:tcW w:w="918" w:type="dxa"/>
            <w:shd w:val="clear" w:color="auto" w:fill="auto"/>
            <w:vAlign w:val="center"/>
          </w:tcPr>
          <w:p w14:paraId="7E5863AE" w14:textId="1604F5C9" w:rsidR="003D3244" w:rsidRPr="007D2AC6" w:rsidRDefault="003D3244" w:rsidP="006324A2">
            <w:pPr>
              <w:spacing w:before="40" w:after="40" w:line="288" w:lineRule="auto"/>
              <w:jc w:val="right"/>
              <w:rPr>
                <w:bCs/>
                <w:szCs w:val="22"/>
                <w:lang w:val="fr-FR"/>
              </w:rPr>
            </w:pPr>
            <w:r w:rsidRPr="007D2AC6">
              <w:rPr>
                <w:bCs/>
                <w:szCs w:val="22"/>
                <w:lang w:val="fr-FR"/>
              </w:rPr>
              <w:t xml:space="preserve">5. </w:t>
            </w:r>
          </w:p>
        </w:tc>
        <w:tc>
          <w:tcPr>
            <w:tcW w:w="8404" w:type="dxa"/>
            <w:shd w:val="clear" w:color="auto" w:fill="auto"/>
            <w:vAlign w:val="center"/>
          </w:tcPr>
          <w:p w14:paraId="1FF50C83" w14:textId="519DDE73" w:rsidR="003D3244" w:rsidRPr="007D2AC6" w:rsidRDefault="004047BF" w:rsidP="003D3244">
            <w:pPr>
              <w:spacing w:before="40" w:after="40" w:line="288" w:lineRule="auto"/>
              <w:rPr>
                <w:szCs w:val="22"/>
                <w:lang w:val="fr-FR"/>
              </w:rPr>
            </w:pPr>
            <w:r w:rsidRPr="007D2AC6">
              <w:rPr>
                <w:bCs/>
                <w:szCs w:val="22"/>
                <w:lang w:val="fr-FR"/>
              </w:rPr>
              <w:t>Mme Marina </w:t>
            </w:r>
            <w:proofErr w:type="spellStart"/>
            <w:r w:rsidR="003D3244" w:rsidRPr="007D2AC6">
              <w:rPr>
                <w:bCs/>
                <w:szCs w:val="22"/>
                <w:lang w:val="fr-FR"/>
              </w:rPr>
              <w:t>Foschi</w:t>
            </w:r>
            <w:proofErr w:type="spellEnd"/>
            <w:r w:rsidR="003D3244" w:rsidRPr="007D2AC6">
              <w:rPr>
                <w:bCs/>
                <w:szCs w:val="22"/>
                <w:lang w:val="fr-FR"/>
              </w:rPr>
              <w:t>,</w:t>
            </w:r>
            <w:r w:rsidR="003D3244" w:rsidRPr="007D2AC6">
              <w:rPr>
                <w:szCs w:val="22"/>
                <w:lang w:val="fr-FR"/>
              </w:rPr>
              <w:t xml:space="preserve"> juriste, Section du droit des dessins et modèles et des indications géographiques, Division du droit et des services consultatifs en matière de législation, Secteur des marques et des dessins et modèles, OMPI</w:t>
            </w:r>
          </w:p>
        </w:tc>
      </w:tr>
      <w:tr w:rsidR="003D3244" w:rsidRPr="007D2AC6" w14:paraId="7DB653C5" w14:textId="77777777" w:rsidTr="005107AB">
        <w:tc>
          <w:tcPr>
            <w:tcW w:w="918" w:type="dxa"/>
            <w:shd w:val="clear" w:color="auto" w:fill="auto"/>
            <w:vAlign w:val="center"/>
          </w:tcPr>
          <w:p w14:paraId="3CB670E9" w14:textId="77777777" w:rsidR="003D3244" w:rsidRPr="007D2AC6" w:rsidRDefault="003D3244" w:rsidP="006324A2">
            <w:pPr>
              <w:spacing w:before="40" w:after="40" w:line="288" w:lineRule="auto"/>
              <w:jc w:val="right"/>
              <w:rPr>
                <w:bCs/>
                <w:szCs w:val="22"/>
                <w:lang w:val="fr-FR"/>
              </w:rPr>
            </w:pPr>
            <w:r w:rsidRPr="007D2AC6">
              <w:rPr>
                <w:bCs/>
                <w:szCs w:val="22"/>
                <w:lang w:val="fr-FR"/>
              </w:rPr>
              <w:t>6.</w:t>
            </w:r>
          </w:p>
        </w:tc>
        <w:tc>
          <w:tcPr>
            <w:tcW w:w="8404" w:type="dxa"/>
            <w:shd w:val="clear" w:color="auto" w:fill="auto"/>
            <w:vAlign w:val="center"/>
          </w:tcPr>
          <w:p w14:paraId="3E166F3D" w14:textId="1E75E21A" w:rsidR="003D3244" w:rsidRPr="007D2AC6" w:rsidRDefault="003D3244" w:rsidP="003D3244">
            <w:pPr>
              <w:spacing w:before="40" w:after="40" w:line="288" w:lineRule="auto"/>
              <w:rPr>
                <w:bCs/>
                <w:szCs w:val="22"/>
                <w:lang w:val="fr-FR"/>
              </w:rPr>
            </w:pPr>
            <w:r w:rsidRPr="007D2AC6">
              <w:rPr>
                <w:szCs w:val="22"/>
                <w:lang w:val="fr-FR"/>
              </w:rPr>
              <w:t>M. George</w:t>
            </w:r>
            <w:r w:rsidR="00B57560" w:rsidRPr="007D2AC6">
              <w:rPr>
                <w:szCs w:val="22"/>
                <w:lang w:val="fr-FR"/>
              </w:rPr>
              <w:t> </w:t>
            </w:r>
            <w:r w:rsidRPr="007D2AC6">
              <w:rPr>
                <w:szCs w:val="22"/>
                <w:lang w:val="fr-FR"/>
              </w:rPr>
              <w:t>Ghandour</w:t>
            </w:r>
            <w:r w:rsidRPr="007D2AC6">
              <w:rPr>
                <w:bCs/>
                <w:szCs w:val="22"/>
                <w:lang w:val="fr-FR"/>
              </w:rPr>
              <w:t>, administrateur principal de programme, Division de la coordination du Plan d</w:t>
            </w:r>
            <w:r w:rsidR="002A5696" w:rsidRPr="007D2AC6">
              <w:rPr>
                <w:bCs/>
                <w:szCs w:val="22"/>
                <w:lang w:val="fr-FR"/>
              </w:rPr>
              <w:t>’</w:t>
            </w:r>
            <w:r w:rsidRPr="007D2AC6">
              <w:rPr>
                <w:bCs/>
                <w:szCs w:val="22"/>
                <w:lang w:val="fr-FR"/>
              </w:rPr>
              <w:t>action pour le développement, Secteur du développement, OMPI</w:t>
            </w:r>
          </w:p>
        </w:tc>
      </w:tr>
      <w:tr w:rsidR="003D3244" w:rsidRPr="007D2AC6" w14:paraId="770F47F8" w14:textId="77777777" w:rsidTr="005107AB">
        <w:tc>
          <w:tcPr>
            <w:tcW w:w="918" w:type="dxa"/>
            <w:shd w:val="clear" w:color="auto" w:fill="auto"/>
            <w:vAlign w:val="center"/>
          </w:tcPr>
          <w:p w14:paraId="56B899E3" w14:textId="77777777" w:rsidR="003D3244" w:rsidRPr="007D2AC6" w:rsidRDefault="003D3244" w:rsidP="00D67159">
            <w:pPr>
              <w:spacing w:before="40" w:after="40" w:line="288" w:lineRule="auto"/>
              <w:jc w:val="right"/>
              <w:rPr>
                <w:bCs/>
                <w:szCs w:val="22"/>
                <w:lang w:val="fr-FR"/>
              </w:rPr>
            </w:pPr>
            <w:r w:rsidRPr="007D2AC6">
              <w:rPr>
                <w:bCs/>
                <w:szCs w:val="22"/>
                <w:lang w:val="fr-FR"/>
              </w:rPr>
              <w:t>7.</w:t>
            </w:r>
          </w:p>
        </w:tc>
        <w:tc>
          <w:tcPr>
            <w:tcW w:w="8404" w:type="dxa"/>
            <w:shd w:val="clear" w:color="auto" w:fill="auto"/>
            <w:vAlign w:val="center"/>
          </w:tcPr>
          <w:p w14:paraId="02F473E8" w14:textId="627BCD5F" w:rsidR="003D3244" w:rsidRPr="007D2AC6" w:rsidRDefault="004047BF" w:rsidP="003D3244">
            <w:pPr>
              <w:spacing w:before="40" w:after="40" w:line="288" w:lineRule="auto"/>
              <w:rPr>
                <w:b/>
                <w:bCs/>
                <w:szCs w:val="22"/>
                <w:lang w:val="fr-FR"/>
              </w:rPr>
            </w:pPr>
            <w:r w:rsidRPr="007D2AC6">
              <w:rPr>
                <w:szCs w:val="22"/>
                <w:lang w:val="fr-FR"/>
              </w:rPr>
              <w:t>M. Oswaldo </w:t>
            </w:r>
            <w:proofErr w:type="spellStart"/>
            <w:r w:rsidRPr="007D2AC6">
              <w:rPr>
                <w:szCs w:val="22"/>
                <w:lang w:val="fr-FR"/>
              </w:rPr>
              <w:t>Girones</w:t>
            </w:r>
            <w:proofErr w:type="spellEnd"/>
            <w:r w:rsidRPr="007D2AC6">
              <w:rPr>
                <w:szCs w:val="22"/>
                <w:lang w:val="fr-FR"/>
              </w:rPr>
              <w:t> </w:t>
            </w:r>
            <w:proofErr w:type="spellStart"/>
            <w:r w:rsidR="003D3244" w:rsidRPr="007D2AC6">
              <w:rPr>
                <w:szCs w:val="22"/>
                <w:lang w:val="fr-FR"/>
              </w:rPr>
              <w:t>Jorda</w:t>
            </w:r>
            <w:proofErr w:type="spellEnd"/>
            <w:r w:rsidR="003D3244" w:rsidRPr="007D2AC6">
              <w:rPr>
                <w:szCs w:val="22"/>
                <w:lang w:val="fr-FR"/>
              </w:rPr>
              <w:t>,</w:t>
            </w:r>
            <w:r w:rsidR="003D3244" w:rsidRPr="007D2AC6">
              <w:rPr>
                <w:b/>
                <w:bCs/>
                <w:szCs w:val="22"/>
                <w:lang w:val="fr-FR"/>
              </w:rPr>
              <w:t xml:space="preserve"> </w:t>
            </w:r>
            <w:proofErr w:type="gramStart"/>
            <w:r w:rsidR="003D3244" w:rsidRPr="007D2AC6">
              <w:rPr>
                <w:bCs/>
                <w:szCs w:val="22"/>
                <w:lang w:val="fr-FR"/>
              </w:rPr>
              <w:t>conseiller</w:t>
            </w:r>
            <w:proofErr w:type="gramEnd"/>
            <w:r w:rsidR="003D3244" w:rsidRPr="007D2AC6">
              <w:rPr>
                <w:bCs/>
                <w:szCs w:val="22"/>
                <w:lang w:val="fr-FR"/>
              </w:rPr>
              <w:t>, Bureau régional pour l</w:t>
            </w:r>
            <w:r w:rsidR="002A5696" w:rsidRPr="007D2AC6">
              <w:rPr>
                <w:bCs/>
                <w:szCs w:val="22"/>
                <w:lang w:val="fr-FR"/>
              </w:rPr>
              <w:t>’</w:t>
            </w:r>
            <w:r w:rsidR="003D3244" w:rsidRPr="007D2AC6">
              <w:rPr>
                <w:bCs/>
                <w:szCs w:val="22"/>
                <w:lang w:val="fr-FR"/>
              </w:rPr>
              <w:t>Amérique latine et les Caraïbes, Secteur du développement, OMPI</w:t>
            </w:r>
          </w:p>
        </w:tc>
      </w:tr>
      <w:tr w:rsidR="003D3244" w:rsidRPr="007D2AC6" w14:paraId="7D84069F" w14:textId="77777777" w:rsidTr="005107AB">
        <w:tc>
          <w:tcPr>
            <w:tcW w:w="918" w:type="dxa"/>
            <w:shd w:val="clear" w:color="auto" w:fill="auto"/>
            <w:vAlign w:val="center"/>
          </w:tcPr>
          <w:p w14:paraId="2048FA3F" w14:textId="77777777" w:rsidR="003D3244" w:rsidRPr="007D2AC6" w:rsidRDefault="003D3244" w:rsidP="00D67159">
            <w:pPr>
              <w:spacing w:before="40" w:after="40" w:line="288" w:lineRule="auto"/>
              <w:jc w:val="right"/>
              <w:rPr>
                <w:bCs/>
                <w:szCs w:val="22"/>
                <w:lang w:val="fr-FR"/>
              </w:rPr>
            </w:pPr>
            <w:r w:rsidRPr="007D2AC6">
              <w:rPr>
                <w:bCs/>
                <w:szCs w:val="22"/>
                <w:lang w:val="fr-FR"/>
              </w:rPr>
              <w:t>8.</w:t>
            </w:r>
          </w:p>
        </w:tc>
        <w:tc>
          <w:tcPr>
            <w:tcW w:w="8404" w:type="dxa"/>
            <w:shd w:val="clear" w:color="auto" w:fill="auto"/>
            <w:vAlign w:val="center"/>
          </w:tcPr>
          <w:p w14:paraId="2AB504C0" w14:textId="77F070BD" w:rsidR="003D3244" w:rsidRPr="007D2AC6" w:rsidRDefault="003D3244" w:rsidP="001B6E2D">
            <w:pPr>
              <w:spacing w:before="40" w:after="40" w:line="288" w:lineRule="auto"/>
              <w:rPr>
                <w:bCs/>
                <w:szCs w:val="22"/>
                <w:lang w:val="fr-FR"/>
              </w:rPr>
            </w:pPr>
            <w:r w:rsidRPr="007D2AC6">
              <w:rPr>
                <w:bCs/>
                <w:szCs w:val="22"/>
                <w:lang w:val="fr-FR"/>
              </w:rPr>
              <w:t>M.</w:t>
            </w:r>
            <w:r w:rsidR="001B6E2D" w:rsidRPr="007D2AC6">
              <w:rPr>
                <w:bCs/>
                <w:szCs w:val="22"/>
                <w:lang w:val="fr-FR"/>
              </w:rPr>
              <w:t> </w:t>
            </w:r>
            <w:r w:rsidRPr="007D2AC6">
              <w:rPr>
                <w:bCs/>
                <w:szCs w:val="22"/>
                <w:lang w:val="fr-FR"/>
              </w:rPr>
              <w:t>Marcus</w:t>
            </w:r>
            <w:r w:rsidR="00B57560" w:rsidRPr="007D2AC6">
              <w:rPr>
                <w:bCs/>
                <w:szCs w:val="22"/>
                <w:lang w:val="fr-FR"/>
              </w:rPr>
              <w:t> </w:t>
            </w:r>
            <w:proofErr w:type="spellStart"/>
            <w:r w:rsidRPr="007D2AC6">
              <w:rPr>
                <w:bCs/>
                <w:szCs w:val="22"/>
                <w:lang w:val="fr-FR"/>
              </w:rPr>
              <w:t>Höpperger</w:t>
            </w:r>
            <w:proofErr w:type="spellEnd"/>
            <w:r w:rsidRPr="007D2AC6">
              <w:rPr>
                <w:bCs/>
                <w:szCs w:val="22"/>
                <w:lang w:val="fr-FR"/>
              </w:rPr>
              <w:t>, ancien directeur, Division du droit et des services consultatifs en matière de législation, Secteur des marques et des dessins et modèles, OMPI</w:t>
            </w:r>
          </w:p>
        </w:tc>
      </w:tr>
      <w:tr w:rsidR="003D3244" w:rsidRPr="007D2AC6" w14:paraId="77F54257" w14:textId="77777777" w:rsidTr="005107AB">
        <w:tc>
          <w:tcPr>
            <w:tcW w:w="918" w:type="dxa"/>
            <w:shd w:val="clear" w:color="auto" w:fill="auto"/>
            <w:vAlign w:val="center"/>
          </w:tcPr>
          <w:p w14:paraId="4CFF0FE6" w14:textId="77777777" w:rsidR="003D3244" w:rsidRPr="007D2AC6" w:rsidRDefault="003D3244" w:rsidP="00D67159">
            <w:pPr>
              <w:spacing w:before="40" w:after="40" w:line="288" w:lineRule="auto"/>
              <w:jc w:val="right"/>
              <w:rPr>
                <w:bCs/>
                <w:szCs w:val="22"/>
                <w:lang w:val="fr-FR"/>
              </w:rPr>
            </w:pPr>
            <w:r w:rsidRPr="007D2AC6">
              <w:rPr>
                <w:bCs/>
                <w:szCs w:val="22"/>
                <w:lang w:val="fr-FR"/>
              </w:rPr>
              <w:t>9.</w:t>
            </w:r>
          </w:p>
        </w:tc>
        <w:tc>
          <w:tcPr>
            <w:tcW w:w="8404" w:type="dxa"/>
            <w:shd w:val="clear" w:color="auto" w:fill="auto"/>
            <w:vAlign w:val="center"/>
          </w:tcPr>
          <w:p w14:paraId="7011DA6C" w14:textId="19461EFC" w:rsidR="003D3244" w:rsidRPr="007D2AC6" w:rsidRDefault="004047BF" w:rsidP="003D3244">
            <w:pPr>
              <w:spacing w:before="40" w:after="40" w:line="288" w:lineRule="auto"/>
              <w:rPr>
                <w:bCs/>
                <w:szCs w:val="22"/>
                <w:lang w:val="fr-FR"/>
              </w:rPr>
            </w:pPr>
            <w:r w:rsidRPr="007D2AC6">
              <w:rPr>
                <w:szCs w:val="22"/>
                <w:lang w:val="fr-FR"/>
              </w:rPr>
              <w:t>M. Abid </w:t>
            </w:r>
            <w:proofErr w:type="spellStart"/>
            <w:r w:rsidR="003D3244" w:rsidRPr="007D2AC6">
              <w:rPr>
                <w:szCs w:val="22"/>
                <w:lang w:val="fr-FR"/>
              </w:rPr>
              <w:t>Kabadi</w:t>
            </w:r>
            <w:proofErr w:type="spellEnd"/>
            <w:r w:rsidR="003D3244" w:rsidRPr="007D2AC6">
              <w:rPr>
                <w:bCs/>
                <w:szCs w:val="22"/>
                <w:lang w:val="fr-FR"/>
              </w:rPr>
              <w:t xml:space="preserve">, expert local </w:t>
            </w:r>
            <w:r w:rsidR="00972890" w:rsidRPr="007D2AC6">
              <w:rPr>
                <w:bCs/>
                <w:szCs w:val="22"/>
                <w:lang w:val="fr-FR"/>
              </w:rPr>
              <w:t>(</w:t>
            </w:r>
            <w:r w:rsidR="003D3244" w:rsidRPr="007D2AC6">
              <w:rPr>
                <w:bCs/>
                <w:szCs w:val="22"/>
                <w:lang w:val="fr-FR"/>
              </w:rPr>
              <w:t>Maroc)</w:t>
            </w:r>
          </w:p>
        </w:tc>
      </w:tr>
      <w:tr w:rsidR="003D3244" w:rsidRPr="007D2AC6" w14:paraId="18B47E83" w14:textId="77777777" w:rsidTr="005107AB">
        <w:tc>
          <w:tcPr>
            <w:tcW w:w="918" w:type="dxa"/>
            <w:shd w:val="clear" w:color="auto" w:fill="auto"/>
            <w:vAlign w:val="center"/>
          </w:tcPr>
          <w:p w14:paraId="16FEED08" w14:textId="77777777" w:rsidR="003D3244" w:rsidRPr="007D2AC6" w:rsidRDefault="003D3244" w:rsidP="00D67159">
            <w:pPr>
              <w:spacing w:before="40" w:after="40" w:line="288" w:lineRule="auto"/>
              <w:jc w:val="right"/>
              <w:rPr>
                <w:bCs/>
                <w:szCs w:val="22"/>
                <w:lang w:val="fr-FR"/>
              </w:rPr>
            </w:pPr>
            <w:r w:rsidRPr="007D2AC6">
              <w:rPr>
                <w:bCs/>
                <w:szCs w:val="22"/>
                <w:lang w:val="fr-FR"/>
              </w:rPr>
              <w:t>10.</w:t>
            </w:r>
          </w:p>
        </w:tc>
        <w:tc>
          <w:tcPr>
            <w:tcW w:w="8404" w:type="dxa"/>
            <w:shd w:val="clear" w:color="auto" w:fill="auto"/>
            <w:vAlign w:val="center"/>
          </w:tcPr>
          <w:p w14:paraId="4CD81543" w14:textId="0279A072" w:rsidR="003D3244" w:rsidRPr="007D2AC6" w:rsidRDefault="004047BF">
            <w:pPr>
              <w:spacing w:before="40" w:after="40" w:line="288" w:lineRule="auto"/>
              <w:rPr>
                <w:b/>
                <w:bCs/>
                <w:szCs w:val="22"/>
                <w:lang w:val="fr-FR"/>
              </w:rPr>
            </w:pPr>
            <w:r w:rsidRPr="007D2AC6">
              <w:rPr>
                <w:szCs w:val="22"/>
                <w:lang w:val="fr-FR"/>
              </w:rPr>
              <w:t>M. Hicham </w:t>
            </w:r>
            <w:r w:rsidR="003D3244" w:rsidRPr="007D2AC6">
              <w:rPr>
                <w:szCs w:val="22"/>
                <w:lang w:val="fr-FR"/>
              </w:rPr>
              <w:t xml:space="preserve">Lahlou, </w:t>
            </w:r>
            <w:r w:rsidR="003D3244" w:rsidRPr="007D2AC6">
              <w:rPr>
                <w:bCs/>
                <w:szCs w:val="22"/>
                <w:lang w:val="fr-FR"/>
              </w:rPr>
              <w:t xml:space="preserve">expert local </w:t>
            </w:r>
            <w:r w:rsidR="00972890" w:rsidRPr="007D2AC6">
              <w:rPr>
                <w:bCs/>
                <w:szCs w:val="22"/>
                <w:lang w:val="fr-FR"/>
              </w:rPr>
              <w:t>(</w:t>
            </w:r>
            <w:r w:rsidR="003D3244" w:rsidRPr="007D2AC6">
              <w:rPr>
                <w:bCs/>
                <w:szCs w:val="22"/>
                <w:lang w:val="fr-FR"/>
              </w:rPr>
              <w:t>Maroc)</w:t>
            </w:r>
          </w:p>
        </w:tc>
      </w:tr>
      <w:tr w:rsidR="003D3244" w:rsidRPr="007D2AC6" w14:paraId="2121E374" w14:textId="77777777" w:rsidTr="005107AB">
        <w:tc>
          <w:tcPr>
            <w:tcW w:w="918" w:type="dxa"/>
            <w:shd w:val="clear" w:color="auto" w:fill="auto"/>
            <w:vAlign w:val="center"/>
          </w:tcPr>
          <w:p w14:paraId="5F6632E4" w14:textId="77777777" w:rsidR="003D3244" w:rsidRPr="007D2AC6" w:rsidRDefault="003D3244" w:rsidP="00D67159">
            <w:pPr>
              <w:spacing w:before="40" w:after="40" w:line="288" w:lineRule="auto"/>
              <w:jc w:val="right"/>
              <w:rPr>
                <w:bCs/>
                <w:szCs w:val="22"/>
                <w:lang w:val="fr-FR"/>
              </w:rPr>
            </w:pPr>
            <w:r w:rsidRPr="007D2AC6">
              <w:rPr>
                <w:bCs/>
                <w:szCs w:val="22"/>
                <w:lang w:val="fr-FR"/>
              </w:rPr>
              <w:t>11.</w:t>
            </w:r>
          </w:p>
        </w:tc>
        <w:tc>
          <w:tcPr>
            <w:tcW w:w="8404" w:type="dxa"/>
            <w:shd w:val="clear" w:color="auto" w:fill="auto"/>
            <w:vAlign w:val="center"/>
          </w:tcPr>
          <w:p w14:paraId="6EBB43B8" w14:textId="57B3CFA2" w:rsidR="003D3244" w:rsidRPr="007D2AC6" w:rsidRDefault="003D3244" w:rsidP="001B6E2D">
            <w:pPr>
              <w:spacing w:before="40" w:after="40" w:line="288" w:lineRule="auto"/>
              <w:rPr>
                <w:bCs/>
                <w:szCs w:val="22"/>
                <w:lang w:val="fr-FR"/>
              </w:rPr>
            </w:pPr>
            <w:r w:rsidRPr="007D2AC6">
              <w:rPr>
                <w:bCs/>
                <w:szCs w:val="22"/>
                <w:lang w:val="fr-FR"/>
              </w:rPr>
              <w:t>M.</w:t>
            </w:r>
            <w:r w:rsidR="001B6E2D" w:rsidRPr="007D2AC6">
              <w:rPr>
                <w:bCs/>
                <w:szCs w:val="22"/>
                <w:lang w:val="fr-FR"/>
              </w:rPr>
              <w:t> </w:t>
            </w:r>
            <w:r w:rsidRPr="007D2AC6">
              <w:rPr>
                <w:bCs/>
                <w:szCs w:val="22"/>
                <w:lang w:val="fr-FR"/>
              </w:rPr>
              <w:t>Mario</w:t>
            </w:r>
            <w:r w:rsidR="00B57560" w:rsidRPr="007D2AC6">
              <w:rPr>
                <w:bCs/>
                <w:szCs w:val="22"/>
                <w:lang w:val="fr-FR"/>
              </w:rPr>
              <w:t> </w:t>
            </w:r>
            <w:proofErr w:type="spellStart"/>
            <w:r w:rsidRPr="007D2AC6">
              <w:rPr>
                <w:bCs/>
                <w:szCs w:val="22"/>
                <w:lang w:val="fr-FR"/>
              </w:rPr>
              <w:t>Matus</w:t>
            </w:r>
            <w:proofErr w:type="spellEnd"/>
            <w:r w:rsidRPr="007D2AC6">
              <w:rPr>
                <w:bCs/>
                <w:szCs w:val="22"/>
                <w:lang w:val="fr-FR"/>
              </w:rPr>
              <w:t>, vice</w:t>
            </w:r>
            <w:r w:rsidR="00B57560" w:rsidRPr="007D2AC6">
              <w:rPr>
                <w:bCs/>
                <w:szCs w:val="22"/>
                <w:lang w:val="fr-FR"/>
              </w:rPr>
              <w:noBreakHyphen/>
            </w:r>
            <w:r w:rsidRPr="007D2AC6">
              <w:rPr>
                <w:bCs/>
                <w:szCs w:val="22"/>
                <w:lang w:val="fr-FR"/>
              </w:rPr>
              <w:t>directeur général, Secteur du développement, OMPI</w:t>
            </w:r>
          </w:p>
        </w:tc>
      </w:tr>
      <w:tr w:rsidR="003D3244" w:rsidRPr="007D2AC6" w14:paraId="3E9F05E2" w14:textId="77777777" w:rsidTr="005107AB">
        <w:tc>
          <w:tcPr>
            <w:tcW w:w="918" w:type="dxa"/>
            <w:shd w:val="clear" w:color="auto" w:fill="auto"/>
            <w:vAlign w:val="center"/>
          </w:tcPr>
          <w:p w14:paraId="2C1FAB7D" w14:textId="77777777" w:rsidR="003D3244" w:rsidRPr="007D2AC6" w:rsidRDefault="003D3244" w:rsidP="00D67159">
            <w:pPr>
              <w:spacing w:before="40" w:after="40" w:line="288" w:lineRule="auto"/>
              <w:jc w:val="right"/>
              <w:rPr>
                <w:bCs/>
                <w:szCs w:val="22"/>
                <w:lang w:val="fr-FR"/>
              </w:rPr>
            </w:pPr>
            <w:r w:rsidRPr="007D2AC6">
              <w:rPr>
                <w:bCs/>
                <w:szCs w:val="22"/>
                <w:lang w:val="fr-FR"/>
              </w:rPr>
              <w:t>12.</w:t>
            </w:r>
          </w:p>
        </w:tc>
        <w:tc>
          <w:tcPr>
            <w:tcW w:w="8404" w:type="dxa"/>
            <w:shd w:val="clear" w:color="auto" w:fill="auto"/>
            <w:vAlign w:val="center"/>
          </w:tcPr>
          <w:p w14:paraId="5602A5C9" w14:textId="2080D2F3" w:rsidR="003D3244" w:rsidRPr="007D2AC6" w:rsidRDefault="004047BF" w:rsidP="003D3244">
            <w:pPr>
              <w:spacing w:before="40" w:after="40" w:line="288" w:lineRule="auto"/>
              <w:rPr>
                <w:bCs/>
                <w:szCs w:val="22"/>
                <w:lang w:val="fr-FR"/>
              </w:rPr>
            </w:pPr>
            <w:r w:rsidRPr="007D2AC6">
              <w:rPr>
                <w:szCs w:val="22"/>
                <w:lang w:val="fr-FR"/>
              </w:rPr>
              <w:t>Mme </w:t>
            </w:r>
            <w:proofErr w:type="spellStart"/>
            <w:r w:rsidRPr="007D2AC6">
              <w:rPr>
                <w:szCs w:val="22"/>
                <w:lang w:val="fr-FR"/>
              </w:rPr>
              <w:t>Kaori</w:t>
            </w:r>
            <w:proofErr w:type="spellEnd"/>
            <w:r w:rsidRPr="007D2AC6">
              <w:rPr>
                <w:szCs w:val="22"/>
                <w:lang w:val="fr-FR"/>
              </w:rPr>
              <w:t> </w:t>
            </w:r>
            <w:proofErr w:type="spellStart"/>
            <w:r w:rsidR="003D3244" w:rsidRPr="007D2AC6">
              <w:rPr>
                <w:szCs w:val="22"/>
                <w:lang w:val="fr-FR"/>
              </w:rPr>
              <w:t>Saito</w:t>
            </w:r>
            <w:proofErr w:type="spellEnd"/>
            <w:r w:rsidR="003D3244" w:rsidRPr="007D2AC6">
              <w:rPr>
                <w:szCs w:val="22"/>
                <w:lang w:val="fr-FR"/>
              </w:rPr>
              <w:t>,</w:t>
            </w:r>
            <w:r w:rsidR="003D3244" w:rsidRPr="007D2AC6">
              <w:rPr>
                <w:bCs/>
                <w:szCs w:val="22"/>
                <w:lang w:val="fr-FR"/>
              </w:rPr>
              <w:t xml:space="preserve"> expert</w:t>
            </w:r>
            <w:r w:rsidR="002D2178" w:rsidRPr="007D2AC6">
              <w:rPr>
                <w:bCs/>
                <w:szCs w:val="22"/>
                <w:lang w:val="fr-FR"/>
              </w:rPr>
              <w:t>e</w:t>
            </w:r>
            <w:r w:rsidR="003D3244" w:rsidRPr="007D2AC6">
              <w:rPr>
                <w:bCs/>
                <w:szCs w:val="22"/>
                <w:lang w:val="fr-FR"/>
              </w:rPr>
              <w:t xml:space="preserve"> en matière de parité et de diversité, Département de la gestion des ressources humaines, OMPI</w:t>
            </w:r>
          </w:p>
        </w:tc>
      </w:tr>
      <w:tr w:rsidR="003D3244" w:rsidRPr="007D2AC6" w14:paraId="17CCD8CF" w14:textId="77777777" w:rsidTr="005107AB">
        <w:tc>
          <w:tcPr>
            <w:tcW w:w="918" w:type="dxa"/>
            <w:shd w:val="clear" w:color="auto" w:fill="auto"/>
            <w:vAlign w:val="center"/>
          </w:tcPr>
          <w:p w14:paraId="75B17E39" w14:textId="77777777" w:rsidR="003D3244" w:rsidRPr="007D2AC6" w:rsidRDefault="003D3244" w:rsidP="00D67159">
            <w:pPr>
              <w:spacing w:before="40" w:after="40" w:line="288" w:lineRule="auto"/>
              <w:jc w:val="right"/>
              <w:rPr>
                <w:bCs/>
                <w:szCs w:val="22"/>
                <w:lang w:val="fr-FR"/>
              </w:rPr>
            </w:pPr>
            <w:r w:rsidRPr="007D2AC6">
              <w:rPr>
                <w:bCs/>
                <w:szCs w:val="22"/>
                <w:lang w:val="fr-FR"/>
              </w:rPr>
              <w:t>13.</w:t>
            </w:r>
          </w:p>
        </w:tc>
        <w:tc>
          <w:tcPr>
            <w:tcW w:w="8404" w:type="dxa"/>
            <w:shd w:val="clear" w:color="auto" w:fill="auto"/>
            <w:vAlign w:val="center"/>
          </w:tcPr>
          <w:p w14:paraId="354449B8" w14:textId="4F14CCA8" w:rsidR="003D3244" w:rsidRPr="007D2AC6" w:rsidRDefault="003D3244" w:rsidP="003D3244">
            <w:pPr>
              <w:spacing w:before="40" w:after="40" w:line="288" w:lineRule="auto"/>
              <w:rPr>
                <w:bCs/>
                <w:szCs w:val="22"/>
                <w:lang w:val="fr-FR"/>
              </w:rPr>
            </w:pPr>
            <w:r w:rsidRPr="007D2AC6">
              <w:rPr>
                <w:szCs w:val="22"/>
                <w:lang w:val="fr-FR"/>
              </w:rPr>
              <w:t>M. M</w:t>
            </w:r>
            <w:r w:rsidR="002A5696" w:rsidRPr="007D2AC6">
              <w:rPr>
                <w:szCs w:val="22"/>
                <w:lang w:val="fr-FR"/>
              </w:rPr>
              <w:t>’</w:t>
            </w:r>
            <w:r w:rsidR="004047BF" w:rsidRPr="007D2AC6">
              <w:rPr>
                <w:szCs w:val="22"/>
                <w:lang w:val="fr-FR"/>
              </w:rPr>
              <w:t>Hamed Sidi el </w:t>
            </w:r>
            <w:proofErr w:type="spellStart"/>
            <w:r w:rsidRPr="007D2AC6">
              <w:rPr>
                <w:szCs w:val="22"/>
                <w:lang w:val="fr-FR"/>
              </w:rPr>
              <w:t>Khir</w:t>
            </w:r>
            <w:proofErr w:type="spellEnd"/>
            <w:r w:rsidRPr="007D2AC6">
              <w:rPr>
                <w:szCs w:val="22"/>
                <w:lang w:val="fr-FR"/>
              </w:rPr>
              <w:t>,</w:t>
            </w:r>
            <w:r w:rsidRPr="007D2AC6">
              <w:rPr>
                <w:bCs/>
                <w:szCs w:val="22"/>
                <w:lang w:val="fr-FR"/>
              </w:rPr>
              <w:t xml:space="preserve"> conseiller, Bureau régional pour les pays arabes, Secteur du développement, OMPI</w:t>
            </w:r>
          </w:p>
        </w:tc>
      </w:tr>
      <w:tr w:rsidR="003D3244" w:rsidRPr="007D2AC6" w14:paraId="0A43A8B4" w14:textId="77777777" w:rsidTr="005107AB">
        <w:tc>
          <w:tcPr>
            <w:tcW w:w="918" w:type="dxa"/>
            <w:shd w:val="clear" w:color="auto" w:fill="auto"/>
            <w:vAlign w:val="center"/>
          </w:tcPr>
          <w:p w14:paraId="28A6432F" w14:textId="77777777" w:rsidR="003D3244" w:rsidRPr="007D2AC6" w:rsidRDefault="003D3244" w:rsidP="00D67159">
            <w:pPr>
              <w:spacing w:before="40" w:after="40" w:line="288" w:lineRule="auto"/>
              <w:jc w:val="right"/>
              <w:rPr>
                <w:bCs/>
                <w:szCs w:val="22"/>
                <w:lang w:val="fr-FR"/>
              </w:rPr>
            </w:pPr>
            <w:r w:rsidRPr="007D2AC6">
              <w:rPr>
                <w:bCs/>
                <w:szCs w:val="22"/>
                <w:lang w:val="fr-FR"/>
              </w:rPr>
              <w:t>14.</w:t>
            </w:r>
          </w:p>
        </w:tc>
        <w:tc>
          <w:tcPr>
            <w:tcW w:w="8404" w:type="dxa"/>
            <w:shd w:val="clear" w:color="auto" w:fill="auto"/>
            <w:vAlign w:val="center"/>
          </w:tcPr>
          <w:p w14:paraId="0D6C2E94" w14:textId="42074537" w:rsidR="003D3244" w:rsidRPr="007D2AC6" w:rsidRDefault="003D3244" w:rsidP="001B6E2D">
            <w:pPr>
              <w:spacing w:before="40" w:after="40" w:line="288" w:lineRule="auto"/>
              <w:rPr>
                <w:bCs/>
                <w:szCs w:val="22"/>
                <w:lang w:val="fr-FR"/>
              </w:rPr>
            </w:pPr>
            <w:r w:rsidRPr="007D2AC6">
              <w:rPr>
                <w:bCs/>
                <w:szCs w:val="22"/>
                <w:lang w:val="fr-FR"/>
              </w:rPr>
              <w:t>Mme</w:t>
            </w:r>
            <w:r w:rsidR="001B6E2D" w:rsidRPr="007D2AC6">
              <w:rPr>
                <w:bCs/>
                <w:szCs w:val="22"/>
                <w:lang w:val="fr-FR"/>
              </w:rPr>
              <w:t> </w:t>
            </w:r>
            <w:r w:rsidRPr="007D2AC6">
              <w:rPr>
                <w:bCs/>
                <w:szCs w:val="22"/>
                <w:lang w:val="fr-FR"/>
              </w:rPr>
              <w:t>Maria</w:t>
            </w:r>
            <w:r w:rsidR="001B6E2D" w:rsidRPr="007D2AC6">
              <w:rPr>
                <w:bCs/>
                <w:szCs w:val="22"/>
                <w:lang w:val="fr-FR"/>
              </w:rPr>
              <w:t> </w:t>
            </w:r>
            <w:proofErr w:type="spellStart"/>
            <w:r w:rsidRPr="007D2AC6">
              <w:rPr>
                <w:bCs/>
                <w:szCs w:val="22"/>
                <w:lang w:val="fr-FR"/>
              </w:rPr>
              <w:t>Zarraga</w:t>
            </w:r>
            <w:proofErr w:type="spellEnd"/>
            <w:r w:rsidRPr="007D2AC6">
              <w:rPr>
                <w:bCs/>
                <w:szCs w:val="22"/>
                <w:lang w:val="fr-FR"/>
              </w:rPr>
              <w:t>, ancienne administratrice de projets, Division du droit et des services consultatifs en matière de législation, Secteur des marques et des dessins et modèles, OMPI</w:t>
            </w:r>
          </w:p>
        </w:tc>
      </w:tr>
    </w:tbl>
    <w:p w14:paraId="35D9E946" w14:textId="77777777" w:rsidR="0059687A" w:rsidRPr="007D2AC6" w:rsidRDefault="0059687A" w:rsidP="004047BF"/>
    <w:p w14:paraId="03D6EA11" w14:textId="77777777" w:rsidR="0059687A" w:rsidRPr="007D2AC6" w:rsidRDefault="0059687A" w:rsidP="0015215E">
      <w:pPr>
        <w:pStyle w:val="ONUME"/>
        <w:numPr>
          <w:ilvl w:val="0"/>
          <w:numId w:val="0"/>
        </w:numPr>
        <w:spacing w:after="0"/>
        <w:jc w:val="both"/>
        <w:rPr>
          <w:caps/>
          <w:lang w:val="fr-FR"/>
        </w:rPr>
      </w:pPr>
    </w:p>
    <w:p w14:paraId="66DE342A" w14:textId="77777777" w:rsidR="0059687A" w:rsidRPr="007D2AC6" w:rsidRDefault="0059687A" w:rsidP="0015215E">
      <w:pPr>
        <w:pStyle w:val="ONUME"/>
        <w:numPr>
          <w:ilvl w:val="0"/>
          <w:numId w:val="0"/>
        </w:numPr>
        <w:spacing w:after="0"/>
        <w:jc w:val="both"/>
        <w:rPr>
          <w:caps/>
          <w:lang w:val="fr-FR"/>
        </w:rPr>
      </w:pPr>
    </w:p>
    <w:p w14:paraId="65E4EFAC" w14:textId="0ADE51C9" w:rsidR="0059687A" w:rsidRPr="007D2AC6" w:rsidRDefault="00D1331A" w:rsidP="00D1331A">
      <w:pPr>
        <w:pStyle w:val="Endofdocument-Annex"/>
        <w:rPr>
          <w:szCs w:val="22"/>
          <w:lang w:val="fr-FR"/>
        </w:rPr>
      </w:pPr>
      <w:r w:rsidRPr="007D2AC6">
        <w:rPr>
          <w:szCs w:val="22"/>
          <w:lang w:val="fr-FR"/>
        </w:rPr>
        <w:t>[L</w:t>
      </w:r>
      <w:r w:rsidR="002A5696" w:rsidRPr="007D2AC6">
        <w:rPr>
          <w:szCs w:val="22"/>
          <w:lang w:val="fr-FR"/>
        </w:rPr>
        <w:t>’</w:t>
      </w:r>
      <w:r w:rsidRPr="007D2AC6">
        <w:rPr>
          <w:szCs w:val="22"/>
          <w:lang w:val="fr-FR"/>
        </w:rPr>
        <w:t>a</w:t>
      </w:r>
      <w:r w:rsidR="002D2178" w:rsidRPr="007D2AC6">
        <w:rPr>
          <w:szCs w:val="22"/>
          <w:lang w:val="fr-FR"/>
        </w:rPr>
        <w:t>ppendice</w:t>
      </w:r>
      <w:r w:rsidR="00B57560" w:rsidRPr="007D2AC6">
        <w:rPr>
          <w:szCs w:val="22"/>
          <w:lang w:val="fr-FR"/>
        </w:rPr>
        <w:t> </w:t>
      </w:r>
      <w:r w:rsidRPr="007D2AC6">
        <w:rPr>
          <w:szCs w:val="22"/>
          <w:lang w:val="fr-FR"/>
        </w:rPr>
        <w:t>IV suit]</w:t>
      </w:r>
    </w:p>
    <w:p w14:paraId="1ACB9771" w14:textId="77777777" w:rsidR="0059687A" w:rsidRPr="007D2AC6" w:rsidRDefault="0059687A" w:rsidP="006075D7">
      <w:pPr>
        <w:pStyle w:val="ONUME"/>
        <w:numPr>
          <w:ilvl w:val="0"/>
          <w:numId w:val="0"/>
        </w:numPr>
        <w:jc w:val="both"/>
        <w:rPr>
          <w:caps/>
          <w:lang w:val="fr-FR"/>
        </w:rPr>
      </w:pPr>
    </w:p>
    <w:p w14:paraId="2E448E05" w14:textId="77777777" w:rsidR="003F6B47" w:rsidRPr="007D2AC6" w:rsidRDefault="003F6B47" w:rsidP="006075D7">
      <w:pPr>
        <w:pStyle w:val="ONUME"/>
        <w:numPr>
          <w:ilvl w:val="0"/>
          <w:numId w:val="0"/>
        </w:numPr>
        <w:jc w:val="both"/>
        <w:rPr>
          <w:caps/>
          <w:lang w:val="fr-FR"/>
        </w:rPr>
        <w:sectPr w:rsidR="003F6B47" w:rsidRPr="007D2AC6" w:rsidSect="00BB2BAE">
          <w:headerReference w:type="first" r:id="rId21"/>
          <w:pgSz w:w="11907" w:h="16840" w:code="9"/>
          <w:pgMar w:top="567" w:right="1134" w:bottom="1417" w:left="1417" w:header="510" w:footer="1020" w:gutter="0"/>
          <w:pgNumType w:start="1"/>
          <w:cols w:space="720"/>
          <w:titlePg/>
          <w:docGrid w:linePitch="299"/>
        </w:sectPr>
      </w:pPr>
    </w:p>
    <w:p w14:paraId="2C59D67C" w14:textId="77777777" w:rsidR="007865D4" w:rsidRPr="007865D4" w:rsidRDefault="007865D4" w:rsidP="007865D4">
      <w:bookmarkStart w:id="46" w:name="_GoBack"/>
    </w:p>
    <w:bookmarkEnd w:id="46"/>
    <w:p w14:paraId="5E36BF57" w14:textId="706DE333" w:rsidR="0059687A" w:rsidRPr="007D2AC6" w:rsidRDefault="00D1331A" w:rsidP="00D1331A">
      <w:pPr>
        <w:pStyle w:val="ONUME"/>
        <w:numPr>
          <w:ilvl w:val="0"/>
          <w:numId w:val="0"/>
        </w:numPr>
        <w:spacing w:line="260" w:lineRule="atLeast"/>
        <w:jc w:val="both"/>
        <w:rPr>
          <w:caps/>
          <w:lang w:val="fr-FR"/>
        </w:rPr>
      </w:pPr>
      <w:r w:rsidRPr="007D2AC6">
        <w:rPr>
          <w:caps/>
          <w:lang w:val="fr-FR"/>
        </w:rPr>
        <w:t>APPENDICE</w:t>
      </w:r>
      <w:r w:rsidR="00B57560" w:rsidRPr="007D2AC6">
        <w:rPr>
          <w:caps/>
          <w:lang w:val="fr-FR"/>
        </w:rPr>
        <w:t> </w:t>
      </w:r>
      <w:r w:rsidRPr="007D2AC6">
        <w:rPr>
          <w:caps/>
          <w:lang w:val="fr-FR"/>
        </w:rPr>
        <w:t>IV</w:t>
      </w:r>
      <w:r w:rsidR="002A5696" w:rsidRPr="007D2AC6">
        <w:rPr>
          <w:caps/>
          <w:lang w:val="fr-FR"/>
        </w:rPr>
        <w:t> </w:t>
      </w:r>
      <w:proofErr w:type="gramStart"/>
      <w:r w:rsidR="002A5696" w:rsidRPr="007D2AC6">
        <w:rPr>
          <w:caps/>
          <w:lang w:val="fr-FR"/>
        </w:rPr>
        <w:t>:</w:t>
      </w:r>
      <w:r w:rsidRPr="007D2AC6">
        <w:rPr>
          <w:caps/>
          <w:lang w:val="fr-FR"/>
        </w:rPr>
        <w:t xml:space="preserve"> LISTE</w:t>
      </w:r>
      <w:proofErr w:type="gramEnd"/>
      <w:r w:rsidRPr="007D2AC6">
        <w:rPr>
          <w:caps/>
          <w:lang w:val="fr-FR"/>
        </w:rPr>
        <w:t xml:space="preserve"> DES DOCUMENTS</w:t>
      </w:r>
    </w:p>
    <w:p w14:paraId="32895A51" w14:textId="57EE7179" w:rsidR="0059687A" w:rsidRPr="007D2AC6" w:rsidRDefault="002D2178" w:rsidP="0015215E">
      <w:pPr>
        <w:pStyle w:val="ListNumber"/>
        <w:numPr>
          <w:ilvl w:val="0"/>
          <w:numId w:val="0"/>
        </w:numPr>
        <w:tabs>
          <w:tab w:val="right" w:pos="9355"/>
        </w:tabs>
        <w:spacing w:after="220" w:line="260" w:lineRule="atLeast"/>
        <w:rPr>
          <w:b/>
          <w:szCs w:val="22"/>
          <w:lang w:val="fr-FR"/>
        </w:rPr>
      </w:pPr>
      <w:r w:rsidRPr="007D2AC6">
        <w:rPr>
          <w:b/>
          <w:szCs w:val="22"/>
          <w:lang w:val="fr-FR"/>
        </w:rPr>
        <w:t>D</w:t>
      </w:r>
      <w:r w:rsidR="00896917" w:rsidRPr="007D2AC6">
        <w:rPr>
          <w:b/>
          <w:szCs w:val="22"/>
          <w:lang w:val="fr-FR"/>
        </w:rPr>
        <w:t>ocuments</w:t>
      </w:r>
      <w:r w:rsidRPr="007D2AC6">
        <w:rPr>
          <w:b/>
          <w:szCs w:val="22"/>
          <w:lang w:val="fr-FR"/>
        </w:rPr>
        <w:t xml:space="preserve"> d</w:t>
      </w:r>
      <w:r w:rsidR="002A5696" w:rsidRPr="007D2AC6">
        <w:rPr>
          <w:b/>
          <w:szCs w:val="22"/>
          <w:lang w:val="fr-FR"/>
        </w:rPr>
        <w:t>’</w:t>
      </w:r>
      <w:r w:rsidRPr="007D2AC6">
        <w:rPr>
          <w:b/>
          <w:szCs w:val="22"/>
          <w:lang w:val="fr-FR"/>
        </w:rPr>
        <w:t>évaluation</w:t>
      </w:r>
    </w:p>
    <w:p w14:paraId="629865AB" w14:textId="15D9C18D" w:rsidR="0059687A" w:rsidRPr="007D2AC6" w:rsidRDefault="002D2178" w:rsidP="00CE7A13">
      <w:pPr>
        <w:pStyle w:val="ListNumber"/>
        <w:numPr>
          <w:ilvl w:val="0"/>
          <w:numId w:val="19"/>
        </w:numPr>
        <w:spacing w:after="220" w:line="260" w:lineRule="atLeast"/>
        <w:rPr>
          <w:szCs w:val="22"/>
          <w:lang w:val="fr-FR"/>
        </w:rPr>
      </w:pPr>
      <w:r w:rsidRPr="007D2AC6">
        <w:rPr>
          <w:szCs w:val="22"/>
          <w:lang w:val="fr-FR"/>
        </w:rPr>
        <w:t>OMPI</w:t>
      </w:r>
      <w:r w:rsidR="00896917" w:rsidRPr="007D2AC6">
        <w:rPr>
          <w:szCs w:val="22"/>
          <w:lang w:val="fr-FR"/>
        </w:rPr>
        <w:t xml:space="preserve">, </w:t>
      </w:r>
      <w:r w:rsidRPr="007D2AC6">
        <w:rPr>
          <w:szCs w:val="22"/>
          <w:lang w:val="fr-FR"/>
        </w:rPr>
        <w:t>Politique d</w:t>
      </w:r>
      <w:r w:rsidR="002A5696" w:rsidRPr="007D2AC6">
        <w:rPr>
          <w:szCs w:val="22"/>
          <w:lang w:val="fr-FR"/>
        </w:rPr>
        <w:t>’</w:t>
      </w:r>
      <w:r w:rsidRPr="007D2AC6">
        <w:rPr>
          <w:szCs w:val="22"/>
          <w:lang w:val="fr-FR"/>
        </w:rPr>
        <w:t xml:space="preserve">évaluation, version révisée </w:t>
      </w:r>
      <w:r w:rsidR="00972890" w:rsidRPr="007D2AC6">
        <w:rPr>
          <w:szCs w:val="22"/>
          <w:lang w:val="fr-FR"/>
        </w:rPr>
        <w:t>(</w:t>
      </w:r>
      <w:r w:rsidRPr="007D2AC6">
        <w:rPr>
          <w:szCs w:val="22"/>
          <w:lang w:val="fr-FR"/>
        </w:rPr>
        <w:t>s</w:t>
      </w:r>
      <w:r w:rsidR="00896917" w:rsidRPr="007D2AC6">
        <w:rPr>
          <w:szCs w:val="22"/>
          <w:lang w:val="fr-FR"/>
        </w:rPr>
        <w:t>econd</w:t>
      </w:r>
      <w:r w:rsidRPr="007D2AC6">
        <w:rPr>
          <w:szCs w:val="22"/>
          <w:lang w:val="fr-FR"/>
        </w:rPr>
        <w:t>e é</w:t>
      </w:r>
      <w:r w:rsidR="00896917" w:rsidRPr="007D2AC6">
        <w:rPr>
          <w:szCs w:val="22"/>
          <w:lang w:val="fr-FR"/>
        </w:rPr>
        <w:t>dition</w:t>
      </w:r>
      <w:r w:rsidR="00B57560" w:rsidRPr="007D2AC6">
        <w:rPr>
          <w:szCs w:val="22"/>
          <w:lang w:val="fr-FR"/>
        </w:rPr>
        <w:t> </w:t>
      </w:r>
      <w:r w:rsidR="00896917" w:rsidRPr="007D2AC6">
        <w:rPr>
          <w:szCs w:val="22"/>
          <w:lang w:val="fr-FR"/>
        </w:rPr>
        <w:t xml:space="preserve">2016/2020), </w:t>
      </w:r>
      <w:r w:rsidRPr="007D2AC6">
        <w:rPr>
          <w:szCs w:val="22"/>
          <w:lang w:val="fr-FR"/>
        </w:rPr>
        <w:t>1</w:t>
      </w:r>
      <w:r w:rsidR="002A5696" w:rsidRPr="007D2AC6">
        <w:rPr>
          <w:szCs w:val="22"/>
          <w:lang w:val="fr-FR"/>
        </w:rPr>
        <w:t>9 février 20</w:t>
      </w:r>
      <w:r w:rsidR="004047BF" w:rsidRPr="007D2AC6">
        <w:rPr>
          <w:szCs w:val="22"/>
          <w:lang w:val="fr-FR"/>
        </w:rPr>
        <w:t>16</w:t>
      </w:r>
    </w:p>
    <w:p w14:paraId="080E0A7C" w14:textId="5DE2EEA0" w:rsidR="002A5696" w:rsidRPr="007D2AC6" w:rsidRDefault="00D1331A" w:rsidP="00D1331A">
      <w:pPr>
        <w:pStyle w:val="ListNumber"/>
        <w:numPr>
          <w:ilvl w:val="0"/>
          <w:numId w:val="19"/>
        </w:numPr>
        <w:spacing w:after="220" w:line="260" w:lineRule="atLeast"/>
        <w:rPr>
          <w:szCs w:val="22"/>
          <w:lang w:val="fr-FR"/>
        </w:rPr>
      </w:pPr>
      <w:r w:rsidRPr="007D2AC6">
        <w:rPr>
          <w:szCs w:val="22"/>
          <w:lang w:val="fr-FR"/>
        </w:rPr>
        <w:t>Lignes directrices et ouvrages de référence</w:t>
      </w:r>
      <w:r w:rsidR="002A5696" w:rsidRPr="007D2AC6">
        <w:rPr>
          <w:szCs w:val="22"/>
          <w:lang w:val="fr-FR"/>
        </w:rPr>
        <w:t xml:space="preserve"> du CAD</w:t>
      </w:r>
      <w:r w:rsidRPr="007D2AC6">
        <w:rPr>
          <w:szCs w:val="22"/>
          <w:lang w:val="fr-FR"/>
        </w:rPr>
        <w:t>, Normes de qualité pour l</w:t>
      </w:r>
      <w:r w:rsidR="002A5696" w:rsidRPr="007D2AC6">
        <w:rPr>
          <w:szCs w:val="22"/>
          <w:lang w:val="fr-FR"/>
        </w:rPr>
        <w:t>’</w:t>
      </w:r>
      <w:r w:rsidRPr="007D2AC6">
        <w:rPr>
          <w:szCs w:val="22"/>
          <w:lang w:val="fr-FR"/>
        </w:rPr>
        <w:t>évaluation du développement, OCDE/CAD, OCDE</w:t>
      </w:r>
      <w:r w:rsidR="00B57560" w:rsidRPr="007D2AC6">
        <w:rPr>
          <w:szCs w:val="22"/>
          <w:lang w:val="fr-FR"/>
        </w:rPr>
        <w:t> </w:t>
      </w:r>
      <w:r w:rsidRPr="007D2AC6">
        <w:rPr>
          <w:szCs w:val="22"/>
          <w:lang w:val="fr-FR"/>
        </w:rPr>
        <w:t>2010</w:t>
      </w:r>
    </w:p>
    <w:p w14:paraId="5DE938D2" w14:textId="30D0DDA1" w:rsidR="0059687A" w:rsidRPr="007D2AC6" w:rsidRDefault="002D2178" w:rsidP="00CE7A13">
      <w:pPr>
        <w:pStyle w:val="ListNumber"/>
        <w:numPr>
          <w:ilvl w:val="0"/>
          <w:numId w:val="19"/>
        </w:numPr>
        <w:spacing w:after="220" w:line="260" w:lineRule="atLeast"/>
        <w:rPr>
          <w:szCs w:val="22"/>
          <w:lang w:val="fr-FR"/>
        </w:rPr>
      </w:pPr>
      <w:proofErr w:type="spellStart"/>
      <w:r w:rsidRPr="007D2AC6">
        <w:rPr>
          <w:iCs/>
          <w:lang w:val="fr-FR"/>
        </w:rPr>
        <w:t>GNUE</w:t>
      </w:r>
      <w:proofErr w:type="spellEnd"/>
      <w:r w:rsidRPr="007D2AC6">
        <w:rPr>
          <w:iCs/>
          <w:lang w:val="fr-FR"/>
        </w:rPr>
        <w:t>, Normes d</w:t>
      </w:r>
      <w:r w:rsidR="002A5696" w:rsidRPr="007D2AC6">
        <w:rPr>
          <w:iCs/>
          <w:lang w:val="fr-FR"/>
        </w:rPr>
        <w:t>’</w:t>
      </w:r>
      <w:r w:rsidRPr="007D2AC6">
        <w:rPr>
          <w:iCs/>
          <w:lang w:val="fr-FR"/>
        </w:rPr>
        <w:t>évaluation applicables dans le système des </w:t>
      </w:r>
      <w:r w:rsidR="002A5696" w:rsidRPr="007D2AC6">
        <w:rPr>
          <w:iCs/>
          <w:lang w:val="fr-FR"/>
        </w:rPr>
        <w:t>Nations Unies</w:t>
      </w:r>
      <w:r w:rsidR="00B95346">
        <w:rPr>
          <w:iCs/>
          <w:lang w:val="fr-FR"/>
        </w:rPr>
        <w:t xml:space="preserve"> </w:t>
      </w:r>
      <w:r w:rsidR="00972890" w:rsidRPr="007D2AC6">
        <w:rPr>
          <w:iCs/>
          <w:lang w:val="fr-FR"/>
        </w:rPr>
        <w:t>(</w:t>
      </w:r>
      <w:r w:rsidRPr="007D2AC6">
        <w:rPr>
          <w:iCs/>
          <w:lang w:val="fr-FR"/>
        </w:rPr>
        <w:t>dernière mise à jour</w:t>
      </w:r>
      <w:r w:rsidR="009F77AF" w:rsidRPr="007D2AC6">
        <w:rPr>
          <w:iCs/>
          <w:lang w:val="fr-FR"/>
        </w:rPr>
        <w:t> </w:t>
      </w:r>
      <w:proofErr w:type="gramStart"/>
      <w:r w:rsidRPr="007D2AC6">
        <w:rPr>
          <w:iCs/>
          <w:lang w:val="fr-FR"/>
        </w:rPr>
        <w:t xml:space="preserve">: </w:t>
      </w:r>
      <w:r w:rsidR="002A5696" w:rsidRPr="007D2AC6">
        <w:rPr>
          <w:iCs/>
          <w:lang w:val="fr-FR"/>
        </w:rPr>
        <w:t>juin</w:t>
      </w:r>
      <w:proofErr w:type="gramEnd"/>
      <w:r w:rsidR="002A5696" w:rsidRPr="007D2AC6">
        <w:rPr>
          <w:iCs/>
          <w:lang w:val="fr-FR"/>
        </w:rPr>
        <w:t> 20</w:t>
      </w:r>
      <w:r w:rsidRPr="007D2AC6">
        <w:rPr>
          <w:iCs/>
          <w:lang w:val="fr-FR"/>
        </w:rPr>
        <w:t>16</w:t>
      </w:r>
      <w:r w:rsidR="00896917" w:rsidRPr="007D2AC6">
        <w:rPr>
          <w:iCs/>
          <w:lang w:val="fr-FR"/>
        </w:rPr>
        <w:t>)</w:t>
      </w:r>
    </w:p>
    <w:p w14:paraId="4205D790" w14:textId="53CA919F" w:rsidR="0059687A" w:rsidRPr="007D2AC6" w:rsidRDefault="00D1331A" w:rsidP="00D1331A">
      <w:pPr>
        <w:pStyle w:val="ListNumber"/>
        <w:numPr>
          <w:ilvl w:val="0"/>
          <w:numId w:val="0"/>
        </w:numPr>
        <w:spacing w:after="220" w:line="260" w:lineRule="atLeast"/>
        <w:rPr>
          <w:b/>
          <w:szCs w:val="22"/>
          <w:lang w:val="fr-FR"/>
        </w:rPr>
      </w:pPr>
      <w:r w:rsidRPr="007D2AC6">
        <w:rPr>
          <w:b/>
          <w:szCs w:val="22"/>
          <w:lang w:val="fr-FR"/>
        </w:rPr>
        <w:t>Documents de l</w:t>
      </w:r>
      <w:r w:rsidR="002A5696" w:rsidRPr="007D2AC6">
        <w:rPr>
          <w:b/>
          <w:szCs w:val="22"/>
          <w:lang w:val="fr-FR"/>
        </w:rPr>
        <w:t>’</w:t>
      </w:r>
      <w:r w:rsidRPr="007D2AC6">
        <w:rPr>
          <w:b/>
          <w:szCs w:val="22"/>
          <w:lang w:val="fr-FR"/>
        </w:rPr>
        <w:t>OMPI relatifs aux programmes</w:t>
      </w:r>
    </w:p>
    <w:p w14:paraId="23D47C59" w14:textId="0BBFF3C9" w:rsidR="0059687A" w:rsidRPr="007D2AC6" w:rsidRDefault="00D1331A" w:rsidP="00D1331A">
      <w:pPr>
        <w:pStyle w:val="ListNumber"/>
        <w:numPr>
          <w:ilvl w:val="0"/>
          <w:numId w:val="23"/>
        </w:numPr>
        <w:spacing w:after="220" w:line="260" w:lineRule="atLeast"/>
        <w:rPr>
          <w:szCs w:val="22"/>
          <w:lang w:val="fr-FR"/>
        </w:rPr>
      </w:pPr>
      <w:r w:rsidRPr="007D2AC6">
        <w:rPr>
          <w:szCs w:val="22"/>
          <w:lang w:val="fr-FR"/>
        </w:rPr>
        <w:t>Les 45</w:t>
      </w:r>
      <w:r w:rsidR="00B57560" w:rsidRPr="007D2AC6">
        <w:rPr>
          <w:szCs w:val="22"/>
          <w:lang w:val="fr-FR"/>
        </w:rPr>
        <w:t> </w:t>
      </w:r>
      <w:r w:rsidRPr="007D2AC6">
        <w:rPr>
          <w:szCs w:val="22"/>
          <w:lang w:val="fr-FR"/>
        </w:rPr>
        <w:t xml:space="preserve">recommandations adoptées </w:t>
      </w:r>
      <w:r w:rsidR="002A5696" w:rsidRPr="007D2AC6">
        <w:rPr>
          <w:szCs w:val="22"/>
          <w:lang w:val="fr-FR"/>
        </w:rPr>
        <w:t>en 2007</w:t>
      </w:r>
      <w:r w:rsidRPr="007D2AC6">
        <w:rPr>
          <w:szCs w:val="22"/>
          <w:lang w:val="fr-FR"/>
        </w:rPr>
        <w:t xml:space="preserve"> par l</w:t>
      </w:r>
      <w:r w:rsidR="002A5696" w:rsidRPr="007D2AC6">
        <w:rPr>
          <w:szCs w:val="22"/>
          <w:lang w:val="fr-FR"/>
        </w:rPr>
        <w:t>’</w:t>
      </w:r>
      <w:r w:rsidRPr="007D2AC6">
        <w:rPr>
          <w:szCs w:val="22"/>
          <w:lang w:val="fr-FR"/>
        </w:rPr>
        <w:t>Assemblée générale des États membres de l</w:t>
      </w:r>
      <w:r w:rsidR="002A5696" w:rsidRPr="007D2AC6">
        <w:rPr>
          <w:szCs w:val="22"/>
          <w:lang w:val="fr-FR"/>
        </w:rPr>
        <w:t>’</w:t>
      </w:r>
      <w:r w:rsidRPr="007D2AC6">
        <w:rPr>
          <w:szCs w:val="22"/>
          <w:lang w:val="fr-FR"/>
        </w:rPr>
        <w:t>OMPI, dans le cadre du Plan d</w:t>
      </w:r>
      <w:r w:rsidR="002A5696" w:rsidRPr="007D2AC6">
        <w:rPr>
          <w:szCs w:val="22"/>
          <w:lang w:val="fr-FR"/>
        </w:rPr>
        <w:t>’</w:t>
      </w:r>
      <w:r w:rsidRPr="007D2AC6">
        <w:rPr>
          <w:szCs w:val="22"/>
          <w:lang w:val="fr-FR"/>
        </w:rPr>
        <w:t>action de l</w:t>
      </w:r>
      <w:r w:rsidR="002A5696" w:rsidRPr="007D2AC6">
        <w:rPr>
          <w:szCs w:val="22"/>
          <w:lang w:val="fr-FR"/>
        </w:rPr>
        <w:t>’</w:t>
      </w:r>
      <w:r w:rsidR="004047BF" w:rsidRPr="007D2AC6">
        <w:rPr>
          <w:szCs w:val="22"/>
          <w:lang w:val="fr-FR"/>
        </w:rPr>
        <w:t>OMPI pour le développement</w:t>
      </w:r>
    </w:p>
    <w:p w14:paraId="59F60E3A" w14:textId="143E748F" w:rsidR="0059687A" w:rsidRPr="007D2AC6" w:rsidRDefault="00D1331A" w:rsidP="00D1331A">
      <w:pPr>
        <w:pStyle w:val="ListNumber"/>
        <w:numPr>
          <w:ilvl w:val="0"/>
          <w:numId w:val="23"/>
        </w:numPr>
        <w:spacing w:after="220" w:line="260" w:lineRule="atLeast"/>
        <w:rPr>
          <w:szCs w:val="22"/>
          <w:lang w:val="fr-FR"/>
        </w:rPr>
      </w:pPr>
      <w:r w:rsidRPr="007D2AC6">
        <w:rPr>
          <w:szCs w:val="22"/>
          <w:lang w:val="fr-FR"/>
        </w:rPr>
        <w:t xml:space="preserve">Le </w:t>
      </w:r>
      <w:r w:rsidR="00B57560" w:rsidRPr="007D2AC6">
        <w:rPr>
          <w:szCs w:val="22"/>
          <w:lang w:val="fr-FR"/>
        </w:rPr>
        <w:t>p</w:t>
      </w:r>
      <w:r w:rsidRPr="007D2AC6">
        <w:rPr>
          <w:szCs w:val="22"/>
          <w:lang w:val="fr-FR"/>
        </w:rPr>
        <w:t>rogramme et budget pour l</w:t>
      </w:r>
      <w:r w:rsidR="002A5696" w:rsidRPr="007D2AC6">
        <w:rPr>
          <w:szCs w:val="22"/>
          <w:lang w:val="fr-FR"/>
        </w:rPr>
        <w:t>’</w:t>
      </w:r>
      <w:r w:rsidRPr="007D2AC6">
        <w:rPr>
          <w:szCs w:val="22"/>
          <w:lang w:val="fr-FR"/>
        </w:rPr>
        <w:t xml:space="preserve">exercice </w:t>
      </w:r>
      <w:r w:rsidR="002A5696" w:rsidRPr="007D2AC6">
        <w:rPr>
          <w:szCs w:val="22"/>
          <w:lang w:val="fr-FR"/>
        </w:rPr>
        <w:t>biennal 2014</w:t>
      </w:r>
      <w:r w:rsidR="00B57560" w:rsidRPr="007D2AC6">
        <w:rPr>
          <w:szCs w:val="22"/>
          <w:lang w:val="fr-FR"/>
        </w:rPr>
        <w:noBreakHyphen/>
      </w:r>
      <w:r w:rsidRPr="007D2AC6">
        <w:rPr>
          <w:szCs w:val="22"/>
          <w:lang w:val="fr-FR"/>
        </w:rPr>
        <w:t>2015, approuvé par les assemblées des États membres de l</w:t>
      </w:r>
      <w:r w:rsidR="002A5696" w:rsidRPr="007D2AC6">
        <w:rPr>
          <w:szCs w:val="22"/>
          <w:lang w:val="fr-FR"/>
        </w:rPr>
        <w:t>’</w:t>
      </w:r>
      <w:r w:rsidRPr="007D2AC6">
        <w:rPr>
          <w:szCs w:val="22"/>
          <w:lang w:val="fr-FR"/>
        </w:rPr>
        <w:t>OMPI le 1</w:t>
      </w:r>
      <w:r w:rsidR="002A5696" w:rsidRPr="007D2AC6">
        <w:rPr>
          <w:szCs w:val="22"/>
          <w:lang w:val="fr-FR"/>
        </w:rPr>
        <w:t>2 décembre 20</w:t>
      </w:r>
      <w:r w:rsidR="004047BF" w:rsidRPr="007D2AC6">
        <w:rPr>
          <w:szCs w:val="22"/>
          <w:lang w:val="fr-FR"/>
        </w:rPr>
        <w:t>13</w:t>
      </w:r>
    </w:p>
    <w:p w14:paraId="635041EF" w14:textId="1C16A90D" w:rsidR="0059687A" w:rsidRPr="007D2AC6" w:rsidRDefault="00D1331A" w:rsidP="00D1331A">
      <w:pPr>
        <w:pStyle w:val="ListNumber"/>
        <w:numPr>
          <w:ilvl w:val="0"/>
          <w:numId w:val="0"/>
        </w:numPr>
        <w:spacing w:after="220" w:line="260" w:lineRule="atLeast"/>
        <w:rPr>
          <w:b/>
          <w:szCs w:val="22"/>
          <w:lang w:val="fr-FR"/>
        </w:rPr>
      </w:pPr>
      <w:r w:rsidRPr="007D2AC6">
        <w:rPr>
          <w:b/>
          <w:szCs w:val="22"/>
          <w:lang w:val="fr-FR"/>
        </w:rPr>
        <w:t>Planification et élaboration du projet</w:t>
      </w:r>
    </w:p>
    <w:p w14:paraId="6E7D5183" w14:textId="3261FEB0" w:rsidR="0059687A" w:rsidRPr="007D2AC6" w:rsidRDefault="002D2178" w:rsidP="00CE7A13">
      <w:pPr>
        <w:pStyle w:val="ListNumber"/>
        <w:numPr>
          <w:ilvl w:val="1"/>
          <w:numId w:val="25"/>
        </w:numPr>
        <w:spacing w:after="220" w:line="260" w:lineRule="atLeast"/>
        <w:rPr>
          <w:szCs w:val="22"/>
          <w:lang w:val="fr-FR"/>
        </w:rPr>
      </w:pPr>
      <w:r w:rsidRPr="007D2AC6">
        <w:rPr>
          <w:szCs w:val="22"/>
          <w:lang w:val="fr-FR"/>
        </w:rPr>
        <w:t xml:space="preserve">Proposition de projet établie par la République de Corée, </w:t>
      </w:r>
      <w:proofErr w:type="spellStart"/>
      <w:r w:rsidRPr="007D2AC6">
        <w:rPr>
          <w:szCs w:val="22"/>
          <w:lang w:val="fr-FR"/>
        </w:rPr>
        <w:t>CDIP</w:t>
      </w:r>
      <w:proofErr w:type="spellEnd"/>
      <w:r w:rsidRPr="007D2AC6">
        <w:rPr>
          <w:szCs w:val="22"/>
          <w:lang w:val="fr-FR"/>
        </w:rPr>
        <w:t xml:space="preserve">/11/7, annexe, </w:t>
      </w:r>
      <w:r w:rsidR="002A5696" w:rsidRPr="007D2AC6">
        <w:rPr>
          <w:szCs w:val="22"/>
          <w:lang w:val="fr-FR"/>
        </w:rPr>
        <w:t>page 2</w:t>
      </w:r>
    </w:p>
    <w:p w14:paraId="019359B4" w14:textId="09D240E6" w:rsidR="0059687A" w:rsidRPr="007D2AC6" w:rsidRDefault="002D2178" w:rsidP="00CE7A13">
      <w:pPr>
        <w:pStyle w:val="ListNumber"/>
        <w:numPr>
          <w:ilvl w:val="1"/>
          <w:numId w:val="25"/>
        </w:numPr>
        <w:spacing w:after="220" w:line="260" w:lineRule="atLeast"/>
        <w:rPr>
          <w:szCs w:val="22"/>
          <w:lang w:val="fr-FR"/>
        </w:rPr>
      </w:pPr>
      <w:r w:rsidRPr="007D2AC6">
        <w:rPr>
          <w:szCs w:val="22"/>
          <w:lang w:val="fr-FR"/>
        </w:rPr>
        <w:t>Descriptif de projet</w:t>
      </w:r>
      <w:r w:rsidR="00016B54" w:rsidRPr="007D2AC6">
        <w:rPr>
          <w:szCs w:val="22"/>
          <w:lang w:val="fr-FR"/>
        </w:rPr>
        <w:t xml:space="preserve">, </w:t>
      </w:r>
      <w:proofErr w:type="spellStart"/>
      <w:r w:rsidR="00016B54" w:rsidRPr="007D2AC6">
        <w:rPr>
          <w:szCs w:val="22"/>
          <w:lang w:val="fr-FR"/>
        </w:rPr>
        <w:t>CDIP</w:t>
      </w:r>
      <w:proofErr w:type="spellEnd"/>
      <w:r w:rsidR="00B57560" w:rsidRPr="007D2AC6">
        <w:rPr>
          <w:szCs w:val="22"/>
          <w:lang w:val="fr-FR"/>
        </w:rPr>
        <w:t> </w:t>
      </w:r>
      <w:r w:rsidR="00016B54" w:rsidRPr="007D2AC6">
        <w:rPr>
          <w:szCs w:val="22"/>
          <w:lang w:val="fr-FR"/>
        </w:rPr>
        <w:t>12/6</w:t>
      </w:r>
    </w:p>
    <w:p w14:paraId="4A657DB9" w14:textId="2C093685" w:rsidR="0059687A" w:rsidRPr="007D2AC6" w:rsidRDefault="002D2178" w:rsidP="00CE7A13">
      <w:pPr>
        <w:pStyle w:val="ListNumber"/>
        <w:numPr>
          <w:ilvl w:val="1"/>
          <w:numId w:val="25"/>
        </w:numPr>
        <w:spacing w:after="220" w:line="260" w:lineRule="atLeast"/>
        <w:rPr>
          <w:szCs w:val="22"/>
          <w:lang w:val="fr-FR"/>
        </w:rPr>
      </w:pPr>
      <w:r w:rsidRPr="007D2AC6">
        <w:rPr>
          <w:szCs w:val="22"/>
          <w:lang w:val="fr-FR"/>
        </w:rPr>
        <w:t>Rapport sur l</w:t>
      </w:r>
      <w:r w:rsidR="002A5696" w:rsidRPr="007D2AC6">
        <w:rPr>
          <w:szCs w:val="22"/>
          <w:lang w:val="fr-FR"/>
        </w:rPr>
        <w:t>’</w:t>
      </w:r>
      <w:r w:rsidRPr="007D2AC6">
        <w:rPr>
          <w:szCs w:val="22"/>
          <w:lang w:val="fr-FR"/>
        </w:rPr>
        <w:t>état d</w:t>
      </w:r>
      <w:r w:rsidR="002A5696" w:rsidRPr="007D2AC6">
        <w:rPr>
          <w:szCs w:val="22"/>
          <w:lang w:val="fr-FR"/>
        </w:rPr>
        <w:t>’</w:t>
      </w:r>
      <w:r w:rsidRPr="007D2AC6">
        <w:rPr>
          <w:szCs w:val="22"/>
          <w:lang w:val="fr-FR"/>
        </w:rPr>
        <w:t xml:space="preserve">avancement du projet, </w:t>
      </w:r>
      <w:proofErr w:type="spellStart"/>
      <w:r w:rsidRPr="007D2AC6">
        <w:rPr>
          <w:szCs w:val="22"/>
          <w:lang w:val="fr-FR"/>
        </w:rPr>
        <w:t>CDIP</w:t>
      </w:r>
      <w:proofErr w:type="spellEnd"/>
      <w:r w:rsidR="00B57560" w:rsidRPr="007D2AC6">
        <w:rPr>
          <w:szCs w:val="22"/>
          <w:lang w:val="fr-FR"/>
        </w:rPr>
        <w:t> </w:t>
      </w:r>
      <w:r w:rsidRPr="007D2AC6">
        <w:rPr>
          <w:szCs w:val="22"/>
          <w:lang w:val="fr-FR"/>
        </w:rPr>
        <w:t xml:space="preserve">14/2, </w:t>
      </w:r>
      <w:r w:rsidR="002A5696" w:rsidRPr="007D2AC6">
        <w:rPr>
          <w:szCs w:val="22"/>
          <w:lang w:val="fr-FR"/>
        </w:rPr>
        <w:t>annexe V</w:t>
      </w:r>
      <w:r w:rsidRPr="007D2AC6">
        <w:rPr>
          <w:szCs w:val="22"/>
          <w:lang w:val="fr-FR"/>
        </w:rPr>
        <w:t>I, 2</w:t>
      </w:r>
      <w:r w:rsidR="002A5696" w:rsidRPr="007D2AC6">
        <w:rPr>
          <w:szCs w:val="22"/>
          <w:lang w:val="fr-FR"/>
        </w:rPr>
        <w:t>8 août 20</w:t>
      </w:r>
      <w:r w:rsidRPr="007D2AC6">
        <w:rPr>
          <w:szCs w:val="22"/>
          <w:lang w:val="fr-FR"/>
        </w:rPr>
        <w:t>14</w:t>
      </w:r>
    </w:p>
    <w:p w14:paraId="1A9742FD" w14:textId="78D1373C" w:rsidR="0059687A" w:rsidRPr="007D2AC6" w:rsidRDefault="002D2178" w:rsidP="00CE7A13">
      <w:pPr>
        <w:pStyle w:val="ListNumber"/>
        <w:numPr>
          <w:ilvl w:val="1"/>
          <w:numId w:val="25"/>
        </w:numPr>
        <w:spacing w:after="220" w:line="260" w:lineRule="atLeast"/>
        <w:rPr>
          <w:szCs w:val="22"/>
          <w:lang w:val="fr-FR"/>
        </w:rPr>
      </w:pPr>
      <w:r w:rsidRPr="007D2AC6">
        <w:rPr>
          <w:szCs w:val="22"/>
          <w:lang w:val="fr-FR"/>
        </w:rPr>
        <w:t>Rapport sur l</w:t>
      </w:r>
      <w:r w:rsidR="002A5696" w:rsidRPr="007D2AC6">
        <w:rPr>
          <w:szCs w:val="22"/>
          <w:lang w:val="fr-FR"/>
        </w:rPr>
        <w:t>’</w:t>
      </w:r>
      <w:r w:rsidRPr="007D2AC6">
        <w:rPr>
          <w:szCs w:val="22"/>
          <w:lang w:val="fr-FR"/>
        </w:rPr>
        <w:t>état d</w:t>
      </w:r>
      <w:r w:rsidR="002A5696" w:rsidRPr="007D2AC6">
        <w:rPr>
          <w:szCs w:val="22"/>
          <w:lang w:val="fr-FR"/>
        </w:rPr>
        <w:t>’</w:t>
      </w:r>
      <w:r w:rsidRPr="007D2AC6">
        <w:rPr>
          <w:szCs w:val="22"/>
          <w:lang w:val="fr-FR"/>
        </w:rPr>
        <w:t>avancement du projet</w:t>
      </w:r>
      <w:r w:rsidR="00016B54" w:rsidRPr="007D2AC6">
        <w:rPr>
          <w:szCs w:val="22"/>
          <w:lang w:val="fr-FR"/>
        </w:rPr>
        <w:t xml:space="preserve">, </w:t>
      </w:r>
      <w:proofErr w:type="spellStart"/>
      <w:r w:rsidR="00016B54" w:rsidRPr="007D2AC6">
        <w:rPr>
          <w:szCs w:val="22"/>
          <w:lang w:val="fr-FR"/>
        </w:rPr>
        <w:t>CDIP</w:t>
      </w:r>
      <w:proofErr w:type="spellEnd"/>
      <w:r w:rsidR="00B57560" w:rsidRPr="007D2AC6">
        <w:rPr>
          <w:szCs w:val="22"/>
          <w:lang w:val="fr-FR"/>
        </w:rPr>
        <w:t> </w:t>
      </w:r>
      <w:r w:rsidR="00016B54" w:rsidRPr="007D2AC6">
        <w:rPr>
          <w:szCs w:val="22"/>
          <w:lang w:val="fr-FR"/>
        </w:rPr>
        <w:t xml:space="preserve">16/2, </w:t>
      </w:r>
      <w:r w:rsidR="002A5696" w:rsidRPr="007D2AC6">
        <w:rPr>
          <w:szCs w:val="22"/>
          <w:lang w:val="fr-FR"/>
        </w:rPr>
        <w:t>annexe I</w:t>
      </w:r>
      <w:r w:rsidR="00016B54" w:rsidRPr="007D2AC6">
        <w:rPr>
          <w:szCs w:val="22"/>
          <w:lang w:val="fr-FR"/>
        </w:rPr>
        <w:t xml:space="preserve">I, </w:t>
      </w:r>
      <w:r w:rsidRPr="007D2AC6">
        <w:rPr>
          <w:szCs w:val="22"/>
          <w:lang w:val="fr-FR"/>
        </w:rPr>
        <w:t>1</w:t>
      </w:r>
      <w:r w:rsidR="002A5696" w:rsidRPr="007D2AC6">
        <w:rPr>
          <w:szCs w:val="22"/>
          <w:lang w:val="fr-FR"/>
        </w:rPr>
        <w:t>3 août 20</w:t>
      </w:r>
      <w:r w:rsidR="00016B54" w:rsidRPr="007D2AC6">
        <w:rPr>
          <w:szCs w:val="22"/>
          <w:lang w:val="fr-FR"/>
        </w:rPr>
        <w:t>15</w:t>
      </w:r>
    </w:p>
    <w:p w14:paraId="49BCA8F9" w14:textId="773B319A" w:rsidR="0059687A" w:rsidRPr="007D2AC6" w:rsidRDefault="002D2178" w:rsidP="00CE7A13">
      <w:pPr>
        <w:pStyle w:val="ListNumber"/>
        <w:numPr>
          <w:ilvl w:val="1"/>
          <w:numId w:val="25"/>
        </w:numPr>
        <w:spacing w:after="220" w:line="260" w:lineRule="atLeast"/>
        <w:rPr>
          <w:szCs w:val="22"/>
          <w:lang w:val="fr-FR"/>
        </w:rPr>
      </w:pPr>
      <w:r w:rsidRPr="007D2AC6">
        <w:rPr>
          <w:szCs w:val="22"/>
          <w:lang w:val="fr-FR"/>
        </w:rPr>
        <w:t>Rapport sur l</w:t>
      </w:r>
      <w:r w:rsidR="002A5696" w:rsidRPr="007D2AC6">
        <w:rPr>
          <w:szCs w:val="22"/>
          <w:lang w:val="fr-FR"/>
        </w:rPr>
        <w:t>’</w:t>
      </w:r>
      <w:r w:rsidRPr="007D2AC6">
        <w:rPr>
          <w:szCs w:val="22"/>
          <w:lang w:val="fr-FR"/>
        </w:rPr>
        <w:t>état d</w:t>
      </w:r>
      <w:r w:rsidR="002A5696" w:rsidRPr="007D2AC6">
        <w:rPr>
          <w:szCs w:val="22"/>
          <w:lang w:val="fr-FR"/>
        </w:rPr>
        <w:t>’</w:t>
      </w:r>
      <w:r w:rsidRPr="007D2AC6">
        <w:rPr>
          <w:szCs w:val="22"/>
          <w:lang w:val="fr-FR"/>
        </w:rPr>
        <w:t>avancement du projet</w:t>
      </w:r>
      <w:r w:rsidR="00016B54" w:rsidRPr="007D2AC6">
        <w:rPr>
          <w:szCs w:val="22"/>
          <w:lang w:val="fr-FR"/>
        </w:rPr>
        <w:t xml:space="preserve">, </w:t>
      </w:r>
      <w:proofErr w:type="spellStart"/>
      <w:r w:rsidR="00016B54" w:rsidRPr="007D2AC6">
        <w:rPr>
          <w:szCs w:val="22"/>
          <w:lang w:val="fr-FR"/>
        </w:rPr>
        <w:t>CDIP</w:t>
      </w:r>
      <w:proofErr w:type="spellEnd"/>
      <w:r w:rsidR="00B57560" w:rsidRPr="007D2AC6">
        <w:rPr>
          <w:szCs w:val="22"/>
          <w:lang w:val="fr-FR"/>
        </w:rPr>
        <w:t> </w:t>
      </w:r>
      <w:r w:rsidR="00016B54" w:rsidRPr="007D2AC6">
        <w:rPr>
          <w:szCs w:val="22"/>
          <w:lang w:val="fr-FR"/>
        </w:rPr>
        <w:t xml:space="preserve">17/2, </w:t>
      </w:r>
      <w:r w:rsidR="002A5696" w:rsidRPr="007D2AC6">
        <w:rPr>
          <w:szCs w:val="22"/>
          <w:lang w:val="fr-FR"/>
        </w:rPr>
        <w:t>page 1</w:t>
      </w:r>
      <w:r w:rsidR="00016B54" w:rsidRPr="007D2AC6">
        <w:rPr>
          <w:szCs w:val="22"/>
          <w:lang w:val="fr-FR"/>
        </w:rPr>
        <w:t xml:space="preserve">8 </w:t>
      </w:r>
      <w:r w:rsidR="00972890" w:rsidRPr="007D2AC6">
        <w:rPr>
          <w:szCs w:val="22"/>
          <w:lang w:val="fr-FR"/>
        </w:rPr>
        <w:t>(</w:t>
      </w:r>
      <w:r w:rsidR="00016B54" w:rsidRPr="007D2AC6">
        <w:rPr>
          <w:szCs w:val="22"/>
          <w:lang w:val="fr-FR"/>
        </w:rPr>
        <w:t>iv)</w:t>
      </w:r>
    </w:p>
    <w:p w14:paraId="75282E98" w14:textId="51126063" w:rsidR="0059687A" w:rsidRPr="007D2AC6" w:rsidRDefault="002D2178" w:rsidP="00CE7A13">
      <w:pPr>
        <w:pStyle w:val="ListNumber"/>
        <w:numPr>
          <w:ilvl w:val="1"/>
          <w:numId w:val="25"/>
        </w:numPr>
        <w:spacing w:after="220" w:line="260" w:lineRule="atLeast"/>
        <w:rPr>
          <w:szCs w:val="22"/>
          <w:lang w:val="fr-FR"/>
        </w:rPr>
      </w:pPr>
      <w:r w:rsidRPr="007D2AC6">
        <w:rPr>
          <w:lang w:val="fr-FR"/>
        </w:rPr>
        <w:t>Rapport relatif à l</w:t>
      </w:r>
      <w:r w:rsidR="002A5696" w:rsidRPr="007D2AC6">
        <w:rPr>
          <w:lang w:val="fr-FR"/>
        </w:rPr>
        <w:t>’</w:t>
      </w:r>
      <w:r w:rsidRPr="007D2AC6">
        <w:rPr>
          <w:lang w:val="fr-FR"/>
        </w:rPr>
        <w:t>achèvement du projet,</w:t>
      </w:r>
      <w:r w:rsidR="00016B54" w:rsidRPr="007D2AC6">
        <w:rPr>
          <w:szCs w:val="22"/>
          <w:lang w:val="fr-FR"/>
        </w:rPr>
        <w:t xml:space="preserve"> </w:t>
      </w:r>
      <w:proofErr w:type="spellStart"/>
      <w:r w:rsidR="00016B54" w:rsidRPr="007D2AC6">
        <w:rPr>
          <w:szCs w:val="22"/>
          <w:lang w:val="fr-FR"/>
        </w:rPr>
        <w:t>CDIP</w:t>
      </w:r>
      <w:proofErr w:type="spellEnd"/>
      <w:r w:rsidR="00B57560" w:rsidRPr="007D2AC6">
        <w:rPr>
          <w:szCs w:val="22"/>
          <w:lang w:val="fr-FR"/>
        </w:rPr>
        <w:t> </w:t>
      </w:r>
      <w:r w:rsidR="00016B54" w:rsidRPr="007D2AC6">
        <w:rPr>
          <w:szCs w:val="22"/>
          <w:lang w:val="fr-FR"/>
        </w:rPr>
        <w:t xml:space="preserve">18/2, </w:t>
      </w:r>
      <w:r w:rsidR="002A5696" w:rsidRPr="007D2AC6">
        <w:rPr>
          <w:szCs w:val="22"/>
          <w:lang w:val="fr-FR"/>
        </w:rPr>
        <w:t>annexe V</w:t>
      </w:r>
      <w:r w:rsidR="00016B54" w:rsidRPr="007D2AC6">
        <w:rPr>
          <w:szCs w:val="22"/>
          <w:lang w:val="fr-FR"/>
        </w:rPr>
        <w:t xml:space="preserve">II, </w:t>
      </w:r>
      <w:r w:rsidRPr="007D2AC6">
        <w:rPr>
          <w:szCs w:val="22"/>
          <w:lang w:val="fr-FR"/>
        </w:rPr>
        <w:t>1</w:t>
      </w:r>
      <w:r w:rsidR="002A5696" w:rsidRPr="007D2AC6">
        <w:rPr>
          <w:szCs w:val="22"/>
          <w:lang w:val="fr-FR"/>
        </w:rPr>
        <w:t>5 août 20</w:t>
      </w:r>
      <w:r w:rsidR="00016B54" w:rsidRPr="007D2AC6">
        <w:rPr>
          <w:szCs w:val="22"/>
          <w:lang w:val="fr-FR"/>
        </w:rPr>
        <w:t>16</w:t>
      </w:r>
    </w:p>
    <w:p w14:paraId="3FE9013E" w14:textId="315665C8" w:rsidR="0059687A" w:rsidRPr="007D2AC6" w:rsidRDefault="002D2178" w:rsidP="00CE7A13">
      <w:pPr>
        <w:pStyle w:val="ListNumber"/>
        <w:numPr>
          <w:ilvl w:val="1"/>
          <w:numId w:val="25"/>
        </w:numPr>
        <w:spacing w:after="220" w:line="260" w:lineRule="atLeast"/>
        <w:rPr>
          <w:szCs w:val="22"/>
          <w:lang w:val="fr-FR"/>
        </w:rPr>
      </w:pPr>
      <w:r w:rsidRPr="007D2AC6">
        <w:rPr>
          <w:szCs w:val="22"/>
          <w:lang w:val="fr-FR"/>
        </w:rPr>
        <w:t>Rapport d</w:t>
      </w:r>
      <w:r w:rsidR="002A5696" w:rsidRPr="007D2AC6">
        <w:rPr>
          <w:szCs w:val="22"/>
          <w:lang w:val="fr-FR"/>
        </w:rPr>
        <w:t>’</w:t>
      </w:r>
      <w:r w:rsidRPr="007D2AC6">
        <w:rPr>
          <w:szCs w:val="22"/>
          <w:lang w:val="fr-FR"/>
        </w:rPr>
        <w:t>auto</w:t>
      </w:r>
      <w:r w:rsidR="00B57560" w:rsidRPr="007D2AC6">
        <w:rPr>
          <w:szCs w:val="22"/>
          <w:lang w:val="fr-FR"/>
        </w:rPr>
        <w:noBreakHyphen/>
      </w:r>
      <w:r w:rsidRPr="007D2AC6">
        <w:rPr>
          <w:szCs w:val="22"/>
          <w:lang w:val="fr-FR"/>
        </w:rPr>
        <w:t>évaluation interne</w:t>
      </w:r>
      <w:r w:rsidR="00016B54" w:rsidRPr="007D2AC6">
        <w:rPr>
          <w:szCs w:val="22"/>
          <w:lang w:val="fr-FR"/>
        </w:rPr>
        <w:t xml:space="preserve"> </w:t>
      </w:r>
      <w:r w:rsidR="00972890" w:rsidRPr="007D2AC6">
        <w:rPr>
          <w:szCs w:val="22"/>
          <w:lang w:val="fr-FR"/>
        </w:rPr>
        <w:t>(</w:t>
      </w:r>
      <w:r w:rsidR="002A5696" w:rsidRPr="007D2AC6">
        <w:rPr>
          <w:szCs w:val="22"/>
          <w:lang w:val="fr-FR"/>
        </w:rPr>
        <w:t>novembre 20</w:t>
      </w:r>
      <w:r w:rsidR="00016B54" w:rsidRPr="007D2AC6">
        <w:rPr>
          <w:szCs w:val="22"/>
          <w:lang w:val="fr-FR"/>
        </w:rPr>
        <w:t>15)</w:t>
      </w:r>
    </w:p>
    <w:p w14:paraId="2CF90C4C" w14:textId="35D61BD6" w:rsidR="0059687A" w:rsidRPr="007D2AC6" w:rsidRDefault="002D2178" w:rsidP="00CE7A13">
      <w:pPr>
        <w:pStyle w:val="ListNumber"/>
        <w:numPr>
          <w:ilvl w:val="0"/>
          <w:numId w:val="0"/>
        </w:numPr>
        <w:spacing w:after="220" w:line="260" w:lineRule="atLeast"/>
        <w:rPr>
          <w:b/>
          <w:szCs w:val="22"/>
          <w:lang w:val="fr-FR"/>
        </w:rPr>
      </w:pPr>
      <w:r w:rsidRPr="007D2AC6">
        <w:rPr>
          <w:b/>
          <w:szCs w:val="22"/>
          <w:lang w:val="fr-FR"/>
        </w:rPr>
        <w:t>Produits du projet</w:t>
      </w:r>
    </w:p>
    <w:p w14:paraId="2A66E4B9" w14:textId="55076A88" w:rsidR="0059687A" w:rsidRPr="007D2AC6" w:rsidRDefault="002D2178" w:rsidP="00CE7A13">
      <w:pPr>
        <w:pStyle w:val="ListNumber"/>
        <w:numPr>
          <w:ilvl w:val="0"/>
          <w:numId w:val="0"/>
        </w:numPr>
        <w:spacing w:after="220" w:line="260" w:lineRule="atLeast"/>
        <w:rPr>
          <w:szCs w:val="22"/>
          <w:lang w:val="fr-FR"/>
        </w:rPr>
      </w:pPr>
      <w:r w:rsidRPr="007D2AC6">
        <w:rPr>
          <w:szCs w:val="22"/>
          <w:lang w:val="fr-FR"/>
        </w:rPr>
        <w:t>Pré</w:t>
      </w:r>
      <w:r w:rsidR="00C21BF7" w:rsidRPr="007D2AC6">
        <w:rPr>
          <w:szCs w:val="22"/>
          <w:lang w:val="fr-FR"/>
        </w:rPr>
        <w:t>paration</w:t>
      </w:r>
      <w:r w:rsidRPr="007D2AC6">
        <w:rPr>
          <w:szCs w:val="22"/>
          <w:lang w:val="fr-FR"/>
        </w:rPr>
        <w:t xml:space="preserve"> du projet</w:t>
      </w:r>
    </w:p>
    <w:p w14:paraId="58990D1D" w14:textId="4F696988" w:rsidR="0059687A" w:rsidRPr="007D2AC6" w:rsidRDefault="00277738" w:rsidP="00CE7A13">
      <w:pPr>
        <w:pStyle w:val="ListNumber"/>
        <w:numPr>
          <w:ilvl w:val="0"/>
          <w:numId w:val="27"/>
        </w:numPr>
        <w:spacing w:after="220" w:line="260" w:lineRule="atLeast"/>
        <w:rPr>
          <w:szCs w:val="22"/>
          <w:lang w:val="fr-FR"/>
        </w:rPr>
      </w:pPr>
      <w:r w:rsidRPr="007D2AC6">
        <w:rPr>
          <w:szCs w:val="22"/>
          <w:lang w:val="fr-FR"/>
        </w:rPr>
        <w:t>La stratégie nationale de protection des dessins et modèles pour l</w:t>
      </w:r>
      <w:r w:rsidR="002A5696" w:rsidRPr="007D2AC6">
        <w:rPr>
          <w:szCs w:val="22"/>
          <w:lang w:val="fr-FR"/>
        </w:rPr>
        <w:t>’</w:t>
      </w:r>
      <w:r w:rsidRPr="007D2AC6">
        <w:rPr>
          <w:szCs w:val="22"/>
          <w:lang w:val="fr-FR"/>
        </w:rPr>
        <w:t>Argentine</w:t>
      </w:r>
    </w:p>
    <w:p w14:paraId="3F4E3643" w14:textId="24C88739" w:rsidR="0059687A" w:rsidRPr="007D2AC6" w:rsidRDefault="00277738" w:rsidP="00CE7A13">
      <w:pPr>
        <w:pStyle w:val="ListNumber"/>
        <w:numPr>
          <w:ilvl w:val="0"/>
          <w:numId w:val="27"/>
        </w:numPr>
        <w:spacing w:after="220" w:line="260" w:lineRule="atLeast"/>
        <w:rPr>
          <w:szCs w:val="22"/>
          <w:lang w:val="fr-FR"/>
        </w:rPr>
      </w:pPr>
      <w:r w:rsidRPr="007D2AC6">
        <w:rPr>
          <w:szCs w:val="22"/>
          <w:lang w:val="fr-FR"/>
        </w:rPr>
        <w:t>La stratégie nationale de protection des dessins et modèles pour le Maroc</w:t>
      </w:r>
    </w:p>
    <w:p w14:paraId="15EA5739" w14:textId="6B385FC5" w:rsidR="0059687A" w:rsidRPr="007D2AC6" w:rsidRDefault="00277738" w:rsidP="00CE7A13">
      <w:pPr>
        <w:pStyle w:val="ListNumber"/>
        <w:numPr>
          <w:ilvl w:val="0"/>
          <w:numId w:val="27"/>
        </w:numPr>
        <w:spacing w:after="220" w:line="260" w:lineRule="atLeast"/>
        <w:rPr>
          <w:szCs w:val="22"/>
          <w:lang w:val="fr-FR"/>
        </w:rPr>
      </w:pPr>
      <w:r w:rsidRPr="007D2AC6">
        <w:rPr>
          <w:szCs w:val="22"/>
          <w:lang w:val="fr-FR"/>
        </w:rPr>
        <w:t>Le plan de sensibilisation</w:t>
      </w:r>
      <w:r w:rsidR="00006864" w:rsidRPr="007D2AC6">
        <w:rPr>
          <w:szCs w:val="22"/>
          <w:lang w:val="fr-FR"/>
        </w:rPr>
        <w:t xml:space="preserve"> </w:t>
      </w:r>
      <w:r w:rsidRPr="007D2AC6">
        <w:rPr>
          <w:szCs w:val="22"/>
          <w:lang w:val="fr-FR"/>
        </w:rPr>
        <w:t>pour l</w:t>
      </w:r>
      <w:r w:rsidR="002A5696" w:rsidRPr="007D2AC6">
        <w:rPr>
          <w:szCs w:val="22"/>
          <w:lang w:val="fr-FR"/>
        </w:rPr>
        <w:t>’</w:t>
      </w:r>
      <w:r w:rsidRPr="007D2AC6">
        <w:rPr>
          <w:szCs w:val="22"/>
          <w:lang w:val="fr-FR"/>
        </w:rPr>
        <w:t>Argentine</w:t>
      </w:r>
    </w:p>
    <w:p w14:paraId="3B15DC47" w14:textId="656C9EF6" w:rsidR="0059687A" w:rsidRPr="007D2AC6" w:rsidRDefault="00277738" w:rsidP="00CE7A13">
      <w:pPr>
        <w:pStyle w:val="ListNumber"/>
        <w:numPr>
          <w:ilvl w:val="0"/>
          <w:numId w:val="27"/>
        </w:numPr>
        <w:spacing w:after="220" w:line="260" w:lineRule="atLeast"/>
        <w:rPr>
          <w:szCs w:val="22"/>
          <w:lang w:val="fr-FR"/>
        </w:rPr>
      </w:pPr>
      <w:r w:rsidRPr="007D2AC6">
        <w:rPr>
          <w:szCs w:val="22"/>
          <w:lang w:val="fr-FR"/>
        </w:rPr>
        <w:t>Le plan de sensibilisation pour le Maroc</w:t>
      </w:r>
    </w:p>
    <w:p w14:paraId="1BB7332E" w14:textId="2D86811C" w:rsidR="0059687A" w:rsidRPr="007D2AC6" w:rsidRDefault="00277738" w:rsidP="00CE7A13">
      <w:pPr>
        <w:pStyle w:val="ListNumber"/>
        <w:numPr>
          <w:ilvl w:val="0"/>
          <w:numId w:val="27"/>
        </w:numPr>
        <w:spacing w:after="220" w:line="260" w:lineRule="atLeast"/>
        <w:rPr>
          <w:szCs w:val="22"/>
          <w:lang w:val="fr-FR"/>
        </w:rPr>
      </w:pPr>
      <w:r w:rsidRPr="007D2AC6">
        <w:rPr>
          <w:szCs w:val="22"/>
          <w:lang w:val="fr-FR"/>
        </w:rPr>
        <w:t>L</w:t>
      </w:r>
      <w:r w:rsidR="002A5696" w:rsidRPr="007D2AC6">
        <w:rPr>
          <w:szCs w:val="22"/>
          <w:lang w:val="fr-FR"/>
        </w:rPr>
        <w:t>’</w:t>
      </w:r>
      <w:r w:rsidRPr="007D2AC6">
        <w:rPr>
          <w:szCs w:val="22"/>
          <w:lang w:val="fr-FR"/>
        </w:rPr>
        <w:t>étude de faisabilité</w:t>
      </w:r>
      <w:r w:rsidR="00006864" w:rsidRPr="007D2AC6">
        <w:rPr>
          <w:szCs w:val="22"/>
          <w:lang w:val="fr-FR"/>
        </w:rPr>
        <w:t xml:space="preserve"> </w:t>
      </w:r>
      <w:r w:rsidRPr="007D2AC6">
        <w:rPr>
          <w:szCs w:val="22"/>
          <w:lang w:val="fr-FR"/>
        </w:rPr>
        <w:t>pour l</w:t>
      </w:r>
      <w:r w:rsidR="002A5696" w:rsidRPr="007D2AC6">
        <w:rPr>
          <w:szCs w:val="22"/>
          <w:lang w:val="fr-FR"/>
        </w:rPr>
        <w:t>’</w:t>
      </w:r>
      <w:r w:rsidRPr="007D2AC6">
        <w:rPr>
          <w:szCs w:val="22"/>
          <w:lang w:val="fr-FR"/>
        </w:rPr>
        <w:t>Argentine</w:t>
      </w:r>
    </w:p>
    <w:p w14:paraId="3F0EF9F1" w14:textId="3F60F1FB" w:rsidR="002A5696" w:rsidRPr="007D2AC6" w:rsidRDefault="00277738" w:rsidP="00CE7A13">
      <w:pPr>
        <w:pStyle w:val="ListNumber"/>
        <w:numPr>
          <w:ilvl w:val="0"/>
          <w:numId w:val="27"/>
        </w:numPr>
        <w:spacing w:after="220" w:line="260" w:lineRule="atLeast"/>
        <w:rPr>
          <w:szCs w:val="22"/>
          <w:lang w:val="fr-FR"/>
        </w:rPr>
      </w:pPr>
      <w:r w:rsidRPr="007D2AC6">
        <w:rPr>
          <w:szCs w:val="22"/>
          <w:lang w:val="fr-FR"/>
        </w:rPr>
        <w:t>L</w:t>
      </w:r>
      <w:r w:rsidR="002A5696" w:rsidRPr="007D2AC6">
        <w:rPr>
          <w:szCs w:val="22"/>
          <w:lang w:val="fr-FR"/>
        </w:rPr>
        <w:t>’</w:t>
      </w:r>
      <w:r w:rsidRPr="007D2AC6">
        <w:rPr>
          <w:szCs w:val="22"/>
          <w:lang w:val="fr-FR"/>
        </w:rPr>
        <w:t xml:space="preserve">étude de faisabilité </w:t>
      </w:r>
      <w:r w:rsidR="00FB5258" w:rsidRPr="007D2AC6">
        <w:rPr>
          <w:szCs w:val="22"/>
          <w:lang w:val="fr-FR"/>
        </w:rPr>
        <w:t xml:space="preserve">pour </w:t>
      </w:r>
      <w:r w:rsidRPr="007D2AC6">
        <w:rPr>
          <w:szCs w:val="22"/>
          <w:lang w:val="fr-FR"/>
        </w:rPr>
        <w:t>le Maroc</w:t>
      </w:r>
    </w:p>
    <w:p w14:paraId="2C51A093" w14:textId="205EB19A" w:rsidR="0059687A" w:rsidRPr="007D2AC6" w:rsidRDefault="00FB5258" w:rsidP="00CE7A13">
      <w:pPr>
        <w:pStyle w:val="ListNumber"/>
        <w:numPr>
          <w:ilvl w:val="0"/>
          <w:numId w:val="27"/>
        </w:numPr>
        <w:spacing w:after="220" w:line="260" w:lineRule="atLeast"/>
        <w:rPr>
          <w:szCs w:val="22"/>
          <w:lang w:val="fr-FR"/>
        </w:rPr>
      </w:pPr>
      <w:r w:rsidRPr="007D2AC6">
        <w:rPr>
          <w:szCs w:val="22"/>
          <w:lang w:val="fr-FR"/>
        </w:rPr>
        <w:t>Le résumé de l</w:t>
      </w:r>
      <w:r w:rsidR="002A5696" w:rsidRPr="007D2AC6">
        <w:rPr>
          <w:szCs w:val="22"/>
          <w:lang w:val="fr-FR"/>
        </w:rPr>
        <w:t>’</w:t>
      </w:r>
      <w:r w:rsidRPr="007D2AC6">
        <w:rPr>
          <w:szCs w:val="22"/>
          <w:lang w:val="fr-FR"/>
        </w:rPr>
        <w:t>enquête préparatoire auprès des entreprises menée en Argentine</w:t>
      </w:r>
    </w:p>
    <w:p w14:paraId="0F2E4970" w14:textId="29B798E1" w:rsidR="0059687A" w:rsidRPr="007D2AC6" w:rsidRDefault="00FB5258" w:rsidP="00CE7A13">
      <w:pPr>
        <w:pStyle w:val="ListNumber"/>
        <w:numPr>
          <w:ilvl w:val="0"/>
          <w:numId w:val="27"/>
        </w:numPr>
        <w:spacing w:after="220" w:line="260" w:lineRule="atLeast"/>
        <w:rPr>
          <w:szCs w:val="22"/>
          <w:lang w:val="fr-FR"/>
        </w:rPr>
      </w:pPr>
      <w:r w:rsidRPr="007D2AC6">
        <w:rPr>
          <w:szCs w:val="22"/>
          <w:lang w:val="fr-FR"/>
        </w:rPr>
        <w:t>Le résumé de l</w:t>
      </w:r>
      <w:r w:rsidR="002A5696" w:rsidRPr="007D2AC6">
        <w:rPr>
          <w:szCs w:val="22"/>
          <w:lang w:val="fr-FR"/>
        </w:rPr>
        <w:t>’</w:t>
      </w:r>
      <w:r w:rsidRPr="007D2AC6">
        <w:rPr>
          <w:szCs w:val="22"/>
          <w:lang w:val="fr-FR"/>
        </w:rPr>
        <w:t>enquête préparatoire auprès des entreprises menée au Maroc</w:t>
      </w:r>
    </w:p>
    <w:p w14:paraId="15D5E4A5" w14:textId="18F20471" w:rsidR="002A5696" w:rsidRPr="007D2AC6" w:rsidRDefault="00FB5258" w:rsidP="00CE7A13">
      <w:pPr>
        <w:pStyle w:val="ListNumber"/>
        <w:numPr>
          <w:ilvl w:val="0"/>
          <w:numId w:val="27"/>
        </w:numPr>
        <w:spacing w:after="220" w:line="260" w:lineRule="atLeast"/>
        <w:rPr>
          <w:szCs w:val="22"/>
          <w:lang w:val="fr-FR"/>
        </w:rPr>
      </w:pPr>
      <w:r w:rsidRPr="007D2AC6">
        <w:rPr>
          <w:szCs w:val="22"/>
          <w:lang w:val="fr-FR"/>
        </w:rPr>
        <w:lastRenderedPageBreak/>
        <w:t>La stratégie de sortie</w:t>
      </w:r>
      <w:r w:rsidR="00006864" w:rsidRPr="007D2AC6">
        <w:rPr>
          <w:szCs w:val="22"/>
          <w:lang w:val="fr-FR"/>
        </w:rPr>
        <w:t xml:space="preserve"> </w:t>
      </w:r>
      <w:r w:rsidRPr="007D2AC6">
        <w:rPr>
          <w:szCs w:val="22"/>
          <w:lang w:val="fr-FR"/>
        </w:rPr>
        <w:t>pour l</w:t>
      </w:r>
      <w:r w:rsidR="002A5696" w:rsidRPr="007D2AC6">
        <w:rPr>
          <w:szCs w:val="22"/>
          <w:lang w:val="fr-FR"/>
        </w:rPr>
        <w:t>’</w:t>
      </w:r>
      <w:r w:rsidRPr="007D2AC6">
        <w:rPr>
          <w:szCs w:val="22"/>
          <w:lang w:val="fr-FR"/>
        </w:rPr>
        <w:t>Argentine</w:t>
      </w:r>
    </w:p>
    <w:p w14:paraId="3930072C" w14:textId="3C975CF5" w:rsidR="0059687A" w:rsidRPr="007D2AC6" w:rsidRDefault="00FB5258" w:rsidP="00CE7A13">
      <w:pPr>
        <w:pStyle w:val="ListNumber"/>
        <w:numPr>
          <w:ilvl w:val="0"/>
          <w:numId w:val="27"/>
        </w:numPr>
        <w:spacing w:after="220" w:line="260" w:lineRule="atLeast"/>
        <w:rPr>
          <w:szCs w:val="22"/>
          <w:lang w:val="fr-FR"/>
        </w:rPr>
      </w:pPr>
      <w:r w:rsidRPr="007D2AC6">
        <w:rPr>
          <w:szCs w:val="22"/>
          <w:lang w:val="fr-FR"/>
        </w:rPr>
        <w:t>La stratégie de sortie pour le Maroc</w:t>
      </w:r>
    </w:p>
    <w:p w14:paraId="6819C560" w14:textId="2ACF9D84" w:rsidR="0059687A" w:rsidRPr="007D2AC6" w:rsidRDefault="00654286" w:rsidP="00CE7A13">
      <w:pPr>
        <w:pStyle w:val="ListNumber"/>
        <w:numPr>
          <w:ilvl w:val="0"/>
          <w:numId w:val="0"/>
        </w:numPr>
        <w:spacing w:after="220" w:line="260" w:lineRule="atLeast"/>
        <w:rPr>
          <w:szCs w:val="22"/>
          <w:lang w:val="fr-FR"/>
        </w:rPr>
      </w:pPr>
      <w:r w:rsidRPr="007D2AC6">
        <w:rPr>
          <w:szCs w:val="22"/>
          <w:lang w:val="fr-FR"/>
        </w:rPr>
        <w:t>Manifestations de lancement</w:t>
      </w:r>
    </w:p>
    <w:p w14:paraId="3F8D2C88" w14:textId="19D8CB7E" w:rsidR="0059687A" w:rsidRPr="007D2AC6" w:rsidRDefault="00FB5258" w:rsidP="00CE7A13">
      <w:pPr>
        <w:pStyle w:val="ListNumber"/>
        <w:numPr>
          <w:ilvl w:val="0"/>
          <w:numId w:val="28"/>
        </w:numPr>
        <w:spacing w:after="220" w:line="260" w:lineRule="atLeast"/>
        <w:rPr>
          <w:szCs w:val="22"/>
          <w:lang w:val="fr-FR"/>
        </w:rPr>
      </w:pPr>
      <w:r w:rsidRPr="007D2AC6">
        <w:rPr>
          <w:szCs w:val="22"/>
          <w:lang w:val="fr-FR"/>
        </w:rPr>
        <w:t>La manifestation de lancement du programme d</w:t>
      </w:r>
      <w:r w:rsidR="002A5696" w:rsidRPr="007D2AC6">
        <w:rPr>
          <w:szCs w:val="22"/>
          <w:lang w:val="fr-FR"/>
        </w:rPr>
        <w:t>’</w:t>
      </w:r>
      <w:r w:rsidRPr="007D2AC6">
        <w:rPr>
          <w:szCs w:val="22"/>
          <w:lang w:val="fr-FR"/>
        </w:rPr>
        <w:t>activité en Argentine</w:t>
      </w:r>
    </w:p>
    <w:p w14:paraId="5738A953" w14:textId="77674304" w:rsidR="0059687A" w:rsidRPr="007D2AC6" w:rsidRDefault="00FB5258" w:rsidP="00CE7A13">
      <w:pPr>
        <w:pStyle w:val="ListNumber"/>
        <w:numPr>
          <w:ilvl w:val="0"/>
          <w:numId w:val="28"/>
        </w:numPr>
        <w:spacing w:after="220" w:line="260" w:lineRule="atLeast"/>
        <w:rPr>
          <w:szCs w:val="22"/>
          <w:lang w:val="fr-FR"/>
        </w:rPr>
      </w:pPr>
      <w:r w:rsidRPr="007D2AC6">
        <w:rPr>
          <w:szCs w:val="22"/>
          <w:lang w:val="fr-FR"/>
        </w:rPr>
        <w:t>La manifestation de lancement du programme d</w:t>
      </w:r>
      <w:r w:rsidR="002A5696" w:rsidRPr="007D2AC6">
        <w:rPr>
          <w:szCs w:val="22"/>
          <w:lang w:val="fr-FR"/>
        </w:rPr>
        <w:t>’</w:t>
      </w:r>
      <w:r w:rsidRPr="007D2AC6">
        <w:rPr>
          <w:szCs w:val="22"/>
          <w:lang w:val="fr-FR"/>
        </w:rPr>
        <w:t>activité au Maroc</w:t>
      </w:r>
    </w:p>
    <w:p w14:paraId="30D3EFC9" w14:textId="31C27908" w:rsidR="002A5696" w:rsidRPr="007D2AC6" w:rsidRDefault="00FB5258" w:rsidP="00CE7A13">
      <w:pPr>
        <w:pStyle w:val="ListNumber"/>
        <w:numPr>
          <w:ilvl w:val="0"/>
          <w:numId w:val="28"/>
        </w:numPr>
        <w:spacing w:after="220" w:line="260" w:lineRule="atLeast"/>
        <w:rPr>
          <w:szCs w:val="22"/>
          <w:lang w:val="fr-FR"/>
        </w:rPr>
      </w:pPr>
      <w:r w:rsidRPr="007D2AC6">
        <w:rPr>
          <w:szCs w:val="22"/>
          <w:lang w:val="fr-FR"/>
        </w:rPr>
        <w:t>Conférence de renforcement des capacités du programme d</w:t>
      </w:r>
      <w:r w:rsidR="002A5696" w:rsidRPr="007D2AC6">
        <w:rPr>
          <w:szCs w:val="22"/>
          <w:lang w:val="fr-FR"/>
        </w:rPr>
        <w:t>’</w:t>
      </w:r>
      <w:r w:rsidRPr="007D2AC6">
        <w:rPr>
          <w:szCs w:val="22"/>
          <w:lang w:val="fr-FR"/>
        </w:rPr>
        <w:t>activité à</w:t>
      </w:r>
      <w:r w:rsidR="00CE7A13" w:rsidRPr="007D2AC6">
        <w:rPr>
          <w:szCs w:val="22"/>
          <w:lang w:val="fr-FR"/>
        </w:rPr>
        <w:t xml:space="preserve"> Casablanca </w:t>
      </w:r>
      <w:r w:rsidR="00972890" w:rsidRPr="007D2AC6">
        <w:rPr>
          <w:szCs w:val="22"/>
          <w:lang w:val="fr-FR"/>
        </w:rPr>
        <w:t>(</w:t>
      </w:r>
      <w:r w:rsidRPr="007D2AC6">
        <w:rPr>
          <w:szCs w:val="22"/>
          <w:lang w:val="fr-FR"/>
        </w:rPr>
        <w:t>2</w:t>
      </w:r>
      <w:r w:rsidR="002A5696" w:rsidRPr="007D2AC6">
        <w:rPr>
          <w:szCs w:val="22"/>
          <w:lang w:val="fr-FR"/>
        </w:rPr>
        <w:t>7 octobre 20</w:t>
      </w:r>
      <w:r w:rsidR="00CE7A13" w:rsidRPr="007D2AC6">
        <w:rPr>
          <w:szCs w:val="22"/>
          <w:lang w:val="fr-FR"/>
        </w:rPr>
        <w:t>15)</w:t>
      </w:r>
    </w:p>
    <w:p w14:paraId="2EA395D8" w14:textId="49B145EA" w:rsidR="0059687A" w:rsidRPr="007D2AC6" w:rsidRDefault="00C21BF7" w:rsidP="00CE7A13">
      <w:pPr>
        <w:pStyle w:val="ListNumber"/>
        <w:numPr>
          <w:ilvl w:val="0"/>
          <w:numId w:val="0"/>
        </w:numPr>
        <w:spacing w:after="220" w:line="260" w:lineRule="atLeast"/>
        <w:rPr>
          <w:szCs w:val="22"/>
          <w:lang w:val="fr-FR"/>
        </w:rPr>
      </w:pPr>
      <w:r w:rsidRPr="007D2AC6">
        <w:rPr>
          <w:szCs w:val="22"/>
          <w:lang w:val="fr-FR"/>
        </w:rPr>
        <w:t>S</w:t>
      </w:r>
      <w:r w:rsidR="00654286" w:rsidRPr="007D2AC6">
        <w:rPr>
          <w:szCs w:val="22"/>
          <w:lang w:val="fr-FR"/>
        </w:rPr>
        <w:t>é</w:t>
      </w:r>
      <w:r w:rsidRPr="007D2AC6">
        <w:rPr>
          <w:szCs w:val="22"/>
          <w:lang w:val="fr-FR"/>
        </w:rPr>
        <w:t xml:space="preserve">lection </w:t>
      </w:r>
      <w:r w:rsidR="00654286" w:rsidRPr="007D2AC6">
        <w:rPr>
          <w:szCs w:val="22"/>
          <w:lang w:val="fr-FR"/>
        </w:rPr>
        <w:t>de PME</w:t>
      </w:r>
    </w:p>
    <w:p w14:paraId="3DC8AE92" w14:textId="0E830BD6" w:rsidR="0059687A" w:rsidRPr="007D2AC6" w:rsidRDefault="00CE7A13" w:rsidP="00CE7A13">
      <w:pPr>
        <w:pStyle w:val="ListNumber"/>
        <w:numPr>
          <w:ilvl w:val="0"/>
          <w:numId w:val="29"/>
        </w:numPr>
        <w:spacing w:after="220" w:line="260" w:lineRule="atLeast"/>
        <w:rPr>
          <w:szCs w:val="22"/>
          <w:lang w:val="fr-FR"/>
        </w:rPr>
      </w:pPr>
      <w:r w:rsidRPr="007D2AC6">
        <w:rPr>
          <w:szCs w:val="22"/>
          <w:lang w:val="fr-FR"/>
        </w:rPr>
        <w:t>R</w:t>
      </w:r>
      <w:r w:rsidR="00FB5258" w:rsidRPr="007D2AC6">
        <w:rPr>
          <w:szCs w:val="22"/>
          <w:lang w:val="fr-FR"/>
        </w:rPr>
        <w:t>apport relatif à la sélection d</w:t>
      </w:r>
      <w:r w:rsidR="002A5696" w:rsidRPr="007D2AC6">
        <w:rPr>
          <w:szCs w:val="22"/>
          <w:lang w:val="fr-FR"/>
        </w:rPr>
        <w:t>’</w:t>
      </w:r>
      <w:r w:rsidR="00FB5258" w:rsidRPr="007D2AC6">
        <w:rPr>
          <w:szCs w:val="22"/>
          <w:lang w:val="fr-FR"/>
        </w:rPr>
        <w:t>entreprises</w:t>
      </w:r>
    </w:p>
    <w:p w14:paraId="1D04072D" w14:textId="036822C5" w:rsidR="0059687A" w:rsidRPr="007D2AC6" w:rsidRDefault="00654286" w:rsidP="00CE7A13">
      <w:pPr>
        <w:pStyle w:val="ListNumber"/>
        <w:numPr>
          <w:ilvl w:val="0"/>
          <w:numId w:val="0"/>
        </w:numPr>
        <w:spacing w:after="220" w:line="260" w:lineRule="atLeast"/>
        <w:rPr>
          <w:szCs w:val="22"/>
          <w:lang w:val="fr-FR"/>
        </w:rPr>
      </w:pPr>
      <w:r w:rsidRPr="007D2AC6">
        <w:rPr>
          <w:szCs w:val="22"/>
          <w:lang w:val="fr-FR"/>
        </w:rPr>
        <w:t>Supports didactiques</w:t>
      </w:r>
    </w:p>
    <w:p w14:paraId="532DE495" w14:textId="430E004A" w:rsidR="0059687A" w:rsidRPr="007D2AC6" w:rsidRDefault="00FB5258" w:rsidP="00CE7A13">
      <w:pPr>
        <w:numPr>
          <w:ilvl w:val="0"/>
          <w:numId w:val="29"/>
        </w:numPr>
        <w:spacing w:after="220" w:line="260" w:lineRule="atLeast"/>
        <w:rPr>
          <w:lang w:val="fr-FR"/>
        </w:rPr>
      </w:pPr>
      <w:r w:rsidRPr="007D2AC6">
        <w:rPr>
          <w:lang w:val="fr-FR"/>
        </w:rPr>
        <w:t>L</w:t>
      </w:r>
      <w:r w:rsidR="002A5696" w:rsidRPr="007D2AC6">
        <w:rPr>
          <w:lang w:val="fr-FR"/>
        </w:rPr>
        <w:t>’</w:t>
      </w:r>
      <w:r w:rsidRPr="007D2AC6">
        <w:rPr>
          <w:lang w:val="fr-FR"/>
        </w:rPr>
        <w:t xml:space="preserve">outil </w:t>
      </w:r>
      <w:r w:rsidR="009F77AF" w:rsidRPr="007D2AC6">
        <w:rPr>
          <w:lang w:val="fr-FR"/>
        </w:rPr>
        <w:t>“</w:t>
      </w:r>
      <w:r w:rsidRPr="007D2AC6">
        <w:rPr>
          <w:lang w:val="fr-FR"/>
        </w:rPr>
        <w:t>Protection stratégique des dessins et modèles industriels en cinq</w:t>
      </w:r>
      <w:r w:rsidR="009F77AF" w:rsidRPr="007D2AC6">
        <w:rPr>
          <w:lang w:val="fr-FR"/>
        </w:rPr>
        <w:t> </w:t>
      </w:r>
      <w:r w:rsidR="00972890" w:rsidRPr="007D2AC6">
        <w:rPr>
          <w:lang w:val="fr-FR"/>
        </w:rPr>
        <w:t>(</w:t>
      </w:r>
      <w:r w:rsidR="004047BF" w:rsidRPr="007D2AC6">
        <w:rPr>
          <w:lang w:val="fr-FR"/>
        </w:rPr>
        <w:t>5) </w:t>
      </w:r>
      <w:r w:rsidRPr="007D2AC6">
        <w:rPr>
          <w:lang w:val="fr-FR"/>
        </w:rPr>
        <w:t>étapes</w:t>
      </w:r>
      <w:r w:rsidR="009F77AF" w:rsidRPr="007D2AC6">
        <w:rPr>
          <w:lang w:val="fr-FR"/>
        </w:rPr>
        <w:t>”</w:t>
      </w:r>
    </w:p>
    <w:p w14:paraId="7FFA0B1C" w14:textId="26D51FE8" w:rsidR="0059687A" w:rsidRPr="007D2AC6" w:rsidRDefault="00654286" w:rsidP="00CE7A13">
      <w:pPr>
        <w:spacing w:after="220" w:line="260" w:lineRule="atLeast"/>
        <w:rPr>
          <w:szCs w:val="22"/>
          <w:lang w:val="fr-FR"/>
        </w:rPr>
      </w:pPr>
      <w:r w:rsidRPr="007D2AC6">
        <w:rPr>
          <w:szCs w:val="22"/>
          <w:lang w:val="fr-FR"/>
        </w:rPr>
        <w:t>Supports promotionnels</w:t>
      </w:r>
    </w:p>
    <w:p w14:paraId="489C9D05" w14:textId="1867E983" w:rsidR="0059687A" w:rsidRPr="007D2AC6" w:rsidRDefault="00073C3F" w:rsidP="00D1331A">
      <w:pPr>
        <w:numPr>
          <w:ilvl w:val="0"/>
          <w:numId w:val="29"/>
        </w:numPr>
        <w:spacing w:after="220" w:line="260" w:lineRule="atLeast"/>
        <w:rPr>
          <w:szCs w:val="22"/>
          <w:lang w:val="fr-FR"/>
        </w:rPr>
      </w:pPr>
      <w:r w:rsidRPr="007D2AC6">
        <w:rPr>
          <w:szCs w:val="22"/>
          <w:lang w:val="fr-FR"/>
        </w:rPr>
        <w:t xml:space="preserve">Brochure intitulée </w:t>
      </w:r>
      <w:r w:rsidR="009F77AF" w:rsidRPr="007D2AC6">
        <w:rPr>
          <w:szCs w:val="22"/>
          <w:lang w:val="fr-FR"/>
        </w:rPr>
        <w:t>“</w:t>
      </w:r>
      <w:r w:rsidR="00D1331A" w:rsidRPr="007D2AC6">
        <w:rPr>
          <w:szCs w:val="22"/>
          <w:lang w:val="fr-FR"/>
        </w:rPr>
        <w:t xml:space="preserve">Libérer le potentiel des pays dans le domaine des dessins et modèles – </w:t>
      </w:r>
      <w:r w:rsidR="004567E1" w:rsidRPr="007D2AC6">
        <w:rPr>
          <w:szCs w:val="22"/>
          <w:lang w:val="fr-FR"/>
        </w:rPr>
        <w:t>projet</w:t>
      </w:r>
      <w:r w:rsidR="00D1331A" w:rsidRPr="007D2AC6">
        <w:rPr>
          <w:szCs w:val="22"/>
          <w:lang w:val="fr-FR"/>
        </w:rPr>
        <w:t xml:space="preserve"> pilote de l</w:t>
      </w:r>
      <w:r w:rsidR="002A5696" w:rsidRPr="007D2AC6">
        <w:rPr>
          <w:szCs w:val="22"/>
          <w:lang w:val="fr-FR"/>
        </w:rPr>
        <w:t>’</w:t>
      </w:r>
      <w:r w:rsidR="00D1331A" w:rsidRPr="007D2AC6">
        <w:rPr>
          <w:szCs w:val="22"/>
          <w:lang w:val="fr-FR"/>
        </w:rPr>
        <w:t>OMPI sur la propriété intellectuelle et la gestion des dessins et modèles pour l</w:t>
      </w:r>
      <w:r w:rsidRPr="007D2AC6">
        <w:rPr>
          <w:szCs w:val="22"/>
          <w:lang w:val="fr-FR"/>
        </w:rPr>
        <w:t>e développement des entreprises</w:t>
      </w:r>
      <w:r w:rsidR="009F77AF" w:rsidRPr="007D2AC6">
        <w:rPr>
          <w:szCs w:val="22"/>
          <w:lang w:val="fr-FR"/>
        </w:rPr>
        <w:t>”</w:t>
      </w:r>
    </w:p>
    <w:p w14:paraId="68C89BC5" w14:textId="443FC3BD" w:rsidR="002A5696" w:rsidRPr="007D2AC6" w:rsidRDefault="00FB5258" w:rsidP="00CE7A13">
      <w:pPr>
        <w:numPr>
          <w:ilvl w:val="0"/>
          <w:numId w:val="29"/>
        </w:numPr>
        <w:spacing w:after="220" w:line="260" w:lineRule="atLeast"/>
        <w:rPr>
          <w:szCs w:val="22"/>
          <w:lang w:val="fr-FR"/>
        </w:rPr>
      </w:pPr>
      <w:r w:rsidRPr="007D2AC6">
        <w:rPr>
          <w:szCs w:val="22"/>
          <w:lang w:val="fr-FR"/>
        </w:rPr>
        <w:t>Vidé</w:t>
      </w:r>
      <w:r w:rsidR="00CE7A13" w:rsidRPr="007D2AC6">
        <w:rPr>
          <w:szCs w:val="22"/>
          <w:lang w:val="fr-FR"/>
        </w:rPr>
        <w:t xml:space="preserve">o </w:t>
      </w:r>
      <w:r w:rsidRPr="007D2AC6">
        <w:rPr>
          <w:szCs w:val="22"/>
          <w:lang w:val="fr-FR"/>
        </w:rPr>
        <w:t>sur le programme</w:t>
      </w:r>
      <w:r w:rsidR="00CE7A13" w:rsidRPr="007D2AC6">
        <w:rPr>
          <w:szCs w:val="22"/>
          <w:lang w:val="fr-FR"/>
        </w:rPr>
        <w:t xml:space="preserve"> </w:t>
      </w:r>
      <w:proofErr w:type="spellStart"/>
      <w:r w:rsidR="00CE7A13" w:rsidRPr="007D2AC6">
        <w:rPr>
          <w:szCs w:val="22"/>
          <w:lang w:val="fr-FR"/>
        </w:rPr>
        <w:t>DiseñAr</w:t>
      </w:r>
      <w:proofErr w:type="spellEnd"/>
      <w:r w:rsidR="00CE7A13" w:rsidRPr="007D2AC6">
        <w:rPr>
          <w:szCs w:val="22"/>
          <w:lang w:val="fr-FR"/>
        </w:rPr>
        <w:t xml:space="preserve"> </w:t>
      </w:r>
      <w:r w:rsidRPr="007D2AC6">
        <w:rPr>
          <w:szCs w:val="22"/>
          <w:lang w:val="fr-FR"/>
        </w:rPr>
        <w:t>en Argentine</w:t>
      </w:r>
      <w:r w:rsidR="002A5696" w:rsidRPr="007D2AC6">
        <w:rPr>
          <w:szCs w:val="22"/>
          <w:lang w:val="fr-FR"/>
        </w:rPr>
        <w:t> </w:t>
      </w:r>
      <w:proofErr w:type="gramStart"/>
      <w:r w:rsidR="002A5696" w:rsidRPr="007D2AC6">
        <w:rPr>
          <w:szCs w:val="22"/>
          <w:lang w:val="fr-FR"/>
        </w:rPr>
        <w:t>:</w:t>
      </w:r>
      <w:r w:rsidR="00CE7A13" w:rsidRPr="007D2AC6">
        <w:rPr>
          <w:szCs w:val="22"/>
          <w:lang w:val="fr-FR"/>
        </w:rPr>
        <w:t xml:space="preserve"> </w:t>
      </w:r>
      <w:proofErr w:type="gramEnd"/>
      <w:r w:rsidR="00252DB3" w:rsidRPr="007D2AC6">
        <w:fldChar w:fldCharType="begin"/>
      </w:r>
      <w:r w:rsidR="00252DB3" w:rsidRPr="007D2AC6">
        <w:rPr>
          <w:lang w:val="fr-FR"/>
        </w:rPr>
        <w:instrText xml:space="preserve"> HYPERLINK "http://www.inpi.gov.ar/index.php?Id=323&amp;criterio=1" </w:instrText>
      </w:r>
      <w:r w:rsidR="00252DB3" w:rsidRPr="007D2AC6">
        <w:fldChar w:fldCharType="separate"/>
      </w:r>
      <w:r w:rsidR="002E1385" w:rsidRPr="007D2AC6">
        <w:rPr>
          <w:rStyle w:val="Hyperlink"/>
          <w:color w:val="auto"/>
          <w:szCs w:val="22"/>
          <w:lang w:val="fr-FR"/>
        </w:rPr>
        <w:t>http://www.inpi.gov.ar/index.php?Id=323&amp;criterio=1</w:t>
      </w:r>
      <w:r w:rsidR="00252DB3" w:rsidRPr="007D2AC6">
        <w:rPr>
          <w:rStyle w:val="Hyperlink"/>
          <w:color w:val="auto"/>
          <w:szCs w:val="22"/>
          <w:lang w:val="fr-FR"/>
        </w:rPr>
        <w:fldChar w:fldCharType="end"/>
      </w:r>
    </w:p>
    <w:p w14:paraId="76D2E6DA" w14:textId="3A56A62D" w:rsidR="002A5696" w:rsidRPr="007D2AC6" w:rsidRDefault="00CE7A13" w:rsidP="00CE7A13">
      <w:pPr>
        <w:numPr>
          <w:ilvl w:val="0"/>
          <w:numId w:val="29"/>
        </w:numPr>
        <w:spacing w:after="220" w:line="260" w:lineRule="atLeast"/>
        <w:rPr>
          <w:szCs w:val="22"/>
          <w:lang w:val="fr-FR"/>
        </w:rPr>
      </w:pPr>
      <w:r w:rsidRPr="007D2AC6">
        <w:rPr>
          <w:szCs w:val="22"/>
          <w:lang w:val="fr-FR"/>
        </w:rPr>
        <w:t>Vid</w:t>
      </w:r>
      <w:r w:rsidR="00FB5258" w:rsidRPr="007D2AC6">
        <w:rPr>
          <w:szCs w:val="22"/>
          <w:lang w:val="fr-FR"/>
        </w:rPr>
        <w:t>é</w:t>
      </w:r>
      <w:r w:rsidRPr="007D2AC6">
        <w:rPr>
          <w:szCs w:val="22"/>
          <w:lang w:val="fr-FR"/>
        </w:rPr>
        <w:t xml:space="preserve">o </w:t>
      </w:r>
      <w:r w:rsidR="00FB5258" w:rsidRPr="007D2AC6">
        <w:rPr>
          <w:szCs w:val="22"/>
          <w:lang w:val="fr-FR"/>
        </w:rPr>
        <w:t>sur le programme</w:t>
      </w:r>
      <w:r w:rsidRPr="007D2AC6">
        <w:rPr>
          <w:szCs w:val="22"/>
          <w:lang w:val="fr-FR"/>
        </w:rPr>
        <w:t xml:space="preserve"> </w:t>
      </w:r>
      <w:proofErr w:type="spellStart"/>
      <w:r w:rsidRPr="007D2AC6">
        <w:rPr>
          <w:szCs w:val="22"/>
          <w:lang w:val="fr-FR"/>
        </w:rPr>
        <w:t>Namadij</w:t>
      </w:r>
      <w:proofErr w:type="spellEnd"/>
      <w:r w:rsidRPr="007D2AC6">
        <w:rPr>
          <w:szCs w:val="22"/>
          <w:lang w:val="fr-FR"/>
        </w:rPr>
        <w:t xml:space="preserve"> </w:t>
      </w:r>
      <w:r w:rsidR="00FB5258" w:rsidRPr="007D2AC6">
        <w:rPr>
          <w:szCs w:val="22"/>
          <w:lang w:val="fr-FR"/>
        </w:rPr>
        <w:t>au Maroc</w:t>
      </w:r>
      <w:r w:rsidR="002A5696" w:rsidRPr="007D2AC6">
        <w:rPr>
          <w:szCs w:val="22"/>
          <w:lang w:val="fr-FR"/>
        </w:rPr>
        <w:t> </w:t>
      </w:r>
      <w:proofErr w:type="gramStart"/>
      <w:r w:rsidR="002A5696" w:rsidRPr="007D2AC6">
        <w:rPr>
          <w:szCs w:val="22"/>
          <w:lang w:val="fr-FR"/>
        </w:rPr>
        <w:t>:</w:t>
      </w:r>
      <w:r w:rsidRPr="007D2AC6">
        <w:rPr>
          <w:szCs w:val="22"/>
          <w:lang w:val="fr-FR"/>
        </w:rPr>
        <w:t xml:space="preserve"> </w:t>
      </w:r>
      <w:proofErr w:type="gramEnd"/>
      <w:hyperlink r:id="rId22" w:history="1">
        <w:r w:rsidR="005943BB" w:rsidRPr="007D2AC6">
          <w:rPr>
            <w:rStyle w:val="Hyperlink"/>
            <w:color w:val="auto"/>
            <w:szCs w:val="22"/>
            <w:lang w:val="fr-FR"/>
          </w:rPr>
          <w:t>https://www.youtube.com/watch?v=Xtzeu6yp_Xs</w:t>
        </w:r>
      </w:hyperlink>
    </w:p>
    <w:p w14:paraId="5C31C786" w14:textId="77777777" w:rsidR="002A5696" w:rsidRPr="007D2AC6" w:rsidRDefault="00FB5258" w:rsidP="00E65A2D">
      <w:pPr>
        <w:pStyle w:val="ListNumber"/>
        <w:numPr>
          <w:ilvl w:val="0"/>
          <w:numId w:val="29"/>
        </w:numPr>
        <w:spacing w:after="220" w:line="260" w:lineRule="atLeast"/>
        <w:rPr>
          <w:szCs w:val="22"/>
          <w:lang w:val="fr-FR"/>
        </w:rPr>
      </w:pPr>
      <w:r w:rsidRPr="007D2AC6">
        <w:rPr>
          <w:szCs w:val="22"/>
          <w:lang w:val="fr-FR"/>
        </w:rPr>
        <w:t>Dépliant sur le programme</w:t>
      </w:r>
      <w:r w:rsidR="00E65A2D" w:rsidRPr="007D2AC6">
        <w:rPr>
          <w:szCs w:val="22"/>
          <w:lang w:val="fr-FR"/>
        </w:rPr>
        <w:t xml:space="preserve"> </w:t>
      </w:r>
      <w:proofErr w:type="spellStart"/>
      <w:r w:rsidR="00E65A2D" w:rsidRPr="007D2AC6">
        <w:rPr>
          <w:szCs w:val="22"/>
          <w:lang w:val="fr-FR"/>
        </w:rPr>
        <w:t>DiseñAr</w:t>
      </w:r>
      <w:proofErr w:type="spellEnd"/>
    </w:p>
    <w:p w14:paraId="771D8175" w14:textId="77777777" w:rsidR="002A5696" w:rsidRPr="007D2AC6" w:rsidRDefault="00FB5258" w:rsidP="00E65A2D">
      <w:pPr>
        <w:pStyle w:val="ListNumber"/>
        <w:numPr>
          <w:ilvl w:val="0"/>
          <w:numId w:val="29"/>
        </w:numPr>
        <w:spacing w:after="220" w:line="260" w:lineRule="atLeast"/>
        <w:rPr>
          <w:szCs w:val="22"/>
          <w:lang w:val="fr-FR"/>
        </w:rPr>
      </w:pPr>
      <w:r w:rsidRPr="007D2AC6">
        <w:rPr>
          <w:szCs w:val="22"/>
          <w:lang w:val="fr-FR"/>
        </w:rPr>
        <w:t xml:space="preserve">Dépliant sur le programme </w:t>
      </w:r>
      <w:proofErr w:type="spellStart"/>
      <w:r w:rsidR="00E65A2D" w:rsidRPr="007D2AC6">
        <w:rPr>
          <w:szCs w:val="22"/>
          <w:lang w:val="fr-FR"/>
        </w:rPr>
        <w:t>Namadij</w:t>
      </w:r>
      <w:proofErr w:type="spellEnd"/>
    </w:p>
    <w:p w14:paraId="3580AE6D" w14:textId="7CC044D4" w:rsidR="0059687A" w:rsidRPr="007D2AC6" w:rsidRDefault="00654286" w:rsidP="00CE7A13">
      <w:pPr>
        <w:pStyle w:val="ListNumber"/>
        <w:numPr>
          <w:ilvl w:val="0"/>
          <w:numId w:val="0"/>
        </w:numPr>
        <w:spacing w:after="220" w:line="260" w:lineRule="atLeast"/>
        <w:rPr>
          <w:szCs w:val="22"/>
          <w:lang w:val="fr-FR"/>
        </w:rPr>
      </w:pPr>
      <w:r w:rsidRPr="007D2AC6">
        <w:rPr>
          <w:szCs w:val="22"/>
          <w:lang w:val="fr-FR"/>
        </w:rPr>
        <w:t>Manifestations de clôture et études de cas</w:t>
      </w:r>
    </w:p>
    <w:p w14:paraId="1AD4D208" w14:textId="16677B5B" w:rsidR="0059687A" w:rsidRPr="007D2AC6" w:rsidRDefault="00FB5258" w:rsidP="007052E9">
      <w:pPr>
        <w:pStyle w:val="ListNumber"/>
        <w:numPr>
          <w:ilvl w:val="1"/>
          <w:numId w:val="31"/>
        </w:numPr>
        <w:spacing w:after="220"/>
        <w:rPr>
          <w:szCs w:val="22"/>
          <w:lang w:val="fr-FR"/>
        </w:rPr>
      </w:pPr>
      <w:r w:rsidRPr="007D2AC6">
        <w:rPr>
          <w:szCs w:val="22"/>
          <w:lang w:val="fr-FR"/>
        </w:rPr>
        <w:t>Programme de la manifestation de clôture en Argentine</w:t>
      </w:r>
    </w:p>
    <w:p w14:paraId="5E0D0A29" w14:textId="1BCCC025" w:rsidR="0059687A" w:rsidRPr="007D2AC6" w:rsidRDefault="00FB5258" w:rsidP="007052E9">
      <w:pPr>
        <w:pStyle w:val="ListNumber"/>
        <w:numPr>
          <w:ilvl w:val="1"/>
          <w:numId w:val="31"/>
        </w:numPr>
        <w:spacing w:after="220"/>
        <w:rPr>
          <w:szCs w:val="22"/>
          <w:lang w:val="fr-FR"/>
        </w:rPr>
      </w:pPr>
      <w:r w:rsidRPr="007D2AC6">
        <w:rPr>
          <w:szCs w:val="22"/>
          <w:lang w:val="fr-FR"/>
        </w:rPr>
        <w:t>Programme de la manifestation de clôture au Maroc</w:t>
      </w:r>
    </w:p>
    <w:p w14:paraId="31DAD88A" w14:textId="748C3768" w:rsidR="0059687A" w:rsidRPr="007D2AC6" w:rsidRDefault="00FB5258" w:rsidP="00CE155C">
      <w:pPr>
        <w:pStyle w:val="ListNumber"/>
        <w:numPr>
          <w:ilvl w:val="0"/>
          <w:numId w:val="0"/>
        </w:numPr>
        <w:rPr>
          <w:szCs w:val="22"/>
          <w:lang w:val="fr-FR"/>
        </w:rPr>
      </w:pPr>
      <w:r w:rsidRPr="007D2AC6">
        <w:rPr>
          <w:szCs w:val="22"/>
          <w:lang w:val="fr-FR"/>
        </w:rPr>
        <w:t>Études de cas présentées aux États membres lors d</w:t>
      </w:r>
      <w:r w:rsidR="002A5696" w:rsidRPr="007D2AC6">
        <w:rPr>
          <w:szCs w:val="22"/>
          <w:lang w:val="fr-FR"/>
        </w:rPr>
        <w:t>’</w:t>
      </w:r>
      <w:r w:rsidRPr="007D2AC6">
        <w:rPr>
          <w:szCs w:val="22"/>
          <w:lang w:val="fr-FR"/>
        </w:rPr>
        <w:t>une manifestation marginale, à l</w:t>
      </w:r>
      <w:r w:rsidR="002A5696" w:rsidRPr="007D2AC6">
        <w:rPr>
          <w:szCs w:val="22"/>
          <w:lang w:val="fr-FR"/>
        </w:rPr>
        <w:t>’</w:t>
      </w:r>
      <w:r w:rsidRPr="007D2AC6">
        <w:rPr>
          <w:szCs w:val="22"/>
          <w:lang w:val="fr-FR"/>
        </w:rPr>
        <w:t xml:space="preserve">heure du déjeuner, lors de la </w:t>
      </w:r>
      <w:r w:rsidR="006F2775" w:rsidRPr="007D2AC6">
        <w:rPr>
          <w:szCs w:val="22"/>
          <w:lang w:val="fr-FR"/>
        </w:rPr>
        <w:t>trente</w:t>
      </w:r>
      <w:r w:rsidR="006F2775" w:rsidRPr="007D2AC6">
        <w:rPr>
          <w:szCs w:val="22"/>
          <w:lang w:val="fr-FR"/>
        </w:rPr>
        <w:noBreakHyphen/>
        <w:t>quatrième</w:t>
      </w:r>
      <w:r w:rsidR="00B57560" w:rsidRPr="007D2AC6">
        <w:rPr>
          <w:szCs w:val="22"/>
          <w:lang w:val="fr-FR"/>
        </w:rPr>
        <w:t> </w:t>
      </w:r>
      <w:r w:rsidRPr="007D2AC6">
        <w:rPr>
          <w:szCs w:val="22"/>
          <w:lang w:val="fr-FR"/>
        </w:rPr>
        <w:t>session</w:t>
      </w:r>
      <w:r w:rsidR="002A5696" w:rsidRPr="007D2AC6">
        <w:rPr>
          <w:szCs w:val="22"/>
          <w:lang w:val="fr-FR"/>
        </w:rPr>
        <w:t xml:space="preserve"> du </w:t>
      </w:r>
      <w:proofErr w:type="spellStart"/>
      <w:r w:rsidR="002A5696" w:rsidRPr="007D2AC6">
        <w:rPr>
          <w:szCs w:val="22"/>
          <w:lang w:val="fr-FR"/>
        </w:rPr>
        <w:t>SCT</w:t>
      </w:r>
      <w:proofErr w:type="spellEnd"/>
      <w:r w:rsidRPr="007D2AC6">
        <w:rPr>
          <w:szCs w:val="22"/>
          <w:lang w:val="fr-FR"/>
        </w:rPr>
        <w:t>, le 1</w:t>
      </w:r>
      <w:r w:rsidR="002A5696" w:rsidRPr="007D2AC6">
        <w:rPr>
          <w:szCs w:val="22"/>
          <w:lang w:val="fr-FR"/>
        </w:rPr>
        <w:t>7 novembre 20</w:t>
      </w:r>
      <w:r w:rsidR="007052E9" w:rsidRPr="007D2AC6">
        <w:rPr>
          <w:szCs w:val="22"/>
          <w:lang w:val="fr-FR"/>
        </w:rPr>
        <w:t>17</w:t>
      </w:r>
      <w:r w:rsidR="00E30CC5" w:rsidRPr="007D2AC6">
        <w:rPr>
          <w:szCs w:val="22"/>
          <w:lang w:val="fr-FR"/>
        </w:rPr>
        <w:t>.</w:t>
      </w:r>
    </w:p>
    <w:p w14:paraId="33B1EBE4" w14:textId="77777777" w:rsidR="0059687A" w:rsidRPr="007D2AC6" w:rsidRDefault="0059687A" w:rsidP="002E1385">
      <w:pPr>
        <w:pStyle w:val="ListNumber"/>
        <w:numPr>
          <w:ilvl w:val="0"/>
          <w:numId w:val="0"/>
        </w:numPr>
        <w:rPr>
          <w:szCs w:val="22"/>
          <w:lang w:val="fr-FR"/>
        </w:rPr>
      </w:pPr>
    </w:p>
    <w:p w14:paraId="4BB367CA" w14:textId="77777777" w:rsidR="0059687A" w:rsidRPr="007D2AC6" w:rsidRDefault="0059687A" w:rsidP="002E1385">
      <w:pPr>
        <w:pStyle w:val="ListNumber"/>
        <w:numPr>
          <w:ilvl w:val="0"/>
          <w:numId w:val="0"/>
        </w:numPr>
        <w:rPr>
          <w:szCs w:val="22"/>
          <w:lang w:val="fr-FR"/>
        </w:rPr>
      </w:pPr>
    </w:p>
    <w:p w14:paraId="3CA181AE" w14:textId="77777777" w:rsidR="0059687A" w:rsidRPr="007D2AC6" w:rsidRDefault="0059687A" w:rsidP="002E1385">
      <w:pPr>
        <w:pStyle w:val="ListNumber"/>
        <w:numPr>
          <w:ilvl w:val="0"/>
          <w:numId w:val="0"/>
        </w:numPr>
        <w:rPr>
          <w:szCs w:val="22"/>
          <w:lang w:val="fr-FR"/>
        </w:rPr>
      </w:pPr>
    </w:p>
    <w:p w14:paraId="5DD78089" w14:textId="401D5F79" w:rsidR="002E1385" w:rsidRPr="007D2AC6" w:rsidRDefault="00D1331A" w:rsidP="002E1385">
      <w:pPr>
        <w:pStyle w:val="Endofdocument-Annex"/>
        <w:rPr>
          <w:szCs w:val="22"/>
          <w:lang w:val="fr-FR"/>
        </w:rPr>
      </w:pPr>
      <w:r w:rsidRPr="007D2AC6">
        <w:rPr>
          <w:szCs w:val="22"/>
          <w:lang w:val="fr-FR"/>
        </w:rPr>
        <w:t>[Fin de l</w:t>
      </w:r>
      <w:r w:rsidR="002A5696" w:rsidRPr="007D2AC6">
        <w:rPr>
          <w:szCs w:val="22"/>
          <w:lang w:val="fr-FR"/>
        </w:rPr>
        <w:t>’</w:t>
      </w:r>
      <w:r w:rsidRPr="007D2AC6">
        <w:rPr>
          <w:szCs w:val="22"/>
          <w:lang w:val="fr-FR"/>
        </w:rPr>
        <w:t>appendice</w:t>
      </w:r>
      <w:r w:rsidR="00B57560" w:rsidRPr="007D2AC6">
        <w:rPr>
          <w:szCs w:val="22"/>
          <w:lang w:val="fr-FR"/>
        </w:rPr>
        <w:t> </w:t>
      </w:r>
      <w:r w:rsidRPr="007D2AC6">
        <w:rPr>
          <w:szCs w:val="22"/>
          <w:lang w:val="fr-FR"/>
        </w:rPr>
        <w:t>IV et du document]</w:t>
      </w:r>
    </w:p>
    <w:sectPr w:rsidR="002E1385" w:rsidRPr="007D2AC6" w:rsidSect="00BB2BAE">
      <w:headerReference w:type="default" r:id="rId23"/>
      <w:headerReference w:type="first" r:id="rId24"/>
      <w:footerReference w:type="first" r:id="rId25"/>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FF7E" w14:textId="77777777" w:rsidR="004047BF" w:rsidRDefault="004047BF">
      <w:r>
        <w:separator/>
      </w:r>
    </w:p>
  </w:endnote>
  <w:endnote w:type="continuationSeparator" w:id="0">
    <w:p w14:paraId="30594171" w14:textId="77777777" w:rsidR="004047BF" w:rsidRDefault="004047BF" w:rsidP="00A326CA">
      <w:r>
        <w:separator/>
      </w:r>
    </w:p>
    <w:p w14:paraId="6B304F8F" w14:textId="77777777" w:rsidR="004047BF" w:rsidRPr="00A326CA" w:rsidRDefault="004047BF" w:rsidP="00A326CA">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55329D79" w14:textId="77777777" w:rsidR="004047BF" w:rsidRPr="00A326CA" w:rsidRDefault="004047BF" w:rsidP="00A326CA">
      <w:pPr>
        <w:spacing w:before="60"/>
        <w:jc w:val="right"/>
        <w:rPr>
          <w:sz w:val="17"/>
          <w:szCs w:val="17"/>
        </w:rPr>
      </w:pPr>
      <w:r w:rsidRPr="000C7343">
        <w:rPr>
          <w:sz w:val="17"/>
          <w:szCs w:val="17"/>
        </w:rPr>
        <w:t>[</w:t>
      </w:r>
      <w:proofErr w:type="spellStart"/>
      <w:r w:rsidRPr="000C7343">
        <w:rPr>
          <w:sz w:val="17"/>
          <w:szCs w:val="17"/>
        </w:rPr>
        <w:t>Endnot</w:t>
      </w:r>
      <w:r>
        <w:rPr>
          <w:sz w:val="17"/>
          <w:szCs w:val="17"/>
        </w:rPr>
        <w:t>e</w:t>
      </w:r>
      <w:proofErr w:type="spellEnd"/>
      <w:r>
        <w:rPr>
          <w:sz w:val="17"/>
          <w:szCs w:val="17"/>
        </w:rPr>
        <w:t xml:space="preserve"> </w:t>
      </w:r>
      <w:proofErr w:type="spellStart"/>
      <w:r>
        <w:rPr>
          <w:sz w:val="17"/>
          <w:szCs w:val="17"/>
        </w:rPr>
        <w:t>continued</w:t>
      </w:r>
      <w:proofErr w:type="spellEnd"/>
      <w:r>
        <w:rPr>
          <w:sz w:val="17"/>
          <w:szCs w:val="17"/>
        </w:rPr>
        <w:t xml:space="preserve"> on </w:t>
      </w:r>
      <w:proofErr w:type="spellStart"/>
      <w:r>
        <w:rPr>
          <w:sz w:val="17"/>
          <w:szCs w:val="17"/>
        </w:rPr>
        <w:t>next</w:t>
      </w:r>
      <w:proofErr w:type="spellEnd"/>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C9F1" w14:textId="77777777" w:rsidR="004047BF" w:rsidRDefault="00404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7770" w14:textId="77777777" w:rsidR="004047BF" w:rsidRDefault="00404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08C1" w14:textId="77777777" w:rsidR="004047BF" w:rsidRDefault="00404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6F4B" w14:textId="77777777" w:rsidR="004047BF" w:rsidRDefault="0040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F8D7" w14:textId="77777777" w:rsidR="004047BF" w:rsidRDefault="004047BF">
      <w:r>
        <w:separator/>
      </w:r>
    </w:p>
  </w:footnote>
  <w:footnote w:type="continuationSeparator" w:id="0">
    <w:p w14:paraId="28E61BC0" w14:textId="77777777" w:rsidR="004047BF" w:rsidRDefault="004047BF" w:rsidP="00A326CA">
      <w:r>
        <w:separator/>
      </w:r>
    </w:p>
    <w:p w14:paraId="1EC36CDE" w14:textId="77777777" w:rsidR="004047BF" w:rsidRPr="00A326CA" w:rsidRDefault="004047BF" w:rsidP="00A326CA">
      <w:pPr>
        <w:spacing w:after="60"/>
        <w:rPr>
          <w:sz w:val="17"/>
          <w:szCs w:val="17"/>
        </w:rPr>
      </w:pPr>
      <w:r w:rsidRPr="00ED77FB">
        <w:rPr>
          <w:sz w:val="17"/>
          <w:szCs w:val="17"/>
        </w:rPr>
        <w:t>[</w:t>
      </w:r>
      <w:proofErr w:type="spellStart"/>
      <w:r w:rsidRPr="00ED77FB">
        <w:rPr>
          <w:sz w:val="17"/>
          <w:szCs w:val="17"/>
        </w:rPr>
        <w:t>Footnot</w:t>
      </w:r>
      <w:r>
        <w:rPr>
          <w:sz w:val="17"/>
          <w:szCs w:val="17"/>
        </w:rPr>
        <w:t>e</w:t>
      </w:r>
      <w:proofErr w:type="spellEnd"/>
      <w:r>
        <w:rPr>
          <w:sz w:val="17"/>
          <w:szCs w:val="17"/>
        </w:rPr>
        <w:t xml:space="preserve"> </w:t>
      </w:r>
      <w:proofErr w:type="spellStart"/>
      <w:r>
        <w:rPr>
          <w:sz w:val="17"/>
          <w:szCs w:val="17"/>
        </w:rPr>
        <w:t>continued</w:t>
      </w:r>
      <w:proofErr w:type="spellEnd"/>
      <w:r>
        <w:rPr>
          <w:sz w:val="17"/>
          <w:szCs w:val="17"/>
        </w:rPr>
        <w:t xml:space="preserve"> </w:t>
      </w:r>
      <w:proofErr w:type="spellStart"/>
      <w:r>
        <w:rPr>
          <w:sz w:val="17"/>
          <w:szCs w:val="17"/>
        </w:rPr>
        <w:t>from</w:t>
      </w:r>
      <w:proofErr w:type="spellEnd"/>
      <w:r>
        <w:rPr>
          <w:sz w:val="17"/>
          <w:szCs w:val="17"/>
        </w:rPr>
        <w:t xml:space="preserve"> </w:t>
      </w:r>
      <w:proofErr w:type="spellStart"/>
      <w:r>
        <w:rPr>
          <w:sz w:val="17"/>
          <w:szCs w:val="17"/>
        </w:rPr>
        <w:t>previous</w:t>
      </w:r>
      <w:proofErr w:type="spellEnd"/>
      <w:r>
        <w:rPr>
          <w:sz w:val="17"/>
          <w:szCs w:val="17"/>
        </w:rPr>
        <w:t xml:space="preserve"> page]</w:t>
      </w:r>
    </w:p>
  </w:footnote>
  <w:footnote w:type="continuationNotice" w:id="1">
    <w:p w14:paraId="534158F2" w14:textId="77777777" w:rsidR="004047BF" w:rsidRPr="00A326CA" w:rsidRDefault="004047BF" w:rsidP="00A326CA">
      <w:pPr>
        <w:spacing w:before="60"/>
        <w:jc w:val="right"/>
        <w:rPr>
          <w:sz w:val="17"/>
          <w:szCs w:val="17"/>
        </w:rPr>
      </w:pPr>
      <w:r w:rsidRPr="000C7343">
        <w:rPr>
          <w:sz w:val="17"/>
          <w:szCs w:val="17"/>
        </w:rPr>
        <w:t>[</w:t>
      </w:r>
      <w:proofErr w:type="spellStart"/>
      <w:r w:rsidRPr="000C7343">
        <w:rPr>
          <w:sz w:val="17"/>
          <w:szCs w:val="17"/>
        </w:rPr>
        <w:t>F</w:t>
      </w:r>
      <w:r>
        <w:rPr>
          <w:sz w:val="17"/>
          <w:szCs w:val="17"/>
        </w:rPr>
        <w:t>ootnote</w:t>
      </w:r>
      <w:proofErr w:type="spellEnd"/>
      <w:r>
        <w:rPr>
          <w:sz w:val="17"/>
          <w:szCs w:val="17"/>
        </w:rPr>
        <w:t xml:space="preserve"> </w:t>
      </w:r>
      <w:proofErr w:type="spellStart"/>
      <w:r>
        <w:rPr>
          <w:sz w:val="17"/>
          <w:szCs w:val="17"/>
        </w:rPr>
        <w:t>continued</w:t>
      </w:r>
      <w:proofErr w:type="spellEnd"/>
      <w:r>
        <w:rPr>
          <w:sz w:val="17"/>
          <w:szCs w:val="17"/>
        </w:rPr>
        <w:t xml:space="preserve"> on </w:t>
      </w:r>
      <w:proofErr w:type="spellStart"/>
      <w:r>
        <w:rPr>
          <w:sz w:val="17"/>
          <w:szCs w:val="17"/>
        </w:rPr>
        <w:t>next</w:t>
      </w:r>
      <w:proofErr w:type="spellEnd"/>
      <w:r>
        <w:rPr>
          <w:sz w:val="17"/>
          <w:szCs w:val="17"/>
        </w:rPr>
        <w:t xml:space="preserve"> page]</w:t>
      </w:r>
    </w:p>
  </w:footnote>
  <w:footnote w:id="2">
    <w:p w14:paraId="5234653C" w14:textId="65760288" w:rsidR="004047BF" w:rsidRPr="0006299B" w:rsidRDefault="004047BF" w:rsidP="006F2775">
      <w:pPr>
        <w:pStyle w:val="FootnoteText"/>
        <w:rPr>
          <w:lang w:val="en-GB"/>
        </w:rPr>
      </w:pPr>
      <w:r w:rsidRPr="0006299B">
        <w:rPr>
          <w:rStyle w:val="FootnoteReference"/>
        </w:rPr>
        <w:footnoteRef/>
      </w:r>
      <w:r w:rsidRPr="0006299B">
        <w:rPr>
          <w:lang w:val="de-CH"/>
        </w:rPr>
        <w:t xml:space="preserve"> </w:t>
      </w:r>
      <w:r w:rsidRPr="0006299B">
        <w:rPr>
          <w:lang w:val="de-CH"/>
        </w:rPr>
        <w:tab/>
        <w:t xml:space="preserve">Daniel P. Keller, </w:t>
      </w:r>
      <w:proofErr w:type="spellStart"/>
      <w:r w:rsidRPr="0006299B">
        <w:rPr>
          <w:lang w:val="de-CH"/>
        </w:rPr>
        <w:t>Evilard</w:t>
      </w:r>
      <w:proofErr w:type="spellEnd"/>
      <w:r w:rsidRPr="0006299B">
        <w:rPr>
          <w:lang w:val="de-CH"/>
        </w:rPr>
        <w:t>/</w:t>
      </w:r>
      <w:proofErr w:type="spellStart"/>
      <w:r w:rsidRPr="0006299B">
        <w:rPr>
          <w:lang w:val="de-CH"/>
        </w:rPr>
        <w:t>Leubringen</w:t>
      </w:r>
      <w:proofErr w:type="spellEnd"/>
      <w:r w:rsidRPr="0006299B">
        <w:rPr>
          <w:lang w:val="de-CH"/>
        </w:rPr>
        <w:t xml:space="preserve"> (Suisse).  </w:t>
      </w:r>
      <w:proofErr w:type="spellStart"/>
      <w:r w:rsidRPr="0006299B">
        <w:rPr>
          <w:lang w:val="de-CH"/>
        </w:rPr>
        <w:t>L’évaluateur</w:t>
      </w:r>
      <w:proofErr w:type="spellEnd"/>
      <w:r w:rsidRPr="0006299B">
        <w:rPr>
          <w:lang w:val="de-CH"/>
        </w:rPr>
        <w:t xml:space="preserve"> </w:t>
      </w:r>
      <w:proofErr w:type="spellStart"/>
      <w:r w:rsidRPr="0006299B">
        <w:rPr>
          <w:lang w:val="de-CH"/>
        </w:rPr>
        <w:t>est</w:t>
      </w:r>
      <w:proofErr w:type="spellEnd"/>
      <w:r w:rsidRPr="0006299B">
        <w:rPr>
          <w:lang w:val="de-CH"/>
        </w:rPr>
        <w:t xml:space="preserve"> </w:t>
      </w:r>
      <w:proofErr w:type="spellStart"/>
      <w:r w:rsidRPr="0006299B">
        <w:rPr>
          <w:lang w:val="de-CH"/>
        </w:rPr>
        <w:t>indépendant</w:t>
      </w:r>
      <w:proofErr w:type="spellEnd"/>
      <w:r w:rsidRPr="0006299B">
        <w:rPr>
          <w:lang w:val="de-CH"/>
        </w:rPr>
        <w:t xml:space="preserve"> et </w:t>
      </w:r>
      <w:proofErr w:type="spellStart"/>
      <w:r w:rsidRPr="0006299B">
        <w:rPr>
          <w:lang w:val="de-CH"/>
        </w:rPr>
        <w:t>n’a</w:t>
      </w:r>
      <w:proofErr w:type="spellEnd"/>
      <w:r w:rsidRPr="0006299B">
        <w:rPr>
          <w:lang w:val="de-CH"/>
        </w:rPr>
        <w:t xml:space="preserve"> </w:t>
      </w:r>
      <w:proofErr w:type="spellStart"/>
      <w:r w:rsidRPr="0006299B">
        <w:rPr>
          <w:lang w:val="de-CH"/>
        </w:rPr>
        <w:t>jamais</w:t>
      </w:r>
      <w:proofErr w:type="spellEnd"/>
      <w:r w:rsidRPr="0006299B">
        <w:rPr>
          <w:lang w:val="de-CH"/>
        </w:rPr>
        <w:t xml:space="preserve"> </w:t>
      </w:r>
      <w:proofErr w:type="spellStart"/>
      <w:r w:rsidRPr="0006299B">
        <w:rPr>
          <w:lang w:val="de-CH"/>
        </w:rPr>
        <w:t>contribué</w:t>
      </w:r>
      <w:proofErr w:type="spellEnd"/>
      <w:r w:rsidRPr="0006299B">
        <w:rPr>
          <w:lang w:val="de-CH"/>
        </w:rPr>
        <w:t xml:space="preserve"> à la </w:t>
      </w:r>
      <w:proofErr w:type="spellStart"/>
      <w:r w:rsidRPr="0006299B">
        <w:rPr>
          <w:lang w:val="de-CH"/>
        </w:rPr>
        <w:t>préparation</w:t>
      </w:r>
      <w:proofErr w:type="spellEnd"/>
      <w:r w:rsidRPr="0006299B">
        <w:rPr>
          <w:lang w:val="de-CH"/>
        </w:rPr>
        <w:t xml:space="preserve"> </w:t>
      </w:r>
      <w:proofErr w:type="spellStart"/>
      <w:r w:rsidRPr="0006299B">
        <w:rPr>
          <w:lang w:val="de-CH"/>
        </w:rPr>
        <w:t>ou</w:t>
      </w:r>
      <w:proofErr w:type="spellEnd"/>
      <w:r w:rsidRPr="0006299B">
        <w:rPr>
          <w:lang w:val="de-CH"/>
        </w:rPr>
        <w:t xml:space="preserve"> la </w:t>
      </w:r>
      <w:proofErr w:type="spellStart"/>
      <w:r w:rsidRPr="0006299B">
        <w:rPr>
          <w:lang w:val="de-CH"/>
        </w:rPr>
        <w:t>mise</w:t>
      </w:r>
      <w:proofErr w:type="spellEnd"/>
      <w:r w:rsidRPr="0006299B">
        <w:rPr>
          <w:lang w:val="de-CH"/>
        </w:rPr>
        <w:t xml:space="preserve"> en </w:t>
      </w:r>
      <w:proofErr w:type="spellStart"/>
      <w:r w:rsidRPr="0006299B">
        <w:rPr>
          <w:lang w:val="de-CH"/>
        </w:rPr>
        <w:t>œuvre</w:t>
      </w:r>
      <w:proofErr w:type="spellEnd"/>
      <w:r w:rsidRPr="0006299B">
        <w:rPr>
          <w:lang w:val="de-CH"/>
        </w:rPr>
        <w:t xml:space="preserve"> du </w:t>
      </w:r>
      <w:proofErr w:type="spellStart"/>
      <w:r w:rsidRPr="0006299B">
        <w:rPr>
          <w:lang w:val="de-CH"/>
        </w:rPr>
        <w:t>présent</w:t>
      </w:r>
      <w:proofErr w:type="spellEnd"/>
      <w:r w:rsidRPr="0006299B">
        <w:rPr>
          <w:lang w:val="de-CH"/>
        </w:rPr>
        <w:t xml:space="preserve"> </w:t>
      </w:r>
      <w:proofErr w:type="spellStart"/>
      <w:r w:rsidRPr="0006299B">
        <w:rPr>
          <w:lang w:val="de-CH"/>
        </w:rPr>
        <w:t>ou</w:t>
      </w:r>
      <w:proofErr w:type="spellEnd"/>
      <w:r w:rsidRPr="0006299B">
        <w:rPr>
          <w:lang w:val="de-CH"/>
        </w:rPr>
        <w:t xml:space="preserve"> de </w:t>
      </w:r>
      <w:proofErr w:type="spellStart"/>
      <w:r w:rsidRPr="0006299B">
        <w:rPr>
          <w:lang w:val="de-CH"/>
        </w:rPr>
        <w:t>tout</w:t>
      </w:r>
      <w:proofErr w:type="spellEnd"/>
      <w:r w:rsidRPr="0006299B">
        <w:rPr>
          <w:lang w:val="de-CH"/>
        </w:rPr>
        <w:t xml:space="preserve"> </w:t>
      </w:r>
      <w:proofErr w:type="spellStart"/>
      <w:r w:rsidRPr="0006299B">
        <w:rPr>
          <w:lang w:val="de-CH"/>
        </w:rPr>
        <w:t>autre</w:t>
      </w:r>
      <w:proofErr w:type="spellEnd"/>
      <w:r w:rsidRPr="0006299B">
        <w:rPr>
          <w:lang w:val="de-CH"/>
        </w:rPr>
        <w:t xml:space="preserve"> </w:t>
      </w:r>
      <w:proofErr w:type="spellStart"/>
      <w:r w:rsidRPr="0006299B">
        <w:rPr>
          <w:lang w:val="de-CH"/>
        </w:rPr>
        <w:t>projet</w:t>
      </w:r>
      <w:proofErr w:type="spellEnd"/>
      <w:r w:rsidRPr="0006299B">
        <w:rPr>
          <w:lang w:val="de-CH"/>
        </w:rPr>
        <w:t xml:space="preserve"> </w:t>
      </w:r>
      <w:proofErr w:type="spellStart"/>
      <w:r w:rsidRPr="0006299B">
        <w:rPr>
          <w:lang w:val="de-CH"/>
        </w:rPr>
        <w:t>exécuté</w:t>
      </w:r>
      <w:proofErr w:type="spellEnd"/>
      <w:r w:rsidRPr="0006299B">
        <w:rPr>
          <w:lang w:val="de-CH"/>
        </w:rPr>
        <w:t xml:space="preserve"> par le </w:t>
      </w:r>
      <w:proofErr w:type="spellStart"/>
      <w:r w:rsidRPr="0006299B">
        <w:rPr>
          <w:lang w:val="de-CH"/>
        </w:rPr>
        <w:t>Secrétariat</w:t>
      </w:r>
      <w:proofErr w:type="spellEnd"/>
      <w:r w:rsidRPr="0006299B">
        <w:rPr>
          <w:lang w:val="en-GB"/>
        </w:rPr>
        <w:t>.</w:t>
      </w:r>
    </w:p>
  </w:footnote>
  <w:footnote w:id="3">
    <w:p w14:paraId="3D4219AD" w14:textId="623A25A0" w:rsidR="004047BF" w:rsidRPr="0006299B" w:rsidRDefault="004047BF" w:rsidP="00C504D0">
      <w:pPr>
        <w:pStyle w:val="FootnoteText"/>
      </w:pPr>
      <w:r w:rsidRPr="0006299B">
        <w:rPr>
          <w:rStyle w:val="FootnoteReference"/>
        </w:rPr>
        <w:footnoteRef/>
      </w:r>
      <w:r w:rsidRPr="0006299B">
        <w:t xml:space="preserve"> </w:t>
      </w:r>
      <w:r w:rsidRPr="0006299B">
        <w:tab/>
      </w:r>
      <w:proofErr w:type="spellStart"/>
      <w:r w:rsidRPr="0006299B">
        <w:t>CDIP</w:t>
      </w:r>
      <w:proofErr w:type="spellEnd"/>
      <w:r w:rsidRPr="0006299B">
        <w:t> 12/6, 23 octobre 2013.</w:t>
      </w:r>
    </w:p>
  </w:footnote>
  <w:footnote w:id="4">
    <w:p w14:paraId="6B9B6B05" w14:textId="1C266C7E" w:rsidR="004047BF" w:rsidRPr="0006299B" w:rsidRDefault="004047BF" w:rsidP="00C504D0">
      <w:pPr>
        <w:pStyle w:val="FootnoteText"/>
      </w:pPr>
      <w:r w:rsidRPr="0006299B">
        <w:rPr>
          <w:rStyle w:val="FootnoteReference"/>
        </w:rPr>
        <w:footnoteRef/>
      </w:r>
      <w:r w:rsidRPr="0006299B">
        <w:t xml:space="preserve"> </w:t>
      </w:r>
      <w:r w:rsidRPr="0006299B">
        <w:tab/>
      </w:r>
      <w:proofErr w:type="spellStart"/>
      <w:r w:rsidRPr="0006299B">
        <w:t>CDIP</w:t>
      </w:r>
      <w:proofErr w:type="spellEnd"/>
      <w:r w:rsidRPr="0006299B">
        <w:t> 11/7, 10 avril 2013.</w:t>
      </w:r>
    </w:p>
  </w:footnote>
  <w:footnote w:id="5">
    <w:p w14:paraId="6B290369" w14:textId="424EBBC2" w:rsidR="004047BF" w:rsidRPr="0006299B" w:rsidRDefault="004047BF" w:rsidP="00631810">
      <w:pPr>
        <w:pStyle w:val="FootnoteText"/>
      </w:pPr>
      <w:r w:rsidRPr="0006299B">
        <w:rPr>
          <w:rStyle w:val="FootnoteReference"/>
        </w:rPr>
        <w:footnoteRef/>
      </w:r>
      <w:r w:rsidRPr="0006299B">
        <w:t xml:space="preserve"> </w:t>
      </w:r>
      <w:r w:rsidRPr="0006299B">
        <w:tab/>
        <w:t xml:space="preserve">Voir le rapport d’achèvement figurant dans le document </w:t>
      </w:r>
      <w:proofErr w:type="spellStart"/>
      <w:r w:rsidRPr="0006299B">
        <w:t>CDIP</w:t>
      </w:r>
      <w:proofErr w:type="spellEnd"/>
      <w:r w:rsidRPr="0006299B">
        <w:t xml:space="preserve"> 18/2 annexe VII, appendice 1, page 11.</w:t>
      </w:r>
    </w:p>
  </w:footnote>
  <w:footnote w:id="6">
    <w:p w14:paraId="523EEC00" w14:textId="10E57CE3" w:rsidR="004047BF" w:rsidRPr="0006299B" w:rsidRDefault="004047BF" w:rsidP="00631810">
      <w:pPr>
        <w:pStyle w:val="FootnoteText"/>
      </w:pPr>
      <w:r w:rsidRPr="0006299B">
        <w:rPr>
          <w:rStyle w:val="FootnoteReference"/>
        </w:rPr>
        <w:footnoteRef/>
      </w:r>
      <w:r w:rsidRPr="0006299B">
        <w:t xml:space="preserve"> </w:t>
      </w:r>
      <w:r w:rsidRPr="0006299B">
        <w:tab/>
        <w:t>Voir le rapport d’évaluation à mi</w:t>
      </w:r>
      <w:r w:rsidRPr="0006299B">
        <w:noBreakHyphen/>
        <w:t>parcours de la Division du droit et des services consultatifs en matière de législation du Secteur des marques et des dessins et modèles industriels.</w:t>
      </w:r>
    </w:p>
  </w:footnote>
  <w:footnote w:id="7">
    <w:p w14:paraId="57584064" w14:textId="77777777" w:rsidR="004047BF" w:rsidRPr="0006299B" w:rsidRDefault="004047BF" w:rsidP="007437D3">
      <w:pPr>
        <w:pStyle w:val="FootnoteText"/>
      </w:pPr>
      <w:r w:rsidRPr="0006299B">
        <w:rPr>
          <w:rStyle w:val="FootnoteReference"/>
        </w:rPr>
        <w:footnoteRef/>
      </w:r>
      <w:r w:rsidRPr="0006299B">
        <w:t xml:space="preserve"> </w:t>
      </w:r>
      <w:r w:rsidRPr="0006299B">
        <w:tab/>
        <w:t>Accorder une attention régulière aux besoins des PME, des institutions chargées de la recherche scientifique et des industries culturelles et aider les États membres, à leur demande, à élaborer des stratégies nationales dans le domaine de la propriété intellectuelle.</w:t>
      </w:r>
    </w:p>
  </w:footnote>
  <w:footnote w:id="8">
    <w:p w14:paraId="6FAB1F28" w14:textId="245EF534" w:rsidR="004047BF" w:rsidRPr="0006299B" w:rsidRDefault="004047BF" w:rsidP="007437D3">
      <w:pPr>
        <w:pStyle w:val="FootnoteText"/>
      </w:pPr>
      <w:r w:rsidRPr="0006299B">
        <w:rPr>
          <w:rStyle w:val="FootnoteReference"/>
        </w:rPr>
        <w:footnoteRef/>
      </w:r>
      <w:r w:rsidRPr="0006299B">
        <w:t xml:space="preserve"> </w:t>
      </w:r>
      <w:r w:rsidRPr="0006299B">
        <w:tab/>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 régionales et régionales œuvrant dans le domaine de la propriété intellectuelle.</w:t>
      </w:r>
    </w:p>
  </w:footnote>
  <w:footnote w:id="9">
    <w:p w14:paraId="76238910" w14:textId="1F6D0BD6" w:rsidR="004047BF" w:rsidRPr="0006299B" w:rsidRDefault="004047BF" w:rsidP="001C73F5">
      <w:pPr>
        <w:pStyle w:val="FootnoteText"/>
      </w:pPr>
      <w:r w:rsidRPr="0006299B">
        <w:rPr>
          <w:rStyle w:val="FootnoteReference"/>
        </w:rPr>
        <w:footnoteRef/>
      </w:r>
      <w:r w:rsidRPr="0006299B">
        <w:t xml:space="preserve"> </w:t>
      </w:r>
      <w:r w:rsidRPr="0006299B">
        <w:tab/>
        <w:t>Par enregistrement des dessins industriels ou, lorsque cela n’est pas possible, par proposition d’autres moyens de protection de la propriété intellectuelle.</w:t>
      </w:r>
    </w:p>
  </w:footnote>
  <w:footnote w:id="10">
    <w:p w14:paraId="5A2BA8FA" w14:textId="034B96B1" w:rsidR="004047BF" w:rsidRPr="0006299B" w:rsidRDefault="004047BF" w:rsidP="001C73F5">
      <w:pPr>
        <w:pStyle w:val="FootnoteText"/>
      </w:pPr>
      <w:r w:rsidRPr="0006299B">
        <w:rPr>
          <w:rStyle w:val="FootnoteReference"/>
        </w:rPr>
        <w:footnoteRef/>
      </w:r>
      <w:r w:rsidRPr="0006299B">
        <w:t xml:space="preserve"> </w:t>
      </w:r>
      <w:r w:rsidRPr="0006299B">
        <w:tab/>
        <w:t xml:space="preserve">Ainsi que résumé à partir du document </w:t>
      </w:r>
      <w:proofErr w:type="spellStart"/>
      <w:r w:rsidRPr="0006299B">
        <w:t>CDIP</w:t>
      </w:r>
      <w:proofErr w:type="spellEnd"/>
      <w:r w:rsidRPr="0006299B">
        <w:t xml:space="preserve"> 12/2, modifié par l’évaluateur sur la base des documents </w:t>
      </w:r>
      <w:proofErr w:type="spellStart"/>
      <w:r w:rsidRPr="0006299B">
        <w:t>CDIP</w:t>
      </w:r>
      <w:proofErr w:type="spellEnd"/>
      <w:r w:rsidRPr="0006299B">
        <w:t xml:space="preserve"> 16/2 annexe II et </w:t>
      </w:r>
      <w:proofErr w:type="spellStart"/>
      <w:r w:rsidRPr="0006299B">
        <w:t>CDIP</w:t>
      </w:r>
      <w:proofErr w:type="spellEnd"/>
      <w:r w:rsidRPr="0006299B">
        <w:t> 18/2 annexe VII.</w:t>
      </w:r>
    </w:p>
  </w:footnote>
  <w:footnote w:id="11">
    <w:p w14:paraId="1E197590" w14:textId="7D3CBE87" w:rsidR="004047BF" w:rsidRPr="0006299B" w:rsidRDefault="004047BF" w:rsidP="002F0766">
      <w:pPr>
        <w:pStyle w:val="FootnoteText"/>
      </w:pPr>
      <w:r w:rsidRPr="0006299B">
        <w:rPr>
          <w:rStyle w:val="FootnoteReference"/>
        </w:rPr>
        <w:footnoteRef/>
      </w:r>
      <w:r w:rsidRPr="0006299B">
        <w:t xml:space="preserve"> </w:t>
      </w:r>
      <w:r w:rsidRPr="0006299B">
        <w:tab/>
        <w:t>L’Institut national de la propriété industrielle, Argentine et l’Office marocain de la propriété industrielle et commerciale (</w:t>
      </w:r>
      <w:proofErr w:type="spellStart"/>
      <w:r w:rsidRPr="0006299B">
        <w:t>OMPIC</w:t>
      </w:r>
      <w:proofErr w:type="spellEnd"/>
      <w:r w:rsidRPr="0006299B">
        <w:t>).</w:t>
      </w:r>
    </w:p>
  </w:footnote>
  <w:footnote w:id="12">
    <w:p w14:paraId="7B240F15" w14:textId="1B0DC6EA" w:rsidR="004047BF" w:rsidRPr="0006299B" w:rsidRDefault="004047BF" w:rsidP="00DF227C">
      <w:pPr>
        <w:pStyle w:val="FootnoteText"/>
      </w:pPr>
      <w:r w:rsidRPr="0006299B">
        <w:rPr>
          <w:rStyle w:val="FootnoteReference"/>
        </w:rPr>
        <w:footnoteRef/>
      </w:r>
      <w:r w:rsidRPr="0006299B">
        <w:t xml:space="preserve"> </w:t>
      </w:r>
      <w:r w:rsidRPr="0006299B">
        <w:tab/>
        <w:t xml:space="preserve">Voir </w:t>
      </w:r>
      <w:proofErr w:type="spellStart"/>
      <w:r w:rsidRPr="0006299B">
        <w:t>CDIP</w:t>
      </w:r>
      <w:proofErr w:type="spellEnd"/>
      <w:r w:rsidRPr="0006299B">
        <w:t> 18/2 annexe VII page 11, qui contient les chiffres les plus récents dont disposait l’évaluateur.</w:t>
      </w:r>
    </w:p>
  </w:footnote>
  <w:footnote w:id="13">
    <w:p w14:paraId="3163947D" w14:textId="6C6D7BB0" w:rsidR="004047BF" w:rsidRPr="0006299B" w:rsidRDefault="004047BF" w:rsidP="00DE0B4F">
      <w:pPr>
        <w:pStyle w:val="FootnoteText"/>
        <w:jc w:val="both"/>
      </w:pPr>
      <w:r w:rsidRPr="0006299B">
        <w:rPr>
          <w:rStyle w:val="FootnoteReference"/>
          <w:szCs w:val="18"/>
        </w:rPr>
        <w:footnoteRef/>
      </w:r>
      <w:r w:rsidRPr="0006299B">
        <w:rPr>
          <w:szCs w:val="18"/>
        </w:rPr>
        <w:t xml:space="preserve"> </w:t>
      </w:r>
      <w:r w:rsidRPr="0006299B">
        <w:rPr>
          <w:szCs w:val="18"/>
        </w:rPr>
        <w:tab/>
        <w:t>Politique d’évaluation de l’</w:t>
      </w:r>
      <w:proofErr w:type="spellStart"/>
      <w:r w:rsidRPr="0006299B">
        <w:rPr>
          <w:szCs w:val="18"/>
        </w:rPr>
        <w:t>OMPI</w:t>
      </w:r>
      <w:proofErr w:type="spellEnd"/>
      <w:r w:rsidRPr="0006299B">
        <w:rPr>
          <w:szCs w:val="18"/>
        </w:rPr>
        <w:t>, version révisée (seconde édition 2016/2020), 19 février 2016.</w:t>
      </w:r>
    </w:p>
  </w:footnote>
  <w:footnote w:id="14">
    <w:p w14:paraId="54443CA0" w14:textId="07B01482" w:rsidR="004047BF" w:rsidRPr="0006299B" w:rsidRDefault="004047BF" w:rsidP="00DE7E50">
      <w:pPr>
        <w:pStyle w:val="FootnoteText"/>
        <w:jc w:val="both"/>
      </w:pPr>
      <w:r w:rsidRPr="0006299B">
        <w:rPr>
          <w:rStyle w:val="FootnoteReference"/>
          <w:szCs w:val="18"/>
        </w:rPr>
        <w:footnoteRef/>
      </w:r>
      <w:r w:rsidRPr="0006299B">
        <w:rPr>
          <w:szCs w:val="18"/>
        </w:rPr>
        <w:t xml:space="preserve"> </w:t>
      </w:r>
      <w:r w:rsidRPr="0006299B">
        <w:rPr>
          <w:szCs w:val="18"/>
        </w:rPr>
        <w:tab/>
        <w:t xml:space="preserve">Lignes directrices et ouvrages de référence du CAD, Normes de qualité pour l’évaluation du développement, OCDE/CAD, OCDE 2010.  </w:t>
      </w:r>
    </w:p>
  </w:footnote>
  <w:footnote w:id="15">
    <w:p w14:paraId="4478926F" w14:textId="76C580A3" w:rsidR="004047BF" w:rsidRPr="0006299B" w:rsidRDefault="004047BF" w:rsidP="00C82FFF">
      <w:pPr>
        <w:pStyle w:val="FootnoteText"/>
      </w:pPr>
      <w:r w:rsidRPr="0006299B">
        <w:rPr>
          <w:rStyle w:val="FootnoteReference"/>
        </w:rPr>
        <w:footnoteRef/>
      </w:r>
      <w:r w:rsidRPr="0006299B">
        <w:t xml:space="preserve"> </w:t>
      </w:r>
      <w:r w:rsidRPr="0006299B">
        <w:tab/>
        <w:t>Dans le mandat, il est demandé seulement une évaluation de l’efficacité et de la viabilité.</w:t>
      </w:r>
    </w:p>
  </w:footnote>
  <w:footnote w:id="16">
    <w:p w14:paraId="3F10DDE4" w14:textId="13F9B021" w:rsidR="004047BF" w:rsidRPr="0006299B" w:rsidRDefault="004047BF">
      <w:pPr>
        <w:pStyle w:val="FootnoteText"/>
      </w:pPr>
      <w:r w:rsidRPr="0006299B">
        <w:rPr>
          <w:rStyle w:val="FootnoteReference"/>
        </w:rPr>
        <w:footnoteRef/>
      </w:r>
      <w:r w:rsidRPr="0006299B">
        <w:t xml:space="preserve"> </w:t>
      </w:r>
      <w:r w:rsidRPr="0006299B">
        <w:tab/>
        <w:t>Ces aspects sont parfois évalués au regard du critère d’efficience.</w:t>
      </w:r>
    </w:p>
  </w:footnote>
  <w:footnote w:id="17">
    <w:p w14:paraId="10C22D9A" w14:textId="68121932" w:rsidR="004047BF" w:rsidRPr="0006299B" w:rsidRDefault="004047BF" w:rsidP="008324C7">
      <w:pPr>
        <w:pStyle w:val="FootnoteText"/>
        <w:jc w:val="both"/>
        <w:rPr>
          <w:szCs w:val="18"/>
        </w:rPr>
      </w:pPr>
      <w:r w:rsidRPr="0006299B">
        <w:rPr>
          <w:rStyle w:val="FootnoteReference"/>
          <w:szCs w:val="18"/>
        </w:rPr>
        <w:footnoteRef/>
      </w:r>
      <w:r w:rsidRPr="0006299B">
        <w:rPr>
          <w:szCs w:val="18"/>
        </w:rPr>
        <w:t xml:space="preserve"> </w:t>
      </w:r>
      <w:r w:rsidRPr="0006299B">
        <w:rPr>
          <w:szCs w:val="18"/>
        </w:rPr>
        <w:tab/>
      </w:r>
      <w:r w:rsidRPr="0006299B">
        <w:t>Extrants </w:t>
      </w:r>
      <w:proofErr w:type="gramStart"/>
      <w:r w:rsidRPr="0006299B">
        <w:t>: biens</w:t>
      </w:r>
      <w:proofErr w:type="gramEnd"/>
      <w:r w:rsidRPr="0006299B">
        <w:t>, équipements ou services qui résultent de l’action de développement.  Ce terme peut s’appliquer à des changements induits par l’action qui peuvent conduire à des effets directs.  (OCDE, Glossaire des principaux termes relatifs à l’évaluation et la gestion axée sur les résultats de l’OCDE/CAD, 2010).</w:t>
      </w:r>
    </w:p>
  </w:footnote>
  <w:footnote w:id="18">
    <w:p w14:paraId="724803CC" w14:textId="0896DAAF" w:rsidR="004047BF" w:rsidRPr="0006299B" w:rsidRDefault="004047BF" w:rsidP="008324C7">
      <w:pPr>
        <w:pStyle w:val="FootnoteText"/>
        <w:jc w:val="both"/>
        <w:rPr>
          <w:szCs w:val="18"/>
        </w:rPr>
      </w:pPr>
      <w:r w:rsidRPr="0006299B">
        <w:rPr>
          <w:rStyle w:val="FootnoteReference"/>
          <w:szCs w:val="18"/>
        </w:rPr>
        <w:footnoteRef/>
      </w:r>
      <w:r w:rsidRPr="0006299B">
        <w:rPr>
          <w:szCs w:val="18"/>
        </w:rPr>
        <w:t xml:space="preserve"> </w:t>
      </w:r>
      <w:r w:rsidRPr="0006299B">
        <w:rPr>
          <w:szCs w:val="18"/>
        </w:rPr>
        <w:tab/>
      </w:r>
      <w:r w:rsidRPr="0006299B">
        <w:t>Réalisations </w:t>
      </w:r>
      <w:proofErr w:type="gramStart"/>
      <w:r w:rsidRPr="0006299B">
        <w:t>: ce</w:t>
      </w:r>
      <w:proofErr w:type="gramEnd"/>
      <w:r w:rsidRPr="0006299B">
        <w:t xml:space="preserve"> que l’action doit accomplir ou a accompli à court ou à moyen terme.  Termes connexes </w:t>
      </w:r>
      <w:proofErr w:type="gramStart"/>
      <w:r w:rsidRPr="0006299B">
        <w:t>: résultat</w:t>
      </w:r>
      <w:proofErr w:type="gramEnd"/>
      <w:r w:rsidRPr="0006299B">
        <w:t xml:space="preserve">, extrant, produit, impacts, effet.  </w:t>
      </w:r>
      <w:r w:rsidR="00853937" w:rsidRPr="0006299B">
        <w:t>(</w:t>
      </w:r>
      <w:r w:rsidRPr="0006299B">
        <w:t>OCDE, Glossaire</w:t>
      </w:r>
      <w:r w:rsidRPr="0006299B">
        <w:rPr>
          <w:szCs w:val="18"/>
        </w:rPr>
        <w:t xml:space="preserve"> des principaux termes relatifs à l’évaluation et la gestion axée sur les résultats de l’OCDE/CAD, 2010).</w:t>
      </w:r>
    </w:p>
  </w:footnote>
  <w:footnote w:id="19">
    <w:p w14:paraId="5B79010D" w14:textId="4F3C62F3" w:rsidR="004047BF" w:rsidRPr="0006299B" w:rsidRDefault="004047BF" w:rsidP="008324C7">
      <w:pPr>
        <w:pStyle w:val="FootnoteText"/>
        <w:jc w:val="both"/>
        <w:rPr>
          <w:szCs w:val="18"/>
        </w:rPr>
      </w:pPr>
      <w:r w:rsidRPr="0006299B">
        <w:rPr>
          <w:rStyle w:val="FootnoteReference"/>
          <w:szCs w:val="18"/>
        </w:rPr>
        <w:footnoteRef/>
      </w:r>
      <w:r w:rsidRPr="0006299B">
        <w:rPr>
          <w:szCs w:val="18"/>
        </w:rPr>
        <w:t xml:space="preserve"> </w:t>
      </w:r>
      <w:r w:rsidRPr="0006299B">
        <w:rPr>
          <w:szCs w:val="18"/>
        </w:rPr>
        <w:tab/>
        <w:t>Impacts : effets à long terme, positifs et négatifs, primaires et secondaires, induits par une action de développement, directement ou non, intentionnellement ou non.  (OCDE</w:t>
      </w:r>
      <w:r w:rsidRPr="0006299B">
        <w:t xml:space="preserve">, Glossaire des principaux termes relatifs à l’évaluation et la gestion axée sur les résultats de l’OCDE/CAD, </w:t>
      </w:r>
      <w:r w:rsidRPr="0006299B">
        <w:rPr>
          <w:szCs w:val="18"/>
        </w:rPr>
        <w:t>2010).</w:t>
      </w:r>
    </w:p>
  </w:footnote>
  <w:footnote w:id="20">
    <w:p w14:paraId="78C2FF59" w14:textId="7A13909F" w:rsidR="004047BF" w:rsidRPr="0006299B" w:rsidRDefault="004047BF" w:rsidP="00991D2B">
      <w:pPr>
        <w:pStyle w:val="FootnoteText"/>
        <w:jc w:val="both"/>
      </w:pPr>
      <w:r w:rsidRPr="0006299B">
        <w:rPr>
          <w:rStyle w:val="FootnoteReference"/>
          <w:szCs w:val="18"/>
        </w:rPr>
        <w:footnoteRef/>
      </w:r>
      <w:r w:rsidRPr="0006299B">
        <w:rPr>
          <w:szCs w:val="18"/>
        </w:rPr>
        <w:t xml:space="preserve"> </w:t>
      </w:r>
      <w:r w:rsidRPr="0006299B">
        <w:rPr>
          <w:szCs w:val="18"/>
        </w:rPr>
        <w:tab/>
        <w:t>Suppositions déduites de facteurs ou de risques pouvant avoir des répercussions sur le progrès ou le succès de l’action de développement.  (OCDE, Glossaire des principaux termes relatifs à l’évaluation et la gestion axée sur les résultats de l’OCDE/CAD, 2010)</w:t>
      </w:r>
      <w:r w:rsidR="00853937" w:rsidRPr="0006299B">
        <w:rPr>
          <w:szCs w:val="18"/>
        </w:rPr>
        <w:t>.</w:t>
      </w:r>
    </w:p>
  </w:footnote>
  <w:footnote w:id="21">
    <w:p w14:paraId="39B2371B" w14:textId="390DDA7E" w:rsidR="004047BF" w:rsidRPr="0006299B" w:rsidRDefault="004047BF">
      <w:pPr>
        <w:pStyle w:val="FootnoteText"/>
      </w:pPr>
      <w:r w:rsidRPr="0006299B">
        <w:rPr>
          <w:rStyle w:val="FootnoteReference"/>
        </w:rPr>
        <w:footnoteRef/>
      </w:r>
      <w:r w:rsidRPr="0006299B">
        <w:t xml:space="preserve"> </w:t>
      </w:r>
      <w:r w:rsidRPr="0006299B">
        <w:tab/>
        <w:t xml:space="preserve">Voir aussi l’analyse des risques figurant dans le document </w:t>
      </w:r>
      <w:proofErr w:type="spellStart"/>
      <w:r w:rsidRPr="0006299B">
        <w:t>CDIP</w:t>
      </w:r>
      <w:proofErr w:type="spellEnd"/>
      <w:r w:rsidRPr="0006299B">
        <w:t> 16/2 annexe II, page 6.</w:t>
      </w:r>
    </w:p>
  </w:footnote>
  <w:footnote w:id="22">
    <w:p w14:paraId="12F67E28" w14:textId="4419C1FF" w:rsidR="004047BF" w:rsidRPr="0006299B" w:rsidRDefault="004047BF" w:rsidP="00CE659F">
      <w:pPr>
        <w:pStyle w:val="FootnoteText"/>
      </w:pPr>
      <w:r w:rsidRPr="0006299B">
        <w:rPr>
          <w:rStyle w:val="FootnoteReference"/>
        </w:rPr>
        <w:footnoteRef/>
      </w:r>
      <w:r w:rsidRPr="0006299B">
        <w:t xml:space="preserve"> </w:t>
      </w:r>
      <w:r w:rsidRPr="0006299B">
        <w:tab/>
        <w:t>D’autres documents ont été établis au cours de la phase de démarrage, notamment, pour chaque pays, une stratégie de protection des dessins et modèles, une stratégie de sensibilisation et une stratégie de sortie.  La stratégie de protection des dessins et modèles et la stratégie de sensibilisation sont des produits prévus.</w:t>
      </w:r>
    </w:p>
  </w:footnote>
  <w:footnote w:id="23">
    <w:p w14:paraId="5A873535" w14:textId="07A890E6" w:rsidR="004047BF" w:rsidRPr="0006299B" w:rsidRDefault="004047BF">
      <w:pPr>
        <w:pStyle w:val="FootnoteText"/>
      </w:pPr>
      <w:r w:rsidRPr="0006299B">
        <w:rPr>
          <w:rStyle w:val="FootnoteReference"/>
        </w:rPr>
        <w:footnoteRef/>
      </w:r>
      <w:r w:rsidRPr="0006299B">
        <w:t xml:space="preserve"> </w:t>
      </w:r>
      <w:r w:rsidRPr="0006299B">
        <w:tab/>
        <w:t>Voir le programme et budget pour l’exercice biennal 2014</w:t>
      </w:r>
      <w:r w:rsidRPr="0006299B">
        <w:noBreakHyphen/>
        <w:t>2015, applicable à la date de conception du projet.</w:t>
      </w:r>
    </w:p>
  </w:footnote>
  <w:footnote w:id="24">
    <w:p w14:paraId="101125F2" w14:textId="4E4ADBEA" w:rsidR="004047BF" w:rsidRPr="0006299B" w:rsidRDefault="004047BF" w:rsidP="00DE7E50">
      <w:pPr>
        <w:pStyle w:val="FootnoteText"/>
      </w:pPr>
      <w:r w:rsidRPr="0006299B">
        <w:rPr>
          <w:rStyle w:val="FootnoteReference"/>
        </w:rPr>
        <w:footnoteRef/>
      </w:r>
      <w:r w:rsidRPr="0006299B">
        <w:t xml:space="preserve"> </w:t>
      </w:r>
      <w:r w:rsidRPr="0006299B">
        <w:tab/>
        <w:t>Programme 2 </w:t>
      </w:r>
      <w:proofErr w:type="gramStart"/>
      <w:r w:rsidRPr="0006299B">
        <w:t>: Marques</w:t>
      </w:r>
      <w:proofErr w:type="gramEnd"/>
      <w:r w:rsidRPr="0006299B">
        <w:t xml:space="preserve">, </w:t>
      </w:r>
      <w:r w:rsidR="00853937" w:rsidRPr="0006299B">
        <w:t>d</w:t>
      </w:r>
      <w:r w:rsidRPr="0006299B">
        <w:t>essins et modèles industriels et indications géographiques.  Le programme 2 “(…) s’emploiera à obtenir des résultats, qui permettront à l’</w:t>
      </w:r>
      <w:proofErr w:type="spellStart"/>
      <w:r w:rsidRPr="0006299B">
        <w:t>OMPI</w:t>
      </w:r>
      <w:proofErr w:type="spellEnd"/>
      <w:r w:rsidRPr="0006299B">
        <w:t xml:space="preserve"> de favoriser une évolution équilibrée du cadre normatif international régissant les marques (brand) et les dessins et modèles, contribuant à la création d’un environnement juridique apte à répondre aux besoins et aux exigences spécifiques des États membres dans le domaine des marques (brand) et des dessins et modèles.  (…)”.</w:t>
      </w:r>
    </w:p>
  </w:footnote>
  <w:footnote w:id="25">
    <w:p w14:paraId="756DF1C9" w14:textId="1D5B3EC3" w:rsidR="004047BF" w:rsidRPr="0006299B" w:rsidRDefault="004047BF" w:rsidP="00303D01">
      <w:pPr>
        <w:pStyle w:val="FootnoteText"/>
      </w:pPr>
      <w:r w:rsidRPr="0006299B">
        <w:rPr>
          <w:rStyle w:val="FootnoteReference"/>
        </w:rPr>
        <w:footnoteRef/>
      </w:r>
      <w:r w:rsidRPr="0006299B">
        <w:t xml:space="preserve"> </w:t>
      </w:r>
      <w:r w:rsidRPr="0006299B">
        <w:tab/>
        <w:t>Programme 9 </w:t>
      </w:r>
      <w:proofErr w:type="gramStart"/>
      <w:r w:rsidRPr="0006299B">
        <w:t>: Afrique</w:t>
      </w:r>
      <w:proofErr w:type="gramEnd"/>
      <w:r w:rsidRPr="0006299B">
        <w:t>, pays arabes, Asie et Pacifique, pays d’Amérique latine et des Caraïbes, PMA.  La principale activité consiste dans la mise en œuvre de stratégies nationales, propres à chaque pays, en matière de propriété intellectuelle, compte tenu des plans de développement nationaux.</w:t>
      </w:r>
    </w:p>
  </w:footnote>
  <w:footnote w:id="26">
    <w:p w14:paraId="5F01F3B8" w14:textId="60F5BA5E" w:rsidR="004047BF" w:rsidRPr="0006299B" w:rsidRDefault="004047BF" w:rsidP="00303D01">
      <w:pPr>
        <w:pStyle w:val="FootnoteText"/>
      </w:pPr>
      <w:r w:rsidRPr="0006299B">
        <w:rPr>
          <w:rStyle w:val="FootnoteReference"/>
        </w:rPr>
        <w:footnoteRef/>
      </w:r>
      <w:r w:rsidRPr="0006299B">
        <w:t xml:space="preserve"> </w:t>
      </w:r>
      <w:r w:rsidRPr="0006299B">
        <w:tab/>
        <w:t>Programme 30 </w:t>
      </w:r>
      <w:proofErr w:type="gramStart"/>
      <w:r w:rsidRPr="0006299B">
        <w:t>: Petites</w:t>
      </w:r>
      <w:proofErr w:type="gramEnd"/>
      <w:r w:rsidRPr="0006299B">
        <w:t xml:space="preserve"> et moyennes entreprises (PME) et innovation.  Le programme servira de point central de référence au sein de l’</w:t>
      </w:r>
      <w:proofErr w:type="spellStart"/>
      <w:r w:rsidRPr="0006299B">
        <w:t>OMPI</w:t>
      </w:r>
      <w:proofErr w:type="spellEnd"/>
      <w:r w:rsidRPr="0006299B">
        <w:t xml:space="preserve"> pour les questions de propriété intellectuelle relatives aux PME.  La principale activité consiste dans l’élaboration de matériaux adaptés aux PME visant à orienter les activités de formation et de renforcement des capacités conduites principalement par des institutions d’aide aux PME et d’autres intermédiaires.</w:t>
      </w:r>
    </w:p>
  </w:footnote>
  <w:footnote w:id="27">
    <w:p w14:paraId="1B0936C3" w14:textId="4779B8C5" w:rsidR="004047BF" w:rsidRPr="0006299B" w:rsidRDefault="004047BF" w:rsidP="00303D01">
      <w:pPr>
        <w:pStyle w:val="FootnoteText"/>
      </w:pPr>
      <w:r w:rsidRPr="0006299B">
        <w:rPr>
          <w:rStyle w:val="FootnoteReference"/>
        </w:rPr>
        <w:footnoteRef/>
      </w:r>
      <w:r w:rsidRPr="0006299B">
        <w:t xml:space="preserve"> </w:t>
      </w:r>
      <w:r w:rsidRPr="0006299B">
        <w:tab/>
        <w:t>Programme 31 </w:t>
      </w:r>
      <w:proofErr w:type="gramStart"/>
      <w:r w:rsidRPr="0006299B">
        <w:t>: Système</w:t>
      </w:r>
      <w:proofErr w:type="gramEnd"/>
      <w:r w:rsidRPr="0006299B">
        <w:t xml:space="preserve"> de La Haye (enregistrement des dessins et modèles industriels).</w:t>
      </w:r>
    </w:p>
  </w:footnote>
  <w:footnote w:id="28">
    <w:p w14:paraId="5CE3705A" w14:textId="552B57F1" w:rsidR="004047BF" w:rsidRPr="0006299B" w:rsidRDefault="004047BF" w:rsidP="00332C18">
      <w:pPr>
        <w:pStyle w:val="FootnoteText"/>
      </w:pPr>
      <w:r w:rsidRPr="0006299B">
        <w:rPr>
          <w:rStyle w:val="FootnoteReference"/>
        </w:rPr>
        <w:footnoteRef/>
      </w:r>
      <w:r w:rsidRPr="0006299B">
        <w:t xml:space="preserve"> </w:t>
      </w:r>
      <w:r w:rsidRPr="0006299B">
        <w:tab/>
        <w:t>Quatre</w:t>
      </w:r>
      <w:r w:rsidRPr="0006299B">
        <w:noBreakHyphen/>
        <w:t>vingt</w:t>
      </w:r>
      <w:r w:rsidRPr="0006299B">
        <w:noBreakHyphen/>
        <w:t>quatorze personnes ont répondu en Argentine et 249 au Maroc.  Le taux de réponse – environ 15% – était globalement conforme à ce que l’on peut attendre en général.</w:t>
      </w:r>
    </w:p>
  </w:footnote>
  <w:footnote w:id="29">
    <w:p w14:paraId="0DD0F583" w14:textId="0DF8FEC0" w:rsidR="004047BF" w:rsidRPr="0006299B" w:rsidRDefault="004047BF" w:rsidP="00F81C2A">
      <w:pPr>
        <w:pStyle w:val="FootnoteText"/>
      </w:pPr>
      <w:r w:rsidRPr="0006299B">
        <w:rPr>
          <w:rStyle w:val="FootnoteReference"/>
        </w:rPr>
        <w:footnoteRef/>
      </w:r>
      <w:r w:rsidRPr="0006299B">
        <w:t xml:space="preserve"> </w:t>
      </w:r>
      <w:r w:rsidRPr="0006299B">
        <w:tab/>
        <w:t>Voir la brochure sur le projet pilote “Libérer le potentiel des pays dans le domaine des dessins et modèles”, page 6, http://www.wipo.int/edocs/mdocs/sct/en/sct_34_side_event/sct_34_side_event_brochure.pdf et la confirmation donnée par les experts nationaux consultés.</w:t>
      </w:r>
    </w:p>
  </w:footnote>
  <w:footnote w:id="30">
    <w:p w14:paraId="30F8127B" w14:textId="4F8D7362" w:rsidR="004047BF" w:rsidRPr="0006299B" w:rsidRDefault="004047BF" w:rsidP="003E2EAE">
      <w:pPr>
        <w:pStyle w:val="FootnoteText"/>
      </w:pPr>
      <w:r w:rsidRPr="0006299B">
        <w:rPr>
          <w:rStyle w:val="FootnoteReference"/>
        </w:rPr>
        <w:footnoteRef/>
      </w:r>
      <w:r w:rsidRPr="0006299B">
        <w:t xml:space="preserve"> </w:t>
      </w:r>
      <w:r w:rsidRPr="0006299B">
        <w:tab/>
        <w:t>Source </w:t>
      </w:r>
      <w:proofErr w:type="gramStart"/>
      <w:r w:rsidRPr="0006299B">
        <w:t>: entretiens</w:t>
      </w:r>
      <w:proofErr w:type="gramEnd"/>
      <w:r w:rsidRPr="0006299B">
        <w:t xml:space="preserve"> avec les offices de propriété intellectuelle.</w:t>
      </w:r>
    </w:p>
  </w:footnote>
  <w:footnote w:id="31">
    <w:p w14:paraId="6C65B7BF" w14:textId="509FBE27" w:rsidR="004047BF" w:rsidRPr="0006299B" w:rsidRDefault="004047BF" w:rsidP="00466DEF">
      <w:pPr>
        <w:pStyle w:val="FootnoteText"/>
      </w:pPr>
      <w:r w:rsidRPr="0006299B">
        <w:rPr>
          <w:rStyle w:val="FootnoteReference"/>
        </w:rPr>
        <w:footnoteRef/>
      </w:r>
      <w:r w:rsidRPr="0006299B">
        <w:t xml:space="preserve"> </w:t>
      </w:r>
      <w:r w:rsidRPr="0006299B">
        <w:tab/>
        <w:t>Voir le résumé figurant dans l’instruction n ° 47/2014 du 5 août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0C09" w14:textId="77777777" w:rsidR="004047BF" w:rsidRDefault="004047BF" w:rsidP="00C34E43">
    <w:pPr>
      <w:pStyle w:val="Header"/>
      <w:pBdr>
        <w:bottom w:val="single" w:sz="4" w:space="1" w:color="auto"/>
      </w:pBdr>
    </w:pPr>
  </w:p>
  <w:p w14:paraId="46CE9600" w14:textId="4312B684" w:rsidR="004047BF" w:rsidRDefault="004047BF" w:rsidP="00C34E43">
    <w:pPr>
      <w:pStyle w:val="Header"/>
      <w:pBdr>
        <w:bottom w:val="single" w:sz="4" w:space="1" w:color="auto"/>
      </w:pBdr>
    </w:pPr>
    <w:r>
      <w:tab/>
    </w:r>
    <w:r>
      <w:tab/>
    </w:r>
    <w:r>
      <w:fldChar w:fldCharType="begin"/>
    </w:r>
    <w:r>
      <w:instrText xml:space="preserve"> PAGE </w:instrText>
    </w:r>
    <w:r>
      <w:fldChar w:fldCharType="separate"/>
    </w:r>
    <w:r>
      <w:rPr>
        <w:noProof/>
      </w:rPr>
      <w:t>2</w:t>
    </w:r>
    <w:r>
      <w:fldChar w:fldCharType="end"/>
    </w:r>
    <w:r>
      <w:t>.</w:t>
    </w:r>
    <w:r w:rsidRPr="00D342F9">
      <w:tab/>
    </w:r>
  </w:p>
  <w:p w14:paraId="7E5D6AF1" w14:textId="77777777" w:rsidR="004047BF" w:rsidRPr="00DD4C78" w:rsidRDefault="004047BF" w:rsidP="00DD4C78">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C660" w14:textId="77777777" w:rsidR="004047BF" w:rsidRDefault="004047BF" w:rsidP="000C0922">
    <w:pPr>
      <w:pStyle w:val="Header"/>
      <w:jc w:val="right"/>
    </w:pPr>
    <w:proofErr w:type="spellStart"/>
    <w:r>
      <w:t>CDIP</w:t>
    </w:r>
    <w:proofErr w:type="spellEnd"/>
    <w:r>
      <w:t>/19/4</w:t>
    </w:r>
  </w:p>
  <w:p w14:paraId="0221300A" w14:textId="6F206447" w:rsidR="004047BF" w:rsidRDefault="004047BF" w:rsidP="000C0922">
    <w:pPr>
      <w:pStyle w:val="Header"/>
      <w:jc w:val="right"/>
    </w:pPr>
    <w:r>
      <w:t>APPENDICE IV</w:t>
    </w:r>
  </w:p>
  <w:p w14:paraId="05788FCD" w14:textId="77777777" w:rsidR="004047BF" w:rsidRDefault="004047BF" w:rsidP="000C09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6FE9" w14:textId="0BF8EC49" w:rsidR="004047BF" w:rsidRDefault="004047BF" w:rsidP="005779C5">
    <w:pPr>
      <w:pStyle w:val="Header"/>
      <w:jc w:val="right"/>
    </w:pPr>
    <w:proofErr w:type="spellStart"/>
    <w:r>
      <w:t>CDIP</w:t>
    </w:r>
    <w:proofErr w:type="spellEnd"/>
    <w:r>
      <w:t>/19/4</w:t>
    </w:r>
  </w:p>
  <w:p w14:paraId="7AC303A0" w14:textId="1917E7CF" w:rsidR="004047BF" w:rsidRDefault="004047BF" w:rsidP="00802701">
    <w:pPr>
      <w:pStyle w:val="Header"/>
      <w:jc w:val="right"/>
    </w:pPr>
    <w:r>
      <w:t>Annexe, page</w:t>
    </w:r>
    <w:r w:rsidR="007865D4">
      <w:t> </w:t>
    </w:r>
    <w:r>
      <w:fldChar w:fldCharType="begin"/>
    </w:r>
    <w:r>
      <w:instrText xml:space="preserve"> PAGE </w:instrText>
    </w:r>
    <w:r>
      <w:fldChar w:fldCharType="separate"/>
    </w:r>
    <w:r w:rsidR="007865D4">
      <w:rPr>
        <w:noProof/>
      </w:rPr>
      <w:t>26</w:t>
    </w:r>
    <w:r>
      <w:fldChar w:fldCharType="end"/>
    </w:r>
  </w:p>
  <w:p w14:paraId="266F03FE" w14:textId="77777777" w:rsidR="004047BF" w:rsidRPr="00DD4C78" w:rsidRDefault="004047BF" w:rsidP="00DD4C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EF6A" w14:textId="27E00C92" w:rsidR="004047BF" w:rsidRDefault="004047BF" w:rsidP="000C0922">
    <w:pPr>
      <w:pStyle w:val="Header"/>
      <w:jc w:val="right"/>
    </w:pPr>
    <w:proofErr w:type="spellStart"/>
    <w:r>
      <w:t>CDIP</w:t>
    </w:r>
    <w:proofErr w:type="spellEnd"/>
    <w:r>
      <w:t>/19/4</w:t>
    </w:r>
  </w:p>
  <w:p w14:paraId="58F41BEC" w14:textId="4520BD22" w:rsidR="004047BF" w:rsidRDefault="004047BF" w:rsidP="000C0922">
    <w:pPr>
      <w:pStyle w:val="Header"/>
      <w:jc w:val="right"/>
    </w:pPr>
    <w:r>
      <w:t>ANNEXE</w:t>
    </w:r>
  </w:p>
  <w:p w14:paraId="594EFCBA" w14:textId="77777777" w:rsidR="004047BF" w:rsidRDefault="004047BF" w:rsidP="000C092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F989" w14:textId="77777777" w:rsidR="004047BF" w:rsidRDefault="004047BF" w:rsidP="005779C5">
    <w:pPr>
      <w:pStyle w:val="Header"/>
      <w:jc w:val="right"/>
    </w:pPr>
    <w:proofErr w:type="spellStart"/>
    <w:r>
      <w:t>CDIP</w:t>
    </w:r>
    <w:proofErr w:type="spellEnd"/>
    <w:r>
      <w:t>/19/4</w:t>
    </w:r>
  </w:p>
  <w:p w14:paraId="68DED45C" w14:textId="17551BFA" w:rsidR="004047BF" w:rsidRDefault="004047BF" w:rsidP="005D1626">
    <w:pPr>
      <w:pStyle w:val="Header"/>
      <w:jc w:val="right"/>
    </w:pPr>
    <w:r>
      <w:tab/>
    </w:r>
    <w:r>
      <w:tab/>
    </w:r>
    <w:proofErr w:type="spellStart"/>
    <w:r>
      <w:t>APPENDIX</w:t>
    </w:r>
    <w:proofErr w:type="spellEnd"/>
    <w:r>
      <w:t xml:space="preserve"> I</w:t>
    </w:r>
  </w:p>
  <w:p w14:paraId="4785B439" w14:textId="77777777" w:rsidR="004047BF" w:rsidRPr="00DD4C78" w:rsidRDefault="004047BF" w:rsidP="00DD4C7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120F" w14:textId="7D495E08" w:rsidR="004047BF" w:rsidRDefault="004047BF" w:rsidP="000C0922">
    <w:pPr>
      <w:pStyle w:val="Header"/>
      <w:jc w:val="right"/>
    </w:pPr>
    <w:proofErr w:type="spellStart"/>
    <w:r>
      <w:t>CDIP</w:t>
    </w:r>
    <w:proofErr w:type="spellEnd"/>
    <w:r>
      <w:t>/19/4</w:t>
    </w:r>
  </w:p>
  <w:p w14:paraId="5849C89A" w14:textId="030E0324" w:rsidR="004047BF" w:rsidRDefault="004047BF" w:rsidP="000C0922">
    <w:pPr>
      <w:pStyle w:val="Header"/>
      <w:jc w:val="right"/>
    </w:pPr>
    <w:r>
      <w:t>APPENDICE</w:t>
    </w:r>
    <w:r w:rsidR="007865D4">
      <w:t> </w:t>
    </w:r>
    <w:r>
      <w:t>I</w:t>
    </w:r>
  </w:p>
  <w:p w14:paraId="50664165" w14:textId="77777777" w:rsidR="004047BF" w:rsidRDefault="004047BF" w:rsidP="000C092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17C" w14:textId="77777777" w:rsidR="004047BF" w:rsidRDefault="004047BF" w:rsidP="005779C5">
    <w:pPr>
      <w:pStyle w:val="Header"/>
      <w:jc w:val="right"/>
    </w:pPr>
    <w:proofErr w:type="spellStart"/>
    <w:r>
      <w:t>CDIP</w:t>
    </w:r>
    <w:proofErr w:type="spellEnd"/>
    <w:r>
      <w:t>/19/4</w:t>
    </w:r>
  </w:p>
  <w:p w14:paraId="0ECBB765" w14:textId="6A6E9CE1" w:rsidR="004047BF" w:rsidRDefault="004047BF" w:rsidP="005D1626">
    <w:pPr>
      <w:pStyle w:val="Header"/>
      <w:jc w:val="right"/>
    </w:pPr>
    <w:r>
      <w:t>Appendice</w:t>
    </w:r>
    <w:r w:rsidR="007865D4">
      <w:t> </w:t>
    </w:r>
    <w:r>
      <w:t>II, page</w:t>
    </w:r>
    <w:r w:rsidR="007865D4">
      <w:t> </w:t>
    </w:r>
    <w:r>
      <w:fldChar w:fldCharType="begin"/>
    </w:r>
    <w:r>
      <w:instrText xml:space="preserve"> PAGE   \* MERGEFORMAT </w:instrText>
    </w:r>
    <w:r>
      <w:fldChar w:fldCharType="separate"/>
    </w:r>
    <w:r w:rsidR="007865D4">
      <w:rPr>
        <w:noProof/>
      </w:rPr>
      <w:t>5</w:t>
    </w:r>
    <w:r>
      <w:rPr>
        <w:noProof/>
      </w:rPr>
      <w:fldChar w:fldCharType="end"/>
    </w:r>
  </w:p>
  <w:p w14:paraId="38474CE6" w14:textId="77777777" w:rsidR="004047BF" w:rsidRPr="00DD4C78" w:rsidRDefault="004047BF" w:rsidP="00DD4C78">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6F8D" w14:textId="77777777" w:rsidR="004047BF" w:rsidRDefault="004047BF" w:rsidP="000C0922">
    <w:pPr>
      <w:pStyle w:val="Header"/>
      <w:jc w:val="right"/>
    </w:pPr>
    <w:proofErr w:type="spellStart"/>
    <w:r>
      <w:t>CDIP</w:t>
    </w:r>
    <w:proofErr w:type="spellEnd"/>
    <w:r>
      <w:t>/19/4</w:t>
    </w:r>
  </w:p>
  <w:p w14:paraId="651D42E5" w14:textId="1B60AACB" w:rsidR="004047BF" w:rsidRDefault="004047BF" w:rsidP="000C0922">
    <w:pPr>
      <w:pStyle w:val="Header"/>
      <w:jc w:val="right"/>
    </w:pPr>
    <w:r>
      <w:t>APPENDICE II</w:t>
    </w:r>
  </w:p>
  <w:p w14:paraId="3B6D05BA" w14:textId="77777777" w:rsidR="004047BF" w:rsidRDefault="004047BF" w:rsidP="000C092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1968" w14:textId="77777777" w:rsidR="004047BF" w:rsidRDefault="004047BF" w:rsidP="000C0922">
    <w:pPr>
      <w:pStyle w:val="Header"/>
      <w:jc w:val="right"/>
    </w:pPr>
    <w:proofErr w:type="spellStart"/>
    <w:r>
      <w:t>CDIP</w:t>
    </w:r>
    <w:proofErr w:type="spellEnd"/>
    <w:r>
      <w:t>/19/4</w:t>
    </w:r>
  </w:p>
  <w:p w14:paraId="7C7F87FD" w14:textId="60473EF0" w:rsidR="004047BF" w:rsidRDefault="004047BF" w:rsidP="000C0922">
    <w:pPr>
      <w:pStyle w:val="Header"/>
      <w:jc w:val="right"/>
    </w:pPr>
    <w:r>
      <w:t>APPENDICE III</w:t>
    </w:r>
  </w:p>
  <w:p w14:paraId="2ADEADDF" w14:textId="77777777" w:rsidR="004047BF" w:rsidRDefault="004047BF" w:rsidP="000C092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77777777" w:rsidR="004047BF" w:rsidRDefault="004047BF" w:rsidP="005779C5">
    <w:pPr>
      <w:pStyle w:val="Header"/>
      <w:jc w:val="right"/>
    </w:pPr>
    <w:proofErr w:type="spellStart"/>
    <w:r>
      <w:t>CDIP</w:t>
    </w:r>
    <w:proofErr w:type="spellEnd"/>
    <w:r>
      <w:t>/19/4</w:t>
    </w:r>
  </w:p>
  <w:p w14:paraId="4640169E" w14:textId="63C1FBA4" w:rsidR="004047BF" w:rsidRDefault="004047BF" w:rsidP="005D1626">
    <w:pPr>
      <w:pStyle w:val="Header"/>
      <w:jc w:val="right"/>
    </w:pPr>
    <w:r>
      <w:t>Appendice</w:t>
    </w:r>
    <w:r w:rsidR="007865D4">
      <w:t> </w:t>
    </w:r>
    <w:r>
      <w:t>IV, page</w:t>
    </w:r>
    <w:r w:rsidR="007865D4">
      <w:t> </w:t>
    </w:r>
    <w:r>
      <w:fldChar w:fldCharType="begin"/>
    </w:r>
    <w:r>
      <w:instrText xml:space="preserve"> PAGE   \* MERGEFORMAT </w:instrText>
    </w:r>
    <w:r>
      <w:fldChar w:fldCharType="separate"/>
    </w:r>
    <w:r w:rsidR="007865D4">
      <w:rPr>
        <w:noProof/>
      </w:rPr>
      <w:t>2</w:t>
    </w:r>
    <w:r>
      <w:rPr>
        <w:noProof/>
      </w:rPr>
      <w:fldChar w:fldCharType="end"/>
    </w:r>
  </w:p>
  <w:p w14:paraId="23B07F3F" w14:textId="77777777" w:rsidR="004047BF" w:rsidRPr="00DD4C78" w:rsidRDefault="004047BF" w:rsidP="00DD4C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6">
    <w:nsid w:val="1FFB19A2"/>
    <w:multiLevelType w:val="multilevel"/>
    <w:tmpl w:val="DCCE6BE8"/>
    <w:lvl w:ilvl="0">
      <w:start w:val="1"/>
      <w:numFmt w:val="decimal"/>
      <w:lvlRestart w:val="0"/>
      <w:pStyle w:val="ONUMFS"/>
      <w:lvlText w:val="%1."/>
      <w:lvlJc w:val="left"/>
      <w:pPr>
        <w:tabs>
          <w:tab w:val="num" w:pos="567"/>
        </w:tabs>
        <w:ind w:left="0" w:firstLine="0"/>
      </w:pPr>
      <w:rPr>
        <w:rFonts w:hint="default"/>
        <w:b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9">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nsid w:val="3068526C"/>
    <w:multiLevelType w:val="hybridMultilevel"/>
    <w:tmpl w:val="5D9C90CA"/>
    <w:lvl w:ilvl="0" w:tplc="579675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AF59B7"/>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92E75"/>
    <w:multiLevelType w:val="hybridMultilevel"/>
    <w:tmpl w:val="19EC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3F6D0C52"/>
    <w:multiLevelType w:val="hybridMultilevel"/>
    <w:tmpl w:val="470036B6"/>
    <w:lvl w:ilvl="0" w:tplc="40C07C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793221"/>
    <w:multiLevelType w:val="hybridMultilevel"/>
    <w:tmpl w:val="B2A0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5097029D"/>
    <w:multiLevelType w:val="hybridMultilevel"/>
    <w:tmpl w:val="6CAC991A"/>
    <w:lvl w:ilvl="0" w:tplc="1B4210AE">
      <w:start w:val="1"/>
      <w:numFmt w:val="lowerLetter"/>
      <w:lvlText w:val="(%1)"/>
      <w:lvlJc w:val="left"/>
      <w:pPr>
        <w:ind w:left="720" w:hanging="360"/>
      </w:pPr>
      <w:rPr>
        <w:rFonts w:ascii="Arial" w:eastAsia="SimSun" w:hAnsi="Arial" w:cs="Arial"/>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5">
    <w:nsid w:val="55C238E7"/>
    <w:multiLevelType w:val="hybridMultilevel"/>
    <w:tmpl w:val="4C04BD90"/>
    <w:lvl w:ilvl="0" w:tplc="8EFE109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5B383311"/>
    <w:multiLevelType w:val="hybridMultilevel"/>
    <w:tmpl w:val="E750856A"/>
    <w:lvl w:ilvl="0" w:tplc="9CECB8FE">
      <w:start w:val="1"/>
      <w:numFmt w:val="lowerRoman"/>
      <w:pStyle w:val="Heading3"/>
      <w:lvlText w:val="%1)"/>
      <w:lvlJc w:val="left"/>
      <w:pPr>
        <w:ind w:left="1854" w:hanging="360"/>
      </w:pPr>
      <w:rPr>
        <w:rFonts w:cs="Times New Roman" w:hint="default"/>
        <w:color w:val="auto"/>
        <w:sz w:val="22"/>
        <w:szCs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8">
    <w:nsid w:val="60172AC7"/>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554CA"/>
    <w:multiLevelType w:val="hybridMultilevel"/>
    <w:tmpl w:val="12BC1E3A"/>
    <w:lvl w:ilvl="0" w:tplc="4FB6611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81904"/>
    <w:multiLevelType w:val="hybridMultilevel"/>
    <w:tmpl w:val="F5E61196"/>
    <w:lvl w:ilvl="0" w:tplc="870EB244">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32">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6"/>
  </w:num>
  <w:num w:numId="4">
    <w:abstractNumId w:val="23"/>
  </w:num>
  <w:num w:numId="5">
    <w:abstractNumId w:val="1"/>
  </w:num>
  <w:num w:numId="6">
    <w:abstractNumId w:val="20"/>
  </w:num>
  <w:num w:numId="7">
    <w:abstractNumId w:val="26"/>
  </w:num>
  <w:num w:numId="8">
    <w:abstractNumId w:val="8"/>
  </w:num>
  <w:num w:numId="9">
    <w:abstractNumId w:val="9"/>
  </w:num>
  <w:num w:numId="10">
    <w:abstractNumId w:val="5"/>
  </w:num>
  <w:num w:numId="11">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4"/>
  </w:num>
  <w:num w:numId="13">
    <w:abstractNumId w:val="19"/>
  </w:num>
  <w:num w:numId="14">
    <w:abstractNumId w:val="13"/>
  </w:num>
  <w:num w:numId="15">
    <w:abstractNumId w:val="24"/>
  </w:num>
  <w:num w:numId="16">
    <w:abstractNumId w:val="30"/>
  </w:num>
  <w:num w:numId="17">
    <w:abstractNumId w:val="17"/>
  </w:num>
  <w:num w:numId="18">
    <w:abstractNumId w:val="25"/>
  </w:num>
  <w:num w:numId="19">
    <w:abstractNumId w:val="3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
  </w:num>
  <w:num w:numId="25">
    <w:abstractNumId w:val="15"/>
  </w:num>
  <w:num w:numId="26">
    <w:abstractNumId w:val="28"/>
  </w:num>
  <w:num w:numId="27">
    <w:abstractNumId w:val="18"/>
  </w:num>
  <w:num w:numId="28">
    <w:abstractNumId w:val="4"/>
  </w:num>
  <w:num w:numId="29">
    <w:abstractNumId w:val="22"/>
  </w:num>
  <w:num w:numId="30">
    <w:abstractNumId w:val="10"/>
  </w:num>
  <w:num w:numId="31">
    <w:abstractNumId w:val="12"/>
  </w:num>
  <w:num w:numId="32">
    <w:abstractNumId w:val="7"/>
  </w:num>
  <w:num w:numId="33">
    <w:abstractNumId w:val="31"/>
  </w:num>
  <w:num w:numId="34">
    <w:abstractNumId w:val="29"/>
  </w:num>
  <w:num w:numId="35">
    <w:abstractNumId w:val="21"/>
  </w:num>
  <w:num w:numId="36">
    <w:abstractNumId w:val="0"/>
  </w:num>
  <w:num w:numId="37">
    <w:abstractNumId w:val="6"/>
  </w:num>
  <w:num w:numId="38">
    <w:abstractNumId w:val="21"/>
  </w:num>
  <w:num w:numId="39">
    <w:abstractNumId w:val="0"/>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isplayBackgroundShape/>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409C3"/>
    <w:rsid w:val="00000220"/>
    <w:rsid w:val="000022DD"/>
    <w:rsid w:val="00005389"/>
    <w:rsid w:val="0000550E"/>
    <w:rsid w:val="00006719"/>
    <w:rsid w:val="00006864"/>
    <w:rsid w:val="00007C67"/>
    <w:rsid w:val="000114E6"/>
    <w:rsid w:val="00012469"/>
    <w:rsid w:val="00012EB3"/>
    <w:rsid w:val="000133E8"/>
    <w:rsid w:val="00013F3F"/>
    <w:rsid w:val="00013FA1"/>
    <w:rsid w:val="00014E10"/>
    <w:rsid w:val="00015159"/>
    <w:rsid w:val="000164B5"/>
    <w:rsid w:val="00016B54"/>
    <w:rsid w:val="00016F85"/>
    <w:rsid w:val="0001739F"/>
    <w:rsid w:val="00017F53"/>
    <w:rsid w:val="00020126"/>
    <w:rsid w:val="0002045F"/>
    <w:rsid w:val="000206C8"/>
    <w:rsid w:val="00022DDB"/>
    <w:rsid w:val="00023EC4"/>
    <w:rsid w:val="00024ECF"/>
    <w:rsid w:val="00026082"/>
    <w:rsid w:val="000260CE"/>
    <w:rsid w:val="00026E46"/>
    <w:rsid w:val="0003126F"/>
    <w:rsid w:val="00033BBE"/>
    <w:rsid w:val="000350E6"/>
    <w:rsid w:val="00036997"/>
    <w:rsid w:val="0003724E"/>
    <w:rsid w:val="00037369"/>
    <w:rsid w:val="00037B74"/>
    <w:rsid w:val="00040CC3"/>
    <w:rsid w:val="00040EB8"/>
    <w:rsid w:val="00041460"/>
    <w:rsid w:val="00043A2D"/>
    <w:rsid w:val="00044265"/>
    <w:rsid w:val="0004647F"/>
    <w:rsid w:val="00046D95"/>
    <w:rsid w:val="00051FA6"/>
    <w:rsid w:val="00052582"/>
    <w:rsid w:val="000540B8"/>
    <w:rsid w:val="00055B97"/>
    <w:rsid w:val="0006010A"/>
    <w:rsid w:val="000602A6"/>
    <w:rsid w:val="00060447"/>
    <w:rsid w:val="0006160C"/>
    <w:rsid w:val="0006299B"/>
    <w:rsid w:val="00063BEA"/>
    <w:rsid w:val="00064757"/>
    <w:rsid w:val="000648A3"/>
    <w:rsid w:val="00064EF6"/>
    <w:rsid w:val="00065C12"/>
    <w:rsid w:val="000668AF"/>
    <w:rsid w:val="00066F76"/>
    <w:rsid w:val="00070D68"/>
    <w:rsid w:val="0007193E"/>
    <w:rsid w:val="00073C3F"/>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10AF"/>
    <w:rsid w:val="000B15E1"/>
    <w:rsid w:val="000B23E2"/>
    <w:rsid w:val="000B60A0"/>
    <w:rsid w:val="000B666F"/>
    <w:rsid w:val="000B6671"/>
    <w:rsid w:val="000B7818"/>
    <w:rsid w:val="000C0922"/>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225D"/>
    <w:rsid w:val="000D5F8B"/>
    <w:rsid w:val="000D63C5"/>
    <w:rsid w:val="000D7238"/>
    <w:rsid w:val="000E0EBE"/>
    <w:rsid w:val="000E4A15"/>
    <w:rsid w:val="000E4E78"/>
    <w:rsid w:val="000E6D2A"/>
    <w:rsid w:val="000F5E56"/>
    <w:rsid w:val="0010042A"/>
    <w:rsid w:val="001009BF"/>
    <w:rsid w:val="00103072"/>
    <w:rsid w:val="00104443"/>
    <w:rsid w:val="00105E64"/>
    <w:rsid w:val="001066BF"/>
    <w:rsid w:val="001103DA"/>
    <w:rsid w:val="001124D5"/>
    <w:rsid w:val="00112DD2"/>
    <w:rsid w:val="0011491F"/>
    <w:rsid w:val="00116183"/>
    <w:rsid w:val="0011660F"/>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51D6"/>
    <w:rsid w:val="0013616D"/>
    <w:rsid w:val="0013682F"/>
    <w:rsid w:val="001372A9"/>
    <w:rsid w:val="0013789C"/>
    <w:rsid w:val="00137B24"/>
    <w:rsid w:val="001433A5"/>
    <w:rsid w:val="001435A7"/>
    <w:rsid w:val="00143A20"/>
    <w:rsid w:val="00145B81"/>
    <w:rsid w:val="00146045"/>
    <w:rsid w:val="00146CC7"/>
    <w:rsid w:val="0015007D"/>
    <w:rsid w:val="00150131"/>
    <w:rsid w:val="0015215E"/>
    <w:rsid w:val="00155206"/>
    <w:rsid w:val="0015557F"/>
    <w:rsid w:val="00157043"/>
    <w:rsid w:val="00157886"/>
    <w:rsid w:val="00157B01"/>
    <w:rsid w:val="00160498"/>
    <w:rsid w:val="00160C75"/>
    <w:rsid w:val="00160F2A"/>
    <w:rsid w:val="00163E3E"/>
    <w:rsid w:val="00163FAE"/>
    <w:rsid w:val="00164D63"/>
    <w:rsid w:val="00164F69"/>
    <w:rsid w:val="00164FF0"/>
    <w:rsid w:val="0016531D"/>
    <w:rsid w:val="00165CBF"/>
    <w:rsid w:val="00166B1F"/>
    <w:rsid w:val="00167E90"/>
    <w:rsid w:val="00167E9C"/>
    <w:rsid w:val="00167FCD"/>
    <w:rsid w:val="001703C7"/>
    <w:rsid w:val="0017089F"/>
    <w:rsid w:val="00170CDB"/>
    <w:rsid w:val="00171EAF"/>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2049"/>
    <w:rsid w:val="001953FA"/>
    <w:rsid w:val="0019604D"/>
    <w:rsid w:val="001968E2"/>
    <w:rsid w:val="00197E70"/>
    <w:rsid w:val="001A16F8"/>
    <w:rsid w:val="001A1C3D"/>
    <w:rsid w:val="001A23AF"/>
    <w:rsid w:val="001A2CE1"/>
    <w:rsid w:val="001A2E4E"/>
    <w:rsid w:val="001A603E"/>
    <w:rsid w:val="001B1932"/>
    <w:rsid w:val="001B1A1A"/>
    <w:rsid w:val="001B2A78"/>
    <w:rsid w:val="001B2D5B"/>
    <w:rsid w:val="001B37AE"/>
    <w:rsid w:val="001B4B12"/>
    <w:rsid w:val="001B4CEE"/>
    <w:rsid w:val="001B6E2D"/>
    <w:rsid w:val="001B7090"/>
    <w:rsid w:val="001C0654"/>
    <w:rsid w:val="001C0BC0"/>
    <w:rsid w:val="001C10C3"/>
    <w:rsid w:val="001C1C0F"/>
    <w:rsid w:val="001C5334"/>
    <w:rsid w:val="001C5A6D"/>
    <w:rsid w:val="001C6222"/>
    <w:rsid w:val="001C6C2C"/>
    <w:rsid w:val="001C6DF0"/>
    <w:rsid w:val="001C73F5"/>
    <w:rsid w:val="001D159D"/>
    <w:rsid w:val="001D2191"/>
    <w:rsid w:val="001D2A21"/>
    <w:rsid w:val="001D312E"/>
    <w:rsid w:val="001D34DC"/>
    <w:rsid w:val="001D4D25"/>
    <w:rsid w:val="001D54CE"/>
    <w:rsid w:val="001D5620"/>
    <w:rsid w:val="001D6F8E"/>
    <w:rsid w:val="001D73D7"/>
    <w:rsid w:val="001E0004"/>
    <w:rsid w:val="001E1FD9"/>
    <w:rsid w:val="001E23FF"/>
    <w:rsid w:val="001E265D"/>
    <w:rsid w:val="001E4B8D"/>
    <w:rsid w:val="001E4FFD"/>
    <w:rsid w:val="001F05C4"/>
    <w:rsid w:val="001F1108"/>
    <w:rsid w:val="001F1CA9"/>
    <w:rsid w:val="001F3BF5"/>
    <w:rsid w:val="001F5540"/>
    <w:rsid w:val="001F5D5D"/>
    <w:rsid w:val="001F62B0"/>
    <w:rsid w:val="002011AB"/>
    <w:rsid w:val="00201563"/>
    <w:rsid w:val="002017B4"/>
    <w:rsid w:val="0020181C"/>
    <w:rsid w:val="00201BFF"/>
    <w:rsid w:val="00203532"/>
    <w:rsid w:val="00206D69"/>
    <w:rsid w:val="00207B23"/>
    <w:rsid w:val="00210749"/>
    <w:rsid w:val="00210A45"/>
    <w:rsid w:val="002112ED"/>
    <w:rsid w:val="002115CF"/>
    <w:rsid w:val="00212150"/>
    <w:rsid w:val="00215CA7"/>
    <w:rsid w:val="00217DC1"/>
    <w:rsid w:val="00220E96"/>
    <w:rsid w:val="002215CB"/>
    <w:rsid w:val="00221D46"/>
    <w:rsid w:val="00222119"/>
    <w:rsid w:val="00222D57"/>
    <w:rsid w:val="00222EA4"/>
    <w:rsid w:val="00224E86"/>
    <w:rsid w:val="00225BD4"/>
    <w:rsid w:val="00226333"/>
    <w:rsid w:val="002271E3"/>
    <w:rsid w:val="00227AB4"/>
    <w:rsid w:val="00227D3B"/>
    <w:rsid w:val="0023002A"/>
    <w:rsid w:val="00232361"/>
    <w:rsid w:val="00232CEE"/>
    <w:rsid w:val="002334AC"/>
    <w:rsid w:val="0023378D"/>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855"/>
    <w:rsid w:val="00252A51"/>
    <w:rsid w:val="00252DB3"/>
    <w:rsid w:val="00253A5B"/>
    <w:rsid w:val="00254396"/>
    <w:rsid w:val="002544A4"/>
    <w:rsid w:val="00256F0B"/>
    <w:rsid w:val="00257FF4"/>
    <w:rsid w:val="002609F3"/>
    <w:rsid w:val="00260F0C"/>
    <w:rsid w:val="00265697"/>
    <w:rsid w:val="00265E68"/>
    <w:rsid w:val="002666CB"/>
    <w:rsid w:val="002669A1"/>
    <w:rsid w:val="00267947"/>
    <w:rsid w:val="0027057D"/>
    <w:rsid w:val="00272510"/>
    <w:rsid w:val="00272E2D"/>
    <w:rsid w:val="0027371E"/>
    <w:rsid w:val="00273810"/>
    <w:rsid w:val="00273CC2"/>
    <w:rsid w:val="0027490D"/>
    <w:rsid w:val="0027677C"/>
    <w:rsid w:val="00276C7D"/>
    <w:rsid w:val="00276F27"/>
    <w:rsid w:val="00277618"/>
    <w:rsid w:val="00277738"/>
    <w:rsid w:val="0028055E"/>
    <w:rsid w:val="00280FDB"/>
    <w:rsid w:val="0028136B"/>
    <w:rsid w:val="002832F1"/>
    <w:rsid w:val="00283A62"/>
    <w:rsid w:val="00283B56"/>
    <w:rsid w:val="00284D31"/>
    <w:rsid w:val="0028538D"/>
    <w:rsid w:val="0028595C"/>
    <w:rsid w:val="00286B0C"/>
    <w:rsid w:val="0028718A"/>
    <w:rsid w:val="002917D9"/>
    <w:rsid w:val="00292485"/>
    <w:rsid w:val="002925EC"/>
    <w:rsid w:val="00293991"/>
    <w:rsid w:val="00294534"/>
    <w:rsid w:val="00296496"/>
    <w:rsid w:val="00296BA5"/>
    <w:rsid w:val="002A01C1"/>
    <w:rsid w:val="002A100B"/>
    <w:rsid w:val="002A232A"/>
    <w:rsid w:val="002A253A"/>
    <w:rsid w:val="002A27B8"/>
    <w:rsid w:val="002A3A63"/>
    <w:rsid w:val="002A3CF5"/>
    <w:rsid w:val="002A4208"/>
    <w:rsid w:val="002A4B13"/>
    <w:rsid w:val="002A5696"/>
    <w:rsid w:val="002A6AD3"/>
    <w:rsid w:val="002B1287"/>
    <w:rsid w:val="002B1425"/>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1852"/>
    <w:rsid w:val="002D2178"/>
    <w:rsid w:val="002D2D38"/>
    <w:rsid w:val="002D4D2E"/>
    <w:rsid w:val="002D4EDE"/>
    <w:rsid w:val="002D5628"/>
    <w:rsid w:val="002D5DFB"/>
    <w:rsid w:val="002D7107"/>
    <w:rsid w:val="002E1385"/>
    <w:rsid w:val="002E1583"/>
    <w:rsid w:val="002E2A5C"/>
    <w:rsid w:val="002F0766"/>
    <w:rsid w:val="002F3A88"/>
    <w:rsid w:val="002F42C4"/>
    <w:rsid w:val="002F4A79"/>
    <w:rsid w:val="002F5ADD"/>
    <w:rsid w:val="002F61CE"/>
    <w:rsid w:val="002F6DEE"/>
    <w:rsid w:val="002F78DE"/>
    <w:rsid w:val="002F7BE7"/>
    <w:rsid w:val="003008EE"/>
    <w:rsid w:val="00302C73"/>
    <w:rsid w:val="00302CAD"/>
    <w:rsid w:val="00302F14"/>
    <w:rsid w:val="003038F1"/>
    <w:rsid w:val="00303D01"/>
    <w:rsid w:val="00303E65"/>
    <w:rsid w:val="003044FE"/>
    <w:rsid w:val="003050B5"/>
    <w:rsid w:val="00305434"/>
    <w:rsid w:val="003059DE"/>
    <w:rsid w:val="003061B4"/>
    <w:rsid w:val="00310888"/>
    <w:rsid w:val="003116AE"/>
    <w:rsid w:val="00311F96"/>
    <w:rsid w:val="00312232"/>
    <w:rsid w:val="003131BB"/>
    <w:rsid w:val="0031357C"/>
    <w:rsid w:val="00313A99"/>
    <w:rsid w:val="003141CD"/>
    <w:rsid w:val="00321245"/>
    <w:rsid w:val="0032189B"/>
    <w:rsid w:val="00323C3D"/>
    <w:rsid w:val="003255E1"/>
    <w:rsid w:val="00325DF1"/>
    <w:rsid w:val="00326D87"/>
    <w:rsid w:val="00327B43"/>
    <w:rsid w:val="00330987"/>
    <w:rsid w:val="00331FF7"/>
    <w:rsid w:val="003327B3"/>
    <w:rsid w:val="00332971"/>
    <w:rsid w:val="00332C18"/>
    <w:rsid w:val="0033466C"/>
    <w:rsid w:val="00334791"/>
    <w:rsid w:val="003347DE"/>
    <w:rsid w:val="00334889"/>
    <w:rsid w:val="003352E4"/>
    <w:rsid w:val="00336171"/>
    <w:rsid w:val="003366BA"/>
    <w:rsid w:val="00336E3A"/>
    <w:rsid w:val="00341151"/>
    <w:rsid w:val="00341318"/>
    <w:rsid w:val="00341A47"/>
    <w:rsid w:val="00342942"/>
    <w:rsid w:val="00343A14"/>
    <w:rsid w:val="003444CC"/>
    <w:rsid w:val="00344FDB"/>
    <w:rsid w:val="0034654E"/>
    <w:rsid w:val="00346ACB"/>
    <w:rsid w:val="003476A2"/>
    <w:rsid w:val="00351E2E"/>
    <w:rsid w:val="003569D3"/>
    <w:rsid w:val="003572D0"/>
    <w:rsid w:val="00357E2A"/>
    <w:rsid w:val="00360743"/>
    <w:rsid w:val="00360E55"/>
    <w:rsid w:val="00360F9E"/>
    <w:rsid w:val="00362F5E"/>
    <w:rsid w:val="00363245"/>
    <w:rsid w:val="00363940"/>
    <w:rsid w:val="00363AA4"/>
    <w:rsid w:val="00363C31"/>
    <w:rsid w:val="00365F8A"/>
    <w:rsid w:val="003674A6"/>
    <w:rsid w:val="00372C5F"/>
    <w:rsid w:val="00372DD5"/>
    <w:rsid w:val="00374148"/>
    <w:rsid w:val="0037434C"/>
    <w:rsid w:val="00374EFB"/>
    <w:rsid w:val="00377E64"/>
    <w:rsid w:val="00380FEE"/>
    <w:rsid w:val="0038162B"/>
    <w:rsid w:val="003837BC"/>
    <w:rsid w:val="00384F0D"/>
    <w:rsid w:val="00385260"/>
    <w:rsid w:val="00385A87"/>
    <w:rsid w:val="00386533"/>
    <w:rsid w:val="00387B18"/>
    <w:rsid w:val="00390A91"/>
    <w:rsid w:val="003917FE"/>
    <w:rsid w:val="00393603"/>
    <w:rsid w:val="003939A0"/>
    <w:rsid w:val="00393B08"/>
    <w:rsid w:val="00394356"/>
    <w:rsid w:val="00395206"/>
    <w:rsid w:val="00396539"/>
    <w:rsid w:val="00397592"/>
    <w:rsid w:val="003A0B35"/>
    <w:rsid w:val="003A127F"/>
    <w:rsid w:val="003A1311"/>
    <w:rsid w:val="003A1DEC"/>
    <w:rsid w:val="003A2099"/>
    <w:rsid w:val="003A2179"/>
    <w:rsid w:val="003A21C7"/>
    <w:rsid w:val="003A233C"/>
    <w:rsid w:val="003A4482"/>
    <w:rsid w:val="003A7059"/>
    <w:rsid w:val="003B1377"/>
    <w:rsid w:val="003B1AA8"/>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E14"/>
    <w:rsid w:val="003D1EB0"/>
    <w:rsid w:val="003D252E"/>
    <w:rsid w:val="003D3244"/>
    <w:rsid w:val="003D4F02"/>
    <w:rsid w:val="003E0F37"/>
    <w:rsid w:val="003E1AD8"/>
    <w:rsid w:val="003E1E59"/>
    <w:rsid w:val="003E2EAE"/>
    <w:rsid w:val="003E58F1"/>
    <w:rsid w:val="003E61F8"/>
    <w:rsid w:val="003E6DF8"/>
    <w:rsid w:val="003F01F5"/>
    <w:rsid w:val="003F08B3"/>
    <w:rsid w:val="003F11B4"/>
    <w:rsid w:val="003F2816"/>
    <w:rsid w:val="003F29D5"/>
    <w:rsid w:val="003F3195"/>
    <w:rsid w:val="003F3996"/>
    <w:rsid w:val="003F4ECD"/>
    <w:rsid w:val="003F6B47"/>
    <w:rsid w:val="003F73C5"/>
    <w:rsid w:val="003F749F"/>
    <w:rsid w:val="003F75F7"/>
    <w:rsid w:val="00400A14"/>
    <w:rsid w:val="00400CDB"/>
    <w:rsid w:val="00400CEB"/>
    <w:rsid w:val="00402ADE"/>
    <w:rsid w:val="004032D4"/>
    <w:rsid w:val="004047BF"/>
    <w:rsid w:val="00405089"/>
    <w:rsid w:val="004050E5"/>
    <w:rsid w:val="00405AC1"/>
    <w:rsid w:val="004075A6"/>
    <w:rsid w:val="00407B3F"/>
    <w:rsid w:val="00407C03"/>
    <w:rsid w:val="004105C9"/>
    <w:rsid w:val="00411FFA"/>
    <w:rsid w:val="0041321D"/>
    <w:rsid w:val="0041338C"/>
    <w:rsid w:val="00414F90"/>
    <w:rsid w:val="00415478"/>
    <w:rsid w:val="004167D5"/>
    <w:rsid w:val="00420141"/>
    <w:rsid w:val="0042325F"/>
    <w:rsid w:val="00424155"/>
    <w:rsid w:val="004254AA"/>
    <w:rsid w:val="00426886"/>
    <w:rsid w:val="00430FEB"/>
    <w:rsid w:val="0043261C"/>
    <w:rsid w:val="00432841"/>
    <w:rsid w:val="00432898"/>
    <w:rsid w:val="004338BF"/>
    <w:rsid w:val="0043522E"/>
    <w:rsid w:val="00436915"/>
    <w:rsid w:val="004371AF"/>
    <w:rsid w:val="004371C9"/>
    <w:rsid w:val="00440167"/>
    <w:rsid w:val="004406A0"/>
    <w:rsid w:val="00440A3C"/>
    <w:rsid w:val="00440C61"/>
    <w:rsid w:val="00442C24"/>
    <w:rsid w:val="00443473"/>
    <w:rsid w:val="00443C65"/>
    <w:rsid w:val="00443E5A"/>
    <w:rsid w:val="004450A0"/>
    <w:rsid w:val="00450771"/>
    <w:rsid w:val="00456665"/>
    <w:rsid w:val="004567E1"/>
    <w:rsid w:val="00456C85"/>
    <w:rsid w:val="00457667"/>
    <w:rsid w:val="00457D83"/>
    <w:rsid w:val="00460D69"/>
    <w:rsid w:val="00461217"/>
    <w:rsid w:val="004625EC"/>
    <w:rsid w:val="004634B4"/>
    <w:rsid w:val="004658BB"/>
    <w:rsid w:val="00466B6A"/>
    <w:rsid w:val="00466DEF"/>
    <w:rsid w:val="004675A6"/>
    <w:rsid w:val="0046793D"/>
    <w:rsid w:val="0047293B"/>
    <w:rsid w:val="00473686"/>
    <w:rsid w:val="00474335"/>
    <w:rsid w:val="00476B4E"/>
    <w:rsid w:val="00476D6E"/>
    <w:rsid w:val="004771D6"/>
    <w:rsid w:val="004803BA"/>
    <w:rsid w:val="004815F6"/>
    <w:rsid w:val="00483C66"/>
    <w:rsid w:val="004848B9"/>
    <w:rsid w:val="00485878"/>
    <w:rsid w:val="00485B83"/>
    <w:rsid w:val="00485EB7"/>
    <w:rsid w:val="004864A6"/>
    <w:rsid w:val="004865A8"/>
    <w:rsid w:val="004865FE"/>
    <w:rsid w:val="00491253"/>
    <w:rsid w:val="0049417A"/>
    <w:rsid w:val="00496949"/>
    <w:rsid w:val="00497B26"/>
    <w:rsid w:val="004A0240"/>
    <w:rsid w:val="004A0325"/>
    <w:rsid w:val="004A0D7B"/>
    <w:rsid w:val="004A3143"/>
    <w:rsid w:val="004A3377"/>
    <w:rsid w:val="004A3801"/>
    <w:rsid w:val="004A4B71"/>
    <w:rsid w:val="004A5475"/>
    <w:rsid w:val="004A6AF7"/>
    <w:rsid w:val="004A70DC"/>
    <w:rsid w:val="004A7591"/>
    <w:rsid w:val="004B1C18"/>
    <w:rsid w:val="004B2AB7"/>
    <w:rsid w:val="004B2F5A"/>
    <w:rsid w:val="004B3BF0"/>
    <w:rsid w:val="004B4716"/>
    <w:rsid w:val="004B59C3"/>
    <w:rsid w:val="004C2853"/>
    <w:rsid w:val="004C5969"/>
    <w:rsid w:val="004C5BAD"/>
    <w:rsid w:val="004C65DF"/>
    <w:rsid w:val="004C7910"/>
    <w:rsid w:val="004D0C13"/>
    <w:rsid w:val="004D11AE"/>
    <w:rsid w:val="004D241B"/>
    <w:rsid w:val="004D2746"/>
    <w:rsid w:val="004D278F"/>
    <w:rsid w:val="004D34BD"/>
    <w:rsid w:val="004D44E8"/>
    <w:rsid w:val="004D4514"/>
    <w:rsid w:val="004D6528"/>
    <w:rsid w:val="004D6E4F"/>
    <w:rsid w:val="004D7649"/>
    <w:rsid w:val="004E0266"/>
    <w:rsid w:val="004E2A3F"/>
    <w:rsid w:val="004E480E"/>
    <w:rsid w:val="004E4CCC"/>
    <w:rsid w:val="004E4DEC"/>
    <w:rsid w:val="004E4E3D"/>
    <w:rsid w:val="004E4ED3"/>
    <w:rsid w:val="004E5C64"/>
    <w:rsid w:val="004E653E"/>
    <w:rsid w:val="004F1045"/>
    <w:rsid w:val="004F6E79"/>
    <w:rsid w:val="004F77B1"/>
    <w:rsid w:val="00500172"/>
    <w:rsid w:val="0050296F"/>
    <w:rsid w:val="005038A6"/>
    <w:rsid w:val="0050419B"/>
    <w:rsid w:val="0050552B"/>
    <w:rsid w:val="0051004B"/>
    <w:rsid w:val="005107AB"/>
    <w:rsid w:val="005136A5"/>
    <w:rsid w:val="00514CFC"/>
    <w:rsid w:val="005152FD"/>
    <w:rsid w:val="00515B01"/>
    <w:rsid w:val="00517814"/>
    <w:rsid w:val="005203AA"/>
    <w:rsid w:val="005207B5"/>
    <w:rsid w:val="00520E9F"/>
    <w:rsid w:val="00521716"/>
    <w:rsid w:val="00521E11"/>
    <w:rsid w:val="005220D4"/>
    <w:rsid w:val="005237D0"/>
    <w:rsid w:val="005242E7"/>
    <w:rsid w:val="00526AF9"/>
    <w:rsid w:val="005270B9"/>
    <w:rsid w:val="00527508"/>
    <w:rsid w:val="005307F1"/>
    <w:rsid w:val="00531A29"/>
    <w:rsid w:val="005322A5"/>
    <w:rsid w:val="005324AA"/>
    <w:rsid w:val="00532D2F"/>
    <w:rsid w:val="00532DD0"/>
    <w:rsid w:val="00533791"/>
    <w:rsid w:val="00533D8F"/>
    <w:rsid w:val="00535FEB"/>
    <w:rsid w:val="00536462"/>
    <w:rsid w:val="00536BB3"/>
    <w:rsid w:val="00536CA6"/>
    <w:rsid w:val="00541F8B"/>
    <w:rsid w:val="00542885"/>
    <w:rsid w:val="005437C0"/>
    <w:rsid w:val="00543C2F"/>
    <w:rsid w:val="0054403E"/>
    <w:rsid w:val="00544B48"/>
    <w:rsid w:val="00545DCE"/>
    <w:rsid w:val="00545F69"/>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767"/>
    <w:rsid w:val="005779C5"/>
    <w:rsid w:val="00580424"/>
    <w:rsid w:val="005813B8"/>
    <w:rsid w:val="005819D0"/>
    <w:rsid w:val="00583FEB"/>
    <w:rsid w:val="00584BA8"/>
    <w:rsid w:val="005868A1"/>
    <w:rsid w:val="005905C0"/>
    <w:rsid w:val="00590AC8"/>
    <w:rsid w:val="00591DD3"/>
    <w:rsid w:val="0059288D"/>
    <w:rsid w:val="00593133"/>
    <w:rsid w:val="005943BB"/>
    <w:rsid w:val="00595234"/>
    <w:rsid w:val="0059563C"/>
    <w:rsid w:val="0059583F"/>
    <w:rsid w:val="00595E17"/>
    <w:rsid w:val="0059687A"/>
    <w:rsid w:val="00596CA3"/>
    <w:rsid w:val="00597AB8"/>
    <w:rsid w:val="005A0190"/>
    <w:rsid w:val="005A1200"/>
    <w:rsid w:val="005A2926"/>
    <w:rsid w:val="005A33D1"/>
    <w:rsid w:val="005B065F"/>
    <w:rsid w:val="005B0C7E"/>
    <w:rsid w:val="005B0CB4"/>
    <w:rsid w:val="005B3279"/>
    <w:rsid w:val="005B4269"/>
    <w:rsid w:val="005B445B"/>
    <w:rsid w:val="005B5081"/>
    <w:rsid w:val="005B62B8"/>
    <w:rsid w:val="005B6682"/>
    <w:rsid w:val="005B68AD"/>
    <w:rsid w:val="005B6900"/>
    <w:rsid w:val="005C00D8"/>
    <w:rsid w:val="005C06B0"/>
    <w:rsid w:val="005C097E"/>
    <w:rsid w:val="005C2B4D"/>
    <w:rsid w:val="005C31B0"/>
    <w:rsid w:val="005C3334"/>
    <w:rsid w:val="005C3463"/>
    <w:rsid w:val="005C4995"/>
    <w:rsid w:val="005C4AEF"/>
    <w:rsid w:val="005C5293"/>
    <w:rsid w:val="005C58F5"/>
    <w:rsid w:val="005C61D7"/>
    <w:rsid w:val="005C6F01"/>
    <w:rsid w:val="005C73B4"/>
    <w:rsid w:val="005C7AB4"/>
    <w:rsid w:val="005C7BE7"/>
    <w:rsid w:val="005D01C9"/>
    <w:rsid w:val="005D1626"/>
    <w:rsid w:val="005D3740"/>
    <w:rsid w:val="005D4014"/>
    <w:rsid w:val="005D459D"/>
    <w:rsid w:val="005D4634"/>
    <w:rsid w:val="005D66B3"/>
    <w:rsid w:val="005D6ED5"/>
    <w:rsid w:val="005E3028"/>
    <w:rsid w:val="005E3143"/>
    <w:rsid w:val="005E40A1"/>
    <w:rsid w:val="005E538B"/>
    <w:rsid w:val="005E5BD4"/>
    <w:rsid w:val="005E6492"/>
    <w:rsid w:val="005E6E9E"/>
    <w:rsid w:val="005E7A96"/>
    <w:rsid w:val="005F01EB"/>
    <w:rsid w:val="005F0CC0"/>
    <w:rsid w:val="005F0DB2"/>
    <w:rsid w:val="005F1D93"/>
    <w:rsid w:val="005F23C0"/>
    <w:rsid w:val="005F2738"/>
    <w:rsid w:val="005F3576"/>
    <w:rsid w:val="005F3B4E"/>
    <w:rsid w:val="005F4239"/>
    <w:rsid w:val="005F44EC"/>
    <w:rsid w:val="005F45CC"/>
    <w:rsid w:val="005F5C85"/>
    <w:rsid w:val="005F64DF"/>
    <w:rsid w:val="005F6946"/>
    <w:rsid w:val="006001A3"/>
    <w:rsid w:val="006014BD"/>
    <w:rsid w:val="0060240F"/>
    <w:rsid w:val="00604190"/>
    <w:rsid w:val="006062D3"/>
    <w:rsid w:val="00607478"/>
    <w:rsid w:val="006075D7"/>
    <w:rsid w:val="00610A71"/>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DA8"/>
    <w:rsid w:val="00630AD4"/>
    <w:rsid w:val="00630DD7"/>
    <w:rsid w:val="00631068"/>
    <w:rsid w:val="00631810"/>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500C8"/>
    <w:rsid w:val="00650380"/>
    <w:rsid w:val="00650660"/>
    <w:rsid w:val="00651886"/>
    <w:rsid w:val="00652784"/>
    <w:rsid w:val="00654286"/>
    <w:rsid w:val="00654B4E"/>
    <w:rsid w:val="00655AF1"/>
    <w:rsid w:val="0065676B"/>
    <w:rsid w:val="0065679B"/>
    <w:rsid w:val="006568E5"/>
    <w:rsid w:val="00656E9C"/>
    <w:rsid w:val="00660C3A"/>
    <w:rsid w:val="00662DBB"/>
    <w:rsid w:val="00663F90"/>
    <w:rsid w:val="00664529"/>
    <w:rsid w:val="006645CC"/>
    <w:rsid w:val="0066788F"/>
    <w:rsid w:val="006710CD"/>
    <w:rsid w:val="00671A8D"/>
    <w:rsid w:val="00671ADB"/>
    <w:rsid w:val="0067327D"/>
    <w:rsid w:val="0067429D"/>
    <w:rsid w:val="006746F5"/>
    <w:rsid w:val="0067487B"/>
    <w:rsid w:val="006748FA"/>
    <w:rsid w:val="00675941"/>
    <w:rsid w:val="006767C1"/>
    <w:rsid w:val="006769F7"/>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4598"/>
    <w:rsid w:val="00696C22"/>
    <w:rsid w:val="00696E24"/>
    <w:rsid w:val="006A08FE"/>
    <w:rsid w:val="006A1332"/>
    <w:rsid w:val="006A2787"/>
    <w:rsid w:val="006A6B3E"/>
    <w:rsid w:val="006A722F"/>
    <w:rsid w:val="006A7302"/>
    <w:rsid w:val="006A7AE9"/>
    <w:rsid w:val="006A7F72"/>
    <w:rsid w:val="006B03E8"/>
    <w:rsid w:val="006B0B20"/>
    <w:rsid w:val="006B0C81"/>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60A"/>
    <w:rsid w:val="006E1A13"/>
    <w:rsid w:val="006E37A7"/>
    <w:rsid w:val="006E3C5F"/>
    <w:rsid w:val="006E4023"/>
    <w:rsid w:val="006E4BD8"/>
    <w:rsid w:val="006E65BE"/>
    <w:rsid w:val="006F1B74"/>
    <w:rsid w:val="006F2775"/>
    <w:rsid w:val="006F4944"/>
    <w:rsid w:val="006F545E"/>
    <w:rsid w:val="006F6209"/>
    <w:rsid w:val="006F66CF"/>
    <w:rsid w:val="006F67DD"/>
    <w:rsid w:val="00701254"/>
    <w:rsid w:val="00701B78"/>
    <w:rsid w:val="00701BA5"/>
    <w:rsid w:val="00702508"/>
    <w:rsid w:val="007039D1"/>
    <w:rsid w:val="00703AD6"/>
    <w:rsid w:val="00704429"/>
    <w:rsid w:val="00705207"/>
    <w:rsid w:val="007052E9"/>
    <w:rsid w:val="00705821"/>
    <w:rsid w:val="00705B4C"/>
    <w:rsid w:val="00707683"/>
    <w:rsid w:val="00710617"/>
    <w:rsid w:val="00710DB4"/>
    <w:rsid w:val="0071100F"/>
    <w:rsid w:val="00711FC2"/>
    <w:rsid w:val="0071381C"/>
    <w:rsid w:val="00713C49"/>
    <w:rsid w:val="007140AF"/>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C20"/>
    <w:rsid w:val="007404A7"/>
    <w:rsid w:val="007411A6"/>
    <w:rsid w:val="007412F7"/>
    <w:rsid w:val="0074158F"/>
    <w:rsid w:val="0074221E"/>
    <w:rsid w:val="00742734"/>
    <w:rsid w:val="00742A46"/>
    <w:rsid w:val="007437D3"/>
    <w:rsid w:val="00743B9C"/>
    <w:rsid w:val="0074415F"/>
    <w:rsid w:val="00744594"/>
    <w:rsid w:val="00745EDD"/>
    <w:rsid w:val="0074714D"/>
    <w:rsid w:val="0075134C"/>
    <w:rsid w:val="00751445"/>
    <w:rsid w:val="0075171A"/>
    <w:rsid w:val="00751932"/>
    <w:rsid w:val="0075203E"/>
    <w:rsid w:val="00752C7B"/>
    <w:rsid w:val="00753C3A"/>
    <w:rsid w:val="00753CD0"/>
    <w:rsid w:val="007540A5"/>
    <w:rsid w:val="00754A46"/>
    <w:rsid w:val="00755BE5"/>
    <w:rsid w:val="0075698D"/>
    <w:rsid w:val="0075795C"/>
    <w:rsid w:val="00761603"/>
    <w:rsid w:val="007622DC"/>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266B"/>
    <w:rsid w:val="00782CFB"/>
    <w:rsid w:val="00782F0F"/>
    <w:rsid w:val="0078460D"/>
    <w:rsid w:val="0078509C"/>
    <w:rsid w:val="0078526D"/>
    <w:rsid w:val="00785B02"/>
    <w:rsid w:val="007861F5"/>
    <w:rsid w:val="007865D4"/>
    <w:rsid w:val="007924A8"/>
    <w:rsid w:val="007946F2"/>
    <w:rsid w:val="00794E56"/>
    <w:rsid w:val="00795BB7"/>
    <w:rsid w:val="00795C92"/>
    <w:rsid w:val="00796C9B"/>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AC2"/>
    <w:rsid w:val="007B5CAC"/>
    <w:rsid w:val="007B7C54"/>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AC6"/>
    <w:rsid w:val="007D2E71"/>
    <w:rsid w:val="007D3017"/>
    <w:rsid w:val="007D502F"/>
    <w:rsid w:val="007D5579"/>
    <w:rsid w:val="007D680D"/>
    <w:rsid w:val="007D6AC4"/>
    <w:rsid w:val="007D6C06"/>
    <w:rsid w:val="007D6FC0"/>
    <w:rsid w:val="007D709C"/>
    <w:rsid w:val="007D7489"/>
    <w:rsid w:val="007E0BC4"/>
    <w:rsid w:val="007E166B"/>
    <w:rsid w:val="007E181E"/>
    <w:rsid w:val="007E2202"/>
    <w:rsid w:val="007E2473"/>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446D"/>
    <w:rsid w:val="007F5A67"/>
    <w:rsid w:val="007F5BAA"/>
    <w:rsid w:val="007F78B3"/>
    <w:rsid w:val="00801192"/>
    <w:rsid w:val="00801446"/>
    <w:rsid w:val="00802701"/>
    <w:rsid w:val="00804875"/>
    <w:rsid w:val="008051C1"/>
    <w:rsid w:val="00805D03"/>
    <w:rsid w:val="00807248"/>
    <w:rsid w:val="00807415"/>
    <w:rsid w:val="00807D9F"/>
    <w:rsid w:val="0081027F"/>
    <w:rsid w:val="008113A6"/>
    <w:rsid w:val="00811C9B"/>
    <w:rsid w:val="008139DE"/>
    <w:rsid w:val="00813B6D"/>
    <w:rsid w:val="0081540E"/>
    <w:rsid w:val="008156F5"/>
    <w:rsid w:val="00817127"/>
    <w:rsid w:val="00817D76"/>
    <w:rsid w:val="0082108D"/>
    <w:rsid w:val="00821ABB"/>
    <w:rsid w:val="00821D64"/>
    <w:rsid w:val="00822B15"/>
    <w:rsid w:val="0082303A"/>
    <w:rsid w:val="00823707"/>
    <w:rsid w:val="008243CD"/>
    <w:rsid w:val="008269D0"/>
    <w:rsid w:val="00827530"/>
    <w:rsid w:val="0083141A"/>
    <w:rsid w:val="008324C7"/>
    <w:rsid w:val="0083318F"/>
    <w:rsid w:val="008337F3"/>
    <w:rsid w:val="00833890"/>
    <w:rsid w:val="00833F28"/>
    <w:rsid w:val="00840990"/>
    <w:rsid w:val="00842B48"/>
    <w:rsid w:val="008456C4"/>
    <w:rsid w:val="00847121"/>
    <w:rsid w:val="00852502"/>
    <w:rsid w:val="00852F61"/>
    <w:rsid w:val="00853017"/>
    <w:rsid w:val="00853937"/>
    <w:rsid w:val="00853CA5"/>
    <w:rsid w:val="00861605"/>
    <w:rsid w:val="00861E56"/>
    <w:rsid w:val="0086606E"/>
    <w:rsid w:val="00866136"/>
    <w:rsid w:val="0086645C"/>
    <w:rsid w:val="00867956"/>
    <w:rsid w:val="00871ADA"/>
    <w:rsid w:val="00872923"/>
    <w:rsid w:val="00873B93"/>
    <w:rsid w:val="00873D2B"/>
    <w:rsid w:val="0087410B"/>
    <w:rsid w:val="0087418C"/>
    <w:rsid w:val="0087461D"/>
    <w:rsid w:val="00877796"/>
    <w:rsid w:val="008778C0"/>
    <w:rsid w:val="00880B4B"/>
    <w:rsid w:val="0088240D"/>
    <w:rsid w:val="0088391F"/>
    <w:rsid w:val="00883BFB"/>
    <w:rsid w:val="0088437E"/>
    <w:rsid w:val="0088509F"/>
    <w:rsid w:val="00885A97"/>
    <w:rsid w:val="00886FD2"/>
    <w:rsid w:val="00887836"/>
    <w:rsid w:val="00887C60"/>
    <w:rsid w:val="0089034D"/>
    <w:rsid w:val="0089047D"/>
    <w:rsid w:val="0089051C"/>
    <w:rsid w:val="0089084C"/>
    <w:rsid w:val="00894712"/>
    <w:rsid w:val="00894C68"/>
    <w:rsid w:val="008957B0"/>
    <w:rsid w:val="008968E7"/>
    <w:rsid w:val="00896917"/>
    <w:rsid w:val="008A14BB"/>
    <w:rsid w:val="008A210F"/>
    <w:rsid w:val="008A29C4"/>
    <w:rsid w:val="008A3039"/>
    <w:rsid w:val="008A4DA7"/>
    <w:rsid w:val="008A6CF1"/>
    <w:rsid w:val="008A6E15"/>
    <w:rsid w:val="008A6F0C"/>
    <w:rsid w:val="008A74C2"/>
    <w:rsid w:val="008A7BC7"/>
    <w:rsid w:val="008B021A"/>
    <w:rsid w:val="008B1565"/>
    <w:rsid w:val="008B16E9"/>
    <w:rsid w:val="008B3971"/>
    <w:rsid w:val="008B3B0B"/>
    <w:rsid w:val="008B4CE1"/>
    <w:rsid w:val="008B5634"/>
    <w:rsid w:val="008B581C"/>
    <w:rsid w:val="008B5FAA"/>
    <w:rsid w:val="008B7A3B"/>
    <w:rsid w:val="008B7AE0"/>
    <w:rsid w:val="008C07AF"/>
    <w:rsid w:val="008C3666"/>
    <w:rsid w:val="008C702E"/>
    <w:rsid w:val="008C7805"/>
    <w:rsid w:val="008D10E8"/>
    <w:rsid w:val="008D15B8"/>
    <w:rsid w:val="008D1690"/>
    <w:rsid w:val="008D2152"/>
    <w:rsid w:val="008D2174"/>
    <w:rsid w:val="008D5014"/>
    <w:rsid w:val="008D63DC"/>
    <w:rsid w:val="008D6765"/>
    <w:rsid w:val="008D6B59"/>
    <w:rsid w:val="008E091F"/>
    <w:rsid w:val="008E0DB5"/>
    <w:rsid w:val="008E0FD9"/>
    <w:rsid w:val="008E14DD"/>
    <w:rsid w:val="008E341A"/>
    <w:rsid w:val="008E3458"/>
    <w:rsid w:val="008E3BDD"/>
    <w:rsid w:val="008E3BEE"/>
    <w:rsid w:val="008E409A"/>
    <w:rsid w:val="008E4B3E"/>
    <w:rsid w:val="008E70C6"/>
    <w:rsid w:val="008E7746"/>
    <w:rsid w:val="008E77AD"/>
    <w:rsid w:val="008F019F"/>
    <w:rsid w:val="008F22E5"/>
    <w:rsid w:val="008F2737"/>
    <w:rsid w:val="008F30EA"/>
    <w:rsid w:val="008F3E6F"/>
    <w:rsid w:val="008F40C5"/>
    <w:rsid w:val="008F47BA"/>
    <w:rsid w:val="008F6BE8"/>
    <w:rsid w:val="008F7531"/>
    <w:rsid w:val="009023FA"/>
    <w:rsid w:val="00903A65"/>
    <w:rsid w:val="00903DC3"/>
    <w:rsid w:val="009042BB"/>
    <w:rsid w:val="0090469D"/>
    <w:rsid w:val="00904D3B"/>
    <w:rsid w:val="00904D3F"/>
    <w:rsid w:val="00905C1F"/>
    <w:rsid w:val="009069C9"/>
    <w:rsid w:val="00907427"/>
    <w:rsid w:val="00907F68"/>
    <w:rsid w:val="00912CBA"/>
    <w:rsid w:val="0091430B"/>
    <w:rsid w:val="00914999"/>
    <w:rsid w:val="00915901"/>
    <w:rsid w:val="00915ACB"/>
    <w:rsid w:val="009163FB"/>
    <w:rsid w:val="00916415"/>
    <w:rsid w:val="00917E82"/>
    <w:rsid w:val="00920248"/>
    <w:rsid w:val="009212AC"/>
    <w:rsid w:val="00923361"/>
    <w:rsid w:val="00923FFD"/>
    <w:rsid w:val="0092688A"/>
    <w:rsid w:val="0092725C"/>
    <w:rsid w:val="00927488"/>
    <w:rsid w:val="0092749C"/>
    <w:rsid w:val="00930E18"/>
    <w:rsid w:val="00930F9E"/>
    <w:rsid w:val="009312F1"/>
    <w:rsid w:val="00931A6B"/>
    <w:rsid w:val="00935EFB"/>
    <w:rsid w:val="009369C0"/>
    <w:rsid w:val="00936B53"/>
    <w:rsid w:val="0094031B"/>
    <w:rsid w:val="00942F09"/>
    <w:rsid w:val="00942FA1"/>
    <w:rsid w:val="00943932"/>
    <w:rsid w:val="00943F7D"/>
    <w:rsid w:val="009449F2"/>
    <w:rsid w:val="00950D05"/>
    <w:rsid w:val="00951696"/>
    <w:rsid w:val="00951D00"/>
    <w:rsid w:val="00952232"/>
    <w:rsid w:val="009529B2"/>
    <w:rsid w:val="00952BE2"/>
    <w:rsid w:val="00953A11"/>
    <w:rsid w:val="009546A8"/>
    <w:rsid w:val="0095643E"/>
    <w:rsid w:val="00956EA8"/>
    <w:rsid w:val="00960A8F"/>
    <w:rsid w:val="009628E3"/>
    <w:rsid w:val="00962D9E"/>
    <w:rsid w:val="00965CCA"/>
    <w:rsid w:val="0097029E"/>
    <w:rsid w:val="00972890"/>
    <w:rsid w:val="00973962"/>
    <w:rsid w:val="0097459A"/>
    <w:rsid w:val="009748BB"/>
    <w:rsid w:val="0097574B"/>
    <w:rsid w:val="00975AAF"/>
    <w:rsid w:val="00975B3A"/>
    <w:rsid w:val="00976F49"/>
    <w:rsid w:val="00980330"/>
    <w:rsid w:val="009803FE"/>
    <w:rsid w:val="00980E0C"/>
    <w:rsid w:val="00982297"/>
    <w:rsid w:val="00982380"/>
    <w:rsid w:val="00982C36"/>
    <w:rsid w:val="00983436"/>
    <w:rsid w:val="0098674F"/>
    <w:rsid w:val="00987151"/>
    <w:rsid w:val="0098738B"/>
    <w:rsid w:val="009874E5"/>
    <w:rsid w:val="00990EB7"/>
    <w:rsid w:val="00991D2B"/>
    <w:rsid w:val="00996C53"/>
    <w:rsid w:val="009976F5"/>
    <w:rsid w:val="009A0955"/>
    <w:rsid w:val="009A36EE"/>
    <w:rsid w:val="009A3B3C"/>
    <w:rsid w:val="009A432E"/>
    <w:rsid w:val="009A477A"/>
    <w:rsid w:val="009A6784"/>
    <w:rsid w:val="009A67A5"/>
    <w:rsid w:val="009B0206"/>
    <w:rsid w:val="009B0511"/>
    <w:rsid w:val="009B0633"/>
    <w:rsid w:val="009B53C8"/>
    <w:rsid w:val="009B5981"/>
    <w:rsid w:val="009B718C"/>
    <w:rsid w:val="009B79E3"/>
    <w:rsid w:val="009C0503"/>
    <w:rsid w:val="009C0DDA"/>
    <w:rsid w:val="009C13E4"/>
    <w:rsid w:val="009C1E12"/>
    <w:rsid w:val="009C216E"/>
    <w:rsid w:val="009C30AC"/>
    <w:rsid w:val="009C3B32"/>
    <w:rsid w:val="009C512A"/>
    <w:rsid w:val="009C5AE9"/>
    <w:rsid w:val="009C6C73"/>
    <w:rsid w:val="009D0155"/>
    <w:rsid w:val="009D0C86"/>
    <w:rsid w:val="009D15BD"/>
    <w:rsid w:val="009D1F8F"/>
    <w:rsid w:val="009D436C"/>
    <w:rsid w:val="009D4523"/>
    <w:rsid w:val="009D5298"/>
    <w:rsid w:val="009D6114"/>
    <w:rsid w:val="009D68F9"/>
    <w:rsid w:val="009E0BAA"/>
    <w:rsid w:val="009E0E0D"/>
    <w:rsid w:val="009E2A99"/>
    <w:rsid w:val="009E36B5"/>
    <w:rsid w:val="009E3AD5"/>
    <w:rsid w:val="009E3BDC"/>
    <w:rsid w:val="009E6560"/>
    <w:rsid w:val="009E6575"/>
    <w:rsid w:val="009F1FF3"/>
    <w:rsid w:val="009F26CE"/>
    <w:rsid w:val="009F2F7A"/>
    <w:rsid w:val="009F54D4"/>
    <w:rsid w:val="009F77AF"/>
    <w:rsid w:val="009F7D19"/>
    <w:rsid w:val="009F7F3E"/>
    <w:rsid w:val="00A00172"/>
    <w:rsid w:val="00A0140F"/>
    <w:rsid w:val="00A0159A"/>
    <w:rsid w:val="00A01930"/>
    <w:rsid w:val="00A0212A"/>
    <w:rsid w:val="00A0286C"/>
    <w:rsid w:val="00A02AB6"/>
    <w:rsid w:val="00A03E8C"/>
    <w:rsid w:val="00A042B0"/>
    <w:rsid w:val="00A046FC"/>
    <w:rsid w:val="00A04AD9"/>
    <w:rsid w:val="00A06611"/>
    <w:rsid w:val="00A068F9"/>
    <w:rsid w:val="00A14E03"/>
    <w:rsid w:val="00A15019"/>
    <w:rsid w:val="00A15236"/>
    <w:rsid w:val="00A15536"/>
    <w:rsid w:val="00A16459"/>
    <w:rsid w:val="00A168ED"/>
    <w:rsid w:val="00A21332"/>
    <w:rsid w:val="00A21D81"/>
    <w:rsid w:val="00A21E6B"/>
    <w:rsid w:val="00A21EF8"/>
    <w:rsid w:val="00A224DB"/>
    <w:rsid w:val="00A232E5"/>
    <w:rsid w:val="00A24466"/>
    <w:rsid w:val="00A24CE6"/>
    <w:rsid w:val="00A24EF0"/>
    <w:rsid w:val="00A25666"/>
    <w:rsid w:val="00A26E21"/>
    <w:rsid w:val="00A27704"/>
    <w:rsid w:val="00A30090"/>
    <w:rsid w:val="00A326CA"/>
    <w:rsid w:val="00A34C06"/>
    <w:rsid w:val="00A365CD"/>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55EAF"/>
    <w:rsid w:val="00A60E32"/>
    <w:rsid w:val="00A61970"/>
    <w:rsid w:val="00A6273B"/>
    <w:rsid w:val="00A63C90"/>
    <w:rsid w:val="00A64155"/>
    <w:rsid w:val="00A6688F"/>
    <w:rsid w:val="00A70C73"/>
    <w:rsid w:val="00A70FEA"/>
    <w:rsid w:val="00A710FF"/>
    <w:rsid w:val="00A7130E"/>
    <w:rsid w:val="00A7131E"/>
    <w:rsid w:val="00A7159C"/>
    <w:rsid w:val="00A725B0"/>
    <w:rsid w:val="00A7316B"/>
    <w:rsid w:val="00A751B4"/>
    <w:rsid w:val="00A7564C"/>
    <w:rsid w:val="00A75FD2"/>
    <w:rsid w:val="00A77D24"/>
    <w:rsid w:val="00A80355"/>
    <w:rsid w:val="00A80AD2"/>
    <w:rsid w:val="00A814DA"/>
    <w:rsid w:val="00A8179B"/>
    <w:rsid w:val="00A83874"/>
    <w:rsid w:val="00A844F2"/>
    <w:rsid w:val="00A8524D"/>
    <w:rsid w:val="00A854CC"/>
    <w:rsid w:val="00A8568F"/>
    <w:rsid w:val="00A8580C"/>
    <w:rsid w:val="00A8591F"/>
    <w:rsid w:val="00A85A28"/>
    <w:rsid w:val="00A85E48"/>
    <w:rsid w:val="00A8609D"/>
    <w:rsid w:val="00A86408"/>
    <w:rsid w:val="00A8708B"/>
    <w:rsid w:val="00A872B1"/>
    <w:rsid w:val="00A90AB2"/>
    <w:rsid w:val="00A90E1F"/>
    <w:rsid w:val="00A91CE8"/>
    <w:rsid w:val="00A93995"/>
    <w:rsid w:val="00A953E1"/>
    <w:rsid w:val="00A96921"/>
    <w:rsid w:val="00A97EB2"/>
    <w:rsid w:val="00A97EC8"/>
    <w:rsid w:val="00AA0C8F"/>
    <w:rsid w:val="00AA125B"/>
    <w:rsid w:val="00AA1D80"/>
    <w:rsid w:val="00AA417E"/>
    <w:rsid w:val="00AA4D52"/>
    <w:rsid w:val="00AA4DBB"/>
    <w:rsid w:val="00AA54BA"/>
    <w:rsid w:val="00AB3ACE"/>
    <w:rsid w:val="00AC1F34"/>
    <w:rsid w:val="00AC5BCC"/>
    <w:rsid w:val="00AC6440"/>
    <w:rsid w:val="00AC7838"/>
    <w:rsid w:val="00AD05FD"/>
    <w:rsid w:val="00AD2362"/>
    <w:rsid w:val="00AD6302"/>
    <w:rsid w:val="00AD6A7C"/>
    <w:rsid w:val="00AD6BF0"/>
    <w:rsid w:val="00AD73FD"/>
    <w:rsid w:val="00AE0D05"/>
    <w:rsid w:val="00AE0E90"/>
    <w:rsid w:val="00AE1E02"/>
    <w:rsid w:val="00AE27BD"/>
    <w:rsid w:val="00AE4158"/>
    <w:rsid w:val="00AE49FF"/>
    <w:rsid w:val="00AE61A7"/>
    <w:rsid w:val="00AF00BA"/>
    <w:rsid w:val="00AF0E7F"/>
    <w:rsid w:val="00AF28F3"/>
    <w:rsid w:val="00AF4998"/>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42EC"/>
    <w:rsid w:val="00B45F54"/>
    <w:rsid w:val="00B46314"/>
    <w:rsid w:val="00B4669E"/>
    <w:rsid w:val="00B4681A"/>
    <w:rsid w:val="00B50B83"/>
    <w:rsid w:val="00B52655"/>
    <w:rsid w:val="00B53B12"/>
    <w:rsid w:val="00B53BE9"/>
    <w:rsid w:val="00B5414E"/>
    <w:rsid w:val="00B54E5F"/>
    <w:rsid w:val="00B54F7E"/>
    <w:rsid w:val="00B55CD3"/>
    <w:rsid w:val="00B5649E"/>
    <w:rsid w:val="00B57560"/>
    <w:rsid w:val="00B64804"/>
    <w:rsid w:val="00B64CCD"/>
    <w:rsid w:val="00B64CE6"/>
    <w:rsid w:val="00B64D97"/>
    <w:rsid w:val="00B660BB"/>
    <w:rsid w:val="00B665B6"/>
    <w:rsid w:val="00B6799F"/>
    <w:rsid w:val="00B67BF3"/>
    <w:rsid w:val="00B72613"/>
    <w:rsid w:val="00B72922"/>
    <w:rsid w:val="00B74E13"/>
    <w:rsid w:val="00B7527D"/>
    <w:rsid w:val="00B77176"/>
    <w:rsid w:val="00B77367"/>
    <w:rsid w:val="00B817B3"/>
    <w:rsid w:val="00B8189D"/>
    <w:rsid w:val="00B8301E"/>
    <w:rsid w:val="00B833E4"/>
    <w:rsid w:val="00B833F2"/>
    <w:rsid w:val="00B846BC"/>
    <w:rsid w:val="00B852E7"/>
    <w:rsid w:val="00B858E4"/>
    <w:rsid w:val="00B865A7"/>
    <w:rsid w:val="00B90F54"/>
    <w:rsid w:val="00B9103F"/>
    <w:rsid w:val="00B91E55"/>
    <w:rsid w:val="00B94B86"/>
    <w:rsid w:val="00B94F37"/>
    <w:rsid w:val="00B95346"/>
    <w:rsid w:val="00B965EF"/>
    <w:rsid w:val="00BA0AD4"/>
    <w:rsid w:val="00BA110E"/>
    <w:rsid w:val="00BA20AA"/>
    <w:rsid w:val="00BA3967"/>
    <w:rsid w:val="00BA411F"/>
    <w:rsid w:val="00BA4EC3"/>
    <w:rsid w:val="00BA51BC"/>
    <w:rsid w:val="00BA629C"/>
    <w:rsid w:val="00BA6E32"/>
    <w:rsid w:val="00BA7852"/>
    <w:rsid w:val="00BB04D3"/>
    <w:rsid w:val="00BB0A35"/>
    <w:rsid w:val="00BB12AF"/>
    <w:rsid w:val="00BB159E"/>
    <w:rsid w:val="00BB2BAE"/>
    <w:rsid w:val="00BB534E"/>
    <w:rsid w:val="00BB5781"/>
    <w:rsid w:val="00BB67CF"/>
    <w:rsid w:val="00BB6D79"/>
    <w:rsid w:val="00BB6D81"/>
    <w:rsid w:val="00BB6ED9"/>
    <w:rsid w:val="00BB79BB"/>
    <w:rsid w:val="00BC12EA"/>
    <w:rsid w:val="00BC158C"/>
    <w:rsid w:val="00BC2AFC"/>
    <w:rsid w:val="00BC2D62"/>
    <w:rsid w:val="00BC385E"/>
    <w:rsid w:val="00BC3896"/>
    <w:rsid w:val="00BC3F27"/>
    <w:rsid w:val="00BC43D0"/>
    <w:rsid w:val="00BC54A0"/>
    <w:rsid w:val="00BC5809"/>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8E9"/>
    <w:rsid w:val="00C049CB"/>
    <w:rsid w:val="00C058B8"/>
    <w:rsid w:val="00C06C58"/>
    <w:rsid w:val="00C079A4"/>
    <w:rsid w:val="00C07C64"/>
    <w:rsid w:val="00C12DA5"/>
    <w:rsid w:val="00C135A9"/>
    <w:rsid w:val="00C13DDF"/>
    <w:rsid w:val="00C15041"/>
    <w:rsid w:val="00C16FBF"/>
    <w:rsid w:val="00C200E0"/>
    <w:rsid w:val="00C2019E"/>
    <w:rsid w:val="00C2142A"/>
    <w:rsid w:val="00C21BF7"/>
    <w:rsid w:val="00C21D2C"/>
    <w:rsid w:val="00C22F96"/>
    <w:rsid w:val="00C23126"/>
    <w:rsid w:val="00C2407F"/>
    <w:rsid w:val="00C2437B"/>
    <w:rsid w:val="00C24C11"/>
    <w:rsid w:val="00C25CC8"/>
    <w:rsid w:val="00C27BA8"/>
    <w:rsid w:val="00C3063B"/>
    <w:rsid w:val="00C33424"/>
    <w:rsid w:val="00C34E43"/>
    <w:rsid w:val="00C35727"/>
    <w:rsid w:val="00C36996"/>
    <w:rsid w:val="00C37E05"/>
    <w:rsid w:val="00C4003A"/>
    <w:rsid w:val="00C4005A"/>
    <w:rsid w:val="00C41A14"/>
    <w:rsid w:val="00C41D5D"/>
    <w:rsid w:val="00C427C5"/>
    <w:rsid w:val="00C4431C"/>
    <w:rsid w:val="00C45CF7"/>
    <w:rsid w:val="00C466D1"/>
    <w:rsid w:val="00C46C9E"/>
    <w:rsid w:val="00C470DD"/>
    <w:rsid w:val="00C47AA7"/>
    <w:rsid w:val="00C504A1"/>
    <w:rsid w:val="00C504D0"/>
    <w:rsid w:val="00C51D35"/>
    <w:rsid w:val="00C524EC"/>
    <w:rsid w:val="00C53B0D"/>
    <w:rsid w:val="00C53CD5"/>
    <w:rsid w:val="00C548EF"/>
    <w:rsid w:val="00C549BC"/>
    <w:rsid w:val="00C60507"/>
    <w:rsid w:val="00C60DAC"/>
    <w:rsid w:val="00C610D1"/>
    <w:rsid w:val="00C613D3"/>
    <w:rsid w:val="00C618F7"/>
    <w:rsid w:val="00C61B20"/>
    <w:rsid w:val="00C633BE"/>
    <w:rsid w:val="00C63D09"/>
    <w:rsid w:val="00C64D59"/>
    <w:rsid w:val="00C65E1B"/>
    <w:rsid w:val="00C66A1A"/>
    <w:rsid w:val="00C70181"/>
    <w:rsid w:val="00C715EB"/>
    <w:rsid w:val="00C758BD"/>
    <w:rsid w:val="00C75B92"/>
    <w:rsid w:val="00C76A74"/>
    <w:rsid w:val="00C76C0E"/>
    <w:rsid w:val="00C81A62"/>
    <w:rsid w:val="00C821DA"/>
    <w:rsid w:val="00C82CEA"/>
    <w:rsid w:val="00C82FFF"/>
    <w:rsid w:val="00C84165"/>
    <w:rsid w:val="00C846D3"/>
    <w:rsid w:val="00C86DCA"/>
    <w:rsid w:val="00C86F88"/>
    <w:rsid w:val="00C87F29"/>
    <w:rsid w:val="00C90726"/>
    <w:rsid w:val="00C916D2"/>
    <w:rsid w:val="00C91DAA"/>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496"/>
    <w:rsid w:val="00CB1451"/>
    <w:rsid w:val="00CB3F66"/>
    <w:rsid w:val="00CB4202"/>
    <w:rsid w:val="00CB639D"/>
    <w:rsid w:val="00CC18E5"/>
    <w:rsid w:val="00CC3103"/>
    <w:rsid w:val="00CC3EE4"/>
    <w:rsid w:val="00CC5344"/>
    <w:rsid w:val="00CC5445"/>
    <w:rsid w:val="00CC5ED3"/>
    <w:rsid w:val="00CC670D"/>
    <w:rsid w:val="00CD05A9"/>
    <w:rsid w:val="00CD06CD"/>
    <w:rsid w:val="00CD0F70"/>
    <w:rsid w:val="00CD3418"/>
    <w:rsid w:val="00CE042E"/>
    <w:rsid w:val="00CE0F9D"/>
    <w:rsid w:val="00CE155C"/>
    <w:rsid w:val="00CE4BCB"/>
    <w:rsid w:val="00CE4C2B"/>
    <w:rsid w:val="00CE5008"/>
    <w:rsid w:val="00CE56C1"/>
    <w:rsid w:val="00CE6067"/>
    <w:rsid w:val="00CE659F"/>
    <w:rsid w:val="00CE7A13"/>
    <w:rsid w:val="00CF21B1"/>
    <w:rsid w:val="00CF46E5"/>
    <w:rsid w:val="00CF6F60"/>
    <w:rsid w:val="00CF79D1"/>
    <w:rsid w:val="00D00158"/>
    <w:rsid w:val="00D003D6"/>
    <w:rsid w:val="00D02D22"/>
    <w:rsid w:val="00D0358A"/>
    <w:rsid w:val="00D05A45"/>
    <w:rsid w:val="00D05EEA"/>
    <w:rsid w:val="00D104B3"/>
    <w:rsid w:val="00D113CF"/>
    <w:rsid w:val="00D1331A"/>
    <w:rsid w:val="00D13566"/>
    <w:rsid w:val="00D1419E"/>
    <w:rsid w:val="00D1590B"/>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41542"/>
    <w:rsid w:val="00D4328C"/>
    <w:rsid w:val="00D438AA"/>
    <w:rsid w:val="00D443CF"/>
    <w:rsid w:val="00D4496A"/>
    <w:rsid w:val="00D44C2E"/>
    <w:rsid w:val="00D44D07"/>
    <w:rsid w:val="00D46A71"/>
    <w:rsid w:val="00D478FD"/>
    <w:rsid w:val="00D50BD8"/>
    <w:rsid w:val="00D516AE"/>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700E"/>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6F3"/>
    <w:rsid w:val="00D93DF7"/>
    <w:rsid w:val="00D9400D"/>
    <w:rsid w:val="00D95133"/>
    <w:rsid w:val="00D95E18"/>
    <w:rsid w:val="00D96278"/>
    <w:rsid w:val="00D96B2C"/>
    <w:rsid w:val="00D96B8D"/>
    <w:rsid w:val="00D96C21"/>
    <w:rsid w:val="00D97439"/>
    <w:rsid w:val="00DA139C"/>
    <w:rsid w:val="00DA3453"/>
    <w:rsid w:val="00DA3EA3"/>
    <w:rsid w:val="00DA4941"/>
    <w:rsid w:val="00DA4D70"/>
    <w:rsid w:val="00DA4ED6"/>
    <w:rsid w:val="00DA58F1"/>
    <w:rsid w:val="00DA7595"/>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554"/>
    <w:rsid w:val="00DD1D96"/>
    <w:rsid w:val="00DD2690"/>
    <w:rsid w:val="00DD4099"/>
    <w:rsid w:val="00DD42F4"/>
    <w:rsid w:val="00DD4C78"/>
    <w:rsid w:val="00DD5C6E"/>
    <w:rsid w:val="00DD7C41"/>
    <w:rsid w:val="00DE0B4F"/>
    <w:rsid w:val="00DE1909"/>
    <w:rsid w:val="00DE3275"/>
    <w:rsid w:val="00DE39E6"/>
    <w:rsid w:val="00DE438E"/>
    <w:rsid w:val="00DE49A3"/>
    <w:rsid w:val="00DE59E7"/>
    <w:rsid w:val="00DE6474"/>
    <w:rsid w:val="00DE6E67"/>
    <w:rsid w:val="00DE7E50"/>
    <w:rsid w:val="00DF0126"/>
    <w:rsid w:val="00DF11AD"/>
    <w:rsid w:val="00DF1AD7"/>
    <w:rsid w:val="00DF1FCA"/>
    <w:rsid w:val="00DF1FE4"/>
    <w:rsid w:val="00DF227C"/>
    <w:rsid w:val="00DF2E8D"/>
    <w:rsid w:val="00DF578F"/>
    <w:rsid w:val="00DF71A7"/>
    <w:rsid w:val="00DF7A84"/>
    <w:rsid w:val="00E006D8"/>
    <w:rsid w:val="00E0603D"/>
    <w:rsid w:val="00E060FA"/>
    <w:rsid w:val="00E065DF"/>
    <w:rsid w:val="00E06CD0"/>
    <w:rsid w:val="00E07384"/>
    <w:rsid w:val="00E07F39"/>
    <w:rsid w:val="00E1064D"/>
    <w:rsid w:val="00E10BA0"/>
    <w:rsid w:val="00E11A2A"/>
    <w:rsid w:val="00E1315F"/>
    <w:rsid w:val="00E1364F"/>
    <w:rsid w:val="00E1469F"/>
    <w:rsid w:val="00E14F49"/>
    <w:rsid w:val="00E169AA"/>
    <w:rsid w:val="00E17347"/>
    <w:rsid w:val="00E17EFD"/>
    <w:rsid w:val="00E201ED"/>
    <w:rsid w:val="00E228BB"/>
    <w:rsid w:val="00E228EB"/>
    <w:rsid w:val="00E23853"/>
    <w:rsid w:val="00E239F3"/>
    <w:rsid w:val="00E260C5"/>
    <w:rsid w:val="00E262D5"/>
    <w:rsid w:val="00E26F5D"/>
    <w:rsid w:val="00E30834"/>
    <w:rsid w:val="00E30CC5"/>
    <w:rsid w:val="00E32AB3"/>
    <w:rsid w:val="00E36CB5"/>
    <w:rsid w:val="00E40BC4"/>
    <w:rsid w:val="00E40C20"/>
    <w:rsid w:val="00E432E0"/>
    <w:rsid w:val="00E43EB6"/>
    <w:rsid w:val="00E44EFD"/>
    <w:rsid w:val="00E45BFC"/>
    <w:rsid w:val="00E4690E"/>
    <w:rsid w:val="00E51CBE"/>
    <w:rsid w:val="00E52E67"/>
    <w:rsid w:val="00E540F5"/>
    <w:rsid w:val="00E60556"/>
    <w:rsid w:val="00E635C0"/>
    <w:rsid w:val="00E6390C"/>
    <w:rsid w:val="00E643EE"/>
    <w:rsid w:val="00E65A2D"/>
    <w:rsid w:val="00E66855"/>
    <w:rsid w:val="00E66919"/>
    <w:rsid w:val="00E67C84"/>
    <w:rsid w:val="00E70048"/>
    <w:rsid w:val="00E7139D"/>
    <w:rsid w:val="00E72E80"/>
    <w:rsid w:val="00E73A91"/>
    <w:rsid w:val="00E73FAD"/>
    <w:rsid w:val="00E75AB6"/>
    <w:rsid w:val="00E75FC7"/>
    <w:rsid w:val="00E77AFC"/>
    <w:rsid w:val="00E80972"/>
    <w:rsid w:val="00E80DA7"/>
    <w:rsid w:val="00E82A1F"/>
    <w:rsid w:val="00E82CBF"/>
    <w:rsid w:val="00E84EEE"/>
    <w:rsid w:val="00E85E82"/>
    <w:rsid w:val="00E86F89"/>
    <w:rsid w:val="00E87C3B"/>
    <w:rsid w:val="00E91916"/>
    <w:rsid w:val="00E94817"/>
    <w:rsid w:val="00E954B4"/>
    <w:rsid w:val="00E967BB"/>
    <w:rsid w:val="00EA1258"/>
    <w:rsid w:val="00EA4349"/>
    <w:rsid w:val="00EA4682"/>
    <w:rsid w:val="00EA4D5C"/>
    <w:rsid w:val="00EA5944"/>
    <w:rsid w:val="00EA75A0"/>
    <w:rsid w:val="00EB0849"/>
    <w:rsid w:val="00EB0FDC"/>
    <w:rsid w:val="00EB1303"/>
    <w:rsid w:val="00EB2E89"/>
    <w:rsid w:val="00EB3953"/>
    <w:rsid w:val="00EC0FCD"/>
    <w:rsid w:val="00EC168A"/>
    <w:rsid w:val="00EC19BB"/>
    <w:rsid w:val="00EC1B28"/>
    <w:rsid w:val="00EC2E73"/>
    <w:rsid w:val="00EC4BB5"/>
    <w:rsid w:val="00EC6B0E"/>
    <w:rsid w:val="00EC7AA8"/>
    <w:rsid w:val="00EC7BF3"/>
    <w:rsid w:val="00EC7D03"/>
    <w:rsid w:val="00ED066D"/>
    <w:rsid w:val="00ED0F14"/>
    <w:rsid w:val="00ED1A22"/>
    <w:rsid w:val="00ED1A2D"/>
    <w:rsid w:val="00ED1A7A"/>
    <w:rsid w:val="00ED262C"/>
    <w:rsid w:val="00ED2F0A"/>
    <w:rsid w:val="00ED32D7"/>
    <w:rsid w:val="00ED36BA"/>
    <w:rsid w:val="00ED4004"/>
    <w:rsid w:val="00ED76B2"/>
    <w:rsid w:val="00ED7A20"/>
    <w:rsid w:val="00EE0EE7"/>
    <w:rsid w:val="00EE0F64"/>
    <w:rsid w:val="00EE10F8"/>
    <w:rsid w:val="00EE153D"/>
    <w:rsid w:val="00EE1EDD"/>
    <w:rsid w:val="00EE251A"/>
    <w:rsid w:val="00EE2741"/>
    <w:rsid w:val="00EE2E6E"/>
    <w:rsid w:val="00EE45D5"/>
    <w:rsid w:val="00EE7294"/>
    <w:rsid w:val="00EF01A5"/>
    <w:rsid w:val="00EF0FC6"/>
    <w:rsid w:val="00EF1293"/>
    <w:rsid w:val="00EF1B7F"/>
    <w:rsid w:val="00EF28A0"/>
    <w:rsid w:val="00EF36D5"/>
    <w:rsid w:val="00EF3D7F"/>
    <w:rsid w:val="00EF434D"/>
    <w:rsid w:val="00EF542C"/>
    <w:rsid w:val="00EF6334"/>
    <w:rsid w:val="00EF6FB2"/>
    <w:rsid w:val="00F0205C"/>
    <w:rsid w:val="00F03917"/>
    <w:rsid w:val="00F05313"/>
    <w:rsid w:val="00F06623"/>
    <w:rsid w:val="00F10452"/>
    <w:rsid w:val="00F116CD"/>
    <w:rsid w:val="00F1514B"/>
    <w:rsid w:val="00F15683"/>
    <w:rsid w:val="00F1587E"/>
    <w:rsid w:val="00F16B22"/>
    <w:rsid w:val="00F20550"/>
    <w:rsid w:val="00F208F0"/>
    <w:rsid w:val="00F2120F"/>
    <w:rsid w:val="00F23972"/>
    <w:rsid w:val="00F23DE1"/>
    <w:rsid w:val="00F243A7"/>
    <w:rsid w:val="00F24525"/>
    <w:rsid w:val="00F271DB"/>
    <w:rsid w:val="00F3098D"/>
    <w:rsid w:val="00F321DD"/>
    <w:rsid w:val="00F331CD"/>
    <w:rsid w:val="00F334A8"/>
    <w:rsid w:val="00F3374A"/>
    <w:rsid w:val="00F3511B"/>
    <w:rsid w:val="00F360B2"/>
    <w:rsid w:val="00F37344"/>
    <w:rsid w:val="00F37BAC"/>
    <w:rsid w:val="00F37E78"/>
    <w:rsid w:val="00F4086B"/>
    <w:rsid w:val="00F40D00"/>
    <w:rsid w:val="00F4172B"/>
    <w:rsid w:val="00F418A7"/>
    <w:rsid w:val="00F44A17"/>
    <w:rsid w:val="00F46BC1"/>
    <w:rsid w:val="00F476A8"/>
    <w:rsid w:val="00F478FD"/>
    <w:rsid w:val="00F51AFD"/>
    <w:rsid w:val="00F54529"/>
    <w:rsid w:val="00F546D2"/>
    <w:rsid w:val="00F6204A"/>
    <w:rsid w:val="00F633BF"/>
    <w:rsid w:val="00F6380E"/>
    <w:rsid w:val="00F63972"/>
    <w:rsid w:val="00F734F3"/>
    <w:rsid w:val="00F74A38"/>
    <w:rsid w:val="00F75503"/>
    <w:rsid w:val="00F75787"/>
    <w:rsid w:val="00F76A9D"/>
    <w:rsid w:val="00F802DB"/>
    <w:rsid w:val="00F8044C"/>
    <w:rsid w:val="00F80C07"/>
    <w:rsid w:val="00F816C2"/>
    <w:rsid w:val="00F81C2A"/>
    <w:rsid w:val="00F81CFB"/>
    <w:rsid w:val="00F848D5"/>
    <w:rsid w:val="00F85B6D"/>
    <w:rsid w:val="00F85EA4"/>
    <w:rsid w:val="00F87642"/>
    <w:rsid w:val="00F87F78"/>
    <w:rsid w:val="00F90B3F"/>
    <w:rsid w:val="00F90D78"/>
    <w:rsid w:val="00F9555D"/>
    <w:rsid w:val="00F95C36"/>
    <w:rsid w:val="00F973D7"/>
    <w:rsid w:val="00FA0842"/>
    <w:rsid w:val="00FA1C18"/>
    <w:rsid w:val="00FA215B"/>
    <w:rsid w:val="00FA2EFD"/>
    <w:rsid w:val="00FA2F67"/>
    <w:rsid w:val="00FA39E9"/>
    <w:rsid w:val="00FA42A0"/>
    <w:rsid w:val="00FA4E19"/>
    <w:rsid w:val="00FA4E7D"/>
    <w:rsid w:val="00FA524E"/>
    <w:rsid w:val="00FA72A1"/>
    <w:rsid w:val="00FB02CE"/>
    <w:rsid w:val="00FB0C00"/>
    <w:rsid w:val="00FB1086"/>
    <w:rsid w:val="00FB1094"/>
    <w:rsid w:val="00FB1582"/>
    <w:rsid w:val="00FB1628"/>
    <w:rsid w:val="00FB1E31"/>
    <w:rsid w:val="00FB21A1"/>
    <w:rsid w:val="00FB3E36"/>
    <w:rsid w:val="00FB46B3"/>
    <w:rsid w:val="00FB4D92"/>
    <w:rsid w:val="00FB5258"/>
    <w:rsid w:val="00FB5267"/>
    <w:rsid w:val="00FB592E"/>
    <w:rsid w:val="00FC05BB"/>
    <w:rsid w:val="00FC07CE"/>
    <w:rsid w:val="00FC1AD1"/>
    <w:rsid w:val="00FC33B2"/>
    <w:rsid w:val="00FC4A94"/>
    <w:rsid w:val="00FC52DE"/>
    <w:rsid w:val="00FC5790"/>
    <w:rsid w:val="00FC710B"/>
    <w:rsid w:val="00FC7931"/>
    <w:rsid w:val="00FC7F25"/>
    <w:rsid w:val="00FD096B"/>
    <w:rsid w:val="00FD0E81"/>
    <w:rsid w:val="00FD1395"/>
    <w:rsid w:val="00FD3ECF"/>
    <w:rsid w:val="00FD47F9"/>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9ED"/>
    <w:rsid w:val="00FF50AB"/>
    <w:rsid w:val="00FF56DF"/>
    <w:rsid w:val="00FF571C"/>
    <w:rsid w:val="00FF59DA"/>
    <w:rsid w:val="00FF6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41"/>
    <w:rPr>
      <w:rFonts w:ascii="Arial" w:eastAsia="SimSun" w:hAnsi="Arial" w:cs="Arial"/>
      <w:sz w:val="22"/>
      <w:lang w:val="fr-CH" w:eastAsia="zh-CN"/>
    </w:rPr>
  </w:style>
  <w:style w:type="paragraph" w:styleId="Heading1">
    <w:name w:val="heading 1"/>
    <w:basedOn w:val="Normal"/>
    <w:next w:val="Normal"/>
    <w:link w:val="Heading1Char"/>
    <w:qFormat/>
    <w:rsid w:val="00432841"/>
    <w:pPr>
      <w:keepNext/>
      <w:spacing w:before="240" w:after="60"/>
      <w:outlineLvl w:val="0"/>
    </w:pPr>
    <w:rPr>
      <w:b/>
      <w:bCs/>
      <w:caps/>
      <w:kern w:val="32"/>
      <w:szCs w:val="32"/>
    </w:rPr>
  </w:style>
  <w:style w:type="paragraph" w:styleId="Heading2">
    <w:name w:val="heading 2"/>
    <w:basedOn w:val="Normal"/>
    <w:next w:val="Normal"/>
    <w:link w:val="Heading2Char"/>
    <w:qFormat/>
    <w:rsid w:val="008139DE"/>
    <w:pPr>
      <w:keepNext/>
      <w:spacing w:before="240" w:after="60"/>
      <w:ind w:left="1134" w:hanging="567"/>
      <w:outlineLvl w:val="1"/>
    </w:pPr>
    <w:rPr>
      <w:bCs/>
      <w:iCs/>
      <w:caps/>
      <w:szCs w:val="28"/>
    </w:rPr>
  </w:style>
  <w:style w:type="paragraph" w:styleId="Heading3">
    <w:name w:val="heading 3"/>
    <w:basedOn w:val="Normal"/>
    <w:next w:val="Normal"/>
    <w:link w:val="Heading3Char"/>
    <w:qFormat/>
    <w:rsid w:val="004D11AE"/>
    <w:pPr>
      <w:keepNext/>
      <w:numPr>
        <w:numId w:val="44"/>
      </w:numPr>
      <w:spacing w:before="240" w:after="60"/>
      <w:ind w:left="1701" w:hanging="567"/>
      <w:outlineLvl w:val="2"/>
    </w:pPr>
    <w:rPr>
      <w:bCs/>
      <w:color w:val="008000"/>
      <w:szCs w:val="26"/>
      <w:u w:val="single"/>
      <w:lang w:val="fr-FR"/>
    </w:rPr>
  </w:style>
  <w:style w:type="paragraph" w:styleId="Heading4">
    <w:name w:val="heading 4"/>
    <w:basedOn w:val="Normal"/>
    <w:next w:val="Normal"/>
    <w:link w:val="Heading4Char"/>
    <w:qFormat/>
    <w:rsid w:val="00432841"/>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32841"/>
    <w:rPr>
      <w:b/>
      <w:bCs/>
      <w:sz w:val="18"/>
    </w:rPr>
  </w:style>
  <w:style w:type="paragraph" w:styleId="CommentText">
    <w:name w:val="annotation text"/>
    <w:basedOn w:val="Normal"/>
    <w:link w:val="CommentTextChar"/>
    <w:semiHidden/>
    <w:rsid w:val="00432841"/>
    <w:rPr>
      <w:sz w:val="18"/>
    </w:rPr>
  </w:style>
  <w:style w:type="paragraph" w:styleId="EndnoteText">
    <w:name w:val="endnote text"/>
    <w:basedOn w:val="Normal"/>
    <w:link w:val="EndnoteTextChar"/>
    <w:semiHidden/>
    <w:rsid w:val="00432841"/>
    <w:rPr>
      <w:sz w:val="18"/>
    </w:rPr>
  </w:style>
  <w:style w:type="paragraph" w:styleId="Footer">
    <w:name w:val="footer"/>
    <w:basedOn w:val="Normal"/>
    <w:link w:val="FooterChar"/>
    <w:semiHidden/>
    <w:rsid w:val="00432841"/>
    <w:pPr>
      <w:tabs>
        <w:tab w:val="center" w:pos="4320"/>
        <w:tab w:val="right" w:pos="8640"/>
      </w:tabs>
    </w:pPr>
  </w:style>
  <w:style w:type="paragraph" w:styleId="FootnoteText">
    <w:name w:val="footnote text"/>
    <w:basedOn w:val="Normal"/>
    <w:link w:val="FootnoteTextChar"/>
    <w:semiHidden/>
    <w:rsid w:val="00432841"/>
    <w:rPr>
      <w:sz w:val="18"/>
    </w:rPr>
  </w:style>
  <w:style w:type="character" w:customStyle="1" w:styleId="FootnoteTextChar">
    <w:name w:val="Footnote Text Char"/>
    <w:basedOn w:val="DefaultParagraphFont"/>
    <w:link w:val="FootnoteText"/>
    <w:semiHidden/>
    <w:locked/>
    <w:rsid w:val="00432841"/>
    <w:rPr>
      <w:rFonts w:ascii="Arial" w:eastAsia="SimSun" w:hAnsi="Arial" w:cs="Arial"/>
      <w:sz w:val="18"/>
      <w:lang w:val="fr-CH" w:eastAsia="zh-CN"/>
    </w:rPr>
  </w:style>
  <w:style w:type="paragraph" w:styleId="Header">
    <w:name w:val="header"/>
    <w:basedOn w:val="Normal"/>
    <w:link w:val="HeaderChar"/>
    <w:semiHidden/>
    <w:rsid w:val="00432841"/>
    <w:pPr>
      <w:tabs>
        <w:tab w:val="center" w:pos="4536"/>
        <w:tab w:val="right" w:pos="9072"/>
      </w:tabs>
    </w:pPr>
  </w:style>
  <w:style w:type="character" w:customStyle="1" w:styleId="HeaderChar">
    <w:name w:val="Header Char"/>
    <w:basedOn w:val="DefaultParagraphFont"/>
    <w:link w:val="Header"/>
    <w:semiHidden/>
    <w:locked/>
    <w:rsid w:val="00432841"/>
    <w:rPr>
      <w:rFonts w:ascii="Arial" w:eastAsia="SimSun" w:hAnsi="Arial" w:cs="Arial"/>
      <w:sz w:val="22"/>
      <w:lang w:val="fr-CH" w:eastAsia="zh-CN"/>
    </w:rPr>
  </w:style>
  <w:style w:type="paragraph" w:styleId="ListNumber">
    <w:name w:val="List Number"/>
    <w:basedOn w:val="Normal"/>
    <w:semiHidden/>
    <w:rsid w:val="00432841"/>
    <w:pPr>
      <w:numPr>
        <w:numId w:val="38"/>
      </w:numPr>
    </w:pPr>
  </w:style>
  <w:style w:type="paragraph" w:customStyle="1" w:styleId="ONUME">
    <w:name w:val="ONUM E"/>
    <w:basedOn w:val="BodyText"/>
    <w:rsid w:val="00432841"/>
    <w:pPr>
      <w:numPr>
        <w:numId w:val="39"/>
      </w:numPr>
    </w:pPr>
  </w:style>
  <w:style w:type="paragraph" w:styleId="Salutation">
    <w:name w:val="Salutation"/>
    <w:basedOn w:val="Normal"/>
    <w:next w:val="Normal"/>
    <w:link w:val="SalutationChar"/>
    <w:semiHidden/>
    <w:rsid w:val="00432841"/>
  </w:style>
  <w:style w:type="paragraph" w:styleId="Signature">
    <w:name w:val="Signature"/>
    <w:basedOn w:val="Normal"/>
    <w:link w:val="SignatureChar"/>
    <w:semiHidden/>
    <w:rsid w:val="00432841"/>
    <w:pPr>
      <w:ind w:left="5250"/>
    </w:pPr>
  </w:style>
  <w:style w:type="paragraph" w:styleId="TOC3">
    <w:name w:val="toc 3"/>
    <w:basedOn w:val="Normal"/>
    <w:next w:val="Normal"/>
    <w:autoRedefine/>
    <w:uiPriority w:val="39"/>
    <w:rsid w:val="004D11AE"/>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4D11AE"/>
    <w:pPr>
      <w:tabs>
        <w:tab w:val="left" w:pos="851"/>
        <w:tab w:val="right" w:leader="dot" w:pos="9344"/>
      </w:tabs>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basedOn w:val="DefaultParagraphFont"/>
    <w:link w:val="CommentText"/>
    <w:semiHidden/>
    <w:rsid w:val="00432841"/>
    <w:rPr>
      <w:rFonts w:ascii="Arial" w:eastAsia="SimSun" w:hAnsi="Arial" w:cs="Arial"/>
      <w:sz w:val="18"/>
      <w:lang w:val="fr-CH"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2841"/>
    <w:rPr>
      <w:rFonts w:ascii="Arial" w:eastAsia="SimSun" w:hAnsi="Arial" w:cs="Arial"/>
      <w:b/>
      <w:bCs/>
      <w:caps/>
      <w:kern w:val="32"/>
      <w:sz w:val="22"/>
      <w:szCs w:val="32"/>
      <w:lang w:val="fr-CH" w:eastAsia="zh-CN"/>
    </w:rPr>
  </w:style>
  <w:style w:type="character" w:customStyle="1" w:styleId="Heading3Char">
    <w:name w:val="Heading 3 Char"/>
    <w:basedOn w:val="DefaultParagraphFont"/>
    <w:link w:val="Heading3"/>
    <w:rsid w:val="004D11AE"/>
    <w:rPr>
      <w:rFonts w:ascii="Arial" w:eastAsia="SimSun" w:hAnsi="Arial" w:cs="Arial"/>
      <w:bCs/>
      <w:color w:val="008000"/>
      <w:sz w:val="22"/>
      <w:szCs w:val="26"/>
      <w:u w:val="single"/>
      <w:lang w:val="fr-FR"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432841"/>
    <w:pPr>
      <w:ind w:left="720"/>
      <w:contextualSpacing/>
    </w:pPr>
  </w:style>
  <w:style w:type="paragraph" w:customStyle="1" w:styleId="Endofdocument-Annex">
    <w:name w:val="[End of document - Annex]"/>
    <w:basedOn w:val="Normal"/>
    <w:link w:val="Endofdocument-AnnexChar"/>
    <w:rsid w:val="00432841"/>
    <w:pPr>
      <w:ind w:left="5534"/>
    </w:pPr>
    <w:rPr>
      <w:lang w:val="en-US"/>
    </w:r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odyText">
    <w:name w:val="Body Text"/>
    <w:basedOn w:val="Normal"/>
    <w:link w:val="BodyTextChar"/>
    <w:rsid w:val="00432841"/>
    <w:pPr>
      <w:spacing w:after="220"/>
    </w:pPr>
  </w:style>
  <w:style w:type="character" w:customStyle="1" w:styleId="BodyTextChar">
    <w:name w:val="Body Text Char"/>
    <w:basedOn w:val="DefaultParagraphFont"/>
    <w:link w:val="BodyText"/>
    <w:rsid w:val="00432841"/>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432841"/>
    <w:rPr>
      <w:rFonts w:ascii="Arial" w:eastAsia="SimSun" w:hAnsi="Arial" w:cs="Arial"/>
      <w:sz w:val="18"/>
      <w:lang w:val="fr-CH" w:eastAsia="zh-CN"/>
    </w:rPr>
  </w:style>
  <w:style w:type="character" w:customStyle="1" w:styleId="FooterChar">
    <w:name w:val="Footer Char"/>
    <w:basedOn w:val="DefaultParagraphFont"/>
    <w:link w:val="Footer"/>
    <w:semiHidden/>
    <w:rsid w:val="00432841"/>
    <w:rPr>
      <w:rFonts w:ascii="Arial" w:eastAsia="SimSun" w:hAnsi="Arial" w:cs="Arial"/>
      <w:sz w:val="22"/>
      <w:lang w:val="fr-CH" w:eastAsia="zh-CN"/>
    </w:rPr>
  </w:style>
  <w:style w:type="character" w:customStyle="1" w:styleId="Heading2Char">
    <w:name w:val="Heading 2 Char"/>
    <w:basedOn w:val="DefaultParagraphFont"/>
    <w:link w:val="Heading2"/>
    <w:rsid w:val="008139DE"/>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432841"/>
    <w:rPr>
      <w:rFonts w:ascii="Arial" w:eastAsia="SimSun" w:hAnsi="Arial" w:cs="Arial"/>
      <w:bCs/>
      <w:i/>
      <w:sz w:val="22"/>
      <w:szCs w:val="28"/>
      <w:lang w:val="fr-CH" w:eastAsia="zh-CN"/>
    </w:rPr>
  </w:style>
  <w:style w:type="paragraph" w:customStyle="1" w:styleId="Meetingplacedate">
    <w:name w:val="Meeting place &amp; date"/>
    <w:basedOn w:val="Normal"/>
    <w:next w:val="Normal"/>
    <w:rsid w:val="0043284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32841"/>
    <w:pPr>
      <w:spacing w:line="336" w:lineRule="exact"/>
      <w:ind w:left="1021"/>
    </w:pPr>
    <w:rPr>
      <w:rFonts w:eastAsia="Times New Roman" w:cs="Times New Roman"/>
      <w:b/>
      <w:sz w:val="28"/>
      <w:lang w:val="fr-FR" w:eastAsia="en-US"/>
    </w:rPr>
  </w:style>
  <w:style w:type="paragraph" w:customStyle="1" w:styleId="ONUMFS">
    <w:name w:val="ONUM FS"/>
    <w:basedOn w:val="BodyText"/>
    <w:rsid w:val="00432841"/>
    <w:pPr>
      <w:numPr>
        <w:numId w:val="40"/>
      </w:numPr>
    </w:pPr>
  </w:style>
  <w:style w:type="character" w:customStyle="1" w:styleId="SalutationChar">
    <w:name w:val="Salutation Char"/>
    <w:basedOn w:val="DefaultParagraphFont"/>
    <w:link w:val="Salutation"/>
    <w:semiHidden/>
    <w:rsid w:val="00432841"/>
    <w:rPr>
      <w:rFonts w:ascii="Arial" w:eastAsia="SimSun" w:hAnsi="Arial" w:cs="Arial"/>
      <w:sz w:val="22"/>
      <w:lang w:val="fr-CH" w:eastAsia="zh-CN"/>
    </w:rPr>
  </w:style>
  <w:style w:type="character" w:customStyle="1" w:styleId="SignatureChar">
    <w:name w:val="Signature Char"/>
    <w:basedOn w:val="DefaultParagraphFont"/>
    <w:link w:val="Signature"/>
    <w:semiHidden/>
    <w:rsid w:val="00432841"/>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41"/>
    <w:rPr>
      <w:rFonts w:ascii="Arial" w:eastAsia="SimSun" w:hAnsi="Arial" w:cs="Arial"/>
      <w:sz w:val="22"/>
      <w:lang w:val="fr-CH" w:eastAsia="zh-CN"/>
    </w:rPr>
  </w:style>
  <w:style w:type="paragraph" w:styleId="Heading1">
    <w:name w:val="heading 1"/>
    <w:basedOn w:val="Normal"/>
    <w:next w:val="Normal"/>
    <w:link w:val="Heading1Char"/>
    <w:qFormat/>
    <w:rsid w:val="00432841"/>
    <w:pPr>
      <w:keepNext/>
      <w:spacing w:before="240" w:after="60"/>
      <w:outlineLvl w:val="0"/>
    </w:pPr>
    <w:rPr>
      <w:b/>
      <w:bCs/>
      <w:caps/>
      <w:kern w:val="32"/>
      <w:szCs w:val="32"/>
    </w:rPr>
  </w:style>
  <w:style w:type="paragraph" w:styleId="Heading2">
    <w:name w:val="heading 2"/>
    <w:basedOn w:val="Normal"/>
    <w:next w:val="Normal"/>
    <w:link w:val="Heading2Char"/>
    <w:qFormat/>
    <w:rsid w:val="008139DE"/>
    <w:pPr>
      <w:keepNext/>
      <w:spacing w:before="240" w:after="60"/>
      <w:ind w:left="1134" w:hanging="567"/>
      <w:outlineLvl w:val="1"/>
    </w:pPr>
    <w:rPr>
      <w:bCs/>
      <w:iCs/>
      <w:caps/>
      <w:szCs w:val="28"/>
    </w:rPr>
  </w:style>
  <w:style w:type="paragraph" w:styleId="Heading3">
    <w:name w:val="heading 3"/>
    <w:basedOn w:val="Normal"/>
    <w:next w:val="Normal"/>
    <w:link w:val="Heading3Char"/>
    <w:qFormat/>
    <w:rsid w:val="004D11AE"/>
    <w:pPr>
      <w:keepNext/>
      <w:numPr>
        <w:numId w:val="44"/>
      </w:numPr>
      <w:spacing w:before="240" w:after="60"/>
      <w:ind w:left="1701" w:hanging="567"/>
      <w:outlineLvl w:val="2"/>
    </w:pPr>
    <w:rPr>
      <w:bCs/>
      <w:color w:val="008000"/>
      <w:szCs w:val="26"/>
      <w:u w:val="single"/>
      <w:lang w:val="fr-FR"/>
    </w:rPr>
  </w:style>
  <w:style w:type="paragraph" w:styleId="Heading4">
    <w:name w:val="heading 4"/>
    <w:basedOn w:val="Normal"/>
    <w:next w:val="Normal"/>
    <w:link w:val="Heading4Char"/>
    <w:qFormat/>
    <w:rsid w:val="00432841"/>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32841"/>
    <w:rPr>
      <w:b/>
      <w:bCs/>
      <w:sz w:val="18"/>
    </w:rPr>
  </w:style>
  <w:style w:type="paragraph" w:styleId="CommentText">
    <w:name w:val="annotation text"/>
    <w:basedOn w:val="Normal"/>
    <w:link w:val="CommentTextChar"/>
    <w:semiHidden/>
    <w:rsid w:val="00432841"/>
    <w:rPr>
      <w:sz w:val="18"/>
    </w:rPr>
  </w:style>
  <w:style w:type="paragraph" w:styleId="EndnoteText">
    <w:name w:val="endnote text"/>
    <w:basedOn w:val="Normal"/>
    <w:link w:val="EndnoteTextChar"/>
    <w:semiHidden/>
    <w:rsid w:val="00432841"/>
    <w:rPr>
      <w:sz w:val="18"/>
    </w:rPr>
  </w:style>
  <w:style w:type="paragraph" w:styleId="Footer">
    <w:name w:val="footer"/>
    <w:basedOn w:val="Normal"/>
    <w:link w:val="FooterChar"/>
    <w:semiHidden/>
    <w:rsid w:val="00432841"/>
    <w:pPr>
      <w:tabs>
        <w:tab w:val="center" w:pos="4320"/>
        <w:tab w:val="right" w:pos="8640"/>
      </w:tabs>
    </w:pPr>
  </w:style>
  <w:style w:type="paragraph" w:styleId="FootnoteText">
    <w:name w:val="footnote text"/>
    <w:basedOn w:val="Normal"/>
    <w:link w:val="FootnoteTextChar"/>
    <w:semiHidden/>
    <w:rsid w:val="00432841"/>
    <w:rPr>
      <w:sz w:val="18"/>
    </w:rPr>
  </w:style>
  <w:style w:type="character" w:customStyle="1" w:styleId="FootnoteTextChar">
    <w:name w:val="Footnote Text Char"/>
    <w:basedOn w:val="DefaultParagraphFont"/>
    <w:link w:val="FootnoteText"/>
    <w:semiHidden/>
    <w:locked/>
    <w:rsid w:val="00432841"/>
    <w:rPr>
      <w:rFonts w:ascii="Arial" w:eastAsia="SimSun" w:hAnsi="Arial" w:cs="Arial"/>
      <w:sz w:val="18"/>
      <w:lang w:val="fr-CH" w:eastAsia="zh-CN"/>
    </w:rPr>
  </w:style>
  <w:style w:type="paragraph" w:styleId="Header">
    <w:name w:val="header"/>
    <w:basedOn w:val="Normal"/>
    <w:link w:val="HeaderChar"/>
    <w:semiHidden/>
    <w:rsid w:val="00432841"/>
    <w:pPr>
      <w:tabs>
        <w:tab w:val="center" w:pos="4536"/>
        <w:tab w:val="right" w:pos="9072"/>
      </w:tabs>
    </w:pPr>
  </w:style>
  <w:style w:type="character" w:customStyle="1" w:styleId="HeaderChar">
    <w:name w:val="Header Char"/>
    <w:basedOn w:val="DefaultParagraphFont"/>
    <w:link w:val="Header"/>
    <w:semiHidden/>
    <w:locked/>
    <w:rsid w:val="00432841"/>
    <w:rPr>
      <w:rFonts w:ascii="Arial" w:eastAsia="SimSun" w:hAnsi="Arial" w:cs="Arial"/>
      <w:sz w:val="22"/>
      <w:lang w:val="fr-CH" w:eastAsia="zh-CN"/>
    </w:rPr>
  </w:style>
  <w:style w:type="paragraph" w:styleId="ListNumber">
    <w:name w:val="List Number"/>
    <w:basedOn w:val="Normal"/>
    <w:semiHidden/>
    <w:rsid w:val="00432841"/>
    <w:pPr>
      <w:numPr>
        <w:numId w:val="38"/>
      </w:numPr>
    </w:pPr>
  </w:style>
  <w:style w:type="paragraph" w:customStyle="1" w:styleId="ONUME">
    <w:name w:val="ONUM E"/>
    <w:basedOn w:val="BodyText"/>
    <w:rsid w:val="00432841"/>
    <w:pPr>
      <w:numPr>
        <w:numId w:val="39"/>
      </w:numPr>
    </w:pPr>
  </w:style>
  <w:style w:type="paragraph" w:styleId="Salutation">
    <w:name w:val="Salutation"/>
    <w:basedOn w:val="Normal"/>
    <w:next w:val="Normal"/>
    <w:link w:val="SalutationChar"/>
    <w:semiHidden/>
    <w:rsid w:val="00432841"/>
  </w:style>
  <w:style w:type="paragraph" w:styleId="Signature">
    <w:name w:val="Signature"/>
    <w:basedOn w:val="Normal"/>
    <w:link w:val="SignatureChar"/>
    <w:semiHidden/>
    <w:rsid w:val="00432841"/>
    <w:pPr>
      <w:ind w:left="5250"/>
    </w:pPr>
  </w:style>
  <w:style w:type="paragraph" w:styleId="TOC3">
    <w:name w:val="toc 3"/>
    <w:basedOn w:val="Normal"/>
    <w:next w:val="Normal"/>
    <w:autoRedefine/>
    <w:uiPriority w:val="39"/>
    <w:rsid w:val="004D11AE"/>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4D11AE"/>
    <w:pPr>
      <w:tabs>
        <w:tab w:val="left" w:pos="851"/>
        <w:tab w:val="right" w:leader="dot" w:pos="9344"/>
      </w:tabs>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basedOn w:val="DefaultParagraphFont"/>
    <w:link w:val="CommentText"/>
    <w:semiHidden/>
    <w:rsid w:val="00432841"/>
    <w:rPr>
      <w:rFonts w:ascii="Arial" w:eastAsia="SimSun" w:hAnsi="Arial" w:cs="Arial"/>
      <w:sz w:val="18"/>
      <w:lang w:val="fr-CH"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2841"/>
    <w:rPr>
      <w:rFonts w:ascii="Arial" w:eastAsia="SimSun" w:hAnsi="Arial" w:cs="Arial"/>
      <w:b/>
      <w:bCs/>
      <w:caps/>
      <w:kern w:val="32"/>
      <w:sz w:val="22"/>
      <w:szCs w:val="32"/>
      <w:lang w:val="fr-CH" w:eastAsia="zh-CN"/>
    </w:rPr>
  </w:style>
  <w:style w:type="character" w:customStyle="1" w:styleId="Heading3Char">
    <w:name w:val="Heading 3 Char"/>
    <w:basedOn w:val="DefaultParagraphFont"/>
    <w:link w:val="Heading3"/>
    <w:rsid w:val="004D11AE"/>
    <w:rPr>
      <w:rFonts w:ascii="Arial" w:eastAsia="SimSun" w:hAnsi="Arial" w:cs="Arial"/>
      <w:bCs/>
      <w:color w:val="008000"/>
      <w:sz w:val="22"/>
      <w:szCs w:val="26"/>
      <w:u w:val="single"/>
      <w:lang w:val="fr-FR"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432841"/>
    <w:pPr>
      <w:ind w:left="720"/>
      <w:contextualSpacing/>
    </w:pPr>
  </w:style>
  <w:style w:type="paragraph" w:customStyle="1" w:styleId="Endofdocument-Annex">
    <w:name w:val="[End of document - Annex]"/>
    <w:basedOn w:val="Normal"/>
    <w:link w:val="Endofdocument-AnnexChar"/>
    <w:rsid w:val="00432841"/>
    <w:pPr>
      <w:ind w:left="5534"/>
    </w:pPr>
    <w:rPr>
      <w:lang w:val="en-US"/>
    </w:r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odyText">
    <w:name w:val="Body Text"/>
    <w:basedOn w:val="Normal"/>
    <w:link w:val="BodyTextChar"/>
    <w:rsid w:val="00432841"/>
    <w:pPr>
      <w:spacing w:after="220"/>
    </w:pPr>
  </w:style>
  <w:style w:type="character" w:customStyle="1" w:styleId="BodyTextChar">
    <w:name w:val="Body Text Char"/>
    <w:basedOn w:val="DefaultParagraphFont"/>
    <w:link w:val="BodyText"/>
    <w:rsid w:val="00432841"/>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432841"/>
    <w:rPr>
      <w:rFonts w:ascii="Arial" w:eastAsia="SimSun" w:hAnsi="Arial" w:cs="Arial"/>
      <w:sz w:val="18"/>
      <w:lang w:val="fr-CH" w:eastAsia="zh-CN"/>
    </w:rPr>
  </w:style>
  <w:style w:type="character" w:customStyle="1" w:styleId="FooterChar">
    <w:name w:val="Footer Char"/>
    <w:basedOn w:val="DefaultParagraphFont"/>
    <w:link w:val="Footer"/>
    <w:semiHidden/>
    <w:rsid w:val="00432841"/>
    <w:rPr>
      <w:rFonts w:ascii="Arial" w:eastAsia="SimSun" w:hAnsi="Arial" w:cs="Arial"/>
      <w:sz w:val="22"/>
      <w:lang w:val="fr-CH" w:eastAsia="zh-CN"/>
    </w:rPr>
  </w:style>
  <w:style w:type="character" w:customStyle="1" w:styleId="Heading2Char">
    <w:name w:val="Heading 2 Char"/>
    <w:basedOn w:val="DefaultParagraphFont"/>
    <w:link w:val="Heading2"/>
    <w:rsid w:val="008139DE"/>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432841"/>
    <w:rPr>
      <w:rFonts w:ascii="Arial" w:eastAsia="SimSun" w:hAnsi="Arial" w:cs="Arial"/>
      <w:bCs/>
      <w:i/>
      <w:sz w:val="22"/>
      <w:szCs w:val="28"/>
      <w:lang w:val="fr-CH" w:eastAsia="zh-CN"/>
    </w:rPr>
  </w:style>
  <w:style w:type="paragraph" w:customStyle="1" w:styleId="Meetingplacedate">
    <w:name w:val="Meeting place &amp; date"/>
    <w:basedOn w:val="Normal"/>
    <w:next w:val="Normal"/>
    <w:rsid w:val="0043284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32841"/>
    <w:pPr>
      <w:spacing w:line="336" w:lineRule="exact"/>
      <w:ind w:left="1021"/>
    </w:pPr>
    <w:rPr>
      <w:rFonts w:eastAsia="Times New Roman" w:cs="Times New Roman"/>
      <w:b/>
      <w:sz w:val="28"/>
      <w:lang w:val="fr-FR" w:eastAsia="en-US"/>
    </w:rPr>
  </w:style>
  <w:style w:type="paragraph" w:customStyle="1" w:styleId="ONUMFS">
    <w:name w:val="ONUM FS"/>
    <w:basedOn w:val="BodyText"/>
    <w:rsid w:val="00432841"/>
    <w:pPr>
      <w:numPr>
        <w:numId w:val="40"/>
      </w:numPr>
    </w:pPr>
  </w:style>
  <w:style w:type="character" w:customStyle="1" w:styleId="SalutationChar">
    <w:name w:val="Salutation Char"/>
    <w:basedOn w:val="DefaultParagraphFont"/>
    <w:link w:val="Salutation"/>
    <w:semiHidden/>
    <w:rsid w:val="00432841"/>
    <w:rPr>
      <w:rFonts w:ascii="Arial" w:eastAsia="SimSun" w:hAnsi="Arial" w:cs="Arial"/>
      <w:sz w:val="22"/>
      <w:lang w:val="fr-CH" w:eastAsia="zh-CN"/>
    </w:rPr>
  </w:style>
  <w:style w:type="character" w:customStyle="1" w:styleId="SignatureChar">
    <w:name w:val="Signature Char"/>
    <w:basedOn w:val="DefaultParagraphFont"/>
    <w:link w:val="Signature"/>
    <w:semiHidden/>
    <w:rsid w:val="00432841"/>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fr/doc_details.jsp?doc_id=252504" TargetMode="External"/><Relationship Id="rId22" Type="http://schemas.openxmlformats.org/officeDocument/2006/relationships/hyperlink" Target="https://www.youtube.com/watch?v=Xtzeu6yp_X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18BE-D408-4A2C-BD90-1EF1E989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36</Pages>
  <Words>13453</Words>
  <Characters>75610</Characters>
  <Application>Microsoft Office Word</Application>
  <DocSecurity>0</DocSecurity>
  <Lines>1260</Lines>
  <Paragraphs>614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88449</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OLIVIÉ Karen</cp:lastModifiedBy>
  <cp:revision>12</cp:revision>
  <cp:lastPrinted>2017-03-03T15:44:00Z</cp:lastPrinted>
  <dcterms:created xsi:type="dcterms:W3CDTF">2017-03-27T05:56:00Z</dcterms:created>
  <dcterms:modified xsi:type="dcterms:W3CDTF">2017-03-27T09:26:00Z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