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92436" w:rsidRPr="00892436" w:rsidTr="009420E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F479F" w:rsidRPr="00892436" w:rsidRDefault="003F479F" w:rsidP="00EB2EBA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F479F" w:rsidRPr="00892436" w:rsidRDefault="003F479F" w:rsidP="00EB2EBA">
            <w:r w:rsidRPr="00892436">
              <w:rPr>
                <w:noProof/>
                <w:lang w:eastAsia="fr-FR"/>
              </w:rPr>
              <w:drawing>
                <wp:inline distT="0" distB="0" distL="0" distR="0" wp14:anchorId="48F94D34" wp14:editId="1F1395A4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F479F" w:rsidRPr="00892436" w:rsidRDefault="003F479F" w:rsidP="00EB2EBA">
            <w:pPr>
              <w:jc w:val="right"/>
            </w:pPr>
            <w:r w:rsidRPr="00892436">
              <w:rPr>
                <w:b/>
                <w:sz w:val="40"/>
                <w:szCs w:val="40"/>
              </w:rPr>
              <w:t>F</w:t>
            </w:r>
          </w:p>
        </w:tc>
      </w:tr>
      <w:tr w:rsidR="00892436" w:rsidRPr="00892436" w:rsidTr="009420EB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F479F" w:rsidRPr="00892436" w:rsidRDefault="003F479F" w:rsidP="00EB2EB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92436">
              <w:rPr>
                <w:rFonts w:ascii="Arial Black" w:hAnsi="Arial Black"/>
                <w:caps/>
                <w:sz w:val="15"/>
              </w:rPr>
              <w:t>CDIP/19/</w:t>
            </w:r>
            <w:bookmarkStart w:id="1" w:name="Code"/>
            <w:bookmarkEnd w:id="1"/>
            <w:r w:rsidRPr="00892436"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892436" w:rsidRPr="00892436" w:rsidTr="009420E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F479F" w:rsidRPr="00892436" w:rsidRDefault="003F479F" w:rsidP="00EB2EB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92436">
              <w:rPr>
                <w:rFonts w:ascii="Arial Black" w:hAnsi="Arial Black"/>
                <w:caps/>
                <w:sz w:val="15"/>
              </w:rPr>
              <w:t xml:space="preserve">ORIGINAL : </w:t>
            </w:r>
            <w:bookmarkStart w:id="2" w:name="Original"/>
            <w:bookmarkEnd w:id="2"/>
            <w:r w:rsidRPr="00892436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3F479F" w:rsidRPr="00892436" w:rsidTr="009420E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F479F" w:rsidRPr="00892436" w:rsidRDefault="003F479F" w:rsidP="00EB2EB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92436">
              <w:rPr>
                <w:rFonts w:ascii="Arial Black" w:hAnsi="Arial Black"/>
                <w:caps/>
                <w:sz w:val="15"/>
              </w:rPr>
              <w:t xml:space="preserve">DATE : </w:t>
            </w:r>
            <w:bookmarkStart w:id="3" w:name="Date"/>
            <w:bookmarkEnd w:id="3"/>
            <w:r w:rsidRPr="00892436">
              <w:rPr>
                <w:rFonts w:ascii="Arial Black" w:hAnsi="Arial Black"/>
                <w:caps/>
                <w:sz w:val="15"/>
              </w:rPr>
              <w:t>22 mars 2017</w:t>
            </w:r>
          </w:p>
        </w:tc>
      </w:tr>
    </w:tbl>
    <w:p w:rsidR="003F479F" w:rsidRPr="00892436" w:rsidRDefault="003F479F" w:rsidP="00EB2EBA"/>
    <w:p w:rsidR="003F479F" w:rsidRPr="00892436" w:rsidRDefault="003F479F" w:rsidP="00EB2EBA"/>
    <w:p w:rsidR="003F479F" w:rsidRPr="00892436" w:rsidRDefault="003F479F" w:rsidP="00EB2EBA"/>
    <w:p w:rsidR="003F479F" w:rsidRPr="00892436" w:rsidRDefault="003F479F" w:rsidP="00EB2EBA"/>
    <w:p w:rsidR="003F479F" w:rsidRPr="00892436" w:rsidRDefault="003F479F" w:rsidP="00EB2EBA"/>
    <w:p w:rsidR="003F479F" w:rsidRPr="00892436" w:rsidRDefault="003F479F" w:rsidP="00EB2EBA">
      <w:pPr>
        <w:rPr>
          <w:b/>
          <w:sz w:val="28"/>
          <w:szCs w:val="28"/>
        </w:rPr>
      </w:pPr>
      <w:r w:rsidRPr="00892436">
        <w:rPr>
          <w:b/>
          <w:sz w:val="28"/>
          <w:szCs w:val="28"/>
        </w:rPr>
        <w:t>Comité du développement et de la propriété intellectuelle (CDIP)</w:t>
      </w:r>
    </w:p>
    <w:p w:rsidR="003F479F" w:rsidRPr="00892436" w:rsidRDefault="003F479F" w:rsidP="00EB2EBA"/>
    <w:p w:rsidR="003F479F" w:rsidRPr="00892436" w:rsidRDefault="003F479F" w:rsidP="00EB2EBA"/>
    <w:p w:rsidR="003F479F" w:rsidRPr="00892436" w:rsidRDefault="003F479F" w:rsidP="00EB2EBA">
      <w:pPr>
        <w:rPr>
          <w:b/>
          <w:sz w:val="24"/>
          <w:szCs w:val="24"/>
        </w:rPr>
      </w:pPr>
      <w:r w:rsidRPr="00892436">
        <w:rPr>
          <w:b/>
          <w:sz w:val="24"/>
          <w:szCs w:val="24"/>
        </w:rPr>
        <w:t>Dix</w:t>
      </w:r>
      <w:r w:rsidR="00892436" w:rsidRPr="00892436">
        <w:rPr>
          <w:b/>
          <w:sz w:val="24"/>
          <w:szCs w:val="24"/>
        </w:rPr>
        <w:noBreakHyphen/>
      </w:r>
      <w:r w:rsidRPr="00892436">
        <w:rPr>
          <w:b/>
          <w:sz w:val="24"/>
          <w:szCs w:val="24"/>
        </w:rPr>
        <w:t>neuvième session</w:t>
      </w:r>
    </w:p>
    <w:p w:rsidR="003F479F" w:rsidRPr="00892436" w:rsidRDefault="003F479F" w:rsidP="00EB2EBA">
      <w:pPr>
        <w:rPr>
          <w:b/>
          <w:sz w:val="24"/>
          <w:szCs w:val="24"/>
        </w:rPr>
      </w:pPr>
      <w:r w:rsidRPr="00892436">
        <w:rPr>
          <w:b/>
          <w:sz w:val="24"/>
          <w:szCs w:val="24"/>
        </w:rPr>
        <w:t>Genève, 15 – 19 mai 2017</w:t>
      </w:r>
    </w:p>
    <w:p w:rsidR="003F479F" w:rsidRPr="00892436" w:rsidRDefault="003F479F" w:rsidP="00EB2EBA"/>
    <w:p w:rsidR="003F479F" w:rsidRPr="00892436" w:rsidRDefault="003F479F" w:rsidP="00EB2EBA"/>
    <w:p w:rsidR="003F479F" w:rsidRPr="00892436" w:rsidRDefault="003F479F" w:rsidP="00EB2EBA"/>
    <w:p w:rsidR="003F479F" w:rsidRPr="00892436" w:rsidRDefault="003F479F" w:rsidP="00EB2EBA">
      <w:pPr>
        <w:rPr>
          <w:caps/>
          <w:sz w:val="24"/>
        </w:rPr>
      </w:pPr>
      <w:r w:rsidRPr="00892436">
        <w:rPr>
          <w:caps/>
          <w:sz w:val="24"/>
        </w:rPr>
        <w:t>Améliorations possibles de la page Web de l’OMPI relative à</w:t>
      </w:r>
      <w:r w:rsidR="001D1E6F">
        <w:rPr>
          <w:caps/>
          <w:sz w:val="24"/>
        </w:rPr>
        <w:t> </w:t>
      </w:r>
      <w:r w:rsidRPr="00892436">
        <w:rPr>
          <w:caps/>
          <w:sz w:val="24"/>
        </w:rPr>
        <w:t>l’assistance technique</w:t>
      </w:r>
    </w:p>
    <w:p w:rsidR="00517D80" w:rsidRPr="00892436" w:rsidRDefault="00517D80" w:rsidP="00EB2EBA"/>
    <w:p w:rsidR="00517D80" w:rsidRPr="00892436" w:rsidRDefault="00015E90" w:rsidP="00EB2EBA">
      <w:pPr>
        <w:rPr>
          <w:i/>
        </w:rPr>
      </w:pPr>
      <w:bookmarkStart w:id="4" w:name="Prepared"/>
      <w:bookmarkEnd w:id="4"/>
      <w:r w:rsidRPr="00892436">
        <w:rPr>
          <w:i/>
        </w:rPr>
        <w:t>Document établi par le Secrétariat</w:t>
      </w:r>
    </w:p>
    <w:p w:rsidR="00517D80" w:rsidRPr="00892436" w:rsidRDefault="00517D80" w:rsidP="00EB2EBA"/>
    <w:p w:rsidR="00517D80" w:rsidRPr="00892436" w:rsidRDefault="00517D80" w:rsidP="00EB2EBA"/>
    <w:p w:rsidR="00517D80" w:rsidRPr="00892436" w:rsidRDefault="00517D80" w:rsidP="00EB2EBA"/>
    <w:p w:rsidR="00517D80" w:rsidRPr="00892436" w:rsidRDefault="00517D80" w:rsidP="00EB2EBA"/>
    <w:p w:rsidR="00517D80" w:rsidRPr="00892436" w:rsidRDefault="00517D80" w:rsidP="00EB2EBA"/>
    <w:p w:rsidR="003F479F" w:rsidRPr="00892436" w:rsidRDefault="00015E90" w:rsidP="00EB2EBA">
      <w:pPr>
        <w:pStyle w:val="ONUMFS"/>
      </w:pPr>
      <w:r w:rsidRPr="00892436">
        <w:t xml:space="preserve">Le présent document répond à la demande adressée par le Comité du développement et de la propriété intellectuelle (CDIP) au Secrétariat en vue </w:t>
      </w:r>
      <w:r w:rsidR="003B64EC" w:rsidRPr="00892436">
        <w:t>“</w:t>
      </w:r>
      <w:r w:rsidRPr="00892436">
        <w:t xml:space="preserve">de réfléchir et de faire rapport sur les améliorations possibles de la section de la </w:t>
      </w:r>
      <w:r w:rsidR="003F479F" w:rsidRPr="00892436">
        <w:t>page W</w:t>
      </w:r>
      <w:r w:rsidRPr="00892436">
        <w:t>eb dédiée à la communication à propos des activités de l</w:t>
      </w:r>
      <w:r w:rsidR="003F479F" w:rsidRPr="00892436">
        <w:t>’</w:t>
      </w:r>
      <w:r w:rsidRPr="00892436">
        <w:t>OMPI relatives à l</w:t>
      </w:r>
      <w:r w:rsidR="003F479F" w:rsidRPr="00892436">
        <w:t>’</w:t>
      </w:r>
      <w:r w:rsidRPr="00892436">
        <w:t>assistance technique</w:t>
      </w:r>
      <w:r w:rsidR="003B64EC" w:rsidRPr="00892436">
        <w:t>”.</w:t>
      </w:r>
      <w:r w:rsidR="00CB57B3" w:rsidRPr="00892436">
        <w:t xml:space="preserve">  </w:t>
      </w:r>
      <w:r w:rsidR="00E379B6" w:rsidRPr="00892436">
        <w:t>Cette</w:t>
      </w:r>
      <w:r w:rsidR="00545341" w:rsidRPr="00892436">
        <w:t xml:space="preserve"> demande a été formulée dans le cadre de la décision du </w:t>
      </w:r>
      <w:r w:rsidR="00892436" w:rsidRPr="00892436">
        <w:t>c</w:t>
      </w:r>
      <w:r w:rsidR="00545341" w:rsidRPr="00892436">
        <w:t>omité au sujet de l</w:t>
      </w:r>
      <w:r w:rsidR="003F479F" w:rsidRPr="00892436">
        <w:t>’</w:t>
      </w:r>
      <w:r w:rsidR="00545341" w:rsidRPr="00892436">
        <w:t>étude extérieure sur l</w:t>
      </w:r>
      <w:r w:rsidR="003F479F" w:rsidRPr="00892436">
        <w:t>’</w:t>
      </w:r>
      <w:r w:rsidR="00545341" w:rsidRPr="00892436">
        <w:t>assistance technique fournie par l</w:t>
      </w:r>
      <w:r w:rsidR="003F479F" w:rsidRPr="00892436">
        <w:t>’</w:t>
      </w:r>
      <w:r w:rsidR="00545341" w:rsidRPr="00892436">
        <w:t>OMPI</w:t>
      </w:r>
      <w:r w:rsidR="0045499A" w:rsidRPr="00892436">
        <w:t>,</w:t>
      </w:r>
      <w:r w:rsidR="00545341" w:rsidRPr="00892436">
        <w:t xml:space="preserve"> figurant au </w:t>
      </w:r>
      <w:r w:rsidR="003F479F" w:rsidRPr="00892436">
        <w:t>paragraphe 6</w:t>
      </w:r>
      <w:r w:rsidR="00545341" w:rsidRPr="00892436">
        <w:t xml:space="preserve"> de l</w:t>
      </w:r>
      <w:r w:rsidR="003F479F" w:rsidRPr="00892436">
        <w:t>’</w:t>
      </w:r>
      <w:r w:rsidR="00545341" w:rsidRPr="00892436">
        <w:t>appendice I du résumé présenté par le président de la dix</w:t>
      </w:r>
      <w:r w:rsidR="00892436" w:rsidRPr="00892436">
        <w:noBreakHyphen/>
      </w:r>
      <w:r w:rsidR="00545341" w:rsidRPr="00892436">
        <w:t>sept</w:t>
      </w:r>
      <w:r w:rsidR="003F479F" w:rsidRPr="00892436">
        <w:t>ième session du CDI</w:t>
      </w:r>
      <w:r w:rsidR="00545341" w:rsidRPr="00892436">
        <w:t>P.</w:t>
      </w:r>
    </w:p>
    <w:p w:rsidR="003F479F" w:rsidRPr="00892436" w:rsidRDefault="0045499A" w:rsidP="00EB2EBA">
      <w:pPr>
        <w:pStyle w:val="ONUMFS"/>
      </w:pPr>
      <w:r w:rsidRPr="00892436">
        <w:t>L</w:t>
      </w:r>
      <w:r w:rsidR="003F479F" w:rsidRPr="00892436">
        <w:t>’</w:t>
      </w:r>
      <w:r w:rsidRPr="00892436">
        <w:t xml:space="preserve">actuel </w:t>
      </w:r>
      <w:r w:rsidR="00545341" w:rsidRPr="00892436">
        <w:t>site</w:t>
      </w:r>
      <w:r w:rsidR="003B64EC" w:rsidRPr="00892436">
        <w:t> </w:t>
      </w:r>
      <w:r w:rsidR="00545341" w:rsidRPr="00892436">
        <w:t>Web de l</w:t>
      </w:r>
      <w:r w:rsidR="003F479F" w:rsidRPr="00892436">
        <w:t>’</w:t>
      </w:r>
      <w:r w:rsidR="00545341" w:rsidRPr="00892436">
        <w:t xml:space="preserve">OMPI a été mis au point </w:t>
      </w:r>
      <w:r w:rsidR="003F479F" w:rsidRPr="00892436">
        <w:t>en 2013</w:t>
      </w:r>
      <w:r w:rsidR="00545341" w:rsidRPr="00892436">
        <w:t xml:space="preserve"> dans le but de répondre à la nouvelle politique stratégique et aux </w:t>
      </w:r>
      <w:r w:rsidR="00E379B6" w:rsidRPr="00892436">
        <w:t>orientations</w:t>
      </w:r>
      <w:r w:rsidR="00545341" w:rsidRPr="00892436">
        <w:t xml:space="preserve"> opérationnelles introduites par l</w:t>
      </w:r>
      <w:r w:rsidR="003F479F" w:rsidRPr="00892436">
        <w:t>’</w:t>
      </w:r>
      <w:r w:rsidR="00545341" w:rsidRPr="00892436">
        <w:t>Organisati</w:t>
      </w:r>
      <w:r w:rsidR="00892436" w:rsidRPr="00892436">
        <w:t>on.  La</w:t>
      </w:r>
      <w:r w:rsidR="00545341" w:rsidRPr="00892436">
        <w:t xml:space="preserve"> structure de l</w:t>
      </w:r>
      <w:r w:rsidR="003F479F" w:rsidRPr="00892436">
        <w:t>’</w:t>
      </w:r>
      <w:r w:rsidR="00545341" w:rsidRPr="00892436">
        <w:t>information du nouveau site</w:t>
      </w:r>
      <w:r w:rsidR="003B64EC" w:rsidRPr="00892436">
        <w:t> </w:t>
      </w:r>
      <w:r w:rsidR="00545341" w:rsidRPr="00892436">
        <w:t>Web est fondée sur cinq</w:t>
      </w:r>
      <w:r w:rsidR="003B64EC" w:rsidRPr="00892436">
        <w:t> </w:t>
      </w:r>
      <w:r w:rsidR="00545341" w:rsidRPr="00892436">
        <w:t xml:space="preserve">rubriques principales intitulées </w:t>
      </w:r>
      <w:r w:rsidR="003B64EC" w:rsidRPr="00892436">
        <w:t>“</w:t>
      </w:r>
      <w:r w:rsidR="00545341" w:rsidRPr="00892436">
        <w:t xml:space="preserve">Services de </w:t>
      </w:r>
      <w:proofErr w:type="spellStart"/>
      <w:r w:rsidR="00545341" w:rsidRPr="00892436">
        <w:t>P.I</w:t>
      </w:r>
      <w:proofErr w:type="spellEnd"/>
      <w:r w:rsidR="00545341" w:rsidRPr="00892436">
        <w:t>.</w:t>
      </w:r>
      <w:r w:rsidR="003B64EC" w:rsidRPr="00892436">
        <w:t>”</w:t>
      </w:r>
      <w:r w:rsidR="00545341" w:rsidRPr="00892436">
        <w:t xml:space="preserve">, </w:t>
      </w:r>
      <w:r w:rsidR="003B64EC" w:rsidRPr="00892436">
        <w:t>“</w:t>
      </w:r>
      <w:r w:rsidR="00545341" w:rsidRPr="00892436">
        <w:t>Politiques</w:t>
      </w:r>
      <w:r w:rsidR="003B64EC" w:rsidRPr="00892436">
        <w:t>”</w:t>
      </w:r>
      <w:r w:rsidR="00545341" w:rsidRPr="00892436">
        <w:t xml:space="preserve">, </w:t>
      </w:r>
      <w:r w:rsidR="003B64EC" w:rsidRPr="00892436">
        <w:t>“</w:t>
      </w:r>
      <w:r w:rsidR="00545341" w:rsidRPr="00892436">
        <w:t>Coopération</w:t>
      </w:r>
      <w:r w:rsidR="003B64EC" w:rsidRPr="00892436">
        <w:t>”</w:t>
      </w:r>
      <w:r w:rsidR="00545341" w:rsidRPr="00892436">
        <w:t xml:space="preserve">, </w:t>
      </w:r>
      <w:r w:rsidR="003B64EC" w:rsidRPr="00892436">
        <w:t>“</w:t>
      </w:r>
      <w:r w:rsidR="00545341" w:rsidRPr="00892436">
        <w:t>Références</w:t>
      </w:r>
      <w:r w:rsidR="003B64EC" w:rsidRPr="00892436">
        <w:t>”</w:t>
      </w:r>
      <w:r w:rsidR="00545341" w:rsidRPr="00892436">
        <w:t xml:space="preserve">, </w:t>
      </w:r>
      <w:r w:rsidR="003B64EC" w:rsidRPr="00892436">
        <w:t>“</w:t>
      </w:r>
      <w:r w:rsidR="00545341" w:rsidRPr="00892436">
        <w:t xml:space="preserve">Tout sur la </w:t>
      </w:r>
      <w:proofErr w:type="spellStart"/>
      <w:r w:rsidR="00545341" w:rsidRPr="00892436">
        <w:t>P.I</w:t>
      </w:r>
      <w:proofErr w:type="spellEnd"/>
      <w:r w:rsidR="00545341" w:rsidRPr="00892436">
        <w:t>.</w:t>
      </w:r>
      <w:r w:rsidR="003B64EC" w:rsidRPr="00892436">
        <w:t>”</w:t>
      </w:r>
      <w:r w:rsidR="00545341" w:rsidRPr="00892436">
        <w:t xml:space="preserve"> et </w:t>
      </w:r>
      <w:r w:rsidR="003B64EC" w:rsidRPr="00892436">
        <w:t>“</w:t>
      </w:r>
      <w:r w:rsidR="00545341" w:rsidRPr="00892436">
        <w:t>L</w:t>
      </w:r>
      <w:r w:rsidR="003F479F" w:rsidRPr="00892436">
        <w:t>’</w:t>
      </w:r>
      <w:r w:rsidR="00545341" w:rsidRPr="00892436">
        <w:t>OMPI</w:t>
      </w:r>
      <w:r w:rsidR="003B64EC" w:rsidRPr="00892436">
        <w:t>”</w:t>
      </w:r>
      <w:r w:rsidR="00545341" w:rsidRPr="00892436">
        <w:t>.</w:t>
      </w:r>
    </w:p>
    <w:p w:rsidR="003F479F" w:rsidRPr="00892436" w:rsidRDefault="00CC3EEB" w:rsidP="00EB2EBA">
      <w:pPr>
        <w:pStyle w:val="ONUMFS"/>
      </w:pPr>
      <w:r w:rsidRPr="00892436">
        <w:t>Cette structure, qui a été élaborée avec l</w:t>
      </w:r>
      <w:r w:rsidR="003F479F" w:rsidRPr="00892436">
        <w:t>’</w:t>
      </w:r>
      <w:r w:rsidRPr="00892436">
        <w:t xml:space="preserve">aide de certains des meilleurs experts mondiaux en la matière, est adaptée aux besoins </w:t>
      </w:r>
      <w:r w:rsidR="00C04A1F" w:rsidRPr="00892436">
        <w:t>d</w:t>
      </w:r>
      <w:r w:rsidR="003F479F" w:rsidRPr="00892436">
        <w:t>’</w:t>
      </w:r>
      <w:r w:rsidR="00C04A1F" w:rsidRPr="00892436">
        <w:t xml:space="preserve">information </w:t>
      </w:r>
      <w:r w:rsidRPr="00892436">
        <w:t xml:space="preserve">de certains profils déterminés sur </w:t>
      </w:r>
      <w:r w:rsidR="00C04A1F" w:rsidRPr="00892436">
        <w:t>la base d</w:t>
      </w:r>
      <w:r w:rsidRPr="00892436">
        <w:t>es exigences des É</w:t>
      </w:r>
      <w:r w:rsidR="00C04A1F" w:rsidRPr="00892436">
        <w:t>tats membres, des part</w:t>
      </w:r>
      <w:r w:rsidR="0045499A" w:rsidRPr="00892436">
        <w:t>ies prenantes des secteurs public</w:t>
      </w:r>
      <w:r w:rsidR="008D304B" w:rsidRPr="00892436">
        <w:t xml:space="preserve"> et </w:t>
      </w:r>
      <w:r w:rsidR="00C04A1F" w:rsidRPr="00892436">
        <w:t>privé</w:t>
      </w:r>
      <w:r w:rsidRPr="00892436">
        <w:t>, de la communauté universitaire, des spécialistes de la propriété intellectuelle, des donateurs potentiels, de la société civile et du public dans son ensemb</w:t>
      </w:r>
      <w:r w:rsidR="00892436" w:rsidRPr="00892436">
        <w:t>le.  Vo</w:t>
      </w:r>
      <w:r w:rsidR="0090076B" w:rsidRPr="00892436">
        <w:t>ici les profils représentés</w:t>
      </w:r>
      <w:r w:rsidR="003B64EC" w:rsidRPr="00892436">
        <w:t> </w:t>
      </w:r>
      <w:r w:rsidR="0090076B" w:rsidRPr="00892436">
        <w:t>: 1.</w:t>
      </w:r>
      <w:r w:rsidR="00892436" w:rsidRPr="00892436">
        <w:t> </w:t>
      </w:r>
      <w:r w:rsidR="0090076B" w:rsidRPr="00892436">
        <w:t xml:space="preserve">Clients existants; </w:t>
      </w:r>
      <w:r w:rsidR="003B64EC" w:rsidRPr="00892436">
        <w:t xml:space="preserve"> </w:t>
      </w:r>
      <w:r w:rsidR="0090076B" w:rsidRPr="00892436">
        <w:t>2.</w:t>
      </w:r>
      <w:r w:rsidR="00892436" w:rsidRPr="00892436">
        <w:t> </w:t>
      </w:r>
      <w:r w:rsidR="0090076B" w:rsidRPr="00892436">
        <w:t xml:space="preserve">Clients potentiels; </w:t>
      </w:r>
      <w:r w:rsidR="003B64EC" w:rsidRPr="00892436">
        <w:t xml:space="preserve"> </w:t>
      </w:r>
      <w:r w:rsidR="0090076B" w:rsidRPr="00892436">
        <w:t>3.</w:t>
      </w:r>
      <w:r w:rsidR="00892436" w:rsidRPr="00892436">
        <w:t> </w:t>
      </w:r>
      <w:r w:rsidR="0090076B" w:rsidRPr="00892436">
        <w:t xml:space="preserve">Personnes </w:t>
      </w:r>
      <w:r w:rsidR="00E379B6" w:rsidRPr="00892436">
        <w:t>chargées</w:t>
      </w:r>
      <w:r w:rsidR="0090076B" w:rsidRPr="00892436">
        <w:t xml:space="preserve"> des politiques et des opérations; </w:t>
      </w:r>
      <w:r w:rsidR="003B64EC" w:rsidRPr="00892436">
        <w:t xml:space="preserve"> </w:t>
      </w:r>
      <w:r w:rsidR="0090076B" w:rsidRPr="00892436">
        <w:t>4.</w:t>
      </w:r>
      <w:r w:rsidR="00892436" w:rsidRPr="00892436">
        <w:t> </w:t>
      </w:r>
      <w:r w:rsidR="0090076B" w:rsidRPr="00892436">
        <w:t>Personnes souhaitant obtenir des renseignemen</w:t>
      </w:r>
      <w:r w:rsidR="00892436" w:rsidRPr="00892436">
        <w:t>ts.  Le</w:t>
      </w:r>
      <w:r w:rsidR="0090076B" w:rsidRPr="00892436">
        <w:t xml:space="preserve"> site</w:t>
      </w:r>
      <w:r w:rsidR="003B64EC" w:rsidRPr="00892436">
        <w:t> </w:t>
      </w:r>
      <w:r w:rsidR="0090076B" w:rsidRPr="00892436">
        <w:t xml:space="preserve">Web a aussi été modifié afin </w:t>
      </w:r>
      <w:r w:rsidR="00D91DAB" w:rsidRPr="00892436">
        <w:t>de</w:t>
      </w:r>
      <w:r w:rsidR="0090076B" w:rsidRPr="00892436">
        <w:t xml:space="preserve"> s</w:t>
      </w:r>
      <w:r w:rsidR="003F479F" w:rsidRPr="00892436">
        <w:t>’</w:t>
      </w:r>
      <w:r w:rsidR="0090076B" w:rsidRPr="00892436">
        <w:t>adapte</w:t>
      </w:r>
      <w:r w:rsidR="00D91DAB" w:rsidRPr="00892436">
        <w:t>r</w:t>
      </w:r>
      <w:r w:rsidR="0090076B" w:rsidRPr="00892436">
        <w:t xml:space="preserve"> automatiquement aux </w:t>
      </w:r>
      <w:r w:rsidR="00C04A1F" w:rsidRPr="00892436">
        <w:t>différents</w:t>
      </w:r>
      <w:r w:rsidR="0090076B" w:rsidRPr="00892436">
        <w:t xml:space="preserve"> appareils et navigateurs.</w:t>
      </w:r>
    </w:p>
    <w:p w:rsidR="003F479F" w:rsidRPr="00892436" w:rsidRDefault="00343FE2" w:rsidP="00EB2EBA">
      <w:pPr>
        <w:pStyle w:val="ONUMFS"/>
      </w:pPr>
      <w:r w:rsidRPr="00892436">
        <w:lastRenderedPageBreak/>
        <w:t>Dans cette architecture, l</w:t>
      </w:r>
      <w:r w:rsidR="003F479F" w:rsidRPr="00892436">
        <w:t>’</w:t>
      </w:r>
      <w:r w:rsidRPr="00892436">
        <w:t>accent est mis sur la facilité de navigation et l</w:t>
      </w:r>
      <w:r w:rsidR="003F479F" w:rsidRPr="00892436">
        <w:t>’</w:t>
      </w:r>
      <w:r w:rsidRPr="00892436">
        <w:t>accessibilité au lieu de refléter la structure organisationnelle de l</w:t>
      </w:r>
      <w:r w:rsidR="003F479F" w:rsidRPr="00892436">
        <w:t>’</w:t>
      </w:r>
      <w:r w:rsidRPr="00892436">
        <w:t>O</w:t>
      </w:r>
      <w:r w:rsidR="00892436" w:rsidRPr="00892436">
        <w:t>MPI.  Le</w:t>
      </w:r>
      <w:r w:rsidRPr="00892436">
        <w:t>s informations sont disponibles en fonction du contexte, ce qui veut dire que, dans certains cas, il est possible d</w:t>
      </w:r>
      <w:r w:rsidR="003F479F" w:rsidRPr="00892436">
        <w:t>’</w:t>
      </w:r>
      <w:r w:rsidRPr="00892436">
        <w:t>accéder à la</w:t>
      </w:r>
      <w:r w:rsidR="00C04A1F" w:rsidRPr="00892436">
        <w:t xml:space="preserve"> même </w:t>
      </w:r>
      <w:r w:rsidR="003F479F" w:rsidRPr="00892436">
        <w:t>page W</w:t>
      </w:r>
      <w:r w:rsidR="00C04A1F" w:rsidRPr="00892436">
        <w:t xml:space="preserve">eb depuis différentes </w:t>
      </w:r>
      <w:r w:rsidR="00D91DAB" w:rsidRPr="00892436">
        <w:t>rubriques</w:t>
      </w:r>
      <w:r w:rsidRPr="00892436">
        <w:t>.</w:t>
      </w:r>
    </w:p>
    <w:p w:rsidR="003F479F" w:rsidRPr="00892436" w:rsidRDefault="008861DE" w:rsidP="00EB2EBA">
      <w:pPr>
        <w:pStyle w:val="ONUMFS"/>
      </w:pPr>
      <w:r w:rsidRPr="00892436">
        <w:t xml:space="preserve">Dans le cadre de cette architecture, la plupart des informations concernant ce qui pourrait être considéré comme assistance technique et renforcement des capacités se trouvent dans la rubrique </w:t>
      </w:r>
      <w:r w:rsidR="003B64EC" w:rsidRPr="00892436">
        <w:t>“</w:t>
      </w:r>
      <w:r w:rsidRPr="00892436">
        <w:t>Coopération</w:t>
      </w:r>
      <w:r w:rsidR="003B64EC" w:rsidRPr="00892436">
        <w:t>”</w:t>
      </w:r>
      <w:r w:rsidRPr="00892436">
        <w:t>, laquelle contient trois</w:t>
      </w:r>
      <w:r w:rsidR="003B64EC" w:rsidRPr="00892436">
        <w:t> </w:t>
      </w:r>
      <w:r w:rsidRPr="00892436">
        <w:t>sous</w:t>
      </w:r>
      <w:r w:rsidR="00892436" w:rsidRPr="00892436">
        <w:noBreakHyphen/>
      </w:r>
      <w:r w:rsidRPr="00892436">
        <w:t>rubriques</w:t>
      </w:r>
      <w:r w:rsidR="003B64EC" w:rsidRPr="00892436">
        <w:t> :</w:t>
      </w:r>
      <w:r w:rsidRPr="00892436">
        <w:t xml:space="preserve"> </w:t>
      </w:r>
      <w:r w:rsidR="003B64EC" w:rsidRPr="00892436">
        <w:t>“</w:t>
      </w:r>
      <w:r w:rsidRPr="00892436">
        <w:t>Développement</w:t>
      </w:r>
      <w:r w:rsidR="003B64EC" w:rsidRPr="00892436">
        <w:t>”</w:t>
      </w:r>
      <w:r w:rsidRPr="00892436">
        <w:t xml:space="preserve">, </w:t>
      </w:r>
      <w:r w:rsidR="003B64EC" w:rsidRPr="00892436">
        <w:t>“</w:t>
      </w:r>
      <w:r w:rsidRPr="00892436">
        <w:t>Initiatives mondiales en matière de coopération</w:t>
      </w:r>
      <w:r w:rsidR="003B64EC" w:rsidRPr="00892436">
        <w:t>”</w:t>
      </w:r>
      <w:r w:rsidRPr="00892436">
        <w:t xml:space="preserve"> et </w:t>
      </w:r>
      <w:r w:rsidR="003B64EC" w:rsidRPr="00892436">
        <w:t>“</w:t>
      </w:r>
      <w:r w:rsidRPr="00892436">
        <w:t>Coopération avec</w:t>
      </w:r>
      <w:r w:rsidR="003F479F" w:rsidRPr="00892436">
        <w:t> </w:t>
      </w:r>
      <w:r w:rsidR="003B64EC" w:rsidRPr="00892436">
        <w:t>:”.</w:t>
      </w:r>
      <w:r w:rsidR="006E617D" w:rsidRPr="00892436">
        <w:t xml:space="preserve">  </w:t>
      </w:r>
      <w:r w:rsidRPr="00892436">
        <w:t>Voici une brève description des informations figurant dans cette rubrique</w:t>
      </w:r>
      <w:r w:rsidR="003B64EC" w:rsidRPr="00892436">
        <w:t> </w:t>
      </w:r>
      <w:r w:rsidRPr="00892436">
        <w:t>:</w:t>
      </w:r>
    </w:p>
    <w:p w:rsidR="00517D80" w:rsidRPr="00892436" w:rsidRDefault="008861DE" w:rsidP="00EB2EBA">
      <w:pPr>
        <w:pStyle w:val="ONUMFS"/>
        <w:numPr>
          <w:ilvl w:val="0"/>
          <w:numId w:val="0"/>
        </w:numPr>
        <w:ind w:left="567"/>
      </w:pPr>
      <w:r w:rsidRPr="00892436">
        <w:t>Coopération &gt; Développement</w:t>
      </w:r>
    </w:p>
    <w:p w:rsidR="003F479F" w:rsidRPr="00892436" w:rsidRDefault="008861DE" w:rsidP="00EB2EBA">
      <w:pPr>
        <w:pStyle w:val="ONUMFS"/>
        <w:numPr>
          <w:ilvl w:val="2"/>
          <w:numId w:val="6"/>
        </w:numPr>
        <w:tabs>
          <w:tab w:val="clear" w:pos="1701"/>
        </w:tabs>
        <w:ind w:left="567"/>
      </w:pPr>
      <w:r w:rsidRPr="00892436">
        <w:t>Plan d</w:t>
      </w:r>
      <w:r w:rsidR="003F479F" w:rsidRPr="00892436">
        <w:t>’</w:t>
      </w:r>
      <w:r w:rsidRPr="00892436">
        <w:t>action pour le développement</w:t>
      </w:r>
      <w:r w:rsidR="003F479F" w:rsidRPr="00892436">
        <w:t xml:space="preserve"> – </w:t>
      </w:r>
      <w:r w:rsidRPr="00892436">
        <w:t xml:space="preserve">donne des informations concernant la mise en </w:t>
      </w:r>
      <w:r w:rsidR="00E379B6" w:rsidRPr="00892436">
        <w:t>œuvre</w:t>
      </w:r>
      <w:r w:rsidRPr="00892436">
        <w:t xml:space="preserve"> des recommandations du plan d</w:t>
      </w:r>
      <w:r w:rsidR="003F479F" w:rsidRPr="00892436">
        <w:t>’</w:t>
      </w:r>
      <w:r w:rsidRPr="00892436">
        <w:t>action, notamment celles qui sont en lien avec le Groupe A sur l</w:t>
      </w:r>
      <w:r w:rsidR="003F479F" w:rsidRPr="00892436">
        <w:t>’</w:t>
      </w:r>
      <w:r w:rsidRPr="00892436">
        <w:t>assistance technique et</w:t>
      </w:r>
      <w:r w:rsidR="00F54295" w:rsidRPr="00892436">
        <w:t xml:space="preserve"> le</w:t>
      </w:r>
      <w:r w:rsidRPr="00892436">
        <w:t xml:space="preserve"> renforcement des capacités.</w:t>
      </w:r>
    </w:p>
    <w:p w:rsidR="003F479F" w:rsidRPr="00892436" w:rsidRDefault="00104555" w:rsidP="00EB2EBA">
      <w:pPr>
        <w:pStyle w:val="ONUMFS"/>
        <w:numPr>
          <w:ilvl w:val="2"/>
          <w:numId w:val="6"/>
        </w:numPr>
        <w:tabs>
          <w:tab w:val="clear" w:pos="1701"/>
        </w:tabs>
        <w:ind w:left="567"/>
      </w:pPr>
      <w:r w:rsidRPr="00892436">
        <w:t>Appui en faveur des activités des offices de propriété intellectuelle</w:t>
      </w:r>
      <w:r w:rsidR="003F479F" w:rsidRPr="00892436">
        <w:t xml:space="preserve"> – </w:t>
      </w:r>
      <w:r w:rsidRPr="00892436">
        <w:t xml:space="preserve">fournit une description et une liste détaillée des </w:t>
      </w:r>
      <w:r w:rsidR="003B64EC" w:rsidRPr="00892436">
        <w:t>“</w:t>
      </w:r>
      <w:r w:rsidRPr="00892436">
        <w:t>Solutions logicielles opérationnelles pour les offices de propriété intellectuelle</w:t>
      </w:r>
      <w:r w:rsidR="003B64EC" w:rsidRPr="00892436">
        <w:t>”.</w:t>
      </w:r>
      <w:r w:rsidR="00CB57B3" w:rsidRPr="00892436">
        <w:t xml:space="preserve"> </w:t>
      </w:r>
      <w:r w:rsidR="006E617D" w:rsidRPr="00892436">
        <w:t xml:space="preserve"> </w:t>
      </w:r>
      <w:r w:rsidR="00E379B6" w:rsidRPr="00892436">
        <w:t>Cette</w:t>
      </w:r>
      <w:r w:rsidRPr="00892436">
        <w:t xml:space="preserve"> section décrit aussi la </w:t>
      </w:r>
      <w:r w:rsidR="003B64EC" w:rsidRPr="00892436">
        <w:t>“</w:t>
      </w:r>
      <w:r w:rsidRPr="00892436">
        <w:t>Gestion de projet et méthodologie</w:t>
      </w:r>
      <w:r w:rsidR="003B64EC" w:rsidRPr="00892436">
        <w:t>”</w:t>
      </w:r>
      <w:r w:rsidRPr="00892436">
        <w:t xml:space="preserve"> appliquées et met en avant les principes qui gouvernent l</w:t>
      </w:r>
      <w:r w:rsidR="003F479F" w:rsidRPr="00892436">
        <w:t>’</w:t>
      </w:r>
      <w:r w:rsidRPr="00892436">
        <w:t>assistance de l</w:t>
      </w:r>
      <w:r w:rsidR="003F479F" w:rsidRPr="00892436">
        <w:t>’</w:t>
      </w:r>
      <w:r w:rsidRPr="00892436">
        <w:t>OMPI dans ce domaine.</w:t>
      </w:r>
    </w:p>
    <w:p w:rsidR="003F479F" w:rsidRPr="00892436" w:rsidRDefault="00F5313B" w:rsidP="00EB2EBA">
      <w:pPr>
        <w:pStyle w:val="ONUMFS"/>
        <w:numPr>
          <w:ilvl w:val="2"/>
          <w:numId w:val="6"/>
        </w:numPr>
        <w:tabs>
          <w:tab w:val="clear" w:pos="1701"/>
        </w:tabs>
        <w:ind w:left="567"/>
      </w:pPr>
      <w:r w:rsidRPr="00892436">
        <w:t>Renforcement des capacités</w:t>
      </w:r>
      <w:r w:rsidR="003F479F" w:rsidRPr="00892436">
        <w:t xml:space="preserve"> – </w:t>
      </w:r>
      <w:r w:rsidRPr="00892436">
        <w:t>comprend les activités inhérentes à l</w:t>
      </w:r>
      <w:r w:rsidR="003F479F" w:rsidRPr="00892436">
        <w:t>’</w:t>
      </w:r>
      <w:r w:rsidRPr="00892436">
        <w:t>assistance technique, telles que la formation aux aspects juridique, technique et pratique de la propriété intellectuel</w:t>
      </w:r>
      <w:r w:rsidR="00892436" w:rsidRPr="00892436">
        <w:t>le.  Ce</w:t>
      </w:r>
      <w:r w:rsidRPr="00892436">
        <w:t>tte sous</w:t>
      </w:r>
      <w:r w:rsidR="00892436" w:rsidRPr="00892436">
        <w:noBreakHyphen/>
      </w:r>
      <w:r w:rsidRPr="00892436">
        <w:t>rubrique contient également une liste des programmes de l</w:t>
      </w:r>
      <w:r w:rsidR="003F479F" w:rsidRPr="00892436">
        <w:t>’</w:t>
      </w:r>
      <w:r w:rsidRPr="00892436">
        <w:t>Académie de l</w:t>
      </w:r>
      <w:r w:rsidR="003F479F" w:rsidRPr="00892436">
        <w:t>’</w:t>
      </w:r>
      <w:r w:rsidRPr="00892436">
        <w:t>OMPI.</w:t>
      </w:r>
    </w:p>
    <w:p w:rsidR="003F479F" w:rsidRPr="00892436" w:rsidRDefault="00F5313B" w:rsidP="00EB2EBA">
      <w:pPr>
        <w:pStyle w:val="ONUMFS"/>
        <w:numPr>
          <w:ilvl w:val="2"/>
          <w:numId w:val="6"/>
        </w:numPr>
        <w:tabs>
          <w:tab w:val="clear" w:pos="1701"/>
        </w:tabs>
        <w:ind w:left="567"/>
      </w:pPr>
      <w:r w:rsidRPr="00892436">
        <w:t>Conseils législatifs et de politique générale</w:t>
      </w:r>
      <w:r w:rsidR="003F479F" w:rsidRPr="00892436">
        <w:t xml:space="preserve"> – </w:t>
      </w:r>
      <w:r w:rsidRPr="00892436">
        <w:t>recense les conseils donnés par l</w:t>
      </w:r>
      <w:r w:rsidR="003F479F" w:rsidRPr="00892436">
        <w:t>’</w:t>
      </w:r>
      <w:r w:rsidRPr="00892436">
        <w:t>OMPI concernant l</w:t>
      </w:r>
      <w:r w:rsidR="003F479F" w:rsidRPr="00892436">
        <w:t>’</w:t>
      </w:r>
      <w:r w:rsidRPr="00892436">
        <w:t>élaboration des lois et l</w:t>
      </w:r>
      <w:r w:rsidR="003F479F" w:rsidRPr="00892436">
        <w:t>’</w:t>
      </w:r>
      <w:r w:rsidRPr="00892436">
        <w:t>application des droits de propriété intellectuelle.</w:t>
      </w:r>
    </w:p>
    <w:p w:rsidR="003F479F" w:rsidRPr="00892436" w:rsidRDefault="00E379B6" w:rsidP="00EB2EBA">
      <w:pPr>
        <w:pStyle w:val="ONUMFS"/>
        <w:numPr>
          <w:ilvl w:val="2"/>
          <w:numId w:val="6"/>
        </w:numPr>
        <w:tabs>
          <w:tab w:val="clear" w:pos="1701"/>
        </w:tabs>
        <w:ind w:left="567"/>
      </w:pPr>
      <w:r w:rsidRPr="00892436">
        <w:t>Stratégies</w:t>
      </w:r>
      <w:r w:rsidR="00F54406" w:rsidRPr="00892436">
        <w:t xml:space="preserve"> de </w:t>
      </w:r>
      <w:proofErr w:type="spellStart"/>
      <w:r w:rsidR="00F54406" w:rsidRPr="00892436">
        <w:t>P.I</w:t>
      </w:r>
      <w:proofErr w:type="spellEnd"/>
      <w:r w:rsidR="00F54406" w:rsidRPr="00892436">
        <w:t>.</w:t>
      </w:r>
      <w:r w:rsidR="003F479F" w:rsidRPr="00892436">
        <w:t xml:space="preserve"> – </w:t>
      </w:r>
      <w:r w:rsidR="00F54406" w:rsidRPr="00892436">
        <w:t>donne des informations concernant l</w:t>
      </w:r>
      <w:r w:rsidR="003F479F" w:rsidRPr="00892436">
        <w:t>’</w:t>
      </w:r>
      <w:r w:rsidR="00F54406" w:rsidRPr="00892436">
        <w:t>assistance et la méthodologie proposées par l</w:t>
      </w:r>
      <w:r w:rsidR="003F479F" w:rsidRPr="00892436">
        <w:t>’</w:t>
      </w:r>
      <w:r w:rsidR="00F54406" w:rsidRPr="00892436">
        <w:t>OMPI pour l</w:t>
      </w:r>
      <w:r w:rsidR="003F479F" w:rsidRPr="00892436">
        <w:t>’</w:t>
      </w:r>
      <w:r w:rsidR="00F54406" w:rsidRPr="00892436">
        <w:t>élaboration de stratégies nationales de propriété intellectuelle.</w:t>
      </w:r>
    </w:p>
    <w:p w:rsidR="00517D80" w:rsidRPr="00892436" w:rsidRDefault="00F54406" w:rsidP="00EB2EBA">
      <w:pPr>
        <w:pStyle w:val="ONUMFS"/>
        <w:numPr>
          <w:ilvl w:val="0"/>
          <w:numId w:val="0"/>
        </w:numPr>
        <w:ind w:left="567"/>
      </w:pPr>
      <w:r w:rsidRPr="00892436">
        <w:t>Coopération &gt; Initiatives mondiales en matière de coopération</w:t>
      </w:r>
    </w:p>
    <w:p w:rsidR="00AA7E8D" w:rsidRPr="00892436" w:rsidRDefault="00AD09F4" w:rsidP="00EB2EBA">
      <w:pPr>
        <w:pStyle w:val="ONUMFS"/>
        <w:numPr>
          <w:ilvl w:val="2"/>
          <w:numId w:val="29"/>
        </w:numPr>
        <w:tabs>
          <w:tab w:val="clear" w:pos="1701"/>
        </w:tabs>
        <w:ind w:left="567"/>
      </w:pPr>
      <w:r w:rsidRPr="00892436">
        <w:t xml:space="preserve">Infrastructure de </w:t>
      </w:r>
      <w:proofErr w:type="spellStart"/>
      <w:r w:rsidRPr="00892436">
        <w:t>P.I</w:t>
      </w:r>
      <w:proofErr w:type="spellEnd"/>
      <w:r w:rsidRPr="00892436">
        <w:t>.</w:t>
      </w:r>
      <w:r w:rsidR="003F479F" w:rsidRPr="00892436">
        <w:t xml:space="preserve"> – </w:t>
      </w:r>
      <w:r w:rsidRPr="00892436">
        <w:t>donne accès à plusieurs bases de données qui facilitent les services d</w:t>
      </w:r>
      <w:r w:rsidR="003F479F" w:rsidRPr="00892436">
        <w:t>’</w:t>
      </w:r>
      <w:r w:rsidRPr="00892436">
        <w:t xml:space="preserve">assistance technique et de renforcement des capacités, tels que </w:t>
      </w:r>
      <w:r w:rsidR="00F54295" w:rsidRPr="00892436">
        <w:t>d</w:t>
      </w:r>
      <w:r w:rsidRPr="00892436">
        <w:t xml:space="preserve">es systèmes </w:t>
      </w:r>
      <w:r w:rsidR="00F54295" w:rsidRPr="00892436">
        <w:t>pour</w:t>
      </w:r>
      <w:r w:rsidRPr="00892436">
        <w:t xml:space="preserve"> les offices de propriété intellectuelle.</w:t>
      </w:r>
    </w:p>
    <w:p w:rsidR="00AA7E8D" w:rsidRPr="00892436" w:rsidRDefault="00AD09F4" w:rsidP="00EB2EBA">
      <w:pPr>
        <w:pStyle w:val="ONUMFS"/>
        <w:numPr>
          <w:ilvl w:val="2"/>
          <w:numId w:val="6"/>
        </w:numPr>
        <w:tabs>
          <w:tab w:val="clear" w:pos="1701"/>
        </w:tabs>
        <w:ind w:left="567"/>
      </w:pPr>
      <w:r w:rsidRPr="00892436">
        <w:t xml:space="preserve">Promouvoir le respect de la </w:t>
      </w:r>
      <w:proofErr w:type="spellStart"/>
      <w:r w:rsidRPr="00892436">
        <w:t>P.I</w:t>
      </w:r>
      <w:proofErr w:type="spellEnd"/>
      <w:r w:rsidRPr="00892436">
        <w:t>.</w:t>
      </w:r>
      <w:r w:rsidR="003F479F" w:rsidRPr="00892436">
        <w:t xml:space="preserve"> – </w:t>
      </w:r>
      <w:r w:rsidRPr="00892436">
        <w:t>décrit les travaux réalisés par l</w:t>
      </w:r>
      <w:r w:rsidR="003F479F" w:rsidRPr="00892436">
        <w:t>’</w:t>
      </w:r>
      <w:r w:rsidRPr="00892436">
        <w:t xml:space="preserve">OMPI pour accroître la compréhension et le respect de la propriété intellectuelle, notamment les activités de </w:t>
      </w:r>
      <w:r w:rsidR="003B64EC" w:rsidRPr="00892436">
        <w:t>“</w:t>
      </w:r>
      <w:r w:rsidRPr="00892436">
        <w:t>Sensibilisation</w:t>
      </w:r>
      <w:r w:rsidR="003B64EC" w:rsidRPr="00892436">
        <w:t>”</w:t>
      </w:r>
      <w:r w:rsidRPr="00892436">
        <w:t>.</w:t>
      </w:r>
    </w:p>
    <w:p w:rsidR="003F479F" w:rsidRPr="00892436" w:rsidRDefault="003B64EC" w:rsidP="00EB2EBA">
      <w:pPr>
        <w:pStyle w:val="ONUMFS"/>
        <w:numPr>
          <w:ilvl w:val="2"/>
          <w:numId w:val="6"/>
        </w:numPr>
        <w:tabs>
          <w:tab w:val="clear" w:pos="1701"/>
        </w:tabs>
        <w:ind w:left="567"/>
      </w:pPr>
      <w:proofErr w:type="spellStart"/>
      <w:r w:rsidRPr="00892436">
        <w:t>Plateformes</w:t>
      </w:r>
      <w:proofErr w:type="spellEnd"/>
      <w:r w:rsidR="00AD09F4" w:rsidRPr="00892436">
        <w:t xml:space="preserve"> regroupant plusieurs parties prenantes</w:t>
      </w:r>
      <w:r w:rsidR="003F479F" w:rsidRPr="00892436">
        <w:t xml:space="preserve"> – </w:t>
      </w:r>
      <w:proofErr w:type="gramStart"/>
      <w:r w:rsidR="00AD09F4" w:rsidRPr="00892436">
        <w:t>contient</w:t>
      </w:r>
      <w:proofErr w:type="gramEnd"/>
      <w:r w:rsidR="00AD09F4" w:rsidRPr="00892436">
        <w:t xml:space="preserve"> les liens vers les trois</w:t>
      </w:r>
      <w:r w:rsidRPr="00892436">
        <w:t> </w:t>
      </w:r>
      <w:proofErr w:type="spellStart"/>
      <w:r w:rsidRPr="00892436">
        <w:t>plateformes</w:t>
      </w:r>
      <w:proofErr w:type="spellEnd"/>
      <w:r w:rsidRPr="00892436">
        <w:t> </w:t>
      </w:r>
      <w:r w:rsidR="00AD09F4" w:rsidRPr="00892436">
        <w:t xml:space="preserve">: WIPO GREEN, WIPO </w:t>
      </w:r>
      <w:proofErr w:type="spellStart"/>
      <w:r w:rsidR="00AD09F4" w:rsidRPr="00892436">
        <w:t>Re:Search</w:t>
      </w:r>
      <w:proofErr w:type="spellEnd"/>
      <w:r w:rsidR="00AD09F4" w:rsidRPr="00892436">
        <w:t xml:space="preserve"> et </w:t>
      </w:r>
      <w:r w:rsidR="0045499A" w:rsidRPr="00892436">
        <w:t>Consortium pour des livres accessibles (ABC)</w:t>
      </w:r>
      <w:r w:rsidR="00AD09F4" w:rsidRPr="00892436">
        <w:t>.</w:t>
      </w:r>
    </w:p>
    <w:p w:rsidR="00517D80" w:rsidRPr="00892436" w:rsidRDefault="00AD09F4" w:rsidP="00EB2EBA">
      <w:pPr>
        <w:pStyle w:val="ONUMFS"/>
        <w:numPr>
          <w:ilvl w:val="0"/>
          <w:numId w:val="0"/>
        </w:numPr>
        <w:ind w:left="567"/>
      </w:pPr>
      <w:r w:rsidRPr="00892436">
        <w:t>Coopération &gt; Coopération avec</w:t>
      </w:r>
      <w:r w:rsidR="003B64EC" w:rsidRPr="00892436">
        <w:t> </w:t>
      </w:r>
      <w:r w:rsidRPr="00892436">
        <w:t>:</w:t>
      </w:r>
    </w:p>
    <w:p w:rsidR="003F479F" w:rsidRPr="00892436" w:rsidRDefault="0050694A" w:rsidP="00EB2EBA">
      <w:pPr>
        <w:pStyle w:val="ONUMFS"/>
        <w:numPr>
          <w:ilvl w:val="2"/>
          <w:numId w:val="30"/>
        </w:numPr>
        <w:tabs>
          <w:tab w:val="clear" w:pos="1701"/>
        </w:tabs>
        <w:ind w:left="567"/>
      </w:pPr>
      <w:r w:rsidRPr="00892436">
        <w:t>les pays et les régions</w:t>
      </w:r>
      <w:r w:rsidR="003F479F" w:rsidRPr="00892436">
        <w:t xml:space="preserve"> – </w:t>
      </w:r>
      <w:proofErr w:type="gramStart"/>
      <w:r w:rsidRPr="00892436">
        <w:t>donne</w:t>
      </w:r>
      <w:proofErr w:type="gramEnd"/>
      <w:r w:rsidRPr="00892436">
        <w:t xml:space="preserve"> un aperçu de la coopération de l</w:t>
      </w:r>
      <w:r w:rsidR="003F479F" w:rsidRPr="00892436">
        <w:t>’</w:t>
      </w:r>
      <w:r w:rsidRPr="00892436">
        <w:t xml:space="preserve">OMPI avec </w:t>
      </w:r>
      <w:r w:rsidR="003B64EC" w:rsidRPr="00892436">
        <w:t>“</w:t>
      </w:r>
      <w:r w:rsidRPr="00892436">
        <w:t>les divers pays, groupes de pays et régions</w:t>
      </w:r>
      <w:r w:rsidR="003B64EC" w:rsidRPr="00892436">
        <w:t>”.</w:t>
      </w:r>
      <w:r w:rsidR="00CB57B3" w:rsidRPr="00892436">
        <w:t xml:space="preserve"> </w:t>
      </w:r>
      <w:r w:rsidR="00CA673E" w:rsidRPr="00892436">
        <w:t xml:space="preserve"> </w:t>
      </w:r>
      <w:r w:rsidRPr="00892436">
        <w:t xml:space="preserve">La page contient également les liens vers les pages des bureaux régionaux en Afrique, dans les pays arabes, en Asie et dans le Pacifique, en Amérique latine et dans les Caraïbes, </w:t>
      </w:r>
      <w:r w:rsidR="00D91DAB" w:rsidRPr="00892436">
        <w:t xml:space="preserve">ainsi que </w:t>
      </w:r>
      <w:r w:rsidRPr="00892436">
        <w:t xml:space="preserve">de la Division pour les pays </w:t>
      </w:r>
      <w:r w:rsidRPr="00892436">
        <w:lastRenderedPageBreak/>
        <w:t xml:space="preserve">les moins avancés, du Département des pays en transition et des pays développés et de la </w:t>
      </w:r>
      <w:r w:rsidR="00892436" w:rsidRPr="00892436">
        <w:t>co</w:t>
      </w:r>
      <w:r w:rsidRPr="00892436">
        <w:t>opération Sud</w:t>
      </w:r>
      <w:r w:rsidR="00892436" w:rsidRPr="00892436">
        <w:noBreakHyphen/>
      </w:r>
      <w:r w:rsidRPr="00892436">
        <w:t>Sud.</w:t>
      </w:r>
    </w:p>
    <w:p w:rsidR="003F479F" w:rsidRPr="00892436" w:rsidRDefault="0050694A" w:rsidP="00EB2EBA">
      <w:pPr>
        <w:pStyle w:val="ONUMFS"/>
      </w:pPr>
      <w:r w:rsidRPr="00892436">
        <w:t>Comme cela est indiqué ci</w:t>
      </w:r>
      <w:r w:rsidR="00892436" w:rsidRPr="00892436">
        <w:noBreakHyphen/>
      </w:r>
      <w:r w:rsidRPr="00892436">
        <w:t>dessus, la plupart d</w:t>
      </w:r>
      <w:bookmarkStart w:id="5" w:name="_GoBack"/>
      <w:bookmarkEnd w:id="5"/>
      <w:r w:rsidRPr="00892436">
        <w:t>es informations qui pourraient intéresser les individus et entités souhaitant obtenir des renseignements sur l</w:t>
      </w:r>
      <w:r w:rsidR="003F479F" w:rsidRPr="00892436">
        <w:t>’</w:t>
      </w:r>
      <w:r w:rsidRPr="00892436">
        <w:t xml:space="preserve">assistance technique et le renforcement des capacités se trouvent dans la rubrique </w:t>
      </w:r>
      <w:r w:rsidR="003B64EC" w:rsidRPr="00892436">
        <w:t>“</w:t>
      </w:r>
      <w:r w:rsidRPr="00892436">
        <w:t>Coopération</w:t>
      </w:r>
      <w:r w:rsidR="003B64EC" w:rsidRPr="00892436">
        <w:t>”.</w:t>
      </w:r>
      <w:r w:rsidR="00CB57B3" w:rsidRPr="00892436">
        <w:t xml:space="preserve">  </w:t>
      </w:r>
      <w:r w:rsidR="000B0FC9" w:rsidRPr="00892436">
        <w:t>En revanche, étant donné qu</w:t>
      </w:r>
      <w:r w:rsidR="003F479F" w:rsidRPr="00892436">
        <w:t>’</w:t>
      </w:r>
      <w:r w:rsidR="000B0FC9" w:rsidRPr="00892436">
        <w:t>un certain nombre d</w:t>
      </w:r>
      <w:r w:rsidR="003F479F" w:rsidRPr="00892436">
        <w:t>’</w:t>
      </w:r>
      <w:r w:rsidR="000B0FC9" w:rsidRPr="00892436">
        <w:t>autre</w:t>
      </w:r>
      <w:r w:rsidR="00892436" w:rsidRPr="00892436">
        <w:t xml:space="preserve">s </w:t>
      </w:r>
      <w:r w:rsidR="000B0FC9" w:rsidRPr="00892436">
        <w:t>programmes et secteurs fournissent également une assistance aux États membres, les informations figurant dans cette rubrique ne donnent pas, à elles seules, une vision exhausti</w:t>
      </w:r>
      <w:r w:rsidR="00892436" w:rsidRPr="00892436">
        <w:t>ve.  Vo</w:t>
      </w:r>
      <w:r w:rsidR="000B0FC9" w:rsidRPr="00892436">
        <w:t>ici quelques informations qui pourraient présenter un intérêt pour les part</w:t>
      </w:r>
      <w:r w:rsidR="00AA7E8D" w:rsidRPr="00892436">
        <w:t xml:space="preserve">ies prenantes à </w:t>
      </w:r>
      <w:r w:rsidR="000B0FC9" w:rsidRPr="00892436">
        <w:t>l</w:t>
      </w:r>
      <w:r w:rsidR="003F479F" w:rsidRPr="00892436">
        <w:t>’</w:t>
      </w:r>
      <w:r w:rsidR="000B0FC9" w:rsidRPr="00892436">
        <w:t xml:space="preserve">assistance technique et </w:t>
      </w:r>
      <w:r w:rsidR="00AA7E8D" w:rsidRPr="00892436">
        <w:t>a</w:t>
      </w:r>
      <w:r w:rsidR="000B0FC9" w:rsidRPr="00892436">
        <w:t>u renforcement des capacités</w:t>
      </w:r>
      <w:r w:rsidR="003B64EC" w:rsidRPr="00892436">
        <w:t> </w:t>
      </w:r>
      <w:r w:rsidR="000B0FC9" w:rsidRPr="00892436">
        <w:t>:</w:t>
      </w:r>
    </w:p>
    <w:p w:rsidR="00517D80" w:rsidRPr="00892436" w:rsidRDefault="000B0FC9" w:rsidP="00EB2EBA">
      <w:pPr>
        <w:pStyle w:val="ONUMFS"/>
        <w:numPr>
          <w:ilvl w:val="0"/>
          <w:numId w:val="0"/>
        </w:numPr>
        <w:ind w:left="567"/>
      </w:pPr>
      <w:r w:rsidRPr="00892436">
        <w:t xml:space="preserve">Politiques &gt; </w:t>
      </w:r>
      <w:proofErr w:type="spellStart"/>
      <w:r w:rsidRPr="00892436">
        <w:t>P.I</w:t>
      </w:r>
      <w:proofErr w:type="spellEnd"/>
      <w:r w:rsidRPr="00892436">
        <w:t>. et autres questions de politique générale</w:t>
      </w:r>
    </w:p>
    <w:p w:rsidR="003F479F" w:rsidRPr="00892436" w:rsidRDefault="002312B2" w:rsidP="00EB2EBA">
      <w:pPr>
        <w:pStyle w:val="ONUMFS"/>
        <w:numPr>
          <w:ilvl w:val="2"/>
          <w:numId w:val="30"/>
        </w:numPr>
        <w:tabs>
          <w:tab w:val="clear" w:pos="1701"/>
        </w:tabs>
        <w:ind w:left="567"/>
      </w:pPr>
      <w:r w:rsidRPr="00892436">
        <w:t>Plusieurs sections de cette sous</w:t>
      </w:r>
      <w:r w:rsidR="00892436" w:rsidRPr="00892436">
        <w:noBreakHyphen/>
      </w:r>
      <w:r w:rsidRPr="00892436">
        <w:t>rubrique contiennent des informations qui pourraient relever de l</w:t>
      </w:r>
      <w:r w:rsidR="003F479F" w:rsidRPr="00892436">
        <w:t>’</w:t>
      </w:r>
      <w:r w:rsidRPr="00892436">
        <w:t>assistance technique et du renforcement des capacités, comme les séminaires et ateliers</w:t>
      </w:r>
      <w:r w:rsidR="00AA7E8D" w:rsidRPr="00892436">
        <w:t xml:space="preserve"> organisés</w:t>
      </w:r>
      <w:r w:rsidRPr="00892436">
        <w:t xml:space="preserve">, entre autres, </w:t>
      </w:r>
      <w:r w:rsidR="00AA7E8D" w:rsidRPr="00892436">
        <w:t xml:space="preserve">dans le contexte </w:t>
      </w:r>
      <w:r w:rsidRPr="00892436">
        <w:t xml:space="preserve">des </w:t>
      </w:r>
      <w:r w:rsidR="003B64EC" w:rsidRPr="00892436">
        <w:t>“</w:t>
      </w:r>
      <w:r w:rsidRPr="00892436">
        <w:t>Savoirs traditionnels</w:t>
      </w:r>
      <w:r w:rsidR="003B64EC" w:rsidRPr="00892436">
        <w:t>”</w:t>
      </w:r>
      <w:r w:rsidRPr="00892436">
        <w:t>, de l</w:t>
      </w:r>
      <w:r w:rsidR="003F479F" w:rsidRPr="00892436">
        <w:t>’</w:t>
      </w:r>
      <w:r w:rsidR="00892436" w:rsidRPr="00892436">
        <w:t>“</w:t>
      </w:r>
      <w:r w:rsidRPr="00892436">
        <w:t>Économie</w:t>
      </w:r>
      <w:r w:rsidR="003B64EC" w:rsidRPr="00892436">
        <w:t>”</w:t>
      </w:r>
      <w:r w:rsidRPr="00892436">
        <w:t xml:space="preserve"> et de la </w:t>
      </w:r>
      <w:r w:rsidR="003B64EC" w:rsidRPr="00892436">
        <w:t>“</w:t>
      </w:r>
      <w:r w:rsidRPr="00892436">
        <w:t>Politique en matière de concurrence</w:t>
      </w:r>
      <w:r w:rsidR="003B64EC" w:rsidRPr="00892436">
        <w:t>”.</w:t>
      </w:r>
      <w:r w:rsidR="00CB57B3" w:rsidRPr="00892436">
        <w:t xml:space="preserve">  </w:t>
      </w:r>
      <w:r w:rsidRPr="00892436">
        <w:t xml:space="preserve">Dans les sections </w:t>
      </w:r>
      <w:r w:rsidR="003B64EC" w:rsidRPr="00892436">
        <w:t>“</w:t>
      </w:r>
      <w:r w:rsidRPr="00892436">
        <w:t>Santé mondiale</w:t>
      </w:r>
      <w:r w:rsidR="003B64EC" w:rsidRPr="00892436">
        <w:t>”</w:t>
      </w:r>
      <w:r w:rsidRPr="00892436">
        <w:t xml:space="preserve"> et </w:t>
      </w:r>
      <w:r w:rsidR="003B64EC" w:rsidRPr="00892436">
        <w:t>“</w:t>
      </w:r>
      <w:r w:rsidRPr="00892436">
        <w:t>Changement climatique</w:t>
      </w:r>
      <w:r w:rsidR="003B64EC" w:rsidRPr="00892436">
        <w:t>”</w:t>
      </w:r>
      <w:r w:rsidRPr="00892436">
        <w:t xml:space="preserve">, un accès aux </w:t>
      </w:r>
      <w:proofErr w:type="spellStart"/>
      <w:r w:rsidR="003B64EC" w:rsidRPr="00892436">
        <w:t>plateformes</w:t>
      </w:r>
      <w:proofErr w:type="spellEnd"/>
      <w:r w:rsidRPr="00892436">
        <w:t xml:space="preserve"> WIPO GREEN et WIPO </w:t>
      </w:r>
      <w:proofErr w:type="spellStart"/>
      <w:r w:rsidRPr="00892436">
        <w:t>Re:Search</w:t>
      </w:r>
      <w:proofErr w:type="spellEnd"/>
      <w:r w:rsidRPr="00892436">
        <w:t xml:space="preserve"> est pré</w:t>
      </w:r>
      <w:r w:rsidR="00892436" w:rsidRPr="00892436">
        <w:t>vu.  La</w:t>
      </w:r>
      <w:r w:rsidRPr="00892436">
        <w:t xml:space="preserve"> section </w:t>
      </w:r>
      <w:r w:rsidR="003B64EC" w:rsidRPr="00892436">
        <w:t>“</w:t>
      </w:r>
      <w:r w:rsidRPr="00892436">
        <w:t>Politiques en matière de propriété intellectuelle pour les universités et les instituts de recherche</w:t>
      </w:r>
      <w:r w:rsidR="003B64EC" w:rsidRPr="00892436">
        <w:t>”</w:t>
      </w:r>
      <w:r w:rsidRPr="00892436">
        <w:t xml:space="preserve"> donne des informations sur les</w:t>
      </w:r>
      <w:r w:rsidR="00AA7E8D" w:rsidRPr="00892436">
        <w:t xml:space="preserve"> activités de </w:t>
      </w:r>
      <w:r w:rsidR="003B64EC" w:rsidRPr="00892436">
        <w:t>“</w:t>
      </w:r>
      <w:r w:rsidR="00AA7E8D" w:rsidRPr="00892436">
        <w:t>Sensibilisation</w:t>
      </w:r>
      <w:r w:rsidR="003B64EC" w:rsidRPr="00892436">
        <w:t>”</w:t>
      </w:r>
      <w:r w:rsidR="00AA7E8D" w:rsidRPr="00892436">
        <w:t xml:space="preserve"> et</w:t>
      </w:r>
      <w:r w:rsidRPr="00892436">
        <w:t xml:space="preserve"> le </w:t>
      </w:r>
      <w:r w:rsidR="003B64EC" w:rsidRPr="00892436">
        <w:t>“</w:t>
      </w:r>
      <w:r w:rsidRPr="00892436">
        <w:t>Renforcement des capacités</w:t>
      </w:r>
      <w:r w:rsidR="003B64EC" w:rsidRPr="00892436">
        <w:t>”</w:t>
      </w:r>
      <w:r w:rsidRPr="00892436">
        <w:t xml:space="preserve"> ainsi qu</w:t>
      </w:r>
      <w:r w:rsidR="003F479F" w:rsidRPr="00892436">
        <w:t>’</w:t>
      </w:r>
      <w:r w:rsidRPr="00892436">
        <w:t>un</w:t>
      </w:r>
      <w:r w:rsidR="008A042A" w:rsidRPr="00892436">
        <w:t xml:space="preserve"> accès à un</w:t>
      </w:r>
      <w:r w:rsidRPr="00892436">
        <w:t xml:space="preserve">e </w:t>
      </w:r>
      <w:r w:rsidR="003B64EC" w:rsidRPr="00892436">
        <w:t>“</w:t>
      </w:r>
      <w:r w:rsidRPr="00892436">
        <w:t>Base de données sur les politiques en matière de propriété intellectuelle</w:t>
      </w:r>
      <w:r w:rsidR="003B64EC" w:rsidRPr="00892436">
        <w:t>”</w:t>
      </w:r>
      <w:r w:rsidRPr="00892436">
        <w:t>.</w:t>
      </w:r>
    </w:p>
    <w:p w:rsidR="003F479F" w:rsidRPr="00892436" w:rsidRDefault="002312B2" w:rsidP="00EB2EBA">
      <w:pPr>
        <w:pStyle w:val="ONUMFS"/>
        <w:numPr>
          <w:ilvl w:val="0"/>
          <w:numId w:val="0"/>
        </w:numPr>
        <w:ind w:left="567"/>
      </w:pPr>
      <w:r w:rsidRPr="00892436">
        <w:t>Références &gt; Plusieurs sous</w:t>
      </w:r>
      <w:r w:rsidR="00892436" w:rsidRPr="00892436">
        <w:noBreakHyphen/>
      </w:r>
      <w:r w:rsidRPr="00892436">
        <w:t>rubriques</w:t>
      </w:r>
    </w:p>
    <w:p w:rsidR="003F479F" w:rsidRPr="00892436" w:rsidRDefault="005C2E54" w:rsidP="00EB2EBA">
      <w:pPr>
        <w:pStyle w:val="ONUMFS"/>
        <w:numPr>
          <w:ilvl w:val="2"/>
          <w:numId w:val="33"/>
        </w:numPr>
        <w:tabs>
          <w:tab w:val="clear" w:pos="1701"/>
        </w:tabs>
        <w:ind w:left="567"/>
      </w:pPr>
      <w:r w:rsidRPr="00892436">
        <w:t>Diverses bases de données sont répertoriées dans cette rubrique, notamment le “PATENTSCOPE”, qui permet d</w:t>
      </w:r>
      <w:r w:rsidR="003F479F" w:rsidRPr="00892436">
        <w:t>’</w:t>
      </w:r>
      <w:r w:rsidRPr="00892436">
        <w:t xml:space="preserve">accéder aux documents de brevet des offices de brevets nationaux ou régionaux participants, la </w:t>
      </w:r>
      <w:r w:rsidR="003B64EC" w:rsidRPr="00892436">
        <w:t>“</w:t>
      </w:r>
      <w:r w:rsidR="00AA7E8D" w:rsidRPr="00892436">
        <w:t>B</w:t>
      </w:r>
      <w:r w:rsidRPr="00892436">
        <w:t>ase de données mondiale sur les marques</w:t>
      </w:r>
      <w:r w:rsidR="003B64EC" w:rsidRPr="00892436">
        <w:t>”</w:t>
      </w:r>
      <w:r w:rsidRPr="00892436">
        <w:t xml:space="preserve">, la </w:t>
      </w:r>
      <w:r w:rsidR="003B64EC" w:rsidRPr="00892436">
        <w:t>“</w:t>
      </w:r>
      <w:r w:rsidR="00AA7E8D" w:rsidRPr="00892436">
        <w:t>B</w:t>
      </w:r>
      <w:r w:rsidRPr="00892436">
        <w:t>ase de données mondiale sur les dessins et modèles</w:t>
      </w:r>
      <w:r w:rsidR="003B64EC" w:rsidRPr="00892436">
        <w:t>”</w:t>
      </w:r>
      <w:r w:rsidRPr="00892436">
        <w:t xml:space="preserve"> et </w:t>
      </w:r>
      <w:r w:rsidR="003B64EC" w:rsidRPr="00892436">
        <w:t>“</w:t>
      </w:r>
      <w:r w:rsidRPr="00892436">
        <w:t xml:space="preserve">WIPO </w:t>
      </w:r>
      <w:proofErr w:type="spellStart"/>
      <w:r w:rsidRPr="00892436">
        <w:t>Lex</w:t>
      </w:r>
      <w:proofErr w:type="spellEnd"/>
      <w:r w:rsidR="003B64EC" w:rsidRPr="00892436">
        <w:t>”</w:t>
      </w:r>
      <w:r w:rsidRPr="00892436">
        <w:t>, une base de données rassemblant les lois et traités nationaux sur la propriété intellectuel</w:t>
      </w:r>
      <w:r w:rsidR="00892436" w:rsidRPr="00892436">
        <w:t>le.  Le</w:t>
      </w:r>
      <w:r w:rsidRPr="00892436">
        <w:t xml:space="preserve">s informations fournies dans la section </w:t>
      </w:r>
      <w:r w:rsidR="003B64EC" w:rsidRPr="00892436">
        <w:t>“</w:t>
      </w:r>
      <w:r w:rsidRPr="00892436">
        <w:t>Normes (Manuel de l</w:t>
      </w:r>
      <w:r w:rsidR="003F479F" w:rsidRPr="00892436">
        <w:t>’</w:t>
      </w:r>
      <w:r w:rsidRPr="00892436">
        <w:t>OMPI)</w:t>
      </w:r>
      <w:r w:rsidR="003B64EC" w:rsidRPr="00892436">
        <w:t>”</w:t>
      </w:r>
      <w:r w:rsidRPr="00892436">
        <w:t xml:space="preserve"> aident les offices de propriété intellectuelle à travailler plus efficacement et harmonieusement, ainsi qu</w:t>
      </w:r>
      <w:r w:rsidR="003F479F" w:rsidRPr="00892436">
        <w:t>’</w:t>
      </w:r>
      <w:r w:rsidRPr="00892436">
        <w:t>à simplifier la coopération internationa</w:t>
      </w:r>
      <w:r w:rsidR="00892436" w:rsidRPr="00892436">
        <w:t>le.  Le</w:t>
      </w:r>
      <w:r w:rsidR="008D632F" w:rsidRPr="00892436">
        <w:t xml:space="preserve"> portail </w:t>
      </w:r>
      <w:r w:rsidR="003B64EC" w:rsidRPr="00892436">
        <w:t>“</w:t>
      </w:r>
      <w:r w:rsidR="008D632F" w:rsidRPr="00892436">
        <w:t>WIPO Pearl</w:t>
      </w:r>
      <w:r w:rsidR="003B64EC" w:rsidRPr="00892436">
        <w:t>”</w:t>
      </w:r>
      <w:r w:rsidR="008D632F" w:rsidRPr="00892436">
        <w:t xml:space="preserve"> de la section </w:t>
      </w:r>
      <w:r w:rsidR="003B64EC" w:rsidRPr="00892436">
        <w:t>“</w:t>
      </w:r>
      <w:r w:rsidR="008D632F" w:rsidRPr="00892436">
        <w:t>Terminologie</w:t>
      </w:r>
      <w:r w:rsidR="003B64EC" w:rsidRPr="00892436">
        <w:t>”</w:t>
      </w:r>
      <w:r w:rsidR="008D632F" w:rsidRPr="00892436">
        <w:t xml:space="preserve"> est un autre outil destiné à faciliter l</w:t>
      </w:r>
      <w:r w:rsidR="003F479F" w:rsidRPr="00892436">
        <w:t>’</w:t>
      </w:r>
      <w:r w:rsidR="008D632F" w:rsidRPr="00892436">
        <w:t xml:space="preserve">assistance technique en favorisant </w:t>
      </w:r>
      <w:r w:rsidR="003B64EC" w:rsidRPr="00892436">
        <w:t>“</w:t>
      </w:r>
      <w:r w:rsidR="008D632F" w:rsidRPr="00892436">
        <w:t>une utilisation précise et une uniformisation des termes dans différentes langues</w:t>
      </w:r>
      <w:r w:rsidR="003B64EC" w:rsidRPr="00892436">
        <w:t>”</w:t>
      </w:r>
      <w:r w:rsidR="008D632F" w:rsidRPr="00892436">
        <w:t>.</w:t>
      </w:r>
    </w:p>
    <w:p w:rsidR="003F479F" w:rsidRPr="00892436" w:rsidRDefault="008D632F" w:rsidP="00EB2EBA">
      <w:pPr>
        <w:pStyle w:val="ONUMFS"/>
        <w:numPr>
          <w:ilvl w:val="0"/>
          <w:numId w:val="0"/>
        </w:numPr>
        <w:ind w:left="567"/>
      </w:pPr>
      <w:r w:rsidRPr="00892436">
        <w:t xml:space="preserve">Tout sur la </w:t>
      </w:r>
      <w:proofErr w:type="spellStart"/>
      <w:r w:rsidRPr="00892436">
        <w:t>P.I</w:t>
      </w:r>
      <w:proofErr w:type="spellEnd"/>
      <w:r w:rsidR="00892436" w:rsidRPr="00892436">
        <w:t>.</w:t>
      </w:r>
      <w:r w:rsidRPr="00892436">
        <w:t xml:space="preserve"> &gt; Propriété intellectuelle</w:t>
      </w:r>
    </w:p>
    <w:p w:rsidR="003F479F" w:rsidRPr="00892436" w:rsidRDefault="00E15C0C" w:rsidP="00EB2EBA">
      <w:pPr>
        <w:pStyle w:val="ONUMFS"/>
        <w:numPr>
          <w:ilvl w:val="2"/>
          <w:numId w:val="35"/>
        </w:numPr>
        <w:tabs>
          <w:tab w:val="clear" w:pos="1701"/>
        </w:tabs>
        <w:ind w:left="567"/>
      </w:pPr>
      <w:r w:rsidRPr="00892436">
        <w:t>Les sections de cette sous</w:t>
      </w:r>
      <w:r w:rsidR="00892436" w:rsidRPr="00892436">
        <w:noBreakHyphen/>
      </w:r>
      <w:r w:rsidRPr="00892436">
        <w:t xml:space="preserve">rubrique contiennent des informations générales concernant le </w:t>
      </w:r>
      <w:r w:rsidR="003B64EC" w:rsidRPr="00892436">
        <w:t>“</w:t>
      </w:r>
      <w:r w:rsidRPr="00892436">
        <w:t>Droit d</w:t>
      </w:r>
      <w:r w:rsidR="003F479F" w:rsidRPr="00892436">
        <w:t>’</w:t>
      </w:r>
      <w:r w:rsidRPr="00892436">
        <w:t>auteur</w:t>
      </w:r>
      <w:r w:rsidR="003B64EC" w:rsidRPr="00892436">
        <w:t>”</w:t>
      </w:r>
      <w:r w:rsidRPr="00892436">
        <w:t xml:space="preserve">, les </w:t>
      </w:r>
      <w:r w:rsidR="003B64EC" w:rsidRPr="00892436">
        <w:t>“</w:t>
      </w:r>
      <w:r w:rsidRPr="00892436">
        <w:t>Brevets</w:t>
      </w:r>
      <w:r w:rsidR="003B64EC" w:rsidRPr="00892436">
        <w:t>”</w:t>
      </w:r>
      <w:r w:rsidRPr="00892436">
        <w:t xml:space="preserve">, les </w:t>
      </w:r>
      <w:r w:rsidR="003B64EC" w:rsidRPr="00892436">
        <w:t>“</w:t>
      </w:r>
      <w:r w:rsidRPr="00892436">
        <w:t>Marques</w:t>
      </w:r>
      <w:r w:rsidR="003B64EC" w:rsidRPr="00892436">
        <w:t>”</w:t>
      </w:r>
      <w:r w:rsidRPr="00892436">
        <w:t xml:space="preserve">, les </w:t>
      </w:r>
      <w:r w:rsidR="003B64EC" w:rsidRPr="00892436">
        <w:t>“</w:t>
      </w:r>
      <w:r w:rsidRPr="00892436">
        <w:t>Dessins et modèles industriels</w:t>
      </w:r>
      <w:r w:rsidR="003B64EC" w:rsidRPr="00892436">
        <w:t>”</w:t>
      </w:r>
      <w:r w:rsidRPr="00892436">
        <w:t xml:space="preserve"> et les </w:t>
      </w:r>
      <w:r w:rsidR="003B64EC" w:rsidRPr="00892436">
        <w:t>“</w:t>
      </w:r>
      <w:r w:rsidRPr="00892436">
        <w:t>Indications géographiques</w:t>
      </w:r>
      <w:r w:rsidR="003B64EC" w:rsidRPr="00892436">
        <w:t>”</w:t>
      </w:r>
      <w:r w:rsidRPr="00892436">
        <w:t>.</w:t>
      </w:r>
    </w:p>
    <w:p w:rsidR="003F479F" w:rsidRPr="00892436" w:rsidRDefault="00E15C0C" w:rsidP="00EB2EBA">
      <w:pPr>
        <w:pStyle w:val="ONUMFS"/>
        <w:numPr>
          <w:ilvl w:val="0"/>
          <w:numId w:val="0"/>
        </w:numPr>
        <w:ind w:left="567"/>
      </w:pPr>
      <w:r w:rsidRPr="00892436">
        <w:t xml:space="preserve">Tout sur la </w:t>
      </w:r>
      <w:proofErr w:type="spellStart"/>
      <w:r w:rsidRPr="00892436">
        <w:t>P.I</w:t>
      </w:r>
      <w:proofErr w:type="spellEnd"/>
      <w:r w:rsidRPr="00892436">
        <w:t>. &gt; Formation</w:t>
      </w:r>
    </w:p>
    <w:p w:rsidR="003F479F" w:rsidRPr="00892436" w:rsidRDefault="00E15C0C" w:rsidP="00EB2EBA">
      <w:pPr>
        <w:pStyle w:val="ONUMFS"/>
        <w:numPr>
          <w:ilvl w:val="2"/>
          <w:numId w:val="38"/>
        </w:numPr>
        <w:ind w:left="567"/>
      </w:pPr>
      <w:r w:rsidRPr="00892436">
        <w:t>Les sections de cette sous</w:t>
      </w:r>
      <w:r w:rsidR="00892436" w:rsidRPr="00892436">
        <w:noBreakHyphen/>
      </w:r>
      <w:r w:rsidRPr="00892436">
        <w:t>rubrique donne</w:t>
      </w:r>
      <w:r w:rsidR="00892436" w:rsidRPr="00892436">
        <w:t>nt des informations concernant l’“</w:t>
      </w:r>
      <w:r w:rsidRPr="00892436">
        <w:t>Académie de l</w:t>
      </w:r>
      <w:r w:rsidR="003F479F" w:rsidRPr="00892436">
        <w:t>’</w:t>
      </w:r>
      <w:r w:rsidRPr="00892436">
        <w:t>OMPI</w:t>
      </w:r>
      <w:r w:rsidR="003B64EC" w:rsidRPr="00892436">
        <w:t>”</w:t>
      </w:r>
      <w:r w:rsidRPr="00892436">
        <w:t xml:space="preserve"> et les </w:t>
      </w:r>
      <w:r w:rsidR="003B64EC" w:rsidRPr="00892436">
        <w:t>“</w:t>
      </w:r>
      <w:r w:rsidRPr="00892436">
        <w:t>Ateliers et séminaires</w:t>
      </w:r>
      <w:r w:rsidR="003B64EC" w:rsidRPr="00892436">
        <w:t>”</w:t>
      </w:r>
      <w:r w:rsidRPr="00892436">
        <w:t>.</w:t>
      </w:r>
    </w:p>
    <w:p w:rsidR="003F479F" w:rsidRPr="00892436" w:rsidRDefault="00E15C0C" w:rsidP="00EB2EBA">
      <w:pPr>
        <w:pStyle w:val="ONUMFS"/>
        <w:numPr>
          <w:ilvl w:val="0"/>
          <w:numId w:val="0"/>
        </w:numPr>
        <w:ind w:left="567"/>
      </w:pPr>
      <w:r w:rsidRPr="00892436">
        <w:t xml:space="preserve">Tout sur la </w:t>
      </w:r>
      <w:proofErr w:type="spellStart"/>
      <w:r w:rsidRPr="00892436">
        <w:t>P.I</w:t>
      </w:r>
      <w:proofErr w:type="spellEnd"/>
      <w:r w:rsidRPr="00892436">
        <w:t>. &gt; Activités de sensibilisation</w:t>
      </w:r>
    </w:p>
    <w:p w:rsidR="003F479F" w:rsidRPr="00892436" w:rsidRDefault="00E15C0C" w:rsidP="00EB2EBA">
      <w:pPr>
        <w:pStyle w:val="ONUMFS"/>
        <w:numPr>
          <w:ilvl w:val="2"/>
          <w:numId w:val="39"/>
        </w:numPr>
        <w:ind w:left="567"/>
      </w:pPr>
      <w:r w:rsidRPr="00892436">
        <w:t>Les sections de cette sous</w:t>
      </w:r>
      <w:r w:rsidR="00892436" w:rsidRPr="00892436">
        <w:noBreakHyphen/>
      </w:r>
      <w:r w:rsidRPr="00892436">
        <w:t xml:space="preserve">rubrique donnent des informations concernant les </w:t>
      </w:r>
      <w:r w:rsidR="003B64EC" w:rsidRPr="00892436">
        <w:t>“</w:t>
      </w:r>
      <w:r w:rsidRPr="00892436">
        <w:t xml:space="preserve">Journées mondiales de la </w:t>
      </w:r>
      <w:proofErr w:type="spellStart"/>
      <w:r w:rsidRPr="00892436">
        <w:t>P.I</w:t>
      </w:r>
      <w:proofErr w:type="spellEnd"/>
      <w:r w:rsidRPr="00892436">
        <w:t>.</w:t>
      </w:r>
      <w:r w:rsidR="003B64EC" w:rsidRPr="00892436">
        <w:t>”</w:t>
      </w:r>
      <w:r w:rsidRPr="00892436">
        <w:t xml:space="preserve">, le </w:t>
      </w:r>
      <w:r w:rsidR="003B64EC" w:rsidRPr="00892436">
        <w:t>“</w:t>
      </w:r>
      <w:r w:rsidRPr="00892436">
        <w:t>Magazine de l</w:t>
      </w:r>
      <w:r w:rsidR="003F479F" w:rsidRPr="00892436">
        <w:t>’</w:t>
      </w:r>
      <w:r w:rsidRPr="00892436">
        <w:t>OMPI</w:t>
      </w:r>
      <w:r w:rsidR="003B64EC" w:rsidRPr="00892436">
        <w:t>”</w:t>
      </w:r>
      <w:r w:rsidRPr="00892436">
        <w:t xml:space="preserve">, les </w:t>
      </w:r>
      <w:r w:rsidR="003B64EC" w:rsidRPr="00892436">
        <w:t>“</w:t>
      </w:r>
      <w:r w:rsidRPr="00892436">
        <w:t>Prix de l</w:t>
      </w:r>
      <w:r w:rsidR="003F479F" w:rsidRPr="00892436">
        <w:t>’</w:t>
      </w:r>
      <w:r w:rsidRPr="00892436">
        <w:t>OMPI</w:t>
      </w:r>
      <w:r w:rsidR="003B64EC" w:rsidRPr="00892436">
        <w:t>”</w:t>
      </w:r>
      <w:r w:rsidRPr="00892436">
        <w:t xml:space="preserve">, les </w:t>
      </w:r>
      <w:r w:rsidR="003B64EC" w:rsidRPr="00892436">
        <w:t>“</w:t>
      </w:r>
      <w:r w:rsidRPr="00892436">
        <w:t>Campagnes de sensibilisation</w:t>
      </w:r>
      <w:r w:rsidR="003B64EC" w:rsidRPr="00892436">
        <w:t>”</w:t>
      </w:r>
      <w:r w:rsidRPr="00892436">
        <w:t xml:space="preserve"> et </w:t>
      </w:r>
      <w:r w:rsidR="003B64EC" w:rsidRPr="00892436">
        <w:t>“</w:t>
      </w:r>
      <w:r w:rsidRPr="00892436">
        <w:t xml:space="preserve">Les femmes et la </w:t>
      </w:r>
      <w:proofErr w:type="spellStart"/>
      <w:r w:rsidRPr="00892436">
        <w:t>P.I</w:t>
      </w:r>
      <w:proofErr w:type="spellEnd"/>
      <w:r w:rsidRPr="00892436">
        <w:t>.</w:t>
      </w:r>
      <w:r w:rsidR="003B64EC" w:rsidRPr="00892436">
        <w:t>”</w:t>
      </w:r>
      <w:r w:rsidRPr="00892436">
        <w:t>.</w:t>
      </w:r>
    </w:p>
    <w:p w:rsidR="003F479F" w:rsidRPr="00892436" w:rsidRDefault="00316309" w:rsidP="00EB2EBA">
      <w:pPr>
        <w:pStyle w:val="ONUMFS"/>
      </w:pPr>
      <w:r w:rsidRPr="00892436">
        <w:t>Sur la base des constatations ci</w:t>
      </w:r>
      <w:r w:rsidR="00892436" w:rsidRPr="00892436">
        <w:noBreakHyphen/>
      </w:r>
      <w:r w:rsidRPr="00892436">
        <w:t>dessus, il pourrait être conclu que les activités d</w:t>
      </w:r>
      <w:r w:rsidR="003F479F" w:rsidRPr="00892436">
        <w:t>’</w:t>
      </w:r>
      <w:r w:rsidRPr="00892436">
        <w:t>assistance technique et de renforcement des capacités de l</w:t>
      </w:r>
      <w:r w:rsidR="003F479F" w:rsidRPr="00892436">
        <w:t>’</w:t>
      </w:r>
      <w:r w:rsidRPr="00892436">
        <w:t xml:space="preserve">OMPI sont présentes </w:t>
      </w:r>
      <w:r w:rsidR="00AA7E8D" w:rsidRPr="00892436">
        <w:t>sur</w:t>
      </w:r>
      <w:r w:rsidRPr="00892436">
        <w:t xml:space="preserve"> l</w:t>
      </w:r>
      <w:r w:rsidR="003F479F" w:rsidRPr="00892436">
        <w:t>’</w:t>
      </w:r>
      <w:r w:rsidRPr="00892436">
        <w:t>ensemble du site</w:t>
      </w:r>
      <w:r w:rsidR="003B64EC" w:rsidRPr="00892436">
        <w:t> </w:t>
      </w:r>
      <w:r w:rsidRPr="00892436">
        <w:t>Web de l</w:t>
      </w:r>
      <w:r w:rsidR="003F479F" w:rsidRPr="00892436">
        <w:t>’</w:t>
      </w:r>
      <w:r w:rsidRPr="00892436">
        <w:t xml:space="preserve">Organisation et </w:t>
      </w:r>
      <w:r w:rsidR="00AA7E8D" w:rsidRPr="00892436">
        <w:t>que l</w:t>
      </w:r>
      <w:r w:rsidRPr="00892436">
        <w:t xml:space="preserve">es utilisateurs </w:t>
      </w:r>
      <w:r w:rsidR="00AA7E8D" w:rsidRPr="00892436">
        <w:t xml:space="preserve">peuvent y accéder </w:t>
      </w:r>
      <w:r w:rsidRPr="00892436">
        <w:t>à partir de divers</w:t>
      </w:r>
      <w:r w:rsidR="008A042A" w:rsidRPr="00892436">
        <w:t>es pag</w:t>
      </w:r>
      <w:r w:rsidR="00892436" w:rsidRPr="00892436">
        <w:t>es.  Le</w:t>
      </w:r>
      <w:r w:rsidRPr="00892436">
        <w:t>s conclusions suivantes peuvent être tirées de ce qui précède</w:t>
      </w:r>
      <w:r w:rsidR="003B64EC" w:rsidRPr="00892436">
        <w:t> </w:t>
      </w:r>
      <w:r w:rsidRPr="00892436">
        <w:t>:</w:t>
      </w:r>
    </w:p>
    <w:p w:rsidR="003F479F" w:rsidRPr="00892436" w:rsidRDefault="00DE48AD" w:rsidP="00EB2EBA">
      <w:pPr>
        <w:pStyle w:val="ONUMFS"/>
        <w:numPr>
          <w:ilvl w:val="1"/>
          <w:numId w:val="6"/>
        </w:numPr>
      </w:pPr>
      <w:r w:rsidRPr="00892436">
        <w:t>Étant donné que les informations en lien avec l</w:t>
      </w:r>
      <w:r w:rsidR="003F479F" w:rsidRPr="00892436">
        <w:t>’</w:t>
      </w:r>
      <w:r w:rsidRPr="00892436">
        <w:t xml:space="preserve">assistance technique et le renforcement des capacités figurent </w:t>
      </w:r>
      <w:r w:rsidR="00E97AEA" w:rsidRPr="00892436">
        <w:t>sur le site</w:t>
      </w:r>
      <w:r w:rsidR="003B64EC" w:rsidRPr="00892436">
        <w:t> </w:t>
      </w:r>
      <w:r w:rsidR="00E97AEA" w:rsidRPr="00892436">
        <w:t>Web</w:t>
      </w:r>
      <w:r w:rsidR="008A042A" w:rsidRPr="00892436">
        <w:t xml:space="preserve"> de manière transversale</w:t>
      </w:r>
      <w:r w:rsidRPr="00892436">
        <w:t>, certains utilisateurs pourraient avoir des difficultés à parcourir chaque section et à obtenir une vision globale des travaux menés par l</w:t>
      </w:r>
      <w:r w:rsidR="003F479F" w:rsidRPr="00892436">
        <w:t>’</w:t>
      </w:r>
      <w:r w:rsidRPr="00892436">
        <w:t>OMPI.</w:t>
      </w:r>
    </w:p>
    <w:p w:rsidR="003F479F" w:rsidRPr="00892436" w:rsidRDefault="00DE48AD" w:rsidP="00EB2EBA">
      <w:pPr>
        <w:pStyle w:val="ONUMFS"/>
        <w:numPr>
          <w:ilvl w:val="1"/>
          <w:numId w:val="6"/>
        </w:numPr>
      </w:pPr>
      <w:r w:rsidRPr="00892436">
        <w:t>Si les travaux relatifs à l</w:t>
      </w:r>
      <w:r w:rsidR="003F479F" w:rsidRPr="00892436">
        <w:t>’</w:t>
      </w:r>
      <w:r w:rsidRPr="00892436">
        <w:t>assistance technique et au renforcement des capacités</w:t>
      </w:r>
      <w:r w:rsidR="008A042A" w:rsidRPr="00892436">
        <w:t xml:space="preserve"> son</w:t>
      </w:r>
      <w:r w:rsidRPr="00892436">
        <w:t>t particulièrement mis en avant dans certaines sections, il</w:t>
      </w:r>
      <w:r w:rsidR="008A042A" w:rsidRPr="00892436">
        <w:t>s son</w:t>
      </w:r>
      <w:r w:rsidRPr="00892436">
        <w:t>t beaucoup moins visible</w:t>
      </w:r>
      <w:r w:rsidR="008A042A" w:rsidRPr="00892436">
        <w:t>s</w:t>
      </w:r>
      <w:r w:rsidRPr="00892436">
        <w:t xml:space="preserve"> dans d</w:t>
      </w:r>
      <w:r w:rsidR="003F479F" w:rsidRPr="00892436">
        <w:t>’</w:t>
      </w:r>
      <w:r w:rsidRPr="00892436">
        <w:t>autr</w:t>
      </w:r>
      <w:r w:rsidR="00892436" w:rsidRPr="00892436">
        <w:t>es.  Da</w:t>
      </w:r>
      <w:r w:rsidRPr="00892436">
        <w:t>ns certains cas, les travaux en lien avec l</w:t>
      </w:r>
      <w:r w:rsidR="003F479F" w:rsidRPr="00892436">
        <w:t>’</w:t>
      </w:r>
      <w:r w:rsidRPr="00892436">
        <w:t>assistance technique ne sont pas présentés dans un espace distinct ou avec un titre distinct.</w:t>
      </w:r>
    </w:p>
    <w:p w:rsidR="003F479F" w:rsidRPr="00892436" w:rsidRDefault="00DE48AD" w:rsidP="00EB2EBA">
      <w:pPr>
        <w:pStyle w:val="ONUMFS"/>
        <w:numPr>
          <w:ilvl w:val="1"/>
          <w:numId w:val="6"/>
        </w:numPr>
      </w:pPr>
      <w:r w:rsidRPr="00892436">
        <w:t>Les projets relevant du Plan d</w:t>
      </w:r>
      <w:r w:rsidR="003F479F" w:rsidRPr="00892436">
        <w:t>’</w:t>
      </w:r>
      <w:r w:rsidRPr="00892436">
        <w:t>action pour le développement concernant l</w:t>
      </w:r>
      <w:r w:rsidR="003F479F" w:rsidRPr="00892436">
        <w:t>’</w:t>
      </w:r>
      <w:r w:rsidRPr="00892436">
        <w:t xml:space="preserve">assistance technique et le renforcement des capacités sont intégrés dans le contenu de la </w:t>
      </w:r>
      <w:r w:rsidR="003F479F" w:rsidRPr="00892436">
        <w:t>page W</w:t>
      </w:r>
      <w:r w:rsidRPr="00892436">
        <w:t xml:space="preserve">eb du </w:t>
      </w:r>
      <w:r w:rsidR="00E97AEA" w:rsidRPr="00892436">
        <w:t>p</w:t>
      </w:r>
      <w:r w:rsidRPr="00892436">
        <w:t>lan d</w:t>
      </w:r>
      <w:r w:rsidR="003F479F" w:rsidRPr="00892436">
        <w:t>’</w:t>
      </w:r>
      <w:r w:rsidRPr="00892436">
        <w:t>action ou dans d</w:t>
      </w:r>
      <w:r w:rsidR="003F479F" w:rsidRPr="00892436">
        <w:t>’</w:t>
      </w:r>
      <w:r w:rsidRPr="00892436">
        <w:t>autres sections du site</w:t>
      </w:r>
      <w:r w:rsidR="003B64EC" w:rsidRPr="00892436">
        <w:t> </w:t>
      </w:r>
      <w:r w:rsidRPr="00892436">
        <w:t>Web de l</w:t>
      </w:r>
      <w:r w:rsidR="003F479F" w:rsidRPr="00892436">
        <w:t>’</w:t>
      </w:r>
      <w:r w:rsidRPr="00892436">
        <w:t>O</w:t>
      </w:r>
      <w:r w:rsidR="00892436" w:rsidRPr="00892436">
        <w:t>MPI.  Pa</w:t>
      </w:r>
      <w:r w:rsidRPr="00892436">
        <w:t>r conséquent, les utilisateurs pourraient ne pas être en mesure de distinguer les produits des projets du Plan d</w:t>
      </w:r>
      <w:r w:rsidR="003F479F" w:rsidRPr="00892436">
        <w:t>’</w:t>
      </w:r>
      <w:r w:rsidRPr="00892436">
        <w:t>action pour le développement liés à l</w:t>
      </w:r>
      <w:r w:rsidR="003F479F" w:rsidRPr="00892436">
        <w:t>’</w:t>
      </w:r>
      <w:r w:rsidRPr="00892436">
        <w:t>assistance technique et au renforcement des capacités des produits des autres projets du plan d</w:t>
      </w:r>
      <w:r w:rsidR="003F479F" w:rsidRPr="00892436">
        <w:t>’</w:t>
      </w:r>
      <w:r w:rsidRPr="00892436">
        <w:t>action.</w:t>
      </w:r>
    </w:p>
    <w:p w:rsidR="003F479F" w:rsidRPr="00892436" w:rsidRDefault="00DE48AD" w:rsidP="00EB2EBA">
      <w:pPr>
        <w:pStyle w:val="ONUMFS"/>
      </w:pPr>
      <w:r w:rsidRPr="00892436">
        <w:t>Compte tenu de ce qui précède, le Secrétariat propose ce qui suit</w:t>
      </w:r>
      <w:r w:rsidR="003B64EC" w:rsidRPr="00892436">
        <w:t> </w:t>
      </w:r>
      <w:r w:rsidRPr="00892436">
        <w:t>:</w:t>
      </w:r>
    </w:p>
    <w:p w:rsidR="00E97AEA" w:rsidRPr="00892436" w:rsidRDefault="0081656E" w:rsidP="00EB2EBA">
      <w:pPr>
        <w:pStyle w:val="ONUMFS"/>
        <w:numPr>
          <w:ilvl w:val="1"/>
          <w:numId w:val="6"/>
        </w:numPr>
      </w:pPr>
      <w:r w:rsidRPr="00892436">
        <w:t>Par principe, toute mesure visant à améliorer l</w:t>
      </w:r>
      <w:r w:rsidR="003F479F" w:rsidRPr="00892436">
        <w:t>’</w:t>
      </w:r>
      <w:r w:rsidRPr="00892436">
        <w:t>accès à l</w:t>
      </w:r>
      <w:r w:rsidR="003F479F" w:rsidRPr="00892436">
        <w:t>’</w:t>
      </w:r>
      <w:r w:rsidRPr="00892436">
        <w:t>information en matière d</w:t>
      </w:r>
      <w:r w:rsidR="003F479F" w:rsidRPr="00892436">
        <w:t>’</w:t>
      </w:r>
      <w:r w:rsidRPr="00892436">
        <w:t>assistance technique et de renforcement des capacités ne devrait pas modifier radicalement le portail Web existant de l</w:t>
      </w:r>
      <w:r w:rsidR="003F479F" w:rsidRPr="00892436">
        <w:t>’</w:t>
      </w:r>
      <w:r w:rsidRPr="00892436">
        <w:t>OMPI, qui fonctionne très bien.</w:t>
      </w:r>
    </w:p>
    <w:p w:rsidR="00E97AEA" w:rsidRPr="00892436" w:rsidRDefault="0081656E" w:rsidP="00EB2EBA">
      <w:pPr>
        <w:pStyle w:val="ONUMFS"/>
        <w:numPr>
          <w:ilvl w:val="1"/>
          <w:numId w:val="6"/>
        </w:numPr>
      </w:pPr>
      <w:r w:rsidRPr="00892436">
        <w:t>La nature thématique de l</w:t>
      </w:r>
      <w:r w:rsidR="003F479F" w:rsidRPr="00892436">
        <w:t>’</w:t>
      </w:r>
      <w:r w:rsidRPr="00892436">
        <w:t>architecture du site, qui évite une simple transposition de la structure organisationnelle de l</w:t>
      </w:r>
      <w:r w:rsidR="003F479F" w:rsidRPr="00892436">
        <w:t>’</w:t>
      </w:r>
      <w:r w:rsidRPr="00892436">
        <w:t>OMPI, devrait être préserv</w:t>
      </w:r>
      <w:r w:rsidR="00892436" w:rsidRPr="00892436">
        <w:t>ée.  Ce</w:t>
      </w:r>
      <w:r w:rsidRPr="00892436">
        <w:t xml:space="preserve">la permettra, entre autres choses, de garantir le mécanisme fonctionnel de mise à jour existant pour les diverses </w:t>
      </w:r>
      <w:r w:rsidR="003F479F" w:rsidRPr="00892436">
        <w:t>pages W</w:t>
      </w:r>
      <w:r w:rsidRPr="00892436">
        <w:t>eb.</w:t>
      </w:r>
    </w:p>
    <w:p w:rsidR="00E97AEA" w:rsidRPr="00892436" w:rsidRDefault="00B31CE0" w:rsidP="00EB2EBA">
      <w:pPr>
        <w:pStyle w:val="ONUMFS"/>
        <w:numPr>
          <w:ilvl w:val="1"/>
          <w:numId w:val="6"/>
        </w:numPr>
      </w:pPr>
      <w:r w:rsidRPr="00892436">
        <w:t xml:space="preserve">Une nouvelle section, intitulée </w:t>
      </w:r>
      <w:r w:rsidR="003B64EC" w:rsidRPr="00892436">
        <w:t>“</w:t>
      </w:r>
      <w:r w:rsidRPr="00892436">
        <w:t>Assistance technique et renforcement des capacités</w:t>
      </w:r>
      <w:r w:rsidR="003B64EC" w:rsidRPr="00892436">
        <w:t>”</w:t>
      </w:r>
      <w:r w:rsidRPr="00892436">
        <w:t xml:space="preserve"> devrait être créée dans la sous</w:t>
      </w:r>
      <w:r w:rsidR="00892436" w:rsidRPr="00892436">
        <w:noBreakHyphen/>
      </w:r>
      <w:r w:rsidRPr="00892436">
        <w:t xml:space="preserve">rubrique </w:t>
      </w:r>
      <w:r w:rsidR="003B64EC" w:rsidRPr="00892436">
        <w:t>“</w:t>
      </w:r>
      <w:r w:rsidRPr="00892436">
        <w:t>Développement</w:t>
      </w:r>
      <w:r w:rsidR="003B64EC" w:rsidRPr="00892436">
        <w:t>”</w:t>
      </w:r>
      <w:r w:rsidRPr="00892436">
        <w:t xml:space="preserve"> de la rubrique </w:t>
      </w:r>
      <w:r w:rsidR="003B64EC" w:rsidRPr="00892436">
        <w:t>“</w:t>
      </w:r>
      <w:r w:rsidRPr="00892436">
        <w:t>Coopération</w:t>
      </w:r>
      <w:r w:rsidR="003B64EC" w:rsidRPr="00892436">
        <w:t xml:space="preserve">”; </w:t>
      </w:r>
      <w:r w:rsidRPr="00892436">
        <w:t xml:space="preserve"> elle réunira toutes les activités d</w:t>
      </w:r>
      <w:r w:rsidR="003F479F" w:rsidRPr="00892436">
        <w:t>’</w:t>
      </w:r>
      <w:r w:rsidRPr="00892436">
        <w:t>assistance technique de l</w:t>
      </w:r>
      <w:r w:rsidR="003F479F" w:rsidRPr="00892436">
        <w:t>’</w:t>
      </w:r>
      <w:r w:rsidRPr="00892436">
        <w:t>O</w:t>
      </w:r>
      <w:r w:rsidR="00892436" w:rsidRPr="00892436">
        <w:t>MPI.  El</w:t>
      </w:r>
      <w:r w:rsidRPr="00892436">
        <w:t>le sera construite de manière à créer des liens avec les sections pertinentes du site</w:t>
      </w:r>
      <w:r w:rsidR="003B64EC" w:rsidRPr="00892436">
        <w:t> </w:t>
      </w:r>
      <w:r w:rsidRPr="00892436">
        <w:t>Web de l</w:t>
      </w:r>
      <w:r w:rsidR="003F479F" w:rsidRPr="00892436">
        <w:t>’</w:t>
      </w:r>
      <w:r w:rsidRPr="00892436">
        <w:t xml:space="preserve">Organisation, et en </w:t>
      </w:r>
      <w:r w:rsidR="008A042A" w:rsidRPr="00892436">
        <w:t xml:space="preserve">évitant de </w:t>
      </w:r>
      <w:r w:rsidRPr="00892436">
        <w:t>répét</w:t>
      </w:r>
      <w:r w:rsidR="008A042A" w:rsidRPr="00892436">
        <w:t>er</w:t>
      </w:r>
      <w:r w:rsidRPr="00892436">
        <w:t xml:space="preserve"> inu</w:t>
      </w:r>
      <w:r w:rsidR="00E97AEA" w:rsidRPr="00892436">
        <w:t>tilement les mêmes informations</w:t>
      </w:r>
      <w:r w:rsidR="002C36D5" w:rsidRPr="00892436">
        <w:t>.</w:t>
      </w:r>
    </w:p>
    <w:p w:rsidR="003F479F" w:rsidRPr="00892436" w:rsidRDefault="00E97AEA" w:rsidP="00EB2EBA">
      <w:pPr>
        <w:pStyle w:val="ONUMFS"/>
        <w:numPr>
          <w:ilvl w:val="1"/>
          <w:numId w:val="6"/>
        </w:numPr>
      </w:pPr>
      <w:r w:rsidRPr="00892436">
        <w:t>L</w:t>
      </w:r>
      <w:r w:rsidR="003F4507" w:rsidRPr="00892436">
        <w:t>a section devrait regrouper les activités d</w:t>
      </w:r>
      <w:r w:rsidR="003F479F" w:rsidRPr="00892436">
        <w:t>’</w:t>
      </w:r>
      <w:r w:rsidR="003F4507" w:rsidRPr="00892436">
        <w:t>assistance technique et de renforcement des capacités sur la base de huit</w:t>
      </w:r>
      <w:r w:rsidR="003B64EC" w:rsidRPr="00892436">
        <w:t> </w:t>
      </w:r>
      <w:r w:rsidR="003F4507" w:rsidRPr="00892436">
        <w:t>catégories</w:t>
      </w:r>
      <w:r w:rsidR="008D304B" w:rsidRPr="00892436">
        <w:t>,</w:t>
      </w:r>
      <w:r w:rsidR="003F4507" w:rsidRPr="00892436">
        <w:t xml:space="preserve"> qui contiendront les informations figurant déjà dans les sections existant</w:t>
      </w:r>
      <w:r w:rsidR="00892436" w:rsidRPr="00892436">
        <w:t>es.  Ce</w:t>
      </w:r>
      <w:r w:rsidR="00054A29" w:rsidRPr="00892436">
        <w:t>s catégories sont fournies à titre indica</w:t>
      </w:r>
      <w:r w:rsidR="00E379B6" w:rsidRPr="00892436">
        <w:t>tif et le Secrétariat les perfectionnera</w:t>
      </w:r>
      <w:r w:rsidR="00054A29" w:rsidRPr="00892436">
        <w:t xml:space="preserve"> plus tard dans le processus.</w:t>
      </w:r>
    </w:p>
    <w:p w:rsidR="00517D80" w:rsidRPr="00892436" w:rsidRDefault="00054A29" w:rsidP="00EB2EBA">
      <w:pPr>
        <w:pStyle w:val="ONUMFS"/>
        <w:numPr>
          <w:ilvl w:val="2"/>
          <w:numId w:val="6"/>
        </w:numPr>
      </w:pPr>
      <w:r w:rsidRPr="00892436">
        <w:t>Plan d</w:t>
      </w:r>
      <w:r w:rsidR="003F479F" w:rsidRPr="00892436">
        <w:t>’</w:t>
      </w:r>
      <w:r w:rsidRPr="00892436">
        <w:t>action pour le développement;</w:t>
      </w:r>
    </w:p>
    <w:p w:rsidR="003F479F" w:rsidRPr="00892436" w:rsidRDefault="00054A29" w:rsidP="00EB2EBA">
      <w:pPr>
        <w:pStyle w:val="ONUMFS"/>
        <w:numPr>
          <w:ilvl w:val="2"/>
          <w:numId w:val="6"/>
        </w:numPr>
      </w:pPr>
      <w:r w:rsidRPr="00892436">
        <w:t>Formation en propriété intellectuelle;</w:t>
      </w:r>
    </w:p>
    <w:p w:rsidR="003F479F" w:rsidRPr="00892436" w:rsidRDefault="00054A29" w:rsidP="00EB2EBA">
      <w:pPr>
        <w:pStyle w:val="ONUMFS"/>
        <w:numPr>
          <w:ilvl w:val="2"/>
          <w:numId w:val="6"/>
        </w:numPr>
      </w:pPr>
      <w:r w:rsidRPr="00892436">
        <w:t>Conseils législatifs et de politique générale;</w:t>
      </w:r>
    </w:p>
    <w:p w:rsidR="003F479F" w:rsidRPr="00892436" w:rsidRDefault="00054A29" w:rsidP="00EB2EBA">
      <w:pPr>
        <w:pStyle w:val="ONUMFS"/>
        <w:numPr>
          <w:ilvl w:val="2"/>
          <w:numId w:val="6"/>
        </w:numPr>
      </w:pPr>
      <w:r w:rsidRPr="00892436">
        <w:t>Appui en faveur des offices de propriété intellectuelle;</w:t>
      </w:r>
    </w:p>
    <w:p w:rsidR="003F479F" w:rsidRPr="00892436" w:rsidRDefault="00054A29" w:rsidP="00EB2EBA">
      <w:pPr>
        <w:pStyle w:val="ONUMFS"/>
        <w:numPr>
          <w:ilvl w:val="2"/>
          <w:numId w:val="6"/>
        </w:numPr>
      </w:pPr>
      <w:r w:rsidRPr="00892436">
        <w:t>Stratégies en matière de propriété intellectuelle;</w:t>
      </w:r>
    </w:p>
    <w:p w:rsidR="003F479F" w:rsidRPr="00892436" w:rsidRDefault="003B64EC" w:rsidP="00EB2EBA">
      <w:pPr>
        <w:pStyle w:val="ONUMFS"/>
        <w:numPr>
          <w:ilvl w:val="2"/>
          <w:numId w:val="6"/>
        </w:numPr>
      </w:pPr>
      <w:proofErr w:type="spellStart"/>
      <w:r w:rsidRPr="00892436">
        <w:t>Plateformes</w:t>
      </w:r>
      <w:proofErr w:type="spellEnd"/>
      <w:r w:rsidR="00054A29" w:rsidRPr="00892436">
        <w:t xml:space="preserve"> et bases de données;</w:t>
      </w:r>
    </w:p>
    <w:p w:rsidR="00517D80" w:rsidRPr="00892436" w:rsidRDefault="00054A29" w:rsidP="00EB2EBA">
      <w:pPr>
        <w:pStyle w:val="ONUMFS"/>
        <w:numPr>
          <w:ilvl w:val="2"/>
          <w:numId w:val="6"/>
        </w:numPr>
      </w:pPr>
      <w:r w:rsidRPr="00892436">
        <w:t xml:space="preserve">Séminaires et ateliers; </w:t>
      </w:r>
      <w:r w:rsidR="003B64EC" w:rsidRPr="00892436">
        <w:t xml:space="preserve"> </w:t>
      </w:r>
      <w:r w:rsidRPr="00892436">
        <w:t>et</w:t>
      </w:r>
    </w:p>
    <w:p w:rsidR="003F479F" w:rsidRPr="00892436" w:rsidRDefault="00E379B6" w:rsidP="00EB2EBA">
      <w:pPr>
        <w:pStyle w:val="ONUMFS"/>
        <w:numPr>
          <w:ilvl w:val="2"/>
          <w:numId w:val="6"/>
        </w:numPr>
      </w:pPr>
      <w:r w:rsidRPr="00892436">
        <w:t>Activités</w:t>
      </w:r>
      <w:r w:rsidR="00054A29" w:rsidRPr="00892436">
        <w:t xml:space="preserve"> de sensibilisation.</w:t>
      </w:r>
    </w:p>
    <w:p w:rsidR="003F479F" w:rsidRPr="00892436" w:rsidRDefault="00054A29" w:rsidP="00EB2EBA">
      <w:pPr>
        <w:pStyle w:val="ONUMFS"/>
      </w:pPr>
      <w:r w:rsidRPr="00892436">
        <w:t>Cette page, qui regroupera toutes les informations relatives aux activités d</w:t>
      </w:r>
      <w:r w:rsidR="003F479F" w:rsidRPr="00892436">
        <w:t>’</w:t>
      </w:r>
      <w:r w:rsidRPr="00892436">
        <w:t>assistance technique et de renforcement des capacités de l</w:t>
      </w:r>
      <w:r w:rsidR="003F479F" w:rsidRPr="00892436">
        <w:t>’</w:t>
      </w:r>
      <w:r w:rsidRPr="00892436">
        <w:t xml:space="preserve">OMPI, donnera aux utilisateurs un </w:t>
      </w:r>
      <w:r w:rsidR="00E379B6" w:rsidRPr="00892436">
        <w:t>accès</w:t>
      </w:r>
      <w:r w:rsidRPr="00892436">
        <w:t xml:space="preserve"> simplifié et plus rapide aux informations pertinent</w:t>
      </w:r>
      <w:r w:rsidR="00892436" w:rsidRPr="00892436">
        <w:t>es.  El</w:t>
      </w:r>
      <w:r w:rsidR="00E379B6" w:rsidRPr="00892436">
        <w:t xml:space="preserve">le fournira aux États membres, aux </w:t>
      </w:r>
      <w:r w:rsidR="008D304B" w:rsidRPr="00892436">
        <w:t xml:space="preserve">parties prenantes des secteurs public et privé, </w:t>
      </w:r>
      <w:r w:rsidR="00E379B6" w:rsidRPr="00892436">
        <w:t xml:space="preserve">à la communauté universitaire, aux </w:t>
      </w:r>
      <w:r w:rsidR="00C04A1F" w:rsidRPr="00892436">
        <w:t>spécialistes de la</w:t>
      </w:r>
      <w:r w:rsidR="00E379B6" w:rsidRPr="00892436">
        <w:t xml:space="preserve"> propriété intellectuelle, aux organismes de développement, aux donateurs potentiels, à la société civile et au public dans son ensemble un point d</w:t>
      </w:r>
      <w:r w:rsidR="003F479F" w:rsidRPr="00892436">
        <w:t>’</w:t>
      </w:r>
      <w:r w:rsidR="00E379B6" w:rsidRPr="00892436">
        <w:t>accès unique aux informations en lien avec l</w:t>
      </w:r>
      <w:r w:rsidR="003F479F" w:rsidRPr="00892436">
        <w:t>’</w:t>
      </w:r>
      <w:r w:rsidR="00E379B6" w:rsidRPr="00892436">
        <w:t>assistance technique et le renforcement des capacités de l</w:t>
      </w:r>
      <w:r w:rsidR="003F479F" w:rsidRPr="00892436">
        <w:t>’</w:t>
      </w:r>
      <w:r w:rsidR="00E379B6" w:rsidRPr="00892436">
        <w:t>OMPI.</w:t>
      </w:r>
    </w:p>
    <w:p w:rsidR="003F479F" w:rsidRPr="00892436" w:rsidRDefault="00E379B6" w:rsidP="00EB2EBA">
      <w:pPr>
        <w:pStyle w:val="ONUMFS"/>
        <w:ind w:left="5533"/>
        <w:rPr>
          <w:i/>
        </w:rPr>
      </w:pPr>
      <w:r w:rsidRPr="00892436">
        <w:rPr>
          <w:i/>
        </w:rPr>
        <w:t>Le CDIP est invité à examiner le contenu du présent document.</w:t>
      </w:r>
    </w:p>
    <w:p w:rsidR="003F479F" w:rsidRPr="00892436" w:rsidRDefault="003F479F" w:rsidP="00EB2EBA"/>
    <w:p w:rsidR="003F479F" w:rsidRPr="00892436" w:rsidRDefault="003F479F" w:rsidP="00EB2EBA"/>
    <w:p w:rsidR="003F479F" w:rsidRPr="00892436" w:rsidRDefault="00E379B6" w:rsidP="00EB2EBA">
      <w:pPr>
        <w:pStyle w:val="Endofdocument-Annex"/>
      </w:pPr>
      <w:r w:rsidRPr="00892436">
        <w:t>[Fin du document]</w:t>
      </w:r>
    </w:p>
    <w:p w:rsidR="00CB57B3" w:rsidRPr="00892436" w:rsidRDefault="00CB57B3" w:rsidP="00EB2EBA"/>
    <w:sectPr w:rsidR="00CB57B3" w:rsidRPr="00892436" w:rsidSect="004D20EB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C6F" w:rsidRDefault="00FF3C6F">
      <w:r>
        <w:separator/>
      </w:r>
    </w:p>
  </w:endnote>
  <w:endnote w:type="continuationSeparator" w:id="0">
    <w:p w:rsidR="00FF3C6F" w:rsidRDefault="00FF3C6F" w:rsidP="003B38C1">
      <w:r>
        <w:separator/>
      </w:r>
    </w:p>
    <w:p w:rsidR="00FF3C6F" w:rsidRPr="003B38C1" w:rsidRDefault="00FF3C6F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FF3C6F" w:rsidRPr="003B38C1" w:rsidRDefault="00FF3C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C6F" w:rsidRDefault="00FF3C6F">
      <w:r>
        <w:separator/>
      </w:r>
    </w:p>
  </w:footnote>
  <w:footnote w:type="continuationSeparator" w:id="0">
    <w:p w:rsidR="00FF3C6F" w:rsidRDefault="00FF3C6F" w:rsidP="008B60B2">
      <w:r>
        <w:separator/>
      </w:r>
    </w:p>
    <w:p w:rsidR="00FF3C6F" w:rsidRPr="00ED77FB" w:rsidRDefault="00FF3C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FF3C6F" w:rsidRPr="00ED77FB" w:rsidRDefault="00FF3C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1127A" w:rsidP="00477D6B">
    <w:pPr>
      <w:jc w:val="right"/>
    </w:pPr>
    <w:bookmarkStart w:id="6" w:name="Code2"/>
    <w:bookmarkEnd w:id="6"/>
    <w:r>
      <w:t>CDIP/19/</w:t>
    </w:r>
    <w:r w:rsidR="0054472E">
      <w:t>10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C728D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E63034"/>
    <w:multiLevelType w:val="hybridMultilevel"/>
    <w:tmpl w:val="BC98966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4536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669"/>
        </w:tabs>
        <w:ind w:left="5103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236"/>
        </w:tabs>
        <w:ind w:left="5669" w:firstLine="0"/>
      </w:pPr>
      <w:rPr>
        <w:rFonts w:hint="default"/>
      </w:rPr>
    </w:lvl>
  </w:abstractNum>
  <w:abstractNum w:abstractNumId="3">
    <w:nsid w:val="0FD10497"/>
    <w:multiLevelType w:val="hybridMultilevel"/>
    <w:tmpl w:val="11A0A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21AC5"/>
    <w:multiLevelType w:val="hybridMultilevel"/>
    <w:tmpl w:val="24E8442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CBA323E"/>
    <w:multiLevelType w:val="hybridMultilevel"/>
    <w:tmpl w:val="2488E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82EE4"/>
    <w:multiLevelType w:val="hybridMultilevel"/>
    <w:tmpl w:val="ADAC5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1644094"/>
    <w:multiLevelType w:val="hybridMultilevel"/>
    <w:tmpl w:val="50206874"/>
    <w:lvl w:ilvl="0" w:tplc="A95EEE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A56EE1"/>
    <w:multiLevelType w:val="hybridMultilevel"/>
    <w:tmpl w:val="E80CA4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83866"/>
    <w:multiLevelType w:val="hybridMultilevel"/>
    <w:tmpl w:val="79A64782"/>
    <w:lvl w:ilvl="0" w:tplc="7EF61BE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55752"/>
    <w:multiLevelType w:val="hybridMultilevel"/>
    <w:tmpl w:val="746486CC"/>
    <w:lvl w:ilvl="0" w:tplc="7EF61BEC">
      <w:start w:val="1"/>
      <w:numFmt w:val="decimal"/>
      <w:lvlText w:val="%1."/>
      <w:lvlJc w:val="left"/>
      <w:pPr>
        <w:ind w:left="1497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3BB3CC2"/>
    <w:multiLevelType w:val="hybridMultilevel"/>
    <w:tmpl w:val="46AE085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7190E"/>
    <w:multiLevelType w:val="hybridMultilevel"/>
    <w:tmpl w:val="CA162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313D26"/>
    <w:multiLevelType w:val="hybridMultilevel"/>
    <w:tmpl w:val="2340B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EC4C1D"/>
    <w:multiLevelType w:val="hybridMultilevel"/>
    <w:tmpl w:val="69D81340"/>
    <w:lvl w:ilvl="0" w:tplc="6928C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174240"/>
    <w:multiLevelType w:val="hybridMultilevel"/>
    <w:tmpl w:val="8A82FD5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0037D6"/>
    <w:multiLevelType w:val="hybridMultilevel"/>
    <w:tmpl w:val="B30A03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2CB2646"/>
    <w:multiLevelType w:val="hybridMultilevel"/>
    <w:tmpl w:val="8CAE6ED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315BD"/>
    <w:multiLevelType w:val="hybridMultilevel"/>
    <w:tmpl w:val="BCE066D0"/>
    <w:lvl w:ilvl="0" w:tplc="33B2B268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8456DB"/>
    <w:multiLevelType w:val="hybridMultilevel"/>
    <w:tmpl w:val="B9385254"/>
    <w:lvl w:ilvl="0" w:tplc="E2C6573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CA22868"/>
    <w:multiLevelType w:val="hybridMultilevel"/>
    <w:tmpl w:val="747A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3E6CCF"/>
    <w:multiLevelType w:val="hybridMultilevel"/>
    <w:tmpl w:val="3884AB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7"/>
  </w:num>
  <w:num w:numId="5">
    <w:abstractNumId w:val="2"/>
  </w:num>
  <w:num w:numId="6">
    <w:abstractNumId w:val="8"/>
  </w:num>
  <w:num w:numId="7">
    <w:abstractNumId w:val="16"/>
  </w:num>
  <w:num w:numId="8">
    <w:abstractNumId w:val="24"/>
  </w:num>
  <w:num w:numId="9">
    <w:abstractNumId w:val="20"/>
  </w:num>
  <w:num w:numId="10">
    <w:abstractNumId w:val="18"/>
  </w:num>
  <w:num w:numId="11">
    <w:abstractNumId w:val="7"/>
  </w:num>
  <w:num w:numId="12">
    <w:abstractNumId w:val="14"/>
  </w:num>
  <w:num w:numId="13">
    <w:abstractNumId w:val="3"/>
  </w:num>
  <w:num w:numId="14">
    <w:abstractNumId w:val="1"/>
  </w:num>
  <w:num w:numId="15">
    <w:abstractNumId w:val="13"/>
  </w:num>
  <w:num w:numId="16">
    <w:abstractNumId w:val="21"/>
  </w:num>
  <w:num w:numId="17">
    <w:abstractNumId w:val="6"/>
  </w:num>
  <w:num w:numId="18">
    <w:abstractNumId w:val="23"/>
  </w:num>
  <w:num w:numId="19">
    <w:abstractNumId w:val="4"/>
  </w:num>
  <w:num w:numId="20">
    <w:abstractNumId w:val="10"/>
  </w:num>
  <w:num w:numId="21">
    <w:abstractNumId w:val="19"/>
  </w:num>
  <w:num w:numId="22">
    <w:abstractNumId w:val="22"/>
  </w:num>
  <w:num w:numId="23">
    <w:abstractNumId w:val="9"/>
  </w:num>
  <w:num w:numId="24">
    <w:abstractNumId w:val="25"/>
  </w:num>
  <w:num w:numId="25">
    <w:abstractNumId w:val="11"/>
  </w:num>
  <w:num w:numId="26">
    <w:abstractNumId w:val="12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8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8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631A9E"/>
    <w:rsid w:val="00001E20"/>
    <w:rsid w:val="00015E90"/>
    <w:rsid w:val="00030AD6"/>
    <w:rsid w:val="0003132E"/>
    <w:rsid w:val="00043CAA"/>
    <w:rsid w:val="00054A29"/>
    <w:rsid w:val="00075432"/>
    <w:rsid w:val="000968ED"/>
    <w:rsid w:val="000A2DE1"/>
    <w:rsid w:val="000B0FC9"/>
    <w:rsid w:val="000F5E56"/>
    <w:rsid w:val="00104555"/>
    <w:rsid w:val="00122531"/>
    <w:rsid w:val="001362EE"/>
    <w:rsid w:val="001832A6"/>
    <w:rsid w:val="0018668D"/>
    <w:rsid w:val="001C2CDD"/>
    <w:rsid w:val="001C6003"/>
    <w:rsid w:val="001D1E6F"/>
    <w:rsid w:val="0021217E"/>
    <w:rsid w:val="002312B2"/>
    <w:rsid w:val="002328A7"/>
    <w:rsid w:val="00237DF7"/>
    <w:rsid w:val="002634C4"/>
    <w:rsid w:val="002928D3"/>
    <w:rsid w:val="002C36D5"/>
    <w:rsid w:val="002F1FE6"/>
    <w:rsid w:val="002F2D80"/>
    <w:rsid w:val="002F4253"/>
    <w:rsid w:val="002F4E68"/>
    <w:rsid w:val="00312F7F"/>
    <w:rsid w:val="00316309"/>
    <w:rsid w:val="00343FE2"/>
    <w:rsid w:val="00361450"/>
    <w:rsid w:val="003673CF"/>
    <w:rsid w:val="00377205"/>
    <w:rsid w:val="003845C1"/>
    <w:rsid w:val="00392B8C"/>
    <w:rsid w:val="003A6F89"/>
    <w:rsid w:val="003B38C1"/>
    <w:rsid w:val="003B64EC"/>
    <w:rsid w:val="003D0FDE"/>
    <w:rsid w:val="003E4487"/>
    <w:rsid w:val="003F28F9"/>
    <w:rsid w:val="003F4507"/>
    <w:rsid w:val="003F479F"/>
    <w:rsid w:val="003F4958"/>
    <w:rsid w:val="00405BA7"/>
    <w:rsid w:val="00423E3E"/>
    <w:rsid w:val="00427AF4"/>
    <w:rsid w:val="0045499A"/>
    <w:rsid w:val="004647DA"/>
    <w:rsid w:val="00474062"/>
    <w:rsid w:val="00477D6B"/>
    <w:rsid w:val="004A2C83"/>
    <w:rsid w:val="004A3B6F"/>
    <w:rsid w:val="004C728D"/>
    <w:rsid w:val="004D20EB"/>
    <w:rsid w:val="005019FF"/>
    <w:rsid w:val="0050694A"/>
    <w:rsid w:val="00517D80"/>
    <w:rsid w:val="0053057A"/>
    <w:rsid w:val="00535AF9"/>
    <w:rsid w:val="0054472E"/>
    <w:rsid w:val="00545341"/>
    <w:rsid w:val="00560A29"/>
    <w:rsid w:val="005C2E54"/>
    <w:rsid w:val="005C6649"/>
    <w:rsid w:val="005F591E"/>
    <w:rsid w:val="00605827"/>
    <w:rsid w:val="00614E4B"/>
    <w:rsid w:val="00631A9E"/>
    <w:rsid w:val="00646050"/>
    <w:rsid w:val="006713CA"/>
    <w:rsid w:val="00676C5C"/>
    <w:rsid w:val="006901BC"/>
    <w:rsid w:val="006C1FB4"/>
    <w:rsid w:val="006C3355"/>
    <w:rsid w:val="006E617D"/>
    <w:rsid w:val="006F3978"/>
    <w:rsid w:val="007029A8"/>
    <w:rsid w:val="007442A0"/>
    <w:rsid w:val="00750D14"/>
    <w:rsid w:val="00764782"/>
    <w:rsid w:val="0076654D"/>
    <w:rsid w:val="00785BCA"/>
    <w:rsid w:val="007D1613"/>
    <w:rsid w:val="007E1273"/>
    <w:rsid w:val="007E4C0E"/>
    <w:rsid w:val="0081656E"/>
    <w:rsid w:val="00867731"/>
    <w:rsid w:val="008861DE"/>
    <w:rsid w:val="00892436"/>
    <w:rsid w:val="008A042A"/>
    <w:rsid w:val="008B2CC1"/>
    <w:rsid w:val="008B60B2"/>
    <w:rsid w:val="008D0311"/>
    <w:rsid w:val="008D304B"/>
    <w:rsid w:val="008D632F"/>
    <w:rsid w:val="0090076B"/>
    <w:rsid w:val="0090731E"/>
    <w:rsid w:val="00916EE2"/>
    <w:rsid w:val="00951817"/>
    <w:rsid w:val="00966A22"/>
    <w:rsid w:val="0096722F"/>
    <w:rsid w:val="00980843"/>
    <w:rsid w:val="009C65F2"/>
    <w:rsid w:val="009E2791"/>
    <w:rsid w:val="009E3F6F"/>
    <w:rsid w:val="009F499F"/>
    <w:rsid w:val="00A42DAF"/>
    <w:rsid w:val="00A45BD8"/>
    <w:rsid w:val="00A628B1"/>
    <w:rsid w:val="00A6797E"/>
    <w:rsid w:val="00A869B7"/>
    <w:rsid w:val="00AA7E8D"/>
    <w:rsid w:val="00AC205C"/>
    <w:rsid w:val="00AD09F4"/>
    <w:rsid w:val="00AE379E"/>
    <w:rsid w:val="00AF0A6B"/>
    <w:rsid w:val="00B05A69"/>
    <w:rsid w:val="00B31CE0"/>
    <w:rsid w:val="00B3330E"/>
    <w:rsid w:val="00B47C26"/>
    <w:rsid w:val="00B9734B"/>
    <w:rsid w:val="00BA30E2"/>
    <w:rsid w:val="00C04A1F"/>
    <w:rsid w:val="00C11BFE"/>
    <w:rsid w:val="00C5068F"/>
    <w:rsid w:val="00C87DE8"/>
    <w:rsid w:val="00CA673E"/>
    <w:rsid w:val="00CB57B3"/>
    <w:rsid w:val="00CC3EEB"/>
    <w:rsid w:val="00CD04F1"/>
    <w:rsid w:val="00CF5798"/>
    <w:rsid w:val="00D000C0"/>
    <w:rsid w:val="00D0531D"/>
    <w:rsid w:val="00D43CCC"/>
    <w:rsid w:val="00D45252"/>
    <w:rsid w:val="00D71B4D"/>
    <w:rsid w:val="00D91DAB"/>
    <w:rsid w:val="00D93D55"/>
    <w:rsid w:val="00DA5781"/>
    <w:rsid w:val="00DC2A9C"/>
    <w:rsid w:val="00DE48AD"/>
    <w:rsid w:val="00E15015"/>
    <w:rsid w:val="00E15C0C"/>
    <w:rsid w:val="00E242EF"/>
    <w:rsid w:val="00E3007F"/>
    <w:rsid w:val="00E335FE"/>
    <w:rsid w:val="00E379B6"/>
    <w:rsid w:val="00E86C8D"/>
    <w:rsid w:val="00E97AEA"/>
    <w:rsid w:val="00EB2EBA"/>
    <w:rsid w:val="00EC0C34"/>
    <w:rsid w:val="00EC1140"/>
    <w:rsid w:val="00EC4E49"/>
    <w:rsid w:val="00ED77FB"/>
    <w:rsid w:val="00EE45FA"/>
    <w:rsid w:val="00F052AE"/>
    <w:rsid w:val="00F057BA"/>
    <w:rsid w:val="00F1127A"/>
    <w:rsid w:val="00F12DAB"/>
    <w:rsid w:val="00F5313B"/>
    <w:rsid w:val="00F54295"/>
    <w:rsid w:val="00F54406"/>
    <w:rsid w:val="00F66152"/>
    <w:rsid w:val="00FC4551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79F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31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1A9E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basedOn w:val="DefaultParagraphFont"/>
    <w:uiPriority w:val="99"/>
    <w:unhideWhenUsed/>
    <w:rsid w:val="002F4253"/>
    <w:rPr>
      <w:vertAlign w:val="superscript"/>
    </w:rPr>
  </w:style>
  <w:style w:type="character" w:styleId="Hyperlink">
    <w:name w:val="Hyperlink"/>
    <w:basedOn w:val="DefaultParagraphFont"/>
    <w:rsid w:val="00CA673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614E4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14E4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4E4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614E4B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785BCA"/>
    <w:pPr>
      <w:ind w:left="720"/>
      <w:contextualSpacing/>
    </w:pPr>
  </w:style>
  <w:style w:type="paragraph" w:customStyle="1" w:styleId="DecisionInvitingPara">
    <w:name w:val="Decision Inviting Para."/>
    <w:basedOn w:val="Normal"/>
    <w:link w:val="DecisionInvitingParaChar"/>
    <w:rsid w:val="00122531"/>
    <w:pPr>
      <w:suppressAutoHyphens/>
      <w:spacing w:after="120" w:line="260" w:lineRule="atLeast"/>
      <w:ind w:left="5534"/>
    </w:pPr>
    <w:rPr>
      <w:rFonts w:eastAsia="MS Mincho"/>
      <w:i/>
      <w:sz w:val="20"/>
    </w:rPr>
  </w:style>
  <w:style w:type="character" w:customStyle="1" w:styleId="DecisionInvitingParaChar">
    <w:name w:val="Decision Inviting Para. Char"/>
    <w:link w:val="DecisionInvitingPara"/>
    <w:rsid w:val="00122531"/>
    <w:rPr>
      <w:rFonts w:ascii="Arial" w:eastAsia="MS Mincho" w:hAnsi="Arial" w:cs="Arial"/>
      <w:i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79F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31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1A9E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basedOn w:val="DefaultParagraphFont"/>
    <w:uiPriority w:val="99"/>
    <w:unhideWhenUsed/>
    <w:rsid w:val="002F4253"/>
    <w:rPr>
      <w:vertAlign w:val="superscript"/>
    </w:rPr>
  </w:style>
  <w:style w:type="character" w:styleId="Hyperlink">
    <w:name w:val="Hyperlink"/>
    <w:basedOn w:val="DefaultParagraphFont"/>
    <w:rsid w:val="00CA673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614E4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14E4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4E4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614E4B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785BCA"/>
    <w:pPr>
      <w:ind w:left="720"/>
      <w:contextualSpacing/>
    </w:pPr>
  </w:style>
  <w:style w:type="paragraph" w:customStyle="1" w:styleId="DecisionInvitingPara">
    <w:name w:val="Decision Inviting Para."/>
    <w:basedOn w:val="Normal"/>
    <w:link w:val="DecisionInvitingParaChar"/>
    <w:rsid w:val="00122531"/>
    <w:pPr>
      <w:suppressAutoHyphens/>
      <w:spacing w:after="120" w:line="260" w:lineRule="atLeast"/>
      <w:ind w:left="5534"/>
    </w:pPr>
    <w:rPr>
      <w:rFonts w:eastAsia="MS Mincho"/>
      <w:i/>
      <w:sz w:val="20"/>
    </w:rPr>
  </w:style>
  <w:style w:type="character" w:customStyle="1" w:styleId="DecisionInvitingParaChar">
    <w:name w:val="Decision Inviting Para. Char"/>
    <w:link w:val="DecisionInvitingPara"/>
    <w:rsid w:val="00122531"/>
    <w:rPr>
      <w:rFonts w:ascii="Arial" w:eastAsia="MS Mincho" w:hAnsi="Arial" w:cs="Arial"/>
      <w:i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9C8201-11C6-461A-A7A3-0AB1172B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19 (E).dotm</Template>
  <TotalTime>18</TotalTime>
  <Pages>5</Pages>
  <Words>1779</Words>
  <Characters>10250</Characters>
  <Application>Microsoft Office Word</Application>
  <DocSecurity>0</DocSecurity>
  <Lines>176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BRACI Biljana</dc:creator>
  <cp:keywords>LC/sc</cp:keywords>
  <cp:lastModifiedBy>COUTURE Sébastien</cp:lastModifiedBy>
  <cp:revision>8</cp:revision>
  <cp:lastPrinted>2017-04-03T14:37:00Z</cp:lastPrinted>
  <dcterms:created xsi:type="dcterms:W3CDTF">2017-04-03T14:18:00Z</dcterms:created>
  <dcterms:modified xsi:type="dcterms:W3CDTF">2017-04-03T14:47:00Z</dcterms:modified>
</cp:coreProperties>
</file>